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1F0538">
      <w:pPr>
        <w:rPr>
          <w:rFonts w:hint="default" w:ascii="Times New Roman" w:hAnsi="Times New Roman" w:cs="Times New Roman"/>
          <w:color w:val="auto"/>
          <w:u w:val="none" w:color="auto"/>
        </w:rPr>
      </w:pPr>
    </w:p>
    <w:p w14:paraId="661AABA0">
      <w:pPr>
        <w:ind w:firstLine="0" w:firstLineChars="0"/>
        <w:jc w:val="center"/>
        <w:rPr>
          <w:rFonts w:hint="default" w:ascii="Times New Roman" w:hAnsi="Times New Roman" w:eastAsia="黑体" w:cs="Times New Roman"/>
          <w:color w:val="auto"/>
          <w:sz w:val="44"/>
          <w:szCs w:val="44"/>
          <w:u w:val="none" w:color="auto"/>
          <w:lang w:eastAsia="zh-CN"/>
        </w:rPr>
      </w:pPr>
      <w:r>
        <w:rPr>
          <w:rFonts w:hint="default" w:ascii="Times New Roman" w:hAnsi="Times New Roman" w:eastAsia="黑体" w:cs="Times New Roman"/>
          <w:color w:val="auto"/>
          <w:sz w:val="44"/>
          <w:szCs w:val="44"/>
          <w:u w:val="none" w:color="auto"/>
          <w:lang w:eastAsia="zh-CN"/>
        </w:rPr>
        <w:t>道县廊洞水库除险加固工程</w:t>
      </w:r>
    </w:p>
    <w:p w14:paraId="2B0998A7">
      <w:pPr>
        <w:ind w:firstLine="0" w:firstLineChars="0"/>
        <w:jc w:val="center"/>
        <w:rPr>
          <w:rFonts w:hint="default" w:ascii="Times New Roman" w:hAnsi="Times New Roman" w:eastAsia="黑体" w:cs="Times New Roman"/>
          <w:color w:val="auto"/>
          <w:sz w:val="72"/>
          <w:szCs w:val="72"/>
          <w:u w:val="none" w:color="auto"/>
        </w:rPr>
      </w:pPr>
      <w:r>
        <w:rPr>
          <w:rFonts w:hint="default" w:ascii="Times New Roman" w:hAnsi="Times New Roman" w:eastAsia="黑体" w:cs="Times New Roman"/>
          <w:color w:val="auto"/>
          <w:sz w:val="72"/>
          <w:szCs w:val="72"/>
          <w:u w:val="none" w:color="auto"/>
        </w:rPr>
        <w:t>环境影响报告书</w:t>
      </w:r>
    </w:p>
    <w:p w14:paraId="4C98F194">
      <w:pPr>
        <w:pStyle w:val="95"/>
        <w:ind w:firstLine="0" w:firstLineChars="0"/>
        <w:jc w:val="center"/>
        <w:rPr>
          <w:rFonts w:hint="default" w:ascii="Times New Roman" w:hAnsi="Times New Roman" w:eastAsia="黑体" w:cs="Times New Roman"/>
          <w:color w:val="auto"/>
          <w:sz w:val="30"/>
          <w:szCs w:val="30"/>
          <w:u w:val="none" w:color="auto"/>
          <w:lang w:eastAsia="zh-CN"/>
        </w:rPr>
      </w:pPr>
      <w:bookmarkStart w:id="0" w:name="_Toc494233690"/>
      <w:bookmarkStart w:id="1" w:name="_Toc29051"/>
      <w:r>
        <w:rPr>
          <w:rFonts w:hint="default" w:ascii="Times New Roman" w:hAnsi="Times New Roman" w:eastAsia="黑体" w:cs="Times New Roman"/>
          <w:color w:val="auto"/>
          <w:sz w:val="30"/>
          <w:szCs w:val="30"/>
          <w:highlight w:val="none"/>
          <w:u w:val="none" w:color="auto"/>
          <w:lang w:eastAsia="zh-CN"/>
        </w:rPr>
        <w:t>(</w:t>
      </w:r>
      <w:r>
        <w:rPr>
          <w:rFonts w:hint="default" w:ascii="Times New Roman" w:hAnsi="Times New Roman" w:eastAsia="黑体" w:cs="Times New Roman"/>
          <w:color w:val="auto"/>
          <w:sz w:val="30"/>
          <w:szCs w:val="30"/>
          <w:u w:val="none" w:color="auto"/>
          <w:lang w:val="en-US" w:eastAsia="zh-CN"/>
        </w:rPr>
        <w:t>送审</w:t>
      </w:r>
      <w:r>
        <w:rPr>
          <w:rFonts w:hint="default" w:ascii="Times New Roman" w:hAnsi="Times New Roman" w:eastAsia="黑体" w:cs="Times New Roman"/>
          <w:color w:val="auto"/>
          <w:sz w:val="30"/>
          <w:szCs w:val="30"/>
          <w:u w:val="none" w:color="auto"/>
        </w:rPr>
        <w:t>稿</w:t>
      </w:r>
      <w:bookmarkEnd w:id="0"/>
      <w:bookmarkEnd w:id="1"/>
      <w:r>
        <w:rPr>
          <w:rFonts w:hint="default" w:ascii="Times New Roman" w:hAnsi="Times New Roman" w:eastAsia="黑体" w:cs="Times New Roman"/>
          <w:color w:val="auto"/>
          <w:sz w:val="30"/>
          <w:szCs w:val="30"/>
          <w:highlight w:val="none"/>
          <w:u w:val="none" w:color="auto"/>
          <w:lang w:eastAsia="zh-CN"/>
        </w:rPr>
        <w:t>)</w:t>
      </w:r>
    </w:p>
    <w:p w14:paraId="1CFE4A70">
      <w:pPr>
        <w:ind w:firstLine="480"/>
        <w:jc w:val="center"/>
        <w:rPr>
          <w:rFonts w:hint="default" w:ascii="Times New Roman" w:hAnsi="Times New Roman" w:cs="Times New Roman"/>
          <w:color w:val="auto"/>
          <w:u w:val="none" w:color="auto"/>
        </w:rPr>
      </w:pPr>
    </w:p>
    <w:p w14:paraId="1AF1AA80">
      <w:pPr>
        <w:ind w:firstLine="480"/>
        <w:jc w:val="center"/>
        <w:rPr>
          <w:rFonts w:hint="default" w:ascii="Times New Roman" w:hAnsi="Times New Roman" w:cs="Times New Roman"/>
          <w:color w:val="auto"/>
          <w:u w:val="none" w:color="auto"/>
        </w:rPr>
      </w:pPr>
    </w:p>
    <w:p w14:paraId="5D5C2C27">
      <w:pPr>
        <w:ind w:firstLine="480"/>
        <w:jc w:val="center"/>
        <w:rPr>
          <w:rFonts w:hint="default" w:ascii="Times New Roman" w:hAnsi="Times New Roman" w:cs="Times New Roman"/>
          <w:color w:val="auto"/>
          <w:u w:val="none" w:color="auto"/>
        </w:rPr>
      </w:pPr>
    </w:p>
    <w:p w14:paraId="74636B83">
      <w:pPr>
        <w:ind w:firstLine="480"/>
        <w:jc w:val="center"/>
        <w:rPr>
          <w:rFonts w:hint="default" w:ascii="Times New Roman" w:hAnsi="Times New Roman" w:cs="Times New Roman"/>
          <w:color w:val="auto"/>
          <w:u w:val="none" w:color="auto"/>
        </w:rPr>
      </w:pPr>
    </w:p>
    <w:p w14:paraId="28A2B721">
      <w:pPr>
        <w:ind w:firstLine="480"/>
        <w:jc w:val="center"/>
        <w:rPr>
          <w:rFonts w:hint="default" w:ascii="Times New Roman" w:hAnsi="Times New Roman" w:cs="Times New Roman"/>
          <w:color w:val="auto"/>
          <w:u w:val="none" w:color="auto"/>
        </w:rPr>
      </w:pPr>
    </w:p>
    <w:p w14:paraId="1B9FB845">
      <w:pPr>
        <w:ind w:firstLine="480"/>
        <w:jc w:val="center"/>
        <w:rPr>
          <w:rFonts w:hint="default" w:ascii="Times New Roman" w:hAnsi="Times New Roman" w:cs="Times New Roman"/>
          <w:color w:val="auto"/>
          <w:u w:val="none" w:color="auto"/>
        </w:rPr>
      </w:pPr>
    </w:p>
    <w:p w14:paraId="32A91770">
      <w:pPr>
        <w:ind w:firstLine="480"/>
        <w:jc w:val="center"/>
        <w:rPr>
          <w:rFonts w:hint="default" w:ascii="Times New Roman" w:hAnsi="Times New Roman" w:cs="Times New Roman"/>
          <w:color w:val="auto"/>
          <w:u w:val="none" w:color="auto"/>
        </w:rPr>
      </w:pPr>
    </w:p>
    <w:p w14:paraId="4A66DDB0">
      <w:pPr>
        <w:ind w:firstLine="480"/>
        <w:jc w:val="center"/>
        <w:rPr>
          <w:rFonts w:hint="default" w:ascii="Times New Roman" w:hAnsi="Times New Roman" w:cs="Times New Roman"/>
          <w:color w:val="auto"/>
          <w:u w:val="none" w:color="auto"/>
        </w:rPr>
      </w:pPr>
    </w:p>
    <w:p w14:paraId="246BE9FF">
      <w:pPr>
        <w:ind w:firstLine="480"/>
        <w:jc w:val="center"/>
        <w:rPr>
          <w:rFonts w:hint="default" w:ascii="Times New Roman" w:hAnsi="Times New Roman" w:cs="Times New Roman"/>
          <w:color w:val="auto"/>
          <w:u w:val="none" w:color="auto"/>
        </w:rPr>
      </w:pPr>
    </w:p>
    <w:p w14:paraId="4C88BCFC">
      <w:pPr>
        <w:ind w:firstLine="480"/>
        <w:jc w:val="center"/>
        <w:rPr>
          <w:rFonts w:hint="default" w:ascii="Times New Roman" w:hAnsi="Times New Roman" w:cs="Times New Roman"/>
          <w:color w:val="auto"/>
          <w:u w:val="none" w:color="auto"/>
        </w:rPr>
      </w:pPr>
    </w:p>
    <w:p w14:paraId="72EF0E6C">
      <w:pPr>
        <w:ind w:firstLine="480"/>
        <w:jc w:val="center"/>
        <w:rPr>
          <w:rFonts w:hint="default" w:ascii="Times New Roman" w:hAnsi="Times New Roman" w:cs="Times New Roman"/>
          <w:color w:val="auto"/>
          <w:u w:val="none" w:color="auto"/>
        </w:rPr>
      </w:pPr>
    </w:p>
    <w:p w14:paraId="09087556">
      <w:pPr>
        <w:ind w:firstLine="480"/>
        <w:jc w:val="center"/>
        <w:rPr>
          <w:rFonts w:hint="default" w:ascii="Times New Roman" w:hAnsi="Times New Roman" w:cs="Times New Roman"/>
          <w:color w:val="auto"/>
          <w:u w:val="none" w:color="auto"/>
        </w:rPr>
      </w:pPr>
    </w:p>
    <w:p w14:paraId="248DDB45">
      <w:pPr>
        <w:ind w:firstLine="480"/>
        <w:jc w:val="center"/>
        <w:rPr>
          <w:rFonts w:hint="default" w:ascii="Times New Roman" w:hAnsi="Times New Roman" w:cs="Times New Roman"/>
          <w:color w:val="auto"/>
          <w:u w:val="none" w:color="auto"/>
        </w:rPr>
      </w:pPr>
    </w:p>
    <w:p w14:paraId="67636C5F">
      <w:pPr>
        <w:ind w:firstLine="480"/>
        <w:jc w:val="center"/>
        <w:rPr>
          <w:rFonts w:hint="default" w:ascii="Times New Roman" w:hAnsi="Times New Roman" w:cs="Times New Roman"/>
          <w:color w:val="auto"/>
          <w:u w:val="none" w:color="auto"/>
        </w:rPr>
      </w:pPr>
    </w:p>
    <w:p w14:paraId="65CA631C">
      <w:pPr>
        <w:ind w:firstLine="480"/>
        <w:jc w:val="center"/>
        <w:rPr>
          <w:rFonts w:hint="default" w:ascii="Times New Roman" w:hAnsi="Times New Roman" w:cs="Times New Roman"/>
          <w:color w:val="auto"/>
          <w:u w:val="none" w:color="auto"/>
        </w:rPr>
      </w:pPr>
    </w:p>
    <w:p w14:paraId="062F0CDF">
      <w:pPr>
        <w:pStyle w:val="16"/>
        <w:rPr>
          <w:rFonts w:hint="default" w:ascii="Times New Roman" w:hAnsi="Times New Roman" w:cs="Times New Roman"/>
          <w:color w:val="auto"/>
          <w:u w:val="none" w:color="auto"/>
        </w:rPr>
      </w:pPr>
    </w:p>
    <w:p w14:paraId="3DDFAA67">
      <w:pPr>
        <w:pStyle w:val="16"/>
        <w:rPr>
          <w:rFonts w:hint="default" w:ascii="Times New Roman" w:hAnsi="Times New Roman" w:cs="Times New Roman"/>
          <w:color w:val="auto"/>
          <w:u w:val="none" w:color="auto"/>
        </w:rPr>
      </w:pPr>
    </w:p>
    <w:p w14:paraId="1E96CC13">
      <w:pPr>
        <w:ind w:firstLine="480"/>
        <w:jc w:val="center"/>
        <w:rPr>
          <w:rFonts w:hint="default" w:ascii="Times New Roman" w:hAnsi="Times New Roman" w:cs="Times New Roman"/>
          <w:color w:val="auto"/>
          <w:u w:val="none" w:color="auto"/>
        </w:rPr>
      </w:pPr>
    </w:p>
    <w:p w14:paraId="6A1B0BD9">
      <w:pPr>
        <w:ind w:firstLine="480"/>
        <w:jc w:val="center"/>
        <w:rPr>
          <w:rFonts w:hint="default" w:ascii="Times New Roman" w:hAnsi="Times New Roman" w:cs="Times New Roman"/>
          <w:color w:val="auto"/>
          <w:u w:val="none" w:color="auto"/>
        </w:rPr>
      </w:pPr>
    </w:p>
    <w:p w14:paraId="2677A63B">
      <w:pPr>
        <w:ind w:firstLine="480"/>
        <w:jc w:val="center"/>
        <w:rPr>
          <w:rFonts w:hint="default" w:ascii="Times New Roman" w:hAnsi="Times New Roman" w:eastAsia="黑体" w:cs="Times New Roman"/>
          <w:color w:val="auto"/>
          <w:u w:val="none" w:color="auto"/>
          <w:lang w:eastAsia="zh-CN"/>
        </w:rPr>
      </w:pPr>
      <w:r>
        <w:rPr>
          <w:rFonts w:hint="default" w:ascii="Times New Roman" w:hAnsi="Times New Roman" w:eastAsia="黑体" w:cs="Times New Roman"/>
          <w:color w:val="auto"/>
          <w:u w:val="none" w:color="auto"/>
        </w:rPr>
        <w:t>建设单位</w:t>
      </w:r>
      <w:r>
        <w:rPr>
          <w:rFonts w:hint="default" w:ascii="Times New Roman" w:hAnsi="Times New Roman" w:eastAsia="黑体" w:cs="Times New Roman"/>
          <w:color w:val="auto"/>
          <w:highlight w:val="none"/>
          <w:u w:val="none" w:color="auto"/>
          <w:lang w:eastAsia="zh-CN"/>
        </w:rPr>
        <w:t>(</w:t>
      </w:r>
      <w:r>
        <w:rPr>
          <w:rFonts w:hint="default" w:ascii="Times New Roman" w:hAnsi="Times New Roman" w:eastAsia="黑体" w:cs="Times New Roman"/>
          <w:color w:val="auto"/>
          <w:u w:val="none" w:color="auto"/>
        </w:rPr>
        <w:t>盖章</w:t>
      </w:r>
      <w:r>
        <w:rPr>
          <w:rFonts w:hint="default" w:ascii="Times New Roman" w:hAnsi="Times New Roman" w:eastAsia="黑体" w:cs="Times New Roman"/>
          <w:color w:val="auto"/>
          <w:highlight w:val="none"/>
          <w:u w:val="none" w:color="auto"/>
          <w:lang w:eastAsia="zh-CN"/>
        </w:rPr>
        <w:t>)</w:t>
      </w:r>
      <w:r>
        <w:rPr>
          <w:rFonts w:hint="default" w:ascii="Times New Roman" w:hAnsi="Times New Roman" w:eastAsia="黑体" w:cs="Times New Roman"/>
          <w:color w:val="auto"/>
          <w:u w:val="none" w:color="auto"/>
          <w:lang w:eastAsia="zh-CN"/>
        </w:rPr>
        <w:t>:道县水利局</w:t>
      </w:r>
    </w:p>
    <w:p w14:paraId="6E875459">
      <w:pPr>
        <w:ind w:firstLine="480"/>
        <w:jc w:val="center"/>
        <w:rPr>
          <w:rFonts w:hint="default" w:ascii="Times New Roman" w:hAnsi="Times New Roman" w:eastAsia="黑体" w:cs="Times New Roman"/>
          <w:color w:val="auto"/>
          <w:u w:val="none" w:color="auto"/>
          <w:lang w:eastAsia="zh-CN"/>
        </w:rPr>
      </w:pPr>
      <w:r>
        <w:rPr>
          <w:rFonts w:hint="default" w:ascii="Times New Roman" w:hAnsi="Times New Roman" w:eastAsia="黑体" w:cs="Times New Roman"/>
          <w:color w:val="auto"/>
          <w:u w:val="none" w:color="auto"/>
        </w:rPr>
        <w:t>编制单位</w:t>
      </w:r>
      <w:r>
        <w:rPr>
          <w:rFonts w:hint="default" w:ascii="Times New Roman" w:hAnsi="Times New Roman" w:eastAsia="黑体" w:cs="Times New Roman"/>
          <w:color w:val="auto"/>
          <w:u w:val="none" w:color="auto"/>
          <w:lang w:eastAsia="zh-CN"/>
        </w:rPr>
        <w:t>:湖南</w:t>
      </w:r>
      <w:r>
        <w:rPr>
          <w:rFonts w:hint="eastAsia" w:eastAsia="黑体" w:cs="Times New Roman"/>
          <w:color w:val="auto"/>
          <w:u w:val="none" w:color="auto"/>
          <w:lang w:val="en-US" w:eastAsia="zh-CN"/>
        </w:rPr>
        <w:t>振澜</w:t>
      </w:r>
      <w:r>
        <w:rPr>
          <w:rFonts w:hint="default" w:ascii="Times New Roman" w:hAnsi="Times New Roman" w:eastAsia="黑体" w:cs="Times New Roman"/>
          <w:color w:val="auto"/>
          <w:u w:val="none" w:color="auto"/>
          <w:lang w:eastAsia="zh-CN"/>
        </w:rPr>
        <w:t>科技有限公司</w:t>
      </w:r>
    </w:p>
    <w:p w14:paraId="2AD08EE4">
      <w:pPr>
        <w:ind w:firstLine="480"/>
        <w:jc w:val="center"/>
        <w:rPr>
          <w:rFonts w:hint="default" w:ascii="Times New Roman" w:hAnsi="Times New Roman" w:eastAsia="黑体" w:cs="Times New Roman"/>
          <w:color w:val="auto"/>
          <w:u w:val="none" w:color="auto"/>
        </w:rPr>
      </w:pPr>
      <w:r>
        <w:rPr>
          <w:rFonts w:hint="default" w:ascii="Times New Roman" w:hAnsi="Times New Roman" w:eastAsia="黑体" w:cs="Times New Roman"/>
          <w:color w:val="auto"/>
          <w:u w:val="none" w:color="auto"/>
        </w:rPr>
        <w:t>编制日期</w:t>
      </w:r>
      <w:r>
        <w:rPr>
          <w:rFonts w:hint="default" w:ascii="Times New Roman" w:hAnsi="Times New Roman" w:eastAsia="黑体" w:cs="Times New Roman"/>
          <w:color w:val="auto"/>
          <w:u w:val="none" w:color="auto"/>
          <w:lang w:eastAsia="zh-CN"/>
        </w:rPr>
        <w:t>:</w:t>
      </w:r>
      <w:r>
        <w:rPr>
          <w:rFonts w:hint="default" w:ascii="Times New Roman" w:hAnsi="Times New Roman" w:eastAsia="黑体" w:cs="Times New Roman"/>
          <w:color w:val="auto"/>
          <w:u w:val="none" w:color="auto"/>
        </w:rPr>
        <w:t>202</w:t>
      </w:r>
      <w:r>
        <w:rPr>
          <w:rFonts w:hint="eastAsia" w:eastAsia="黑体" w:cs="Times New Roman"/>
          <w:color w:val="auto"/>
          <w:u w:val="none" w:color="auto"/>
          <w:lang w:val="en-US" w:eastAsia="zh-CN"/>
        </w:rPr>
        <w:t>5</w:t>
      </w:r>
      <w:r>
        <w:rPr>
          <w:rFonts w:hint="default" w:ascii="Times New Roman" w:hAnsi="Times New Roman" w:eastAsia="黑体" w:cs="Times New Roman"/>
          <w:color w:val="auto"/>
          <w:u w:val="none" w:color="auto"/>
        </w:rPr>
        <w:t>年</w:t>
      </w:r>
      <w:r>
        <w:rPr>
          <w:rFonts w:hint="eastAsia" w:eastAsia="黑体" w:cs="Times New Roman"/>
          <w:color w:val="auto"/>
          <w:u w:val="none" w:color="auto"/>
          <w:lang w:val="en-US" w:eastAsia="zh-CN"/>
        </w:rPr>
        <w:t>7</w:t>
      </w:r>
      <w:r>
        <w:rPr>
          <w:rFonts w:hint="default" w:ascii="Times New Roman" w:hAnsi="Times New Roman" w:eastAsia="黑体" w:cs="Times New Roman"/>
          <w:color w:val="auto"/>
          <w:u w:val="none" w:color="auto"/>
        </w:rPr>
        <w:t>月</w:t>
      </w:r>
    </w:p>
    <w:p w14:paraId="0E844A3B">
      <w:pPr>
        <w:ind w:firstLine="482"/>
        <w:jc w:val="center"/>
        <w:rPr>
          <w:rFonts w:hint="default" w:ascii="Times New Roman" w:hAnsi="Times New Roman" w:cs="Times New Roman"/>
          <w:b/>
          <w:bCs/>
          <w:color w:val="auto"/>
          <w:u w:val="none" w:color="auto"/>
        </w:rPr>
        <w:sectPr>
          <w:headerReference r:id="rId7" w:type="first"/>
          <w:footerReference r:id="rId10" w:type="first"/>
          <w:headerReference r:id="rId5" w:type="default"/>
          <w:footerReference r:id="rId8" w:type="default"/>
          <w:headerReference r:id="rId6" w:type="even"/>
          <w:footerReference r:id="rId9" w:type="even"/>
          <w:pgSz w:w="11911" w:h="16838"/>
          <w:pgMar w:top="1440" w:right="1797" w:bottom="1440" w:left="1797" w:header="851" w:footer="851" w:gutter="0"/>
          <w:pgBorders>
            <w:top w:val="none" w:sz="0" w:space="0"/>
            <w:left w:val="none" w:sz="0" w:space="0"/>
            <w:bottom w:val="none" w:sz="0" w:space="0"/>
            <w:right w:val="none" w:sz="0" w:space="0"/>
          </w:pgBorders>
          <w:pgNumType w:start="1"/>
          <w:cols w:space="720" w:num="1"/>
          <w:docGrid w:linePitch="326" w:charSpace="0"/>
        </w:sectPr>
      </w:pPr>
    </w:p>
    <w:p w14:paraId="4AFA617E">
      <w:pPr>
        <w:ind w:firstLine="482"/>
        <w:jc w:val="center"/>
        <w:rPr>
          <w:rFonts w:hint="default" w:ascii="Times New Roman" w:hAnsi="Times New Roman" w:cs="Times New Roman"/>
          <w:b/>
          <w:bCs/>
          <w:color w:val="auto"/>
          <w:sz w:val="28"/>
          <w:szCs w:val="28"/>
          <w:u w:val="none" w:color="auto"/>
        </w:rPr>
      </w:pPr>
      <w:r>
        <w:rPr>
          <w:rFonts w:hint="default" w:ascii="Times New Roman" w:hAnsi="Times New Roman" w:cs="Times New Roman"/>
          <w:b/>
          <w:bCs/>
          <w:color w:val="auto"/>
          <w:sz w:val="28"/>
          <w:szCs w:val="28"/>
          <w:u w:val="none" w:color="auto"/>
        </w:rPr>
        <w:t>目录</w:t>
      </w:r>
    </w:p>
    <w:p w14:paraId="5AE1FA79">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TOC \o "1-2" \h \u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_Toc27667 </w:instrText>
      </w:r>
      <w:r>
        <w:rPr>
          <w:rFonts w:hint="default" w:ascii="Times New Roman" w:hAnsi="Times New Roman" w:cs="Times New Roman"/>
        </w:rPr>
        <w:fldChar w:fldCharType="separate"/>
      </w:r>
      <w:r>
        <w:rPr>
          <w:rFonts w:hint="default" w:ascii="Times New Roman" w:hAnsi="Times New Roman" w:cs="Times New Roman"/>
          <w:szCs w:val="44"/>
        </w:rPr>
        <w:t>1. 概述</w:t>
      </w:r>
      <w:r>
        <w:tab/>
      </w:r>
      <w:r>
        <w:fldChar w:fldCharType="begin"/>
      </w:r>
      <w:r>
        <w:instrText xml:space="preserve"> PAGEREF _Toc27667 \h </w:instrText>
      </w:r>
      <w:r>
        <w:fldChar w:fldCharType="separate"/>
      </w:r>
      <w:r>
        <w:t>1</w:t>
      </w:r>
      <w:r>
        <w:fldChar w:fldCharType="end"/>
      </w:r>
      <w:r>
        <w:rPr>
          <w:rFonts w:hint="default" w:ascii="Times New Roman" w:hAnsi="Times New Roman" w:cs="Times New Roman"/>
          <w:color w:val="auto"/>
          <w:u w:val="none" w:color="auto"/>
        </w:rPr>
        <w:fldChar w:fldCharType="end"/>
      </w:r>
    </w:p>
    <w:p w14:paraId="48BE7E3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_Toc30006 </w:instrText>
      </w:r>
      <w:r>
        <w:rPr>
          <w:rFonts w:hint="default" w:ascii="Times New Roman" w:hAnsi="Times New Roman" w:cs="Times New Roman"/>
        </w:rPr>
        <w:fldChar w:fldCharType="separate"/>
      </w:r>
      <w:r>
        <w:rPr>
          <w:rFonts w:hint="default" w:ascii="Times New Roman" w:hAnsi="Times New Roman" w:cs="Times New Roman"/>
        </w:rPr>
        <w:t>1.1. 项目</w:t>
      </w:r>
      <w:r>
        <w:rPr>
          <w:rFonts w:hint="default" w:ascii="Times New Roman" w:hAnsi="Times New Roman" w:cs="Times New Roman"/>
          <w:lang w:val="en-US" w:eastAsia="zh-CN"/>
        </w:rPr>
        <w:t>历史背景及</w:t>
      </w:r>
      <w:r>
        <w:rPr>
          <w:rFonts w:hint="default" w:ascii="Times New Roman" w:hAnsi="Times New Roman" w:cs="Times New Roman"/>
        </w:rPr>
        <w:t>由来</w:t>
      </w:r>
      <w:r>
        <w:tab/>
      </w:r>
      <w:r>
        <w:fldChar w:fldCharType="begin"/>
      </w:r>
      <w:r>
        <w:instrText xml:space="preserve"> PAGEREF _Toc30006 \h </w:instrText>
      </w:r>
      <w:r>
        <w:fldChar w:fldCharType="separate"/>
      </w:r>
      <w:r>
        <w:t>1</w:t>
      </w:r>
      <w:r>
        <w:fldChar w:fldCharType="end"/>
      </w:r>
      <w:r>
        <w:rPr>
          <w:rFonts w:hint="default" w:ascii="Times New Roman" w:hAnsi="Times New Roman" w:cs="Times New Roman"/>
          <w:color w:val="auto"/>
          <w:u w:val="none" w:color="auto"/>
        </w:rPr>
        <w:fldChar w:fldCharType="end"/>
      </w:r>
    </w:p>
    <w:p w14:paraId="6DFFD9E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_Toc31850 </w:instrText>
      </w:r>
      <w:r>
        <w:rPr>
          <w:rFonts w:hint="default" w:ascii="Times New Roman" w:hAnsi="Times New Roman" w:cs="Times New Roman"/>
        </w:rPr>
        <w:fldChar w:fldCharType="separate"/>
      </w:r>
      <w:r>
        <w:rPr>
          <w:rFonts w:hint="default" w:ascii="Times New Roman" w:hAnsi="Times New Roman" w:cs="Times New Roman"/>
          <w:lang w:val="en-US" w:eastAsia="zh-CN"/>
        </w:rPr>
        <w:t>1.2. 建设项目特点</w:t>
      </w:r>
      <w:r>
        <w:tab/>
      </w:r>
      <w:r>
        <w:fldChar w:fldCharType="begin"/>
      </w:r>
      <w:r>
        <w:instrText xml:space="preserve"> PAGEREF _Toc31850 \h </w:instrText>
      </w:r>
      <w:r>
        <w:fldChar w:fldCharType="separate"/>
      </w:r>
      <w:r>
        <w:t>8</w:t>
      </w:r>
      <w:r>
        <w:fldChar w:fldCharType="end"/>
      </w:r>
      <w:r>
        <w:rPr>
          <w:rFonts w:hint="default" w:ascii="Times New Roman" w:hAnsi="Times New Roman" w:cs="Times New Roman"/>
          <w:color w:val="auto"/>
          <w:u w:val="none" w:color="auto"/>
        </w:rPr>
        <w:fldChar w:fldCharType="end"/>
      </w:r>
    </w:p>
    <w:p w14:paraId="216739AB">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_Toc999 </w:instrText>
      </w:r>
      <w:r>
        <w:rPr>
          <w:rFonts w:hint="default" w:ascii="Times New Roman" w:hAnsi="Times New Roman" w:cs="Times New Roman"/>
        </w:rPr>
        <w:fldChar w:fldCharType="separate"/>
      </w:r>
      <w:r>
        <w:rPr>
          <w:rFonts w:hint="default" w:ascii="Times New Roman" w:hAnsi="Times New Roman" w:cs="Times New Roman"/>
        </w:rPr>
        <w:t>1.3. 评价工作程序</w:t>
      </w:r>
      <w:r>
        <w:tab/>
      </w:r>
      <w:r>
        <w:fldChar w:fldCharType="begin"/>
      </w:r>
      <w:r>
        <w:instrText xml:space="preserve"> PAGEREF _Toc999 \h </w:instrText>
      </w:r>
      <w:r>
        <w:fldChar w:fldCharType="separate"/>
      </w:r>
      <w:r>
        <w:t>8</w:t>
      </w:r>
      <w:r>
        <w:fldChar w:fldCharType="end"/>
      </w:r>
      <w:r>
        <w:rPr>
          <w:rFonts w:hint="default" w:ascii="Times New Roman" w:hAnsi="Times New Roman" w:cs="Times New Roman"/>
          <w:color w:val="auto"/>
          <w:u w:val="none" w:color="auto"/>
        </w:rPr>
        <w:fldChar w:fldCharType="end"/>
      </w:r>
    </w:p>
    <w:p w14:paraId="519EC6F8">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_Toc18257 </w:instrText>
      </w:r>
      <w:r>
        <w:rPr>
          <w:rFonts w:hint="default" w:ascii="Times New Roman" w:hAnsi="Times New Roman" w:cs="Times New Roman"/>
        </w:rPr>
        <w:fldChar w:fldCharType="separate"/>
      </w:r>
      <w:r>
        <w:rPr>
          <w:rFonts w:hint="default" w:ascii="Times New Roman" w:hAnsi="Times New Roman" w:cs="Times New Roman"/>
        </w:rPr>
        <w:t>1.4. 分析</w:t>
      </w:r>
      <w:r>
        <w:rPr>
          <w:rFonts w:hint="default" w:ascii="Times New Roman" w:hAnsi="Times New Roman" w:cs="Times New Roman"/>
          <w:lang w:val="en-US" w:eastAsia="zh-CN"/>
        </w:rPr>
        <w:t>判定</w:t>
      </w:r>
      <w:r>
        <w:rPr>
          <w:rFonts w:hint="default" w:ascii="Times New Roman" w:hAnsi="Times New Roman" w:cs="Times New Roman"/>
        </w:rPr>
        <w:t>相关情况</w:t>
      </w:r>
      <w:r>
        <w:tab/>
      </w:r>
      <w:r>
        <w:fldChar w:fldCharType="begin"/>
      </w:r>
      <w:r>
        <w:instrText xml:space="preserve"> PAGEREF _Toc18257 \h </w:instrText>
      </w:r>
      <w:r>
        <w:fldChar w:fldCharType="separate"/>
      </w:r>
      <w:r>
        <w:t>9</w:t>
      </w:r>
      <w:r>
        <w:fldChar w:fldCharType="end"/>
      </w:r>
      <w:r>
        <w:rPr>
          <w:rFonts w:hint="default" w:ascii="Times New Roman" w:hAnsi="Times New Roman" w:cs="Times New Roman"/>
          <w:color w:val="auto"/>
          <w:u w:val="none" w:color="auto"/>
        </w:rPr>
        <w:fldChar w:fldCharType="end"/>
      </w:r>
    </w:p>
    <w:p w14:paraId="0DA55B1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_Toc7139 </w:instrText>
      </w:r>
      <w:r>
        <w:rPr>
          <w:rFonts w:hint="default" w:ascii="Times New Roman" w:hAnsi="Times New Roman" w:cs="Times New Roman"/>
        </w:rPr>
        <w:fldChar w:fldCharType="separate"/>
      </w:r>
      <w:r>
        <w:rPr>
          <w:rFonts w:hint="default" w:ascii="Times New Roman" w:hAnsi="Times New Roman" w:cs="Times New Roman"/>
        </w:rPr>
        <w:t>1.5. 本项目主要关注的环境问题</w:t>
      </w:r>
      <w:r>
        <w:tab/>
      </w:r>
      <w:r>
        <w:fldChar w:fldCharType="begin"/>
      </w:r>
      <w:r>
        <w:instrText xml:space="preserve"> PAGEREF _Toc7139 \h </w:instrText>
      </w:r>
      <w:r>
        <w:fldChar w:fldCharType="separate"/>
      </w:r>
      <w:r>
        <w:t>26</w:t>
      </w:r>
      <w:r>
        <w:fldChar w:fldCharType="end"/>
      </w:r>
      <w:r>
        <w:rPr>
          <w:rFonts w:hint="default" w:ascii="Times New Roman" w:hAnsi="Times New Roman" w:cs="Times New Roman"/>
          <w:color w:val="auto"/>
          <w:u w:val="none" w:color="auto"/>
        </w:rPr>
        <w:fldChar w:fldCharType="end"/>
      </w:r>
    </w:p>
    <w:p w14:paraId="700D4F6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_Toc31856 </w:instrText>
      </w:r>
      <w:r>
        <w:rPr>
          <w:rFonts w:hint="default" w:ascii="Times New Roman" w:hAnsi="Times New Roman" w:cs="Times New Roman"/>
        </w:rPr>
        <w:fldChar w:fldCharType="separate"/>
      </w:r>
      <w:r>
        <w:rPr>
          <w:rFonts w:hint="default" w:ascii="Times New Roman" w:hAnsi="Times New Roman" w:cs="Times New Roman"/>
        </w:rPr>
        <w:t>1.6. 环境影响评价结论</w:t>
      </w:r>
      <w:r>
        <w:tab/>
      </w:r>
      <w:r>
        <w:fldChar w:fldCharType="begin"/>
      </w:r>
      <w:r>
        <w:instrText xml:space="preserve"> PAGEREF _Toc31856 \h </w:instrText>
      </w:r>
      <w:r>
        <w:fldChar w:fldCharType="separate"/>
      </w:r>
      <w:r>
        <w:t>27</w:t>
      </w:r>
      <w:r>
        <w:fldChar w:fldCharType="end"/>
      </w:r>
      <w:r>
        <w:rPr>
          <w:rFonts w:hint="default" w:ascii="Times New Roman" w:hAnsi="Times New Roman" w:cs="Times New Roman"/>
          <w:color w:val="auto"/>
          <w:u w:val="none" w:color="auto"/>
        </w:rPr>
        <w:fldChar w:fldCharType="end"/>
      </w:r>
    </w:p>
    <w:p w14:paraId="52635D65">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_Toc20462 </w:instrText>
      </w:r>
      <w:r>
        <w:rPr>
          <w:rFonts w:hint="default" w:ascii="Times New Roman" w:hAnsi="Times New Roman" w:cs="Times New Roman"/>
        </w:rPr>
        <w:fldChar w:fldCharType="separate"/>
      </w:r>
      <w:r>
        <w:rPr>
          <w:rFonts w:hint="default" w:ascii="Times New Roman" w:hAnsi="Times New Roman" w:cs="Times New Roman"/>
        </w:rPr>
        <w:t>2. 总则</w:t>
      </w:r>
      <w:r>
        <w:tab/>
      </w:r>
      <w:r>
        <w:fldChar w:fldCharType="begin"/>
      </w:r>
      <w:r>
        <w:instrText xml:space="preserve"> PAGEREF _Toc20462 \h </w:instrText>
      </w:r>
      <w:r>
        <w:fldChar w:fldCharType="separate"/>
      </w:r>
      <w:r>
        <w:t>28</w:t>
      </w:r>
      <w:r>
        <w:fldChar w:fldCharType="end"/>
      </w:r>
      <w:r>
        <w:rPr>
          <w:rFonts w:hint="default" w:ascii="Times New Roman" w:hAnsi="Times New Roman" w:cs="Times New Roman"/>
          <w:color w:val="auto"/>
          <w:u w:val="none" w:color="auto"/>
        </w:rPr>
        <w:fldChar w:fldCharType="end"/>
      </w:r>
    </w:p>
    <w:p w14:paraId="60CD6E9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_Toc1586 </w:instrText>
      </w:r>
      <w:r>
        <w:rPr>
          <w:rFonts w:hint="default" w:ascii="Times New Roman" w:hAnsi="Times New Roman" w:cs="Times New Roman"/>
        </w:rPr>
        <w:fldChar w:fldCharType="separate"/>
      </w:r>
      <w:r>
        <w:rPr>
          <w:rFonts w:hint="default" w:ascii="Times New Roman" w:hAnsi="Times New Roman" w:cs="Times New Roman"/>
        </w:rPr>
        <w:t>2.1. 编制依据</w:t>
      </w:r>
      <w:r>
        <w:tab/>
      </w:r>
      <w:r>
        <w:fldChar w:fldCharType="begin"/>
      </w:r>
      <w:r>
        <w:instrText xml:space="preserve"> PAGEREF _Toc1586 \h </w:instrText>
      </w:r>
      <w:r>
        <w:fldChar w:fldCharType="separate"/>
      </w:r>
      <w:r>
        <w:t>28</w:t>
      </w:r>
      <w:r>
        <w:fldChar w:fldCharType="end"/>
      </w:r>
      <w:r>
        <w:rPr>
          <w:rFonts w:hint="default" w:ascii="Times New Roman" w:hAnsi="Times New Roman" w:cs="Times New Roman"/>
          <w:color w:val="auto"/>
          <w:u w:val="none" w:color="auto"/>
        </w:rPr>
        <w:fldChar w:fldCharType="end"/>
      </w:r>
    </w:p>
    <w:p w14:paraId="3A44506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_Toc24733 </w:instrText>
      </w:r>
      <w:r>
        <w:rPr>
          <w:rFonts w:hint="default" w:ascii="Times New Roman" w:hAnsi="Times New Roman" w:cs="Times New Roman"/>
        </w:rPr>
        <w:fldChar w:fldCharType="separate"/>
      </w:r>
      <w:r>
        <w:rPr>
          <w:rFonts w:hint="default" w:ascii="Times New Roman" w:hAnsi="Times New Roman" w:cs="Times New Roman"/>
        </w:rPr>
        <w:t>2.2. 评价的目的和原则</w:t>
      </w:r>
      <w:r>
        <w:tab/>
      </w:r>
      <w:r>
        <w:fldChar w:fldCharType="begin"/>
      </w:r>
      <w:r>
        <w:instrText xml:space="preserve"> PAGEREF _Toc24733 \h </w:instrText>
      </w:r>
      <w:r>
        <w:fldChar w:fldCharType="separate"/>
      </w:r>
      <w:r>
        <w:t>32</w:t>
      </w:r>
      <w:r>
        <w:fldChar w:fldCharType="end"/>
      </w:r>
      <w:r>
        <w:rPr>
          <w:rFonts w:hint="default" w:ascii="Times New Roman" w:hAnsi="Times New Roman" w:cs="Times New Roman"/>
          <w:color w:val="auto"/>
          <w:u w:val="none" w:color="auto"/>
        </w:rPr>
        <w:fldChar w:fldCharType="end"/>
      </w:r>
    </w:p>
    <w:p w14:paraId="068EC9D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_Toc27492 </w:instrText>
      </w:r>
      <w:r>
        <w:rPr>
          <w:rFonts w:hint="default" w:ascii="Times New Roman" w:hAnsi="Times New Roman" w:cs="Times New Roman"/>
        </w:rPr>
        <w:fldChar w:fldCharType="separate"/>
      </w:r>
      <w:r>
        <w:rPr>
          <w:rFonts w:hint="default" w:ascii="Times New Roman" w:hAnsi="Times New Roman" w:cs="Times New Roman"/>
        </w:rPr>
        <w:t>2.3. 环境影响因素识别和评价因子筛选</w:t>
      </w:r>
      <w:r>
        <w:tab/>
      </w:r>
      <w:r>
        <w:fldChar w:fldCharType="begin"/>
      </w:r>
      <w:r>
        <w:instrText xml:space="preserve"> PAGEREF _Toc27492 \h </w:instrText>
      </w:r>
      <w:r>
        <w:fldChar w:fldCharType="separate"/>
      </w:r>
      <w:r>
        <w:t>32</w:t>
      </w:r>
      <w:r>
        <w:fldChar w:fldCharType="end"/>
      </w:r>
      <w:r>
        <w:rPr>
          <w:rFonts w:hint="default" w:ascii="Times New Roman" w:hAnsi="Times New Roman" w:cs="Times New Roman"/>
          <w:color w:val="auto"/>
          <w:u w:val="none" w:color="auto"/>
        </w:rPr>
        <w:fldChar w:fldCharType="end"/>
      </w:r>
    </w:p>
    <w:p w14:paraId="1D6EB89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_Toc2030 </w:instrText>
      </w:r>
      <w:r>
        <w:rPr>
          <w:rFonts w:hint="default" w:ascii="Times New Roman" w:hAnsi="Times New Roman" w:cs="Times New Roman"/>
        </w:rPr>
        <w:fldChar w:fldCharType="separate"/>
      </w:r>
      <w:r>
        <w:rPr>
          <w:rFonts w:hint="default" w:ascii="Times New Roman" w:hAnsi="Times New Roman" w:cs="Times New Roman"/>
        </w:rPr>
        <w:t>2.4. 环境功能区划及评价标准</w:t>
      </w:r>
      <w:r>
        <w:tab/>
      </w:r>
      <w:r>
        <w:fldChar w:fldCharType="begin"/>
      </w:r>
      <w:r>
        <w:instrText xml:space="preserve"> PAGEREF _Toc2030 \h </w:instrText>
      </w:r>
      <w:r>
        <w:fldChar w:fldCharType="separate"/>
      </w:r>
      <w:r>
        <w:t>34</w:t>
      </w:r>
      <w:r>
        <w:fldChar w:fldCharType="end"/>
      </w:r>
      <w:r>
        <w:rPr>
          <w:rFonts w:hint="default" w:ascii="Times New Roman" w:hAnsi="Times New Roman" w:cs="Times New Roman"/>
          <w:color w:val="auto"/>
          <w:u w:val="none" w:color="auto"/>
        </w:rPr>
        <w:fldChar w:fldCharType="end"/>
      </w:r>
    </w:p>
    <w:p w14:paraId="28F6E80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_Toc6885 </w:instrText>
      </w:r>
      <w:r>
        <w:rPr>
          <w:rFonts w:hint="default" w:ascii="Times New Roman" w:hAnsi="Times New Roman" w:cs="Times New Roman"/>
        </w:rPr>
        <w:fldChar w:fldCharType="separate"/>
      </w:r>
      <w:r>
        <w:rPr>
          <w:rFonts w:hint="default" w:ascii="Times New Roman" w:hAnsi="Times New Roman" w:cs="Times New Roman"/>
        </w:rPr>
        <w:t>2.5. 评价等级及范围</w:t>
      </w:r>
      <w:r>
        <w:tab/>
      </w:r>
      <w:r>
        <w:fldChar w:fldCharType="begin"/>
      </w:r>
      <w:r>
        <w:instrText xml:space="preserve"> PAGEREF _Toc6885 \h </w:instrText>
      </w:r>
      <w:r>
        <w:fldChar w:fldCharType="separate"/>
      </w:r>
      <w:r>
        <w:t>41</w:t>
      </w:r>
      <w:r>
        <w:fldChar w:fldCharType="end"/>
      </w:r>
      <w:r>
        <w:rPr>
          <w:rFonts w:hint="default" w:ascii="Times New Roman" w:hAnsi="Times New Roman" w:cs="Times New Roman"/>
          <w:color w:val="auto"/>
          <w:u w:val="none" w:color="auto"/>
        </w:rPr>
        <w:fldChar w:fldCharType="end"/>
      </w:r>
    </w:p>
    <w:p w14:paraId="679A997E">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_Toc2733 </w:instrText>
      </w:r>
      <w:r>
        <w:rPr>
          <w:rFonts w:hint="default" w:ascii="Times New Roman" w:hAnsi="Times New Roman" w:cs="Times New Roman"/>
        </w:rPr>
        <w:fldChar w:fldCharType="separate"/>
      </w:r>
      <w:r>
        <w:rPr>
          <w:rFonts w:hint="default" w:ascii="Times New Roman" w:hAnsi="Times New Roman" w:cs="Times New Roman"/>
        </w:rPr>
        <w:t>2.6. 评价工作内容、重点及方法</w:t>
      </w:r>
      <w:r>
        <w:tab/>
      </w:r>
      <w:r>
        <w:fldChar w:fldCharType="begin"/>
      </w:r>
      <w:r>
        <w:instrText xml:space="preserve"> PAGEREF _Toc2733 \h </w:instrText>
      </w:r>
      <w:r>
        <w:fldChar w:fldCharType="separate"/>
      </w:r>
      <w:r>
        <w:t>48</w:t>
      </w:r>
      <w:r>
        <w:fldChar w:fldCharType="end"/>
      </w:r>
      <w:r>
        <w:rPr>
          <w:rFonts w:hint="default" w:ascii="Times New Roman" w:hAnsi="Times New Roman" w:cs="Times New Roman"/>
          <w:color w:val="auto"/>
          <w:u w:val="none" w:color="auto"/>
        </w:rPr>
        <w:fldChar w:fldCharType="end"/>
      </w:r>
    </w:p>
    <w:p w14:paraId="301D811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_Toc23035 </w:instrText>
      </w:r>
      <w:r>
        <w:rPr>
          <w:rFonts w:hint="default" w:ascii="Times New Roman" w:hAnsi="Times New Roman" w:cs="Times New Roman"/>
        </w:rPr>
        <w:fldChar w:fldCharType="separate"/>
      </w:r>
      <w:r>
        <w:rPr>
          <w:rFonts w:hint="default" w:ascii="Times New Roman" w:hAnsi="Times New Roman" w:cs="Times New Roman"/>
        </w:rPr>
        <w:t>2.7. 环境保护目标</w:t>
      </w:r>
      <w:r>
        <w:tab/>
      </w:r>
      <w:r>
        <w:fldChar w:fldCharType="begin"/>
      </w:r>
      <w:r>
        <w:instrText xml:space="preserve"> PAGEREF _Toc23035 \h </w:instrText>
      </w:r>
      <w:r>
        <w:fldChar w:fldCharType="separate"/>
      </w:r>
      <w:r>
        <w:t>49</w:t>
      </w:r>
      <w:r>
        <w:fldChar w:fldCharType="end"/>
      </w:r>
      <w:r>
        <w:rPr>
          <w:rFonts w:hint="default" w:ascii="Times New Roman" w:hAnsi="Times New Roman" w:cs="Times New Roman"/>
          <w:color w:val="auto"/>
          <w:u w:val="none" w:color="auto"/>
        </w:rPr>
        <w:fldChar w:fldCharType="end"/>
      </w:r>
    </w:p>
    <w:p w14:paraId="7B013F1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_Toc1554 </w:instrText>
      </w:r>
      <w:r>
        <w:rPr>
          <w:rFonts w:hint="default" w:ascii="Times New Roman" w:hAnsi="Times New Roman" w:cs="Times New Roman"/>
        </w:rPr>
        <w:fldChar w:fldCharType="separate"/>
      </w:r>
      <w:r>
        <w:rPr>
          <w:rFonts w:hint="default" w:ascii="Times New Roman" w:hAnsi="Times New Roman" w:cs="Times New Roman"/>
        </w:rPr>
        <w:t>3. 项目概况</w:t>
      </w:r>
      <w:r>
        <w:tab/>
      </w:r>
      <w:r>
        <w:fldChar w:fldCharType="begin"/>
      </w:r>
      <w:r>
        <w:instrText xml:space="preserve"> PAGEREF _Toc1554 \h </w:instrText>
      </w:r>
      <w:r>
        <w:fldChar w:fldCharType="separate"/>
      </w:r>
      <w:r>
        <w:t>51</w:t>
      </w:r>
      <w:r>
        <w:fldChar w:fldCharType="end"/>
      </w:r>
      <w:r>
        <w:rPr>
          <w:rFonts w:hint="default" w:ascii="Times New Roman" w:hAnsi="Times New Roman" w:cs="Times New Roman"/>
          <w:color w:val="auto"/>
          <w:u w:val="none" w:color="auto"/>
        </w:rPr>
        <w:fldChar w:fldCharType="end"/>
      </w:r>
    </w:p>
    <w:p w14:paraId="57EDC5C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_Toc4599 </w:instrText>
      </w:r>
      <w:r>
        <w:rPr>
          <w:rFonts w:hint="default" w:ascii="Times New Roman" w:hAnsi="Times New Roman" w:cs="Times New Roman"/>
        </w:rPr>
        <w:fldChar w:fldCharType="separate"/>
      </w:r>
      <w:r>
        <w:rPr>
          <w:rFonts w:hint="default" w:ascii="Times New Roman" w:hAnsi="Times New Roman" w:cs="Times New Roman"/>
        </w:rPr>
        <w:t>3.1. 基本情况</w:t>
      </w:r>
      <w:r>
        <w:tab/>
      </w:r>
      <w:r>
        <w:fldChar w:fldCharType="begin"/>
      </w:r>
      <w:r>
        <w:instrText xml:space="preserve"> PAGEREF _Toc4599 \h </w:instrText>
      </w:r>
      <w:r>
        <w:fldChar w:fldCharType="separate"/>
      </w:r>
      <w:r>
        <w:t>51</w:t>
      </w:r>
      <w:r>
        <w:fldChar w:fldCharType="end"/>
      </w:r>
      <w:r>
        <w:rPr>
          <w:rFonts w:hint="default" w:ascii="Times New Roman" w:hAnsi="Times New Roman" w:cs="Times New Roman"/>
          <w:color w:val="auto"/>
          <w:u w:val="none" w:color="auto"/>
        </w:rPr>
        <w:fldChar w:fldCharType="end"/>
      </w:r>
    </w:p>
    <w:p w14:paraId="384E5840">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_Toc25402 </w:instrText>
      </w:r>
      <w:r>
        <w:rPr>
          <w:rFonts w:hint="default" w:ascii="Times New Roman" w:hAnsi="Times New Roman" w:cs="Times New Roman"/>
        </w:rPr>
        <w:fldChar w:fldCharType="separate"/>
      </w:r>
      <w:r>
        <w:rPr>
          <w:rFonts w:hint="default" w:ascii="Times New Roman" w:hAnsi="Times New Roman" w:cs="Times New Roman"/>
        </w:rPr>
        <w:t xml:space="preserve">3.2. </w:t>
      </w:r>
      <w:r>
        <w:rPr>
          <w:rFonts w:hint="eastAsia" w:cs="Times New Roman"/>
          <w:lang w:val="en-US" w:eastAsia="zh-CN"/>
        </w:rPr>
        <w:t>现有工程概况</w:t>
      </w:r>
      <w:r>
        <w:tab/>
      </w:r>
      <w:r>
        <w:fldChar w:fldCharType="begin"/>
      </w:r>
      <w:r>
        <w:instrText xml:space="preserve"> PAGEREF _Toc25402 \h </w:instrText>
      </w:r>
      <w:r>
        <w:fldChar w:fldCharType="separate"/>
      </w:r>
      <w:r>
        <w:t>51</w:t>
      </w:r>
      <w:r>
        <w:fldChar w:fldCharType="end"/>
      </w:r>
      <w:r>
        <w:rPr>
          <w:rFonts w:hint="default" w:ascii="Times New Roman" w:hAnsi="Times New Roman" w:cs="Times New Roman"/>
          <w:color w:val="auto"/>
          <w:u w:val="none" w:color="auto"/>
        </w:rPr>
        <w:fldChar w:fldCharType="end"/>
      </w:r>
    </w:p>
    <w:p w14:paraId="0D3EDCC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_Toc24655 </w:instrText>
      </w:r>
      <w:r>
        <w:rPr>
          <w:rFonts w:hint="default" w:ascii="Times New Roman" w:hAnsi="Times New Roman" w:cs="Times New Roman"/>
        </w:rPr>
        <w:fldChar w:fldCharType="separate"/>
      </w:r>
      <w:r>
        <w:rPr>
          <w:rFonts w:hint="default"/>
          <w:bCs/>
          <w:lang w:val="en-US" w:eastAsia="zh-CN"/>
        </w:rPr>
        <w:t>3.3. 工程建设必要性</w:t>
      </w:r>
      <w:r>
        <w:tab/>
      </w:r>
      <w:r>
        <w:fldChar w:fldCharType="begin"/>
      </w:r>
      <w:r>
        <w:instrText xml:space="preserve"> PAGEREF _Toc24655 \h </w:instrText>
      </w:r>
      <w:r>
        <w:fldChar w:fldCharType="separate"/>
      </w:r>
      <w:r>
        <w:t>57</w:t>
      </w:r>
      <w:r>
        <w:fldChar w:fldCharType="end"/>
      </w:r>
      <w:r>
        <w:rPr>
          <w:rFonts w:hint="default" w:ascii="Times New Roman" w:hAnsi="Times New Roman" w:cs="Times New Roman"/>
          <w:color w:val="auto"/>
          <w:u w:val="none" w:color="auto"/>
        </w:rPr>
        <w:fldChar w:fldCharType="end"/>
      </w:r>
    </w:p>
    <w:p w14:paraId="6F64D09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_Toc26465 </w:instrText>
      </w:r>
      <w:r>
        <w:rPr>
          <w:rFonts w:hint="default" w:ascii="Times New Roman" w:hAnsi="Times New Roman" w:cs="Times New Roman"/>
        </w:rPr>
        <w:fldChar w:fldCharType="separate"/>
      </w:r>
      <w:r>
        <w:rPr>
          <w:rFonts w:hint="default" w:ascii="Times New Roman" w:hAnsi="Times New Roman" w:cs="Times New Roman"/>
        </w:rPr>
        <w:t>3.4. 工程任务、规模及特性</w:t>
      </w:r>
      <w:r>
        <w:tab/>
      </w:r>
      <w:r>
        <w:fldChar w:fldCharType="begin"/>
      </w:r>
      <w:r>
        <w:instrText xml:space="preserve"> PAGEREF _Toc26465 \h </w:instrText>
      </w:r>
      <w:r>
        <w:fldChar w:fldCharType="separate"/>
      </w:r>
      <w:r>
        <w:t>58</w:t>
      </w:r>
      <w:r>
        <w:fldChar w:fldCharType="end"/>
      </w:r>
      <w:r>
        <w:rPr>
          <w:rFonts w:hint="default" w:ascii="Times New Roman" w:hAnsi="Times New Roman" w:cs="Times New Roman"/>
          <w:color w:val="auto"/>
          <w:u w:val="none" w:color="auto"/>
        </w:rPr>
        <w:fldChar w:fldCharType="end"/>
      </w:r>
    </w:p>
    <w:p w14:paraId="7CDA1BE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_Toc9320 </w:instrText>
      </w:r>
      <w:r>
        <w:rPr>
          <w:rFonts w:hint="default" w:ascii="Times New Roman" w:hAnsi="Times New Roman" w:cs="Times New Roman"/>
        </w:rPr>
        <w:fldChar w:fldCharType="separate"/>
      </w:r>
      <w:r>
        <w:rPr>
          <w:rFonts w:hint="default" w:ascii="Times New Roman" w:hAnsi="Times New Roman" w:cs="Times New Roman"/>
          <w:lang w:val="en-US" w:eastAsia="zh-CN"/>
        </w:rPr>
        <w:t>3.5. 工程特性表</w:t>
      </w:r>
      <w:r>
        <w:tab/>
      </w:r>
      <w:r>
        <w:fldChar w:fldCharType="begin"/>
      </w:r>
      <w:r>
        <w:instrText xml:space="preserve"> PAGEREF _Toc9320 \h </w:instrText>
      </w:r>
      <w:r>
        <w:fldChar w:fldCharType="separate"/>
      </w:r>
      <w:r>
        <w:t>59</w:t>
      </w:r>
      <w:r>
        <w:fldChar w:fldCharType="end"/>
      </w:r>
      <w:r>
        <w:rPr>
          <w:rFonts w:hint="default" w:ascii="Times New Roman" w:hAnsi="Times New Roman" w:cs="Times New Roman"/>
          <w:color w:val="auto"/>
          <w:u w:val="none" w:color="auto"/>
        </w:rPr>
        <w:fldChar w:fldCharType="end"/>
      </w:r>
    </w:p>
    <w:p w14:paraId="65C9CF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_Toc20239 </w:instrText>
      </w:r>
      <w:r>
        <w:rPr>
          <w:rFonts w:hint="default" w:ascii="Times New Roman" w:hAnsi="Times New Roman" w:cs="Times New Roman"/>
        </w:rPr>
        <w:fldChar w:fldCharType="separate"/>
      </w:r>
      <w:r>
        <w:rPr>
          <w:rFonts w:hint="default" w:ascii="Times New Roman" w:hAnsi="Times New Roman" w:cs="Times New Roman"/>
        </w:rPr>
        <w:t>3.6. 项目组成</w:t>
      </w:r>
      <w:r>
        <w:tab/>
      </w:r>
      <w:r>
        <w:fldChar w:fldCharType="begin"/>
      </w:r>
      <w:r>
        <w:instrText xml:space="preserve"> PAGEREF _Toc20239 \h </w:instrText>
      </w:r>
      <w:r>
        <w:fldChar w:fldCharType="separate"/>
      </w:r>
      <w:r>
        <w:t>61</w:t>
      </w:r>
      <w:r>
        <w:fldChar w:fldCharType="end"/>
      </w:r>
      <w:r>
        <w:rPr>
          <w:rFonts w:hint="default" w:ascii="Times New Roman" w:hAnsi="Times New Roman" w:cs="Times New Roman"/>
          <w:color w:val="auto"/>
          <w:u w:val="none" w:color="auto"/>
        </w:rPr>
        <w:fldChar w:fldCharType="end"/>
      </w:r>
    </w:p>
    <w:p w14:paraId="3597E2A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_Toc24720 </w:instrText>
      </w:r>
      <w:r>
        <w:rPr>
          <w:rFonts w:hint="default" w:ascii="Times New Roman" w:hAnsi="Times New Roman" w:cs="Times New Roman"/>
        </w:rPr>
        <w:fldChar w:fldCharType="separate"/>
      </w:r>
      <w:r>
        <w:rPr>
          <w:rFonts w:hint="default" w:ascii="Times New Roman" w:hAnsi="Times New Roman" w:cs="Times New Roman"/>
        </w:rPr>
        <w:t>3.7. 工程</w:t>
      </w:r>
      <w:r>
        <w:rPr>
          <w:rFonts w:hint="default" w:ascii="Times New Roman" w:hAnsi="Times New Roman" w:cs="Times New Roman"/>
          <w:lang w:val="en-US" w:eastAsia="zh-CN"/>
        </w:rPr>
        <w:t>除险</w:t>
      </w:r>
      <w:r>
        <w:rPr>
          <w:rFonts w:hint="default" w:ascii="Times New Roman" w:hAnsi="Times New Roman" w:cs="Times New Roman"/>
        </w:rPr>
        <w:t>加固</w:t>
      </w:r>
      <w:r>
        <w:rPr>
          <w:rFonts w:hint="default" w:ascii="Times New Roman" w:hAnsi="Times New Roman" w:cs="Times New Roman"/>
          <w:lang w:val="en-US" w:eastAsia="zh-CN"/>
        </w:rPr>
        <w:t>施工设计</w:t>
      </w:r>
      <w:r>
        <w:tab/>
      </w:r>
      <w:r>
        <w:fldChar w:fldCharType="begin"/>
      </w:r>
      <w:r>
        <w:instrText xml:space="preserve"> PAGEREF _Toc24720 \h </w:instrText>
      </w:r>
      <w:r>
        <w:fldChar w:fldCharType="separate"/>
      </w:r>
      <w:r>
        <w:t>63</w:t>
      </w:r>
      <w:r>
        <w:fldChar w:fldCharType="end"/>
      </w:r>
      <w:r>
        <w:rPr>
          <w:rFonts w:hint="default" w:ascii="Times New Roman" w:hAnsi="Times New Roman" w:cs="Times New Roman"/>
          <w:color w:val="auto"/>
          <w:u w:val="none" w:color="auto"/>
        </w:rPr>
        <w:fldChar w:fldCharType="end"/>
      </w:r>
    </w:p>
    <w:p w14:paraId="334F41B4">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_Toc5019 </w:instrText>
      </w:r>
      <w:r>
        <w:rPr>
          <w:rFonts w:hint="default" w:ascii="Times New Roman" w:hAnsi="Times New Roman" w:cs="Times New Roman"/>
        </w:rPr>
        <w:fldChar w:fldCharType="separate"/>
      </w:r>
      <w:r>
        <w:rPr>
          <w:rFonts w:hint="default" w:ascii="Times New Roman" w:hAnsi="Times New Roman" w:eastAsia="宋体" w:cs="Times New Roman"/>
        </w:rPr>
        <w:t>3.8. 消防设计</w:t>
      </w:r>
      <w:r>
        <w:tab/>
      </w:r>
      <w:r>
        <w:fldChar w:fldCharType="begin"/>
      </w:r>
      <w:r>
        <w:instrText xml:space="preserve"> PAGEREF _Toc5019 \h </w:instrText>
      </w:r>
      <w:r>
        <w:fldChar w:fldCharType="separate"/>
      </w:r>
      <w:r>
        <w:t>68</w:t>
      </w:r>
      <w:r>
        <w:fldChar w:fldCharType="end"/>
      </w:r>
      <w:r>
        <w:rPr>
          <w:rFonts w:hint="default" w:ascii="Times New Roman" w:hAnsi="Times New Roman" w:cs="Times New Roman"/>
          <w:color w:val="auto"/>
          <w:u w:val="none" w:color="auto"/>
        </w:rPr>
        <w:fldChar w:fldCharType="end"/>
      </w:r>
    </w:p>
    <w:p w14:paraId="6DBC93E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_Toc12292 </w:instrText>
      </w:r>
      <w:r>
        <w:rPr>
          <w:rFonts w:hint="default" w:ascii="Times New Roman" w:hAnsi="Times New Roman" w:cs="Times New Roman"/>
        </w:rPr>
        <w:fldChar w:fldCharType="separate"/>
      </w:r>
      <w:r>
        <w:rPr>
          <w:rFonts w:hint="default" w:ascii="Times New Roman" w:hAnsi="Times New Roman" w:cs="Times New Roman"/>
        </w:rPr>
        <w:t>3.9. 施工组织</w:t>
      </w:r>
      <w:r>
        <w:tab/>
      </w:r>
      <w:r>
        <w:fldChar w:fldCharType="begin"/>
      </w:r>
      <w:r>
        <w:instrText xml:space="preserve"> PAGEREF _Toc12292 \h </w:instrText>
      </w:r>
      <w:r>
        <w:fldChar w:fldCharType="separate"/>
      </w:r>
      <w:r>
        <w:t>68</w:t>
      </w:r>
      <w:r>
        <w:fldChar w:fldCharType="end"/>
      </w:r>
      <w:r>
        <w:rPr>
          <w:rFonts w:hint="default" w:ascii="Times New Roman" w:hAnsi="Times New Roman" w:cs="Times New Roman"/>
          <w:color w:val="auto"/>
          <w:u w:val="none" w:color="auto"/>
        </w:rPr>
        <w:fldChar w:fldCharType="end"/>
      </w:r>
    </w:p>
    <w:p w14:paraId="2EC4E8E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_Toc13727 </w:instrText>
      </w:r>
      <w:r>
        <w:rPr>
          <w:rFonts w:hint="default" w:ascii="Times New Roman" w:hAnsi="Times New Roman" w:cs="Times New Roman"/>
        </w:rPr>
        <w:fldChar w:fldCharType="separate"/>
      </w:r>
      <w:r>
        <w:rPr>
          <w:rFonts w:hint="default" w:ascii="Times New Roman" w:hAnsi="Times New Roman" w:cs="Times New Roman"/>
        </w:rPr>
        <w:t>3.10. 建设征地与移民安置</w:t>
      </w:r>
      <w:r>
        <w:tab/>
      </w:r>
      <w:r>
        <w:fldChar w:fldCharType="begin"/>
      </w:r>
      <w:r>
        <w:instrText xml:space="preserve"> PAGEREF _Toc13727 \h </w:instrText>
      </w:r>
      <w:r>
        <w:fldChar w:fldCharType="separate"/>
      </w:r>
      <w:r>
        <w:t>94</w:t>
      </w:r>
      <w:r>
        <w:fldChar w:fldCharType="end"/>
      </w:r>
      <w:r>
        <w:rPr>
          <w:rFonts w:hint="default" w:ascii="Times New Roman" w:hAnsi="Times New Roman" w:cs="Times New Roman"/>
          <w:color w:val="auto"/>
          <w:u w:val="none" w:color="auto"/>
        </w:rPr>
        <w:fldChar w:fldCharType="end"/>
      </w:r>
    </w:p>
    <w:p w14:paraId="68D6AEE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_Toc25079 </w:instrText>
      </w:r>
      <w:r>
        <w:rPr>
          <w:rFonts w:hint="default" w:ascii="Times New Roman" w:hAnsi="Times New Roman" w:cs="Times New Roman"/>
        </w:rPr>
        <w:fldChar w:fldCharType="separate"/>
      </w:r>
      <w:r>
        <w:rPr>
          <w:rFonts w:hint="default" w:ascii="Times New Roman" w:hAnsi="Times New Roman" w:cs="Times New Roman"/>
        </w:rPr>
        <w:t>3.11. 环境影响回顾性评价</w:t>
      </w:r>
      <w:r>
        <w:tab/>
      </w:r>
      <w:r>
        <w:fldChar w:fldCharType="begin"/>
      </w:r>
      <w:r>
        <w:instrText xml:space="preserve"> PAGEREF _Toc25079 \h </w:instrText>
      </w:r>
      <w:r>
        <w:fldChar w:fldCharType="separate"/>
      </w:r>
      <w:r>
        <w:t>95</w:t>
      </w:r>
      <w:r>
        <w:fldChar w:fldCharType="end"/>
      </w:r>
      <w:r>
        <w:rPr>
          <w:rFonts w:hint="default" w:ascii="Times New Roman" w:hAnsi="Times New Roman" w:cs="Times New Roman"/>
          <w:color w:val="auto"/>
          <w:u w:val="none" w:color="auto"/>
        </w:rPr>
        <w:fldChar w:fldCharType="end"/>
      </w:r>
    </w:p>
    <w:p w14:paraId="51033035">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_Toc31843 </w:instrText>
      </w:r>
      <w:r>
        <w:rPr>
          <w:rFonts w:hint="default" w:ascii="Times New Roman" w:hAnsi="Times New Roman" w:cs="Times New Roman"/>
        </w:rPr>
        <w:fldChar w:fldCharType="separate"/>
      </w:r>
      <w:r>
        <w:rPr>
          <w:rFonts w:hint="default" w:ascii="Times New Roman" w:hAnsi="Times New Roman" w:cs="Times New Roman"/>
        </w:rPr>
        <w:t>4. 工程分析</w:t>
      </w:r>
      <w:r>
        <w:tab/>
      </w:r>
      <w:r>
        <w:fldChar w:fldCharType="begin"/>
      </w:r>
      <w:r>
        <w:instrText xml:space="preserve"> PAGEREF _Toc31843 \h </w:instrText>
      </w:r>
      <w:r>
        <w:fldChar w:fldCharType="separate"/>
      </w:r>
      <w:r>
        <w:t>97</w:t>
      </w:r>
      <w:r>
        <w:fldChar w:fldCharType="end"/>
      </w:r>
      <w:r>
        <w:rPr>
          <w:rFonts w:hint="default" w:ascii="Times New Roman" w:hAnsi="Times New Roman" w:cs="Times New Roman"/>
          <w:color w:val="auto"/>
          <w:u w:val="none" w:color="auto"/>
        </w:rPr>
        <w:fldChar w:fldCharType="end"/>
      </w:r>
    </w:p>
    <w:p w14:paraId="337D9A7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_Toc2544 </w:instrText>
      </w:r>
      <w:r>
        <w:rPr>
          <w:rFonts w:hint="default" w:ascii="Times New Roman" w:hAnsi="Times New Roman" w:cs="Times New Roman"/>
        </w:rPr>
        <w:fldChar w:fldCharType="separate"/>
      </w:r>
      <w:r>
        <w:rPr>
          <w:rFonts w:hint="default"/>
        </w:rPr>
        <w:t>4.1. 工程任务合理性分析</w:t>
      </w:r>
      <w:r>
        <w:tab/>
      </w:r>
      <w:r>
        <w:fldChar w:fldCharType="begin"/>
      </w:r>
      <w:r>
        <w:instrText xml:space="preserve"> PAGEREF _Toc2544 \h </w:instrText>
      </w:r>
      <w:r>
        <w:fldChar w:fldCharType="separate"/>
      </w:r>
      <w:r>
        <w:t>97</w:t>
      </w:r>
      <w:r>
        <w:fldChar w:fldCharType="end"/>
      </w:r>
      <w:r>
        <w:rPr>
          <w:rFonts w:hint="default" w:ascii="Times New Roman" w:hAnsi="Times New Roman" w:cs="Times New Roman"/>
          <w:color w:val="auto"/>
          <w:u w:val="none" w:color="auto"/>
        </w:rPr>
        <w:fldChar w:fldCharType="end"/>
      </w:r>
    </w:p>
    <w:p w14:paraId="14B4AEB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_Toc22854 </w:instrText>
      </w:r>
      <w:r>
        <w:rPr>
          <w:rFonts w:hint="default" w:ascii="Times New Roman" w:hAnsi="Times New Roman" w:cs="Times New Roman"/>
        </w:rPr>
        <w:fldChar w:fldCharType="separate"/>
      </w:r>
      <w:r>
        <w:rPr>
          <w:rFonts w:hint="default"/>
        </w:rPr>
        <w:t>4.2. 施工规划环境合理性分析</w:t>
      </w:r>
      <w:r>
        <w:tab/>
      </w:r>
      <w:r>
        <w:fldChar w:fldCharType="begin"/>
      </w:r>
      <w:r>
        <w:instrText xml:space="preserve"> PAGEREF _Toc22854 \h </w:instrText>
      </w:r>
      <w:r>
        <w:fldChar w:fldCharType="separate"/>
      </w:r>
      <w:r>
        <w:t>97</w:t>
      </w:r>
      <w:r>
        <w:fldChar w:fldCharType="end"/>
      </w:r>
      <w:r>
        <w:rPr>
          <w:rFonts w:hint="default" w:ascii="Times New Roman" w:hAnsi="Times New Roman" w:cs="Times New Roman"/>
          <w:color w:val="auto"/>
          <w:u w:val="none" w:color="auto"/>
        </w:rPr>
        <w:fldChar w:fldCharType="end"/>
      </w:r>
    </w:p>
    <w:p w14:paraId="5317FF4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_Toc6140 </w:instrText>
      </w:r>
      <w:r>
        <w:rPr>
          <w:rFonts w:hint="default" w:ascii="Times New Roman" w:hAnsi="Times New Roman" w:cs="Times New Roman"/>
        </w:rPr>
        <w:fldChar w:fldCharType="separate"/>
      </w:r>
      <w:r>
        <w:rPr>
          <w:rFonts w:hint="default" w:ascii="Times New Roman" w:hAnsi="Times New Roman" w:cs="Times New Roman"/>
        </w:rPr>
        <w:t>4.3. 施工期</w:t>
      </w:r>
      <w:r>
        <w:rPr>
          <w:rFonts w:hint="default" w:ascii="Times New Roman" w:hAnsi="Times New Roman" w:cs="Times New Roman"/>
          <w:lang w:val="en-US" w:eastAsia="zh-CN"/>
        </w:rPr>
        <w:t>污染源分析</w:t>
      </w:r>
      <w:r>
        <w:tab/>
      </w:r>
      <w:r>
        <w:fldChar w:fldCharType="begin"/>
      </w:r>
      <w:r>
        <w:instrText xml:space="preserve"> PAGEREF _Toc6140 \h </w:instrText>
      </w:r>
      <w:r>
        <w:fldChar w:fldCharType="separate"/>
      </w:r>
      <w:r>
        <w:t>100</w:t>
      </w:r>
      <w:r>
        <w:fldChar w:fldCharType="end"/>
      </w:r>
      <w:r>
        <w:rPr>
          <w:rFonts w:hint="default" w:ascii="Times New Roman" w:hAnsi="Times New Roman" w:cs="Times New Roman"/>
          <w:color w:val="auto"/>
          <w:u w:val="none" w:color="auto"/>
        </w:rPr>
        <w:fldChar w:fldCharType="end"/>
      </w:r>
    </w:p>
    <w:p w14:paraId="7D04E5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_Toc22435 </w:instrText>
      </w:r>
      <w:r>
        <w:rPr>
          <w:rFonts w:hint="default" w:ascii="Times New Roman" w:hAnsi="Times New Roman" w:cs="Times New Roman"/>
        </w:rPr>
        <w:fldChar w:fldCharType="separate"/>
      </w:r>
      <w:r>
        <w:rPr>
          <w:rFonts w:hint="default" w:ascii="Times New Roman" w:hAnsi="Times New Roman" w:cs="Times New Roman"/>
        </w:rPr>
        <w:t>4.4. 运营期</w:t>
      </w:r>
      <w:r>
        <w:rPr>
          <w:rFonts w:hint="default" w:ascii="Times New Roman" w:hAnsi="Times New Roman" w:cs="Times New Roman"/>
          <w:lang w:val="en-US" w:eastAsia="zh-CN"/>
        </w:rPr>
        <w:t>污染源分析</w:t>
      </w:r>
      <w:r>
        <w:tab/>
      </w:r>
      <w:r>
        <w:fldChar w:fldCharType="begin"/>
      </w:r>
      <w:r>
        <w:instrText xml:space="preserve"> PAGEREF _Toc22435 \h </w:instrText>
      </w:r>
      <w:r>
        <w:fldChar w:fldCharType="separate"/>
      </w:r>
      <w:r>
        <w:t>107</w:t>
      </w:r>
      <w:r>
        <w:fldChar w:fldCharType="end"/>
      </w:r>
      <w:r>
        <w:rPr>
          <w:rFonts w:hint="default" w:ascii="Times New Roman" w:hAnsi="Times New Roman" w:cs="Times New Roman"/>
          <w:color w:val="auto"/>
          <w:u w:val="none" w:color="auto"/>
        </w:rPr>
        <w:fldChar w:fldCharType="end"/>
      </w:r>
    </w:p>
    <w:p w14:paraId="6573676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_Toc24452 </w:instrText>
      </w:r>
      <w:r>
        <w:rPr>
          <w:rFonts w:hint="default" w:ascii="Times New Roman" w:hAnsi="Times New Roman" w:cs="Times New Roman"/>
        </w:rPr>
        <w:fldChar w:fldCharType="separate"/>
      </w:r>
      <w:r>
        <w:rPr>
          <w:rFonts w:hint="default" w:ascii="Times New Roman" w:hAnsi="Times New Roman" w:cs="Times New Roman"/>
        </w:rPr>
        <w:t>4.5. 总量控制污染物分析</w:t>
      </w:r>
      <w:r>
        <w:tab/>
      </w:r>
      <w:r>
        <w:fldChar w:fldCharType="begin"/>
      </w:r>
      <w:r>
        <w:instrText xml:space="preserve"> PAGEREF _Toc24452 \h </w:instrText>
      </w:r>
      <w:r>
        <w:fldChar w:fldCharType="separate"/>
      </w:r>
      <w:r>
        <w:t>108</w:t>
      </w:r>
      <w:r>
        <w:fldChar w:fldCharType="end"/>
      </w:r>
      <w:r>
        <w:rPr>
          <w:rFonts w:hint="default" w:ascii="Times New Roman" w:hAnsi="Times New Roman" w:cs="Times New Roman"/>
          <w:color w:val="auto"/>
          <w:u w:val="none" w:color="auto"/>
        </w:rPr>
        <w:fldChar w:fldCharType="end"/>
      </w:r>
    </w:p>
    <w:p w14:paraId="66F16C8D">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_Toc1234 </w:instrText>
      </w:r>
      <w:r>
        <w:rPr>
          <w:rFonts w:hint="default" w:ascii="Times New Roman" w:hAnsi="Times New Roman" w:cs="Times New Roman"/>
        </w:rPr>
        <w:fldChar w:fldCharType="separate"/>
      </w:r>
      <w:r>
        <w:rPr>
          <w:rFonts w:hint="default" w:ascii="Times New Roman" w:hAnsi="Times New Roman" w:cs="Times New Roman"/>
        </w:rPr>
        <w:t>5. 环境现状调查与评价</w:t>
      </w:r>
      <w:r>
        <w:tab/>
      </w:r>
      <w:r>
        <w:fldChar w:fldCharType="begin"/>
      </w:r>
      <w:r>
        <w:instrText xml:space="preserve"> PAGEREF _Toc1234 \h </w:instrText>
      </w:r>
      <w:r>
        <w:fldChar w:fldCharType="separate"/>
      </w:r>
      <w:r>
        <w:t>109</w:t>
      </w:r>
      <w:r>
        <w:fldChar w:fldCharType="end"/>
      </w:r>
      <w:r>
        <w:rPr>
          <w:rFonts w:hint="default" w:ascii="Times New Roman" w:hAnsi="Times New Roman" w:cs="Times New Roman"/>
          <w:color w:val="auto"/>
          <w:u w:val="none" w:color="auto"/>
        </w:rPr>
        <w:fldChar w:fldCharType="end"/>
      </w:r>
    </w:p>
    <w:p w14:paraId="0942BEB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_Toc27081 </w:instrText>
      </w:r>
      <w:r>
        <w:rPr>
          <w:rFonts w:hint="default" w:ascii="Times New Roman" w:hAnsi="Times New Roman" w:cs="Times New Roman"/>
        </w:rPr>
        <w:fldChar w:fldCharType="separate"/>
      </w:r>
      <w:r>
        <w:rPr>
          <w:rFonts w:hint="default" w:ascii="Times New Roman" w:hAnsi="Times New Roman" w:cs="Times New Roman"/>
        </w:rPr>
        <w:t>5.1. 自然环境</w:t>
      </w:r>
      <w:r>
        <w:tab/>
      </w:r>
      <w:r>
        <w:fldChar w:fldCharType="begin"/>
      </w:r>
      <w:r>
        <w:instrText xml:space="preserve"> PAGEREF _Toc27081 \h </w:instrText>
      </w:r>
      <w:r>
        <w:fldChar w:fldCharType="separate"/>
      </w:r>
      <w:r>
        <w:t>109</w:t>
      </w:r>
      <w:r>
        <w:fldChar w:fldCharType="end"/>
      </w:r>
      <w:r>
        <w:rPr>
          <w:rFonts w:hint="default" w:ascii="Times New Roman" w:hAnsi="Times New Roman" w:cs="Times New Roman"/>
          <w:color w:val="auto"/>
          <w:u w:val="none" w:color="auto"/>
        </w:rPr>
        <w:fldChar w:fldCharType="end"/>
      </w:r>
    </w:p>
    <w:p w14:paraId="69EFD71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_Toc22829 </w:instrText>
      </w:r>
      <w:r>
        <w:rPr>
          <w:rFonts w:hint="default" w:ascii="Times New Roman" w:hAnsi="Times New Roman" w:cs="Times New Roman"/>
        </w:rPr>
        <w:fldChar w:fldCharType="separate"/>
      </w:r>
      <w:r>
        <w:rPr>
          <w:rFonts w:hint="default" w:ascii="Times New Roman" w:hAnsi="Times New Roman" w:cs="Times New Roman"/>
        </w:rPr>
        <w:t>5.2. 环境质量现状调查及评价</w:t>
      </w:r>
      <w:r>
        <w:tab/>
      </w:r>
      <w:r>
        <w:fldChar w:fldCharType="begin"/>
      </w:r>
      <w:r>
        <w:instrText xml:space="preserve"> PAGEREF _Toc22829 \h </w:instrText>
      </w:r>
      <w:r>
        <w:fldChar w:fldCharType="separate"/>
      </w:r>
      <w:r>
        <w:t>115</w:t>
      </w:r>
      <w:r>
        <w:fldChar w:fldCharType="end"/>
      </w:r>
      <w:r>
        <w:rPr>
          <w:rFonts w:hint="default" w:ascii="Times New Roman" w:hAnsi="Times New Roman" w:cs="Times New Roman"/>
          <w:color w:val="auto"/>
          <w:u w:val="none" w:color="auto"/>
        </w:rPr>
        <w:fldChar w:fldCharType="end"/>
      </w:r>
    </w:p>
    <w:p w14:paraId="0C22FDA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_Toc6488 </w:instrText>
      </w:r>
      <w:r>
        <w:rPr>
          <w:rFonts w:hint="default" w:ascii="Times New Roman" w:hAnsi="Times New Roman" w:cs="Times New Roman"/>
        </w:rPr>
        <w:fldChar w:fldCharType="separate"/>
      </w:r>
      <w:r>
        <w:rPr>
          <w:rFonts w:hint="default" w:ascii="Times New Roman" w:hAnsi="Times New Roman" w:cs="Times New Roman"/>
        </w:rPr>
        <w:t xml:space="preserve">5.3. </w:t>
      </w:r>
      <w:r>
        <w:rPr>
          <w:rFonts w:hint="default" w:ascii="Times New Roman" w:hAnsi="Times New Roman" w:cs="Times New Roman"/>
          <w:highlight w:val="none"/>
        </w:rPr>
        <w:t>生态环境现状</w:t>
      </w:r>
      <w:r>
        <w:rPr>
          <w:rFonts w:hint="default" w:ascii="Times New Roman" w:hAnsi="Times New Roman" w:cs="Times New Roman"/>
          <w:highlight w:val="none"/>
          <w:lang w:val="en-US" w:eastAsia="zh-CN"/>
        </w:rPr>
        <w:t>调查与</w:t>
      </w:r>
      <w:r>
        <w:rPr>
          <w:rFonts w:hint="default" w:ascii="Times New Roman" w:hAnsi="Times New Roman" w:cs="Times New Roman"/>
          <w:highlight w:val="none"/>
        </w:rPr>
        <w:t>评价</w:t>
      </w:r>
      <w:r>
        <w:tab/>
      </w:r>
      <w:r>
        <w:fldChar w:fldCharType="begin"/>
      </w:r>
      <w:r>
        <w:instrText xml:space="preserve"> PAGEREF _Toc6488 \h </w:instrText>
      </w:r>
      <w:r>
        <w:fldChar w:fldCharType="separate"/>
      </w:r>
      <w:r>
        <w:t>125</w:t>
      </w:r>
      <w:r>
        <w:fldChar w:fldCharType="end"/>
      </w:r>
      <w:r>
        <w:rPr>
          <w:rFonts w:hint="default" w:ascii="Times New Roman" w:hAnsi="Times New Roman" w:cs="Times New Roman"/>
          <w:color w:val="auto"/>
          <w:u w:val="none" w:color="auto"/>
        </w:rPr>
        <w:fldChar w:fldCharType="end"/>
      </w:r>
    </w:p>
    <w:p w14:paraId="12351C6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_Toc12866 </w:instrText>
      </w:r>
      <w:r>
        <w:rPr>
          <w:rFonts w:hint="default" w:ascii="Times New Roman" w:hAnsi="Times New Roman" w:cs="Times New Roman"/>
        </w:rPr>
        <w:fldChar w:fldCharType="separate"/>
      </w:r>
      <w:r>
        <w:rPr>
          <w:rFonts w:hint="default" w:ascii="Times New Roman" w:hAnsi="Times New Roman" w:cs="Times New Roman"/>
          <w:lang w:eastAsia="zh-CN"/>
        </w:rPr>
        <w:t xml:space="preserve">5.4. </w:t>
      </w:r>
      <w:r>
        <w:rPr>
          <w:rFonts w:hint="default" w:ascii="Times New Roman" w:hAnsi="Times New Roman" w:cs="Times New Roman"/>
        </w:rPr>
        <w:t>永州市道县梅花镇廊洞水库饮用水水源保护区</w:t>
      </w:r>
      <w:r>
        <w:rPr>
          <w:rFonts w:hint="default" w:ascii="Times New Roman" w:hAnsi="Times New Roman" w:cs="Times New Roman"/>
          <w:lang w:eastAsia="zh-CN"/>
        </w:rPr>
        <w:t>概况</w:t>
      </w:r>
      <w:r>
        <w:tab/>
      </w:r>
      <w:r>
        <w:fldChar w:fldCharType="begin"/>
      </w:r>
      <w:r>
        <w:instrText xml:space="preserve"> PAGEREF _Toc12866 \h </w:instrText>
      </w:r>
      <w:r>
        <w:fldChar w:fldCharType="separate"/>
      </w:r>
      <w:r>
        <w:t>172</w:t>
      </w:r>
      <w:r>
        <w:fldChar w:fldCharType="end"/>
      </w:r>
      <w:r>
        <w:rPr>
          <w:rFonts w:hint="default" w:ascii="Times New Roman" w:hAnsi="Times New Roman" w:cs="Times New Roman"/>
          <w:color w:val="auto"/>
          <w:u w:val="none" w:color="auto"/>
        </w:rPr>
        <w:fldChar w:fldCharType="end"/>
      </w:r>
    </w:p>
    <w:p w14:paraId="4398B50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_Toc3566 </w:instrText>
      </w:r>
      <w:r>
        <w:rPr>
          <w:rFonts w:hint="default" w:ascii="Times New Roman" w:hAnsi="Times New Roman" w:cs="Times New Roman"/>
        </w:rPr>
        <w:fldChar w:fldCharType="separate"/>
      </w:r>
      <w:r>
        <w:rPr>
          <w:rFonts w:hint="default" w:ascii="Times New Roman" w:hAnsi="Times New Roman" w:cs="Times New Roman"/>
        </w:rPr>
        <w:t>5.5. 区域污染源调查</w:t>
      </w:r>
      <w:r>
        <w:tab/>
      </w:r>
      <w:r>
        <w:fldChar w:fldCharType="begin"/>
      </w:r>
      <w:r>
        <w:instrText xml:space="preserve"> PAGEREF _Toc3566 \h </w:instrText>
      </w:r>
      <w:r>
        <w:fldChar w:fldCharType="separate"/>
      </w:r>
      <w:r>
        <w:t>173</w:t>
      </w:r>
      <w:r>
        <w:fldChar w:fldCharType="end"/>
      </w:r>
      <w:r>
        <w:rPr>
          <w:rFonts w:hint="default" w:ascii="Times New Roman" w:hAnsi="Times New Roman" w:cs="Times New Roman"/>
          <w:color w:val="auto"/>
          <w:u w:val="none" w:color="auto"/>
        </w:rPr>
        <w:fldChar w:fldCharType="end"/>
      </w:r>
    </w:p>
    <w:p w14:paraId="62C867F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_Toc12190 </w:instrText>
      </w:r>
      <w:r>
        <w:rPr>
          <w:rFonts w:hint="default" w:ascii="Times New Roman" w:hAnsi="Times New Roman" w:cs="Times New Roman"/>
        </w:rPr>
        <w:fldChar w:fldCharType="separate"/>
      </w:r>
      <w:r>
        <w:rPr>
          <w:rFonts w:hint="default" w:ascii="Times New Roman" w:hAnsi="Times New Roman" w:cs="Times New Roman"/>
        </w:rPr>
        <w:t>6. 环境影响预测与评价</w:t>
      </w:r>
      <w:r>
        <w:tab/>
      </w:r>
      <w:r>
        <w:fldChar w:fldCharType="begin"/>
      </w:r>
      <w:r>
        <w:instrText xml:space="preserve"> PAGEREF _Toc12190 \h </w:instrText>
      </w:r>
      <w:r>
        <w:fldChar w:fldCharType="separate"/>
      </w:r>
      <w:r>
        <w:t>174</w:t>
      </w:r>
      <w:r>
        <w:fldChar w:fldCharType="end"/>
      </w:r>
      <w:r>
        <w:rPr>
          <w:rFonts w:hint="default" w:ascii="Times New Roman" w:hAnsi="Times New Roman" w:cs="Times New Roman"/>
          <w:color w:val="auto"/>
          <w:u w:val="none" w:color="auto"/>
        </w:rPr>
        <w:fldChar w:fldCharType="end"/>
      </w:r>
    </w:p>
    <w:p w14:paraId="36618B0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_Toc29858 </w:instrText>
      </w:r>
      <w:r>
        <w:rPr>
          <w:rFonts w:hint="default" w:ascii="Times New Roman" w:hAnsi="Times New Roman" w:cs="Times New Roman"/>
        </w:rPr>
        <w:fldChar w:fldCharType="separate"/>
      </w:r>
      <w:r>
        <w:rPr>
          <w:rFonts w:hint="default" w:ascii="Times New Roman" w:hAnsi="Times New Roman" w:eastAsia="宋体" w:cs="Times New Roman"/>
        </w:rPr>
        <w:t>6.1. 现有工程环境影响回顾性评价</w:t>
      </w:r>
      <w:r>
        <w:tab/>
      </w:r>
      <w:r>
        <w:fldChar w:fldCharType="begin"/>
      </w:r>
      <w:r>
        <w:instrText xml:space="preserve"> PAGEREF _Toc29858 \h </w:instrText>
      </w:r>
      <w:r>
        <w:fldChar w:fldCharType="separate"/>
      </w:r>
      <w:r>
        <w:t>174</w:t>
      </w:r>
      <w:r>
        <w:fldChar w:fldCharType="end"/>
      </w:r>
      <w:r>
        <w:rPr>
          <w:rFonts w:hint="default" w:ascii="Times New Roman" w:hAnsi="Times New Roman" w:cs="Times New Roman"/>
          <w:color w:val="auto"/>
          <w:u w:val="none" w:color="auto"/>
        </w:rPr>
        <w:fldChar w:fldCharType="end"/>
      </w:r>
    </w:p>
    <w:p w14:paraId="4E82DDF5">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_Toc3790 </w:instrText>
      </w:r>
      <w:r>
        <w:rPr>
          <w:rFonts w:hint="default" w:ascii="Times New Roman" w:hAnsi="Times New Roman" w:cs="Times New Roman"/>
        </w:rPr>
        <w:fldChar w:fldCharType="separate"/>
      </w:r>
      <w:r>
        <w:rPr>
          <w:rFonts w:hint="default" w:ascii="Times New Roman" w:hAnsi="Times New Roman" w:cs="Times New Roman"/>
        </w:rPr>
        <w:t>6.2. 施工期环境影响分析</w:t>
      </w:r>
      <w:r>
        <w:tab/>
      </w:r>
      <w:r>
        <w:fldChar w:fldCharType="begin"/>
      </w:r>
      <w:r>
        <w:instrText xml:space="preserve"> PAGEREF _Toc3790 \h </w:instrText>
      </w:r>
      <w:r>
        <w:fldChar w:fldCharType="separate"/>
      </w:r>
      <w:r>
        <w:t>179</w:t>
      </w:r>
      <w:r>
        <w:fldChar w:fldCharType="end"/>
      </w:r>
      <w:r>
        <w:rPr>
          <w:rFonts w:hint="default" w:ascii="Times New Roman" w:hAnsi="Times New Roman" w:cs="Times New Roman"/>
          <w:color w:val="auto"/>
          <w:u w:val="none" w:color="auto"/>
        </w:rPr>
        <w:fldChar w:fldCharType="end"/>
      </w:r>
    </w:p>
    <w:p w14:paraId="6BB72EA1">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_Toc3670 </w:instrText>
      </w:r>
      <w:r>
        <w:rPr>
          <w:rFonts w:hint="default" w:ascii="Times New Roman" w:hAnsi="Times New Roman" w:cs="Times New Roman"/>
        </w:rPr>
        <w:fldChar w:fldCharType="separate"/>
      </w:r>
      <w:r>
        <w:rPr>
          <w:rFonts w:hint="default" w:ascii="Times New Roman" w:hAnsi="Times New Roman" w:cs="Times New Roman"/>
        </w:rPr>
        <w:t>6.3. 水土</w:t>
      </w:r>
      <w:r>
        <w:rPr>
          <w:rFonts w:hint="default" w:ascii="Times New Roman" w:hAnsi="Times New Roman" w:cs="Times New Roman"/>
          <w:lang w:val="en-US" w:eastAsia="zh-CN"/>
        </w:rPr>
        <w:t>保持影响</w:t>
      </w:r>
      <w:r>
        <w:rPr>
          <w:rFonts w:hint="default" w:ascii="Times New Roman" w:hAnsi="Times New Roman" w:cs="Times New Roman"/>
        </w:rPr>
        <w:t>分析</w:t>
      </w:r>
      <w:r>
        <w:tab/>
      </w:r>
      <w:r>
        <w:fldChar w:fldCharType="begin"/>
      </w:r>
      <w:r>
        <w:instrText xml:space="preserve"> PAGEREF _Toc3670 \h </w:instrText>
      </w:r>
      <w:r>
        <w:fldChar w:fldCharType="separate"/>
      </w:r>
      <w:r>
        <w:t>195</w:t>
      </w:r>
      <w:r>
        <w:fldChar w:fldCharType="end"/>
      </w:r>
      <w:r>
        <w:rPr>
          <w:rFonts w:hint="default" w:ascii="Times New Roman" w:hAnsi="Times New Roman" w:cs="Times New Roman"/>
          <w:color w:val="auto"/>
          <w:u w:val="none" w:color="auto"/>
        </w:rPr>
        <w:fldChar w:fldCharType="end"/>
      </w:r>
    </w:p>
    <w:p w14:paraId="492C934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_Toc18568 </w:instrText>
      </w:r>
      <w:r>
        <w:rPr>
          <w:rFonts w:hint="default" w:ascii="Times New Roman" w:hAnsi="Times New Roman" w:cs="Times New Roman"/>
        </w:rPr>
        <w:fldChar w:fldCharType="separate"/>
      </w:r>
      <w:r>
        <w:rPr>
          <w:rFonts w:hint="default" w:ascii="Times New Roman" w:hAnsi="Times New Roman" w:cs="Times New Roman"/>
        </w:rPr>
        <w:t>6.4. 运营期环境影响分析</w:t>
      </w:r>
      <w:r>
        <w:tab/>
      </w:r>
      <w:r>
        <w:fldChar w:fldCharType="begin"/>
      </w:r>
      <w:r>
        <w:instrText xml:space="preserve"> PAGEREF _Toc18568 \h </w:instrText>
      </w:r>
      <w:r>
        <w:fldChar w:fldCharType="separate"/>
      </w:r>
      <w:r>
        <w:t>195</w:t>
      </w:r>
      <w:r>
        <w:fldChar w:fldCharType="end"/>
      </w:r>
      <w:r>
        <w:rPr>
          <w:rFonts w:hint="default" w:ascii="Times New Roman" w:hAnsi="Times New Roman" w:cs="Times New Roman"/>
          <w:color w:val="auto"/>
          <w:u w:val="none" w:color="auto"/>
        </w:rPr>
        <w:fldChar w:fldCharType="end"/>
      </w:r>
    </w:p>
    <w:p w14:paraId="646B64D3">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_Toc18111 </w:instrText>
      </w:r>
      <w:r>
        <w:rPr>
          <w:rFonts w:hint="default" w:ascii="Times New Roman" w:hAnsi="Times New Roman" w:cs="Times New Roman"/>
        </w:rPr>
        <w:fldChar w:fldCharType="separate"/>
      </w:r>
      <w:r>
        <w:rPr>
          <w:rFonts w:hint="default"/>
        </w:rPr>
        <w:t>7. 环境风险评价</w:t>
      </w:r>
      <w:r>
        <w:tab/>
      </w:r>
      <w:r>
        <w:fldChar w:fldCharType="begin"/>
      </w:r>
      <w:r>
        <w:instrText xml:space="preserve"> PAGEREF _Toc18111 \h </w:instrText>
      </w:r>
      <w:r>
        <w:fldChar w:fldCharType="separate"/>
      </w:r>
      <w:r>
        <w:t>202</w:t>
      </w:r>
      <w:r>
        <w:fldChar w:fldCharType="end"/>
      </w:r>
      <w:r>
        <w:rPr>
          <w:rFonts w:hint="default" w:ascii="Times New Roman" w:hAnsi="Times New Roman" w:cs="Times New Roman"/>
          <w:color w:val="auto"/>
          <w:u w:val="none" w:color="auto"/>
        </w:rPr>
        <w:fldChar w:fldCharType="end"/>
      </w:r>
    </w:p>
    <w:p w14:paraId="420F845F">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_Toc39 </w:instrText>
      </w:r>
      <w:r>
        <w:rPr>
          <w:rFonts w:hint="default" w:ascii="Times New Roman" w:hAnsi="Times New Roman" w:cs="Times New Roman"/>
        </w:rPr>
        <w:fldChar w:fldCharType="separate"/>
      </w:r>
      <w:r>
        <w:rPr>
          <w:rFonts w:hint="default"/>
        </w:rPr>
        <w:t>7.1. 环境风险评价总则</w:t>
      </w:r>
      <w:r>
        <w:tab/>
      </w:r>
      <w:r>
        <w:fldChar w:fldCharType="begin"/>
      </w:r>
      <w:r>
        <w:instrText xml:space="preserve"> PAGEREF _Toc39 \h </w:instrText>
      </w:r>
      <w:r>
        <w:fldChar w:fldCharType="separate"/>
      </w:r>
      <w:r>
        <w:t>202</w:t>
      </w:r>
      <w:r>
        <w:fldChar w:fldCharType="end"/>
      </w:r>
      <w:r>
        <w:rPr>
          <w:rFonts w:hint="default" w:ascii="Times New Roman" w:hAnsi="Times New Roman" w:cs="Times New Roman"/>
          <w:color w:val="auto"/>
          <w:u w:val="none" w:color="auto"/>
        </w:rPr>
        <w:fldChar w:fldCharType="end"/>
      </w:r>
    </w:p>
    <w:p w14:paraId="1ED7A824">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_Toc18554 </w:instrText>
      </w:r>
      <w:r>
        <w:rPr>
          <w:rFonts w:hint="default" w:ascii="Times New Roman" w:hAnsi="Times New Roman" w:cs="Times New Roman"/>
        </w:rPr>
        <w:fldChar w:fldCharType="separate"/>
      </w:r>
      <w:r>
        <w:rPr>
          <w:rFonts w:hint="default"/>
        </w:rPr>
        <w:t xml:space="preserve">7.2. </w:t>
      </w:r>
      <w:r>
        <w:rPr>
          <w:rFonts w:hint="eastAsia"/>
          <w:lang w:val="en-US" w:eastAsia="zh-CN"/>
        </w:rPr>
        <w:t>风险</w:t>
      </w:r>
      <w:r>
        <w:rPr>
          <w:rFonts w:hint="default"/>
        </w:rPr>
        <w:t>调查</w:t>
      </w:r>
      <w:r>
        <w:tab/>
      </w:r>
      <w:r>
        <w:fldChar w:fldCharType="begin"/>
      </w:r>
      <w:r>
        <w:instrText xml:space="preserve"> PAGEREF _Toc18554 \h </w:instrText>
      </w:r>
      <w:r>
        <w:fldChar w:fldCharType="separate"/>
      </w:r>
      <w:r>
        <w:t>203</w:t>
      </w:r>
      <w:r>
        <w:fldChar w:fldCharType="end"/>
      </w:r>
      <w:r>
        <w:rPr>
          <w:rFonts w:hint="default" w:ascii="Times New Roman" w:hAnsi="Times New Roman" w:cs="Times New Roman"/>
          <w:color w:val="auto"/>
          <w:u w:val="none" w:color="auto"/>
        </w:rPr>
        <w:fldChar w:fldCharType="end"/>
      </w:r>
    </w:p>
    <w:p w14:paraId="4CEB497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_Toc8144 </w:instrText>
      </w:r>
      <w:r>
        <w:rPr>
          <w:rFonts w:hint="default" w:ascii="Times New Roman" w:hAnsi="Times New Roman" w:cs="Times New Roman"/>
        </w:rPr>
        <w:fldChar w:fldCharType="separate"/>
      </w:r>
      <w:r>
        <w:rPr>
          <w:rFonts w:hint="default"/>
          <w:lang w:val="en-US" w:eastAsia="zh-CN"/>
        </w:rPr>
        <w:t>7.3. 环境风险潜势初判及评价等级</w:t>
      </w:r>
      <w:r>
        <w:tab/>
      </w:r>
      <w:r>
        <w:fldChar w:fldCharType="begin"/>
      </w:r>
      <w:r>
        <w:instrText xml:space="preserve"> PAGEREF _Toc8144 \h </w:instrText>
      </w:r>
      <w:r>
        <w:fldChar w:fldCharType="separate"/>
      </w:r>
      <w:r>
        <w:t>203</w:t>
      </w:r>
      <w:r>
        <w:fldChar w:fldCharType="end"/>
      </w:r>
      <w:r>
        <w:rPr>
          <w:rFonts w:hint="default" w:ascii="Times New Roman" w:hAnsi="Times New Roman" w:cs="Times New Roman"/>
          <w:color w:val="auto"/>
          <w:u w:val="none" w:color="auto"/>
        </w:rPr>
        <w:fldChar w:fldCharType="end"/>
      </w:r>
    </w:p>
    <w:p w14:paraId="3CCD1979">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_Toc7951 </w:instrText>
      </w:r>
      <w:r>
        <w:rPr>
          <w:rFonts w:hint="default" w:ascii="Times New Roman" w:hAnsi="Times New Roman" w:cs="Times New Roman"/>
        </w:rPr>
        <w:fldChar w:fldCharType="separate"/>
      </w:r>
      <w:r>
        <w:rPr>
          <w:rFonts w:hint="default"/>
        </w:rPr>
        <w:t>7.4. 风险识别</w:t>
      </w:r>
      <w:r>
        <w:tab/>
      </w:r>
      <w:r>
        <w:fldChar w:fldCharType="begin"/>
      </w:r>
      <w:r>
        <w:instrText xml:space="preserve"> PAGEREF _Toc7951 \h </w:instrText>
      </w:r>
      <w:r>
        <w:fldChar w:fldCharType="separate"/>
      </w:r>
      <w:r>
        <w:t>204</w:t>
      </w:r>
      <w:r>
        <w:fldChar w:fldCharType="end"/>
      </w:r>
      <w:r>
        <w:rPr>
          <w:rFonts w:hint="default" w:ascii="Times New Roman" w:hAnsi="Times New Roman" w:cs="Times New Roman"/>
          <w:color w:val="auto"/>
          <w:u w:val="none" w:color="auto"/>
        </w:rPr>
        <w:fldChar w:fldCharType="end"/>
      </w:r>
    </w:p>
    <w:p w14:paraId="11D3CDCD">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_Toc3839 </w:instrText>
      </w:r>
      <w:r>
        <w:rPr>
          <w:rFonts w:hint="default" w:ascii="Times New Roman" w:hAnsi="Times New Roman" w:cs="Times New Roman"/>
        </w:rPr>
        <w:fldChar w:fldCharType="separate"/>
      </w:r>
      <w:r>
        <w:rPr>
          <w:rFonts w:hint="default"/>
          <w:lang w:eastAsia="zh-CN"/>
        </w:rPr>
        <w:t>7.5. 环境风险分析</w:t>
      </w:r>
      <w:r>
        <w:tab/>
      </w:r>
      <w:r>
        <w:fldChar w:fldCharType="begin"/>
      </w:r>
      <w:r>
        <w:instrText xml:space="preserve"> PAGEREF _Toc3839 \h </w:instrText>
      </w:r>
      <w:r>
        <w:fldChar w:fldCharType="separate"/>
      </w:r>
      <w:r>
        <w:t>204</w:t>
      </w:r>
      <w:r>
        <w:fldChar w:fldCharType="end"/>
      </w:r>
      <w:r>
        <w:rPr>
          <w:rFonts w:hint="default" w:ascii="Times New Roman" w:hAnsi="Times New Roman" w:cs="Times New Roman"/>
          <w:color w:val="auto"/>
          <w:u w:val="none" w:color="auto"/>
        </w:rPr>
        <w:fldChar w:fldCharType="end"/>
      </w:r>
    </w:p>
    <w:p w14:paraId="58F38DA1">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_Toc15828 </w:instrText>
      </w:r>
      <w:r>
        <w:rPr>
          <w:rFonts w:hint="default" w:ascii="Times New Roman" w:hAnsi="Times New Roman" w:cs="Times New Roman"/>
        </w:rPr>
        <w:fldChar w:fldCharType="separate"/>
      </w:r>
      <w:r>
        <w:rPr>
          <w:rFonts w:hint="default"/>
          <w:lang w:eastAsia="zh-CN"/>
        </w:rPr>
        <w:t>7.6. 风险防范措施</w:t>
      </w:r>
      <w:r>
        <w:tab/>
      </w:r>
      <w:r>
        <w:fldChar w:fldCharType="begin"/>
      </w:r>
      <w:r>
        <w:instrText xml:space="preserve"> PAGEREF _Toc15828 \h </w:instrText>
      </w:r>
      <w:r>
        <w:fldChar w:fldCharType="separate"/>
      </w:r>
      <w:r>
        <w:t>205</w:t>
      </w:r>
      <w:r>
        <w:fldChar w:fldCharType="end"/>
      </w:r>
      <w:r>
        <w:rPr>
          <w:rFonts w:hint="default" w:ascii="Times New Roman" w:hAnsi="Times New Roman" w:cs="Times New Roman"/>
          <w:color w:val="auto"/>
          <w:u w:val="none" w:color="auto"/>
        </w:rPr>
        <w:fldChar w:fldCharType="end"/>
      </w:r>
    </w:p>
    <w:p w14:paraId="7B1B4F86">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_Toc7764 </w:instrText>
      </w:r>
      <w:r>
        <w:rPr>
          <w:rFonts w:hint="default" w:ascii="Times New Roman" w:hAnsi="Times New Roman" w:cs="Times New Roman"/>
        </w:rPr>
        <w:fldChar w:fldCharType="separate"/>
      </w:r>
      <w:r>
        <w:rPr>
          <w:rFonts w:hint="default" w:ascii="Times New Roman" w:hAnsi="Times New Roman" w:cs="Times New Roman"/>
        </w:rPr>
        <w:t>8. 污染防治措施及其可行性论证</w:t>
      </w:r>
      <w:r>
        <w:tab/>
      </w:r>
      <w:r>
        <w:fldChar w:fldCharType="begin"/>
      </w:r>
      <w:r>
        <w:instrText xml:space="preserve"> PAGEREF _Toc7764 \h </w:instrText>
      </w:r>
      <w:r>
        <w:fldChar w:fldCharType="separate"/>
      </w:r>
      <w:r>
        <w:t>211</w:t>
      </w:r>
      <w:r>
        <w:fldChar w:fldCharType="end"/>
      </w:r>
      <w:r>
        <w:rPr>
          <w:rFonts w:hint="default" w:ascii="Times New Roman" w:hAnsi="Times New Roman" w:cs="Times New Roman"/>
          <w:color w:val="auto"/>
          <w:u w:val="none" w:color="auto"/>
        </w:rPr>
        <w:fldChar w:fldCharType="end"/>
      </w:r>
    </w:p>
    <w:p w14:paraId="7CFA396E">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_Toc15110 </w:instrText>
      </w:r>
      <w:r>
        <w:rPr>
          <w:rFonts w:hint="default" w:ascii="Times New Roman" w:hAnsi="Times New Roman" w:cs="Times New Roman"/>
        </w:rPr>
        <w:fldChar w:fldCharType="separate"/>
      </w:r>
      <w:r>
        <w:rPr>
          <w:rFonts w:hint="default" w:ascii="Times New Roman" w:hAnsi="Times New Roman" w:cs="Times New Roman"/>
        </w:rPr>
        <w:t>8.1. 施工期</w:t>
      </w:r>
      <w:r>
        <w:tab/>
      </w:r>
      <w:r>
        <w:fldChar w:fldCharType="begin"/>
      </w:r>
      <w:r>
        <w:instrText xml:space="preserve"> PAGEREF _Toc15110 \h </w:instrText>
      </w:r>
      <w:r>
        <w:fldChar w:fldCharType="separate"/>
      </w:r>
      <w:r>
        <w:t>211</w:t>
      </w:r>
      <w:r>
        <w:fldChar w:fldCharType="end"/>
      </w:r>
      <w:r>
        <w:rPr>
          <w:rFonts w:hint="default" w:ascii="Times New Roman" w:hAnsi="Times New Roman" w:cs="Times New Roman"/>
          <w:color w:val="auto"/>
          <w:u w:val="none" w:color="auto"/>
        </w:rPr>
        <w:fldChar w:fldCharType="end"/>
      </w:r>
    </w:p>
    <w:p w14:paraId="3AB626F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_Toc23244 </w:instrText>
      </w:r>
      <w:r>
        <w:rPr>
          <w:rFonts w:hint="default" w:ascii="Times New Roman" w:hAnsi="Times New Roman" w:cs="Times New Roman"/>
        </w:rPr>
        <w:fldChar w:fldCharType="separate"/>
      </w:r>
      <w:r>
        <w:rPr>
          <w:rFonts w:hint="default" w:ascii="Times New Roman" w:hAnsi="Times New Roman" w:cs="Times New Roman"/>
        </w:rPr>
        <w:t>8.2. 运营期污染防治措施</w:t>
      </w:r>
      <w:r>
        <w:tab/>
      </w:r>
      <w:r>
        <w:fldChar w:fldCharType="begin"/>
      </w:r>
      <w:r>
        <w:instrText xml:space="preserve"> PAGEREF _Toc23244 \h </w:instrText>
      </w:r>
      <w:r>
        <w:fldChar w:fldCharType="separate"/>
      </w:r>
      <w:r>
        <w:t>226</w:t>
      </w:r>
      <w:r>
        <w:fldChar w:fldCharType="end"/>
      </w:r>
      <w:r>
        <w:rPr>
          <w:rFonts w:hint="default" w:ascii="Times New Roman" w:hAnsi="Times New Roman" w:cs="Times New Roman"/>
          <w:color w:val="auto"/>
          <w:u w:val="none" w:color="auto"/>
        </w:rPr>
        <w:fldChar w:fldCharType="end"/>
      </w:r>
    </w:p>
    <w:p w14:paraId="618F047D">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_Toc18583 </w:instrText>
      </w:r>
      <w:r>
        <w:rPr>
          <w:rFonts w:hint="default" w:ascii="Times New Roman" w:hAnsi="Times New Roman" w:cs="Times New Roman"/>
        </w:rPr>
        <w:fldChar w:fldCharType="separate"/>
      </w:r>
      <w:r>
        <w:rPr>
          <w:rFonts w:hint="default" w:ascii="Times New Roman" w:hAnsi="Times New Roman" w:cs="Times New Roman"/>
        </w:rPr>
        <w:t>9. 环境管理与</w:t>
      </w:r>
      <w:r>
        <w:rPr>
          <w:rFonts w:hint="default" w:ascii="Times New Roman" w:hAnsi="Times New Roman" w:cs="Times New Roman"/>
          <w:lang w:val="en-US" w:eastAsia="zh-CN"/>
        </w:rPr>
        <w:t>环境</w:t>
      </w:r>
      <w:r>
        <w:rPr>
          <w:rFonts w:hint="default" w:ascii="Times New Roman" w:hAnsi="Times New Roman" w:cs="Times New Roman"/>
        </w:rPr>
        <w:t>监测计划</w:t>
      </w:r>
      <w:r>
        <w:tab/>
      </w:r>
      <w:r>
        <w:fldChar w:fldCharType="begin"/>
      </w:r>
      <w:r>
        <w:instrText xml:space="preserve"> PAGEREF _Toc18583 \h </w:instrText>
      </w:r>
      <w:r>
        <w:fldChar w:fldCharType="separate"/>
      </w:r>
      <w:r>
        <w:t>230</w:t>
      </w:r>
      <w:r>
        <w:fldChar w:fldCharType="end"/>
      </w:r>
      <w:r>
        <w:rPr>
          <w:rFonts w:hint="default" w:ascii="Times New Roman" w:hAnsi="Times New Roman" w:cs="Times New Roman"/>
          <w:color w:val="auto"/>
          <w:u w:val="none" w:color="auto"/>
        </w:rPr>
        <w:fldChar w:fldCharType="end"/>
      </w:r>
    </w:p>
    <w:p w14:paraId="4C69984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_Toc19409 </w:instrText>
      </w:r>
      <w:r>
        <w:rPr>
          <w:rFonts w:hint="default" w:ascii="Times New Roman" w:hAnsi="Times New Roman" w:cs="Times New Roman"/>
        </w:rPr>
        <w:fldChar w:fldCharType="separate"/>
      </w:r>
      <w:r>
        <w:rPr>
          <w:rFonts w:hint="default" w:ascii="Times New Roman" w:hAnsi="Times New Roman" w:cs="Times New Roman"/>
        </w:rPr>
        <w:t>9.1. 环境管理</w:t>
      </w:r>
      <w:r>
        <w:tab/>
      </w:r>
      <w:r>
        <w:fldChar w:fldCharType="begin"/>
      </w:r>
      <w:r>
        <w:instrText xml:space="preserve"> PAGEREF _Toc19409 \h </w:instrText>
      </w:r>
      <w:r>
        <w:fldChar w:fldCharType="separate"/>
      </w:r>
      <w:r>
        <w:t>230</w:t>
      </w:r>
      <w:r>
        <w:fldChar w:fldCharType="end"/>
      </w:r>
      <w:r>
        <w:rPr>
          <w:rFonts w:hint="default" w:ascii="Times New Roman" w:hAnsi="Times New Roman" w:cs="Times New Roman"/>
          <w:color w:val="auto"/>
          <w:u w:val="none" w:color="auto"/>
        </w:rPr>
        <w:fldChar w:fldCharType="end"/>
      </w:r>
    </w:p>
    <w:p w14:paraId="1AC18350">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_Toc128 </w:instrText>
      </w:r>
      <w:r>
        <w:rPr>
          <w:rFonts w:hint="default" w:ascii="Times New Roman" w:hAnsi="Times New Roman" w:cs="Times New Roman"/>
        </w:rPr>
        <w:fldChar w:fldCharType="separate"/>
      </w:r>
      <w:r>
        <w:rPr>
          <w:rFonts w:hint="default" w:ascii="Times New Roman" w:hAnsi="Times New Roman" w:cs="Times New Roman"/>
        </w:rPr>
        <w:t>9.2. 环境监测计划</w:t>
      </w:r>
      <w:r>
        <w:tab/>
      </w:r>
      <w:r>
        <w:fldChar w:fldCharType="begin"/>
      </w:r>
      <w:r>
        <w:instrText xml:space="preserve"> PAGEREF _Toc128 \h </w:instrText>
      </w:r>
      <w:r>
        <w:fldChar w:fldCharType="separate"/>
      </w:r>
      <w:r>
        <w:t>231</w:t>
      </w:r>
      <w:r>
        <w:fldChar w:fldCharType="end"/>
      </w:r>
      <w:r>
        <w:rPr>
          <w:rFonts w:hint="default" w:ascii="Times New Roman" w:hAnsi="Times New Roman" w:cs="Times New Roman"/>
          <w:color w:val="auto"/>
          <w:u w:val="none" w:color="auto"/>
        </w:rPr>
        <w:fldChar w:fldCharType="end"/>
      </w:r>
    </w:p>
    <w:p w14:paraId="2BF22BCC">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_Toc31433 </w:instrText>
      </w:r>
      <w:r>
        <w:rPr>
          <w:rFonts w:hint="default" w:ascii="Times New Roman" w:hAnsi="Times New Roman" w:cs="Times New Roman"/>
        </w:rPr>
        <w:fldChar w:fldCharType="separate"/>
      </w:r>
      <w:r>
        <w:rPr>
          <w:rFonts w:hint="default" w:ascii="Times New Roman" w:hAnsi="Times New Roman" w:cs="Times New Roman"/>
        </w:rPr>
        <w:t>9.3. 施工期环境监理</w:t>
      </w:r>
      <w:r>
        <w:tab/>
      </w:r>
      <w:r>
        <w:fldChar w:fldCharType="begin"/>
      </w:r>
      <w:r>
        <w:instrText xml:space="preserve"> PAGEREF _Toc31433 \h </w:instrText>
      </w:r>
      <w:r>
        <w:fldChar w:fldCharType="separate"/>
      </w:r>
      <w:r>
        <w:t>233</w:t>
      </w:r>
      <w:r>
        <w:fldChar w:fldCharType="end"/>
      </w:r>
      <w:r>
        <w:rPr>
          <w:rFonts w:hint="default" w:ascii="Times New Roman" w:hAnsi="Times New Roman" w:cs="Times New Roman"/>
          <w:color w:val="auto"/>
          <w:u w:val="none" w:color="auto"/>
        </w:rPr>
        <w:fldChar w:fldCharType="end"/>
      </w:r>
    </w:p>
    <w:p w14:paraId="1BA964A6">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_Toc2205 </w:instrText>
      </w:r>
      <w:r>
        <w:rPr>
          <w:rFonts w:hint="default" w:ascii="Times New Roman" w:hAnsi="Times New Roman" w:cs="Times New Roman"/>
        </w:rPr>
        <w:fldChar w:fldCharType="separate"/>
      </w:r>
      <w:r>
        <w:rPr>
          <w:rFonts w:hint="default" w:ascii="Times New Roman" w:hAnsi="Times New Roman" w:cs="Times New Roman"/>
        </w:rPr>
        <w:t>9.4. 排污许可、环保设施竣工内容及要求</w:t>
      </w:r>
      <w:r>
        <w:tab/>
      </w:r>
      <w:r>
        <w:fldChar w:fldCharType="begin"/>
      </w:r>
      <w:r>
        <w:instrText xml:space="preserve"> PAGEREF _Toc2205 \h </w:instrText>
      </w:r>
      <w:r>
        <w:fldChar w:fldCharType="separate"/>
      </w:r>
      <w:r>
        <w:t>236</w:t>
      </w:r>
      <w:r>
        <w:fldChar w:fldCharType="end"/>
      </w:r>
      <w:r>
        <w:rPr>
          <w:rFonts w:hint="default" w:ascii="Times New Roman" w:hAnsi="Times New Roman" w:cs="Times New Roman"/>
          <w:color w:val="auto"/>
          <w:u w:val="none" w:color="auto"/>
        </w:rPr>
        <w:fldChar w:fldCharType="end"/>
      </w:r>
    </w:p>
    <w:p w14:paraId="4D5710E7">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_Toc22533 </w:instrText>
      </w:r>
      <w:r>
        <w:rPr>
          <w:rFonts w:hint="default" w:ascii="Times New Roman" w:hAnsi="Times New Roman" w:cs="Times New Roman"/>
        </w:rPr>
        <w:fldChar w:fldCharType="separate"/>
      </w:r>
      <w:r>
        <w:rPr>
          <w:rFonts w:hint="default" w:ascii="Times New Roman" w:hAnsi="Times New Roman" w:cs="Times New Roman"/>
        </w:rPr>
        <w:t>9.5. 总量控制</w:t>
      </w:r>
      <w:r>
        <w:rPr>
          <w:rFonts w:hint="default" w:ascii="Times New Roman" w:hAnsi="Times New Roman" w:cs="Times New Roman"/>
          <w:lang w:val="en-US" w:eastAsia="zh-CN"/>
        </w:rPr>
        <w:t>分析</w:t>
      </w:r>
      <w:r>
        <w:tab/>
      </w:r>
      <w:r>
        <w:fldChar w:fldCharType="begin"/>
      </w:r>
      <w:r>
        <w:instrText xml:space="preserve"> PAGEREF _Toc22533 \h </w:instrText>
      </w:r>
      <w:r>
        <w:fldChar w:fldCharType="separate"/>
      </w:r>
      <w:r>
        <w:t>238</w:t>
      </w:r>
      <w:r>
        <w:fldChar w:fldCharType="end"/>
      </w:r>
      <w:r>
        <w:rPr>
          <w:rFonts w:hint="default" w:ascii="Times New Roman" w:hAnsi="Times New Roman" w:cs="Times New Roman"/>
          <w:color w:val="auto"/>
          <w:u w:val="none" w:color="auto"/>
        </w:rPr>
        <w:fldChar w:fldCharType="end"/>
      </w:r>
    </w:p>
    <w:p w14:paraId="13FD5A79">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_Toc29269 </w:instrText>
      </w:r>
      <w:r>
        <w:rPr>
          <w:rFonts w:hint="default" w:ascii="Times New Roman" w:hAnsi="Times New Roman" w:cs="Times New Roman"/>
        </w:rPr>
        <w:fldChar w:fldCharType="separate"/>
      </w:r>
      <w:r>
        <w:rPr>
          <w:rFonts w:hint="default" w:ascii="Times New Roman" w:hAnsi="Times New Roman" w:cs="Times New Roman"/>
        </w:rPr>
        <w:t>10. 环境影响经济损益分析</w:t>
      </w:r>
      <w:r>
        <w:tab/>
      </w:r>
      <w:r>
        <w:fldChar w:fldCharType="begin"/>
      </w:r>
      <w:r>
        <w:instrText xml:space="preserve"> PAGEREF _Toc29269 \h </w:instrText>
      </w:r>
      <w:r>
        <w:fldChar w:fldCharType="separate"/>
      </w:r>
      <w:r>
        <w:t>239</w:t>
      </w:r>
      <w:r>
        <w:fldChar w:fldCharType="end"/>
      </w:r>
      <w:r>
        <w:rPr>
          <w:rFonts w:hint="default" w:ascii="Times New Roman" w:hAnsi="Times New Roman" w:cs="Times New Roman"/>
          <w:color w:val="auto"/>
          <w:u w:val="none" w:color="auto"/>
        </w:rPr>
        <w:fldChar w:fldCharType="end"/>
      </w:r>
    </w:p>
    <w:p w14:paraId="1CF1B98A">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_Toc28734 </w:instrText>
      </w:r>
      <w:r>
        <w:rPr>
          <w:rFonts w:hint="default" w:ascii="Times New Roman" w:hAnsi="Times New Roman" w:cs="Times New Roman"/>
        </w:rPr>
        <w:fldChar w:fldCharType="separate"/>
      </w:r>
      <w:r>
        <w:rPr>
          <w:rFonts w:hint="default" w:ascii="Times New Roman" w:hAnsi="Times New Roman" w:cs="Times New Roman"/>
        </w:rPr>
        <w:t>10.1. 环保投资估算</w:t>
      </w:r>
      <w:r>
        <w:tab/>
      </w:r>
      <w:r>
        <w:fldChar w:fldCharType="begin"/>
      </w:r>
      <w:r>
        <w:instrText xml:space="preserve"> PAGEREF _Toc28734 \h </w:instrText>
      </w:r>
      <w:r>
        <w:fldChar w:fldCharType="separate"/>
      </w:r>
      <w:r>
        <w:t>239</w:t>
      </w:r>
      <w:r>
        <w:fldChar w:fldCharType="end"/>
      </w:r>
      <w:r>
        <w:rPr>
          <w:rFonts w:hint="default" w:ascii="Times New Roman" w:hAnsi="Times New Roman" w:cs="Times New Roman"/>
          <w:color w:val="auto"/>
          <w:u w:val="none" w:color="auto"/>
        </w:rPr>
        <w:fldChar w:fldCharType="end"/>
      </w:r>
    </w:p>
    <w:p w14:paraId="30324D33">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_Toc7329 </w:instrText>
      </w:r>
      <w:r>
        <w:rPr>
          <w:rFonts w:hint="default" w:ascii="Times New Roman" w:hAnsi="Times New Roman" w:cs="Times New Roman"/>
        </w:rPr>
        <w:fldChar w:fldCharType="separate"/>
      </w:r>
      <w:r>
        <w:rPr>
          <w:rFonts w:hint="default" w:ascii="Times New Roman" w:hAnsi="Times New Roman" w:cs="Times New Roman"/>
        </w:rPr>
        <w:t>10.2. 环境经济损益分析</w:t>
      </w:r>
      <w:r>
        <w:tab/>
      </w:r>
      <w:r>
        <w:fldChar w:fldCharType="begin"/>
      </w:r>
      <w:r>
        <w:instrText xml:space="preserve"> PAGEREF _Toc7329 \h </w:instrText>
      </w:r>
      <w:r>
        <w:fldChar w:fldCharType="separate"/>
      </w:r>
      <w:r>
        <w:t>240</w:t>
      </w:r>
      <w:r>
        <w:fldChar w:fldCharType="end"/>
      </w:r>
      <w:r>
        <w:rPr>
          <w:rFonts w:hint="default" w:ascii="Times New Roman" w:hAnsi="Times New Roman" w:cs="Times New Roman"/>
          <w:color w:val="auto"/>
          <w:u w:val="none" w:color="auto"/>
        </w:rPr>
        <w:fldChar w:fldCharType="end"/>
      </w:r>
    </w:p>
    <w:p w14:paraId="3D5D7412">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_Toc16144 </w:instrText>
      </w:r>
      <w:r>
        <w:rPr>
          <w:rFonts w:hint="default" w:ascii="Times New Roman" w:hAnsi="Times New Roman" w:cs="Times New Roman"/>
        </w:rPr>
        <w:fldChar w:fldCharType="separate"/>
      </w:r>
      <w:r>
        <w:rPr>
          <w:rFonts w:hint="default" w:ascii="Times New Roman" w:hAnsi="Times New Roman" w:cs="Times New Roman"/>
        </w:rPr>
        <w:t>10.3. 生态环境效益</w:t>
      </w:r>
      <w:r>
        <w:tab/>
      </w:r>
      <w:r>
        <w:fldChar w:fldCharType="begin"/>
      </w:r>
      <w:r>
        <w:instrText xml:space="preserve"> PAGEREF _Toc16144 \h </w:instrText>
      </w:r>
      <w:r>
        <w:fldChar w:fldCharType="separate"/>
      </w:r>
      <w:r>
        <w:t>242</w:t>
      </w:r>
      <w:r>
        <w:fldChar w:fldCharType="end"/>
      </w:r>
      <w:r>
        <w:rPr>
          <w:rFonts w:hint="default" w:ascii="Times New Roman" w:hAnsi="Times New Roman" w:cs="Times New Roman"/>
          <w:color w:val="auto"/>
          <w:u w:val="none" w:color="auto"/>
        </w:rPr>
        <w:fldChar w:fldCharType="end"/>
      </w:r>
    </w:p>
    <w:p w14:paraId="42EBC307">
      <w:pPr>
        <w:pStyle w:val="25"/>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_Toc21294 </w:instrText>
      </w:r>
      <w:r>
        <w:rPr>
          <w:rFonts w:hint="default" w:ascii="Times New Roman" w:hAnsi="Times New Roman" w:cs="Times New Roman"/>
        </w:rPr>
        <w:fldChar w:fldCharType="separate"/>
      </w:r>
      <w:r>
        <w:rPr>
          <w:rFonts w:hint="default" w:ascii="Times New Roman" w:hAnsi="Times New Roman" w:cs="Times New Roman"/>
        </w:rPr>
        <w:t>11. 结论和建议</w:t>
      </w:r>
      <w:r>
        <w:tab/>
      </w:r>
      <w:r>
        <w:fldChar w:fldCharType="begin"/>
      </w:r>
      <w:r>
        <w:instrText xml:space="preserve"> PAGEREF _Toc21294 \h </w:instrText>
      </w:r>
      <w:r>
        <w:fldChar w:fldCharType="separate"/>
      </w:r>
      <w:r>
        <w:t>243</w:t>
      </w:r>
      <w:r>
        <w:fldChar w:fldCharType="end"/>
      </w:r>
      <w:r>
        <w:rPr>
          <w:rFonts w:hint="default" w:ascii="Times New Roman" w:hAnsi="Times New Roman" w:cs="Times New Roman"/>
          <w:color w:val="auto"/>
          <w:u w:val="none" w:color="auto"/>
        </w:rPr>
        <w:fldChar w:fldCharType="end"/>
      </w:r>
    </w:p>
    <w:p w14:paraId="552DD66C">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_Toc3586 </w:instrText>
      </w:r>
      <w:r>
        <w:rPr>
          <w:rFonts w:hint="default" w:ascii="Times New Roman" w:hAnsi="Times New Roman" w:cs="Times New Roman"/>
        </w:rPr>
        <w:fldChar w:fldCharType="separate"/>
      </w:r>
      <w:r>
        <w:rPr>
          <w:rFonts w:hint="default" w:ascii="Times New Roman" w:hAnsi="Times New Roman" w:cs="Times New Roman"/>
        </w:rPr>
        <w:t>11.1. 结论</w:t>
      </w:r>
      <w:r>
        <w:tab/>
      </w:r>
      <w:r>
        <w:fldChar w:fldCharType="begin"/>
      </w:r>
      <w:r>
        <w:instrText xml:space="preserve"> PAGEREF _Toc3586 \h </w:instrText>
      </w:r>
      <w:r>
        <w:fldChar w:fldCharType="separate"/>
      </w:r>
      <w:r>
        <w:t>243</w:t>
      </w:r>
      <w:r>
        <w:fldChar w:fldCharType="end"/>
      </w:r>
      <w:r>
        <w:rPr>
          <w:rFonts w:hint="default" w:ascii="Times New Roman" w:hAnsi="Times New Roman" w:cs="Times New Roman"/>
          <w:color w:val="auto"/>
          <w:u w:val="none" w:color="auto"/>
        </w:rPr>
        <w:fldChar w:fldCharType="end"/>
      </w:r>
    </w:p>
    <w:p w14:paraId="5EFB94EB">
      <w:pPr>
        <w:pStyle w:val="30"/>
        <w:tabs>
          <w:tab w:val="right" w:leader="dot" w:pos="8317"/>
        </w:tabs>
      </w:pPr>
      <w:r>
        <w:rPr>
          <w:rFonts w:hint="default" w:ascii="Times New Roman" w:hAnsi="Times New Roman" w:cs="Times New Roman"/>
          <w:color w:val="auto"/>
          <w:u w:val="none" w:color="auto"/>
        </w:rPr>
        <w:fldChar w:fldCharType="begin"/>
      </w:r>
      <w:r>
        <w:rPr>
          <w:rFonts w:hint="default" w:ascii="Times New Roman" w:hAnsi="Times New Roman" w:cs="Times New Roman"/>
        </w:rPr>
        <w:instrText xml:space="preserve"> HYPERLINK \l _Toc31662 </w:instrText>
      </w:r>
      <w:r>
        <w:rPr>
          <w:rFonts w:hint="default" w:ascii="Times New Roman" w:hAnsi="Times New Roman" w:cs="Times New Roman"/>
        </w:rPr>
        <w:fldChar w:fldCharType="separate"/>
      </w:r>
      <w:r>
        <w:rPr>
          <w:rFonts w:hint="default" w:ascii="Times New Roman" w:hAnsi="Times New Roman" w:cs="Times New Roman"/>
        </w:rPr>
        <w:t>11.2. 建议</w:t>
      </w:r>
      <w:r>
        <w:tab/>
      </w:r>
      <w:r>
        <w:fldChar w:fldCharType="begin"/>
      </w:r>
      <w:r>
        <w:instrText xml:space="preserve"> PAGEREF _Toc31662 \h </w:instrText>
      </w:r>
      <w:r>
        <w:fldChar w:fldCharType="separate"/>
      </w:r>
      <w:r>
        <w:t>249</w:t>
      </w:r>
      <w:r>
        <w:fldChar w:fldCharType="end"/>
      </w:r>
      <w:r>
        <w:rPr>
          <w:rFonts w:hint="default" w:ascii="Times New Roman" w:hAnsi="Times New Roman" w:cs="Times New Roman"/>
          <w:color w:val="auto"/>
          <w:u w:val="none" w:color="auto"/>
        </w:rPr>
        <w:fldChar w:fldCharType="end"/>
      </w:r>
    </w:p>
    <w:p w14:paraId="07CCB875">
      <w:pPr>
        <w:pStyle w:val="35"/>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fldChar w:fldCharType="end"/>
      </w:r>
    </w:p>
    <w:p w14:paraId="49C1A24D">
      <w:pPr>
        <w:pStyle w:val="35"/>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附表</w:t>
      </w:r>
      <w:r>
        <w:rPr>
          <w:rFonts w:hint="default" w:ascii="Times New Roman" w:hAnsi="Times New Roman" w:cs="Times New Roman"/>
          <w:b/>
          <w:bCs/>
          <w:color w:val="auto"/>
          <w:u w:val="none" w:color="auto"/>
          <w:lang w:eastAsia="zh-CN"/>
        </w:rPr>
        <w:t>:</w:t>
      </w:r>
    </w:p>
    <w:p w14:paraId="0943311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附表1:大气环境影响评价自查表</w:t>
      </w:r>
    </w:p>
    <w:p w14:paraId="07FC9D2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2</w:t>
      </w:r>
      <w:r>
        <w:rPr>
          <w:rFonts w:hint="default" w:ascii="Times New Roman" w:hAnsi="Times New Roman" w:cs="Times New Roman"/>
          <w:color w:val="auto"/>
          <w:u w:val="none" w:color="auto"/>
          <w:lang w:val="en-US" w:eastAsia="zh-CN"/>
        </w:rPr>
        <w:t>:生态环境影响评价自查表</w:t>
      </w:r>
    </w:p>
    <w:p w14:paraId="12EFD94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3</w:t>
      </w:r>
      <w:r>
        <w:rPr>
          <w:rFonts w:hint="default" w:ascii="Times New Roman" w:hAnsi="Times New Roman" w:cs="Times New Roman"/>
          <w:color w:val="auto"/>
          <w:u w:val="none" w:color="auto"/>
          <w:lang w:val="en-US" w:eastAsia="zh-CN"/>
        </w:rPr>
        <w:t>:地表水环境影响评价自查表</w:t>
      </w:r>
    </w:p>
    <w:p w14:paraId="0F0A8EA6">
      <w:pPr>
        <w:pStyle w:val="185"/>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4</w:t>
      </w:r>
      <w:r>
        <w:rPr>
          <w:rFonts w:hint="default" w:ascii="Times New Roman" w:hAnsi="Times New Roman" w:cs="Times New Roman"/>
          <w:color w:val="auto"/>
          <w:u w:val="none" w:color="auto"/>
          <w:lang w:val="en-US" w:eastAsia="zh-CN"/>
        </w:rPr>
        <w:t>:土壤环境影响评价自查表</w:t>
      </w:r>
    </w:p>
    <w:p w14:paraId="0967A338">
      <w:pPr>
        <w:pStyle w:val="185"/>
        <w:ind w:firstLine="480"/>
        <w:rPr>
          <w:rFonts w:hint="default" w:ascii="Times New Roman" w:hAnsi="Times New Roman" w:cs="Times New Roman"/>
          <w:color w:val="auto"/>
          <w:lang w:val="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lang w:val="zh-CN"/>
        </w:rPr>
        <w:t>声环境影响评价自查表</w:t>
      </w:r>
    </w:p>
    <w:p w14:paraId="7EF197D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附表</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:环境风险评价自查表</w:t>
      </w:r>
    </w:p>
    <w:p w14:paraId="32E1644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建设项目环境影响报告书审批基础信息表</w:t>
      </w:r>
    </w:p>
    <w:p w14:paraId="43063187">
      <w:pPr>
        <w:pStyle w:val="185"/>
        <w:ind w:firstLine="480"/>
        <w:rPr>
          <w:rFonts w:hint="default" w:ascii="Times New Roman" w:hAnsi="Times New Roman" w:cs="Times New Roman"/>
          <w:color w:val="auto"/>
          <w:lang w:val="zh-CN"/>
        </w:rPr>
      </w:pPr>
    </w:p>
    <w:p w14:paraId="0A99D1B3">
      <w:pPr>
        <w:ind w:firstLine="0" w:firstLineChars="0"/>
        <w:rPr>
          <w:rFonts w:hint="default" w:ascii="Times New Roman" w:hAnsi="Times New Roman" w:cs="Times New Roman"/>
          <w:b/>
          <w:bCs/>
          <w:color w:val="auto"/>
          <w:u w:val="none" w:color="auto"/>
        </w:rPr>
      </w:pPr>
    </w:p>
    <w:p w14:paraId="6115E7EF">
      <w:pPr>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附件</w:t>
      </w:r>
      <w:r>
        <w:rPr>
          <w:rFonts w:hint="default" w:ascii="Times New Roman" w:hAnsi="Times New Roman" w:cs="Times New Roman"/>
          <w:b/>
          <w:bCs/>
          <w:color w:val="auto"/>
          <w:u w:val="none" w:color="auto"/>
          <w:lang w:eastAsia="zh-CN"/>
        </w:rPr>
        <w:t>:</w:t>
      </w:r>
    </w:p>
    <w:p w14:paraId="6D546A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附件1:环评委托书</w:t>
      </w:r>
    </w:p>
    <w:p w14:paraId="1E09E4A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附件2:建设单位营业执照</w:t>
      </w:r>
    </w:p>
    <w:p w14:paraId="7BCE837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附件3:项目可研批复</w:t>
      </w:r>
    </w:p>
    <w:p w14:paraId="72AE6B0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附件4:初步设计批复</w:t>
      </w:r>
    </w:p>
    <w:p w14:paraId="0D528F5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附件5:水库大坝安全鉴定报告书</w:t>
      </w:r>
    </w:p>
    <w:p w14:paraId="1C6785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附件6:</w:t>
      </w:r>
      <w:r>
        <w:rPr>
          <w:rFonts w:hint="eastAsia" w:cs="Times New Roman"/>
          <w:color w:val="auto"/>
          <w:u w:val="none" w:color="auto"/>
          <w:lang w:val="en-US" w:eastAsia="zh-CN"/>
        </w:rPr>
        <w:t>廊洞水库饮用水源地季度</w:t>
      </w:r>
      <w:r>
        <w:rPr>
          <w:rFonts w:hint="default" w:ascii="Times New Roman" w:hAnsi="Times New Roman" w:cs="Times New Roman"/>
          <w:color w:val="auto"/>
          <w:u w:val="none" w:color="auto"/>
          <w:lang w:val="en-US" w:eastAsia="zh-CN"/>
        </w:rPr>
        <w:t>监测报告</w:t>
      </w:r>
    </w:p>
    <w:p w14:paraId="7D02C636">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附件7：道县水利局关于廊洞水库除险加固工程项目水土保持方案的批复(道水行复(2024】44号)</w:t>
      </w:r>
    </w:p>
    <w:p w14:paraId="16FDAD48">
      <w:pPr>
        <w:bidi w:val="0"/>
        <w:rPr>
          <w:rFonts w:hint="default" w:cs="Times New Roman"/>
          <w:color w:val="auto"/>
          <w:u w:val="none" w:color="auto"/>
          <w:lang w:val="en-US" w:eastAsia="zh-CN"/>
        </w:rPr>
      </w:pPr>
      <w:r>
        <w:rPr>
          <w:rFonts w:hint="eastAsia" w:cs="Times New Roman"/>
          <w:color w:val="auto"/>
          <w:u w:val="none" w:color="auto"/>
          <w:lang w:val="en-US" w:eastAsia="zh-CN"/>
        </w:rPr>
        <w:t>附件8:道县廊洞水库除险加固工程环评现状监测报告及质保单</w:t>
      </w:r>
    </w:p>
    <w:p w14:paraId="375E576C">
      <w:pPr>
        <w:ind w:firstLine="0" w:firstLineChars="0"/>
        <w:rPr>
          <w:rFonts w:hint="default" w:ascii="Times New Roman" w:hAnsi="Times New Roman" w:cs="Times New Roman"/>
          <w:b/>
          <w:bCs/>
          <w:color w:val="auto"/>
          <w:u w:val="none" w:color="auto"/>
        </w:rPr>
      </w:pPr>
    </w:p>
    <w:p w14:paraId="4A934A85">
      <w:pPr>
        <w:ind w:firstLine="0" w:firstLineChars="0"/>
        <w:rPr>
          <w:rFonts w:hint="default" w:ascii="Times New Roman" w:hAnsi="Times New Roman" w:eastAsia="宋体" w:cs="Times New Roman"/>
          <w:b/>
          <w:bCs/>
          <w:color w:val="auto"/>
          <w:u w:val="none" w:color="auto"/>
          <w:lang w:eastAsia="zh-CN"/>
        </w:rPr>
      </w:pPr>
      <w:r>
        <w:rPr>
          <w:rFonts w:hint="default" w:ascii="Times New Roman" w:hAnsi="Times New Roman" w:cs="Times New Roman"/>
          <w:b/>
          <w:bCs/>
          <w:color w:val="auto"/>
          <w:u w:val="none" w:color="auto"/>
        </w:rPr>
        <w:t>附图</w:t>
      </w:r>
      <w:r>
        <w:rPr>
          <w:rFonts w:hint="default" w:ascii="Times New Roman" w:hAnsi="Times New Roman" w:cs="Times New Roman"/>
          <w:b/>
          <w:bCs/>
          <w:color w:val="auto"/>
          <w:u w:val="none" w:color="auto"/>
          <w:lang w:eastAsia="zh-CN"/>
        </w:rPr>
        <w:t>:</w:t>
      </w:r>
    </w:p>
    <w:p w14:paraId="758A2E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附图1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项目地理位置图</w:t>
      </w:r>
    </w:p>
    <w:p w14:paraId="5E5134C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附图2:环境保护目标示意图</w:t>
      </w:r>
    </w:p>
    <w:p w14:paraId="6E23066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附图3:工程总平面布置图</w:t>
      </w:r>
    </w:p>
    <w:p w14:paraId="50F84D0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附图4:施工总平面布置图</w:t>
      </w:r>
    </w:p>
    <w:p w14:paraId="7243D67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附图5:廊洞水库</w:t>
      </w:r>
      <w:r>
        <w:rPr>
          <w:rFonts w:hint="default" w:ascii="Times New Roman" w:hAnsi="Times New Roman" w:cs="Times New Roman"/>
          <w:color w:val="auto"/>
        </w:rPr>
        <w:t>饮用水水源保护区划分图</w:t>
      </w:r>
    </w:p>
    <w:p w14:paraId="5126B18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附图6.1:水保措施总体布局示意图</w:t>
      </w:r>
    </w:p>
    <w:p w14:paraId="4B1B758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附图6.2:弃渣场水保措施布置图</w:t>
      </w:r>
    </w:p>
    <w:p w14:paraId="4721051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附图7:工程库容地形平面图</w:t>
      </w:r>
    </w:p>
    <w:p w14:paraId="60A1953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附图8:三区三线套合图</w:t>
      </w:r>
    </w:p>
    <w:p w14:paraId="3BC6FDD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附图9:项目水库工程水系图及水环境功能区划图</w:t>
      </w:r>
    </w:p>
    <w:p w14:paraId="07DFAB2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附图10:永州市主体功能区规划图</w:t>
      </w:r>
    </w:p>
    <w:p w14:paraId="645CA51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附图11:工程环境现状监测布点图</w:t>
      </w:r>
    </w:p>
    <w:p w14:paraId="5C09A8D5">
      <w:pPr>
        <w:bidi w:val="0"/>
        <w:rPr>
          <w:rFonts w:hint="default"/>
          <w:color w:val="auto"/>
          <w:lang w:val="en-US" w:eastAsia="zh-CN"/>
        </w:rPr>
      </w:pPr>
      <w:r>
        <w:rPr>
          <w:rFonts w:hint="eastAsia"/>
          <w:color w:val="auto"/>
          <w:lang w:val="en-US" w:eastAsia="zh-CN"/>
        </w:rPr>
        <w:t>附图12</w:t>
      </w:r>
      <w:r>
        <w:rPr>
          <w:rFonts w:hint="default" w:ascii="Times New Roman" w:hAnsi="Times New Roman" w:cs="Times New Roman"/>
          <w:color w:val="auto"/>
          <w:u w:val="none" w:color="auto"/>
          <w:lang w:val="en-US" w:eastAsia="zh-CN"/>
        </w:rPr>
        <w:t>:</w:t>
      </w:r>
      <w:r>
        <w:rPr>
          <w:rFonts w:hint="eastAsia"/>
          <w:color w:val="auto"/>
          <w:lang w:val="en-US" w:eastAsia="zh-CN"/>
        </w:rPr>
        <w:t>项目评价范围图</w:t>
      </w:r>
    </w:p>
    <w:p w14:paraId="753795F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3</w:t>
      </w:r>
      <w:r>
        <w:rPr>
          <w:rFonts w:hint="default" w:ascii="Times New Roman" w:hAnsi="Times New Roman" w:cs="Times New Roman"/>
          <w:color w:val="auto"/>
          <w:u w:val="none" w:color="auto"/>
          <w:lang w:val="en-US" w:eastAsia="zh-CN"/>
        </w:rPr>
        <w:t>:土地利用类型图</w:t>
      </w:r>
    </w:p>
    <w:p w14:paraId="14395C7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4</w:t>
      </w:r>
      <w:r>
        <w:rPr>
          <w:rFonts w:hint="default" w:ascii="Times New Roman" w:hAnsi="Times New Roman" w:cs="Times New Roman"/>
          <w:color w:val="auto"/>
          <w:u w:val="none" w:color="auto"/>
          <w:lang w:val="en-US" w:eastAsia="zh-CN"/>
        </w:rPr>
        <w:t>:项目区域植被类型图</w:t>
      </w:r>
    </w:p>
    <w:p w14:paraId="7E5578E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附图1</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:生态系统分布图</w:t>
      </w:r>
    </w:p>
    <w:p w14:paraId="6625D5DB">
      <w:pPr>
        <w:bidi w:val="0"/>
        <w:rPr>
          <w:rFonts w:hint="default" w:ascii="Times New Roman" w:hAnsi="Times New Roman" w:cs="Times New Roman"/>
          <w:color w:val="auto"/>
          <w:u w:val="none" w:color="auto"/>
          <w:lang w:val="en-US" w:eastAsia="zh-CN"/>
        </w:rPr>
        <w:sectPr>
          <w:headerReference r:id="rId11" w:type="default"/>
          <w:footerReference r:id="rId12" w:type="default"/>
          <w:pgSz w:w="11911" w:h="16838"/>
          <w:pgMar w:top="1440" w:right="1797" w:bottom="1440" w:left="1797" w:header="907" w:footer="992" w:gutter="0"/>
          <w:pgBorders>
            <w:top w:val="none" w:sz="0" w:space="0"/>
            <w:left w:val="none" w:sz="0" w:space="0"/>
            <w:bottom w:val="none" w:sz="0" w:space="0"/>
            <w:right w:val="none" w:sz="0" w:space="0"/>
          </w:pgBorders>
          <w:pgNumType w:fmt="upperRoman" w:start="1"/>
          <w:cols w:space="720" w:num="1"/>
          <w:docGrid w:linePitch="326" w:charSpace="0"/>
        </w:sectPr>
      </w:pPr>
    </w:p>
    <w:p w14:paraId="7FFC5798">
      <w:pPr>
        <w:pStyle w:val="2"/>
        <w:keepNext/>
        <w:keepLines/>
        <w:spacing w:beforeAutospacing="0" w:afterAutospacing="0"/>
        <w:jc w:val="center"/>
        <w:rPr>
          <w:rFonts w:hint="default" w:ascii="Times New Roman" w:hAnsi="Times New Roman" w:cs="Times New Roman"/>
          <w:color w:val="auto"/>
          <w:szCs w:val="44"/>
          <w:u w:val="none" w:color="auto"/>
        </w:rPr>
      </w:pPr>
      <w:bookmarkStart w:id="2" w:name="_Toc27667"/>
      <w:bookmarkStart w:id="3" w:name="_Toc494049346"/>
      <w:bookmarkStart w:id="4" w:name="_Toc494233692"/>
      <w:bookmarkStart w:id="5" w:name="_Toc3117"/>
      <w:bookmarkStart w:id="6" w:name="_Toc8587"/>
      <w:bookmarkStart w:id="7" w:name="_Toc21887"/>
      <w:r>
        <w:rPr>
          <w:rFonts w:hint="default" w:ascii="Times New Roman" w:hAnsi="Times New Roman" w:cs="Times New Roman"/>
          <w:color w:val="auto"/>
          <w:szCs w:val="44"/>
          <w:u w:val="none" w:color="auto"/>
        </w:rPr>
        <w:t>概述</w:t>
      </w:r>
      <w:bookmarkEnd w:id="2"/>
    </w:p>
    <w:p w14:paraId="14D4C0BA">
      <w:pPr>
        <w:pStyle w:val="3"/>
        <w:rPr>
          <w:rFonts w:hint="default" w:ascii="Times New Roman" w:hAnsi="Times New Roman" w:cs="Times New Roman"/>
          <w:color w:val="auto"/>
          <w:u w:val="none" w:color="auto"/>
        </w:rPr>
      </w:pPr>
      <w:bookmarkStart w:id="8" w:name="_Toc30006"/>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历史背景及</w:t>
      </w:r>
      <w:r>
        <w:rPr>
          <w:rFonts w:hint="default" w:ascii="Times New Roman" w:hAnsi="Times New Roman" w:cs="Times New Roman"/>
          <w:color w:val="auto"/>
          <w:u w:val="none" w:color="auto"/>
        </w:rPr>
        <w:t>由来</w:t>
      </w:r>
      <w:bookmarkEnd w:id="3"/>
      <w:bookmarkEnd w:id="4"/>
      <w:bookmarkEnd w:id="5"/>
      <w:bookmarkEnd w:id="6"/>
      <w:bookmarkEnd w:id="7"/>
      <w:bookmarkEnd w:id="8"/>
    </w:p>
    <w:p w14:paraId="0DA463E0">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廊洞水库基本情况</w:t>
      </w:r>
    </w:p>
    <w:p w14:paraId="71701EA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廊洞水库大坝位于湖南省道县梅花镇廊洞村境内，距G207国道1.5km，距道县县城18km，地理坐标东经111.59˚、北纬25.68˚。廊洞水库属湘江水系潇水一级支流宜水河中游宜阳河，水库坝址以上控制流域集雨面积35.60k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干流长度17.80km，干流平均坡降20.91‰。廊洞水库是一座以灌溉为主，兼顾防洪、发电等综合利用的中型水利工程，工程等别为Ⅲ等。水库校核水位为291.84m，相应总库容为1008.60万m³；设计水位为291.31m，相应设计库容为976.80万m³；正常蓄水位为289.85m，相应正常库容为907.00万m³；死水位为257.33m，死库容为14.00万m³。该工程于1958年动工兴建，1961年建成小</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型水库，后于1973年6月按中型水库扩建，1978年12月竣工。水库枢纽工程主要包括大坝、溢洪道、输水建筑物、坝后式电站。该水库枢纽工程是一座以灌溉为主，兼顾防洪、发电等综合利用的中型水利工程。</w:t>
      </w:r>
    </w:p>
    <w:p w14:paraId="3408D9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根据《防洪标准》(GB50201-2014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及《水利水电工程等级划分及洪水标准》(SL252-2017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的规定:廊洞水库为中型水库，工程等别为Ⅲ等，其主要建筑物级别为3级，次要建筑物为4级，按1000年一遇校核，100年一遇设计，30年一遇消能防冲</w:t>
      </w:r>
      <w:r>
        <w:rPr>
          <w:rFonts w:hint="default" w:ascii="Times New Roman" w:hAnsi="Times New Roman" w:cs="Times New Roman"/>
          <w:color w:val="auto"/>
          <w:u w:val="none" w:color="auto"/>
        </w:rPr>
        <w:t>。</w:t>
      </w:r>
    </w:p>
    <w:p w14:paraId="50E812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大坝坝型为</w:t>
      </w:r>
      <w:r>
        <w:rPr>
          <w:rFonts w:hint="default" w:ascii="Times New Roman" w:hAnsi="Times New Roman" w:cs="Times New Roman"/>
          <w:color w:val="auto"/>
          <w:u w:val="none" w:color="auto"/>
          <w:lang w:eastAsia="zh-CN"/>
        </w:rPr>
        <w:t>黏土心墙坝</w:t>
      </w:r>
      <w:r>
        <w:rPr>
          <w:rFonts w:hint="default" w:ascii="Times New Roman" w:hAnsi="Times New Roman" w:cs="Times New Roman"/>
          <w:color w:val="auto"/>
          <w:u w:val="none" w:color="auto"/>
        </w:rPr>
        <w:t>，大坝坝顶高程297.00m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最大坝高</w:t>
      </w:r>
      <w:r>
        <w:rPr>
          <w:rFonts w:hint="default" w:ascii="Times New Roman" w:hAnsi="Times New Roman" w:cs="Times New Roman"/>
          <w:color w:val="auto"/>
          <w:u w:val="none" w:color="auto"/>
          <w:lang w:eastAsia="zh-CN"/>
        </w:rPr>
        <w:t>45.39m；</w:t>
      </w:r>
      <w:r>
        <w:rPr>
          <w:rFonts w:hint="default" w:ascii="Times New Roman" w:hAnsi="Times New Roman" w:cs="Times New Roman"/>
          <w:color w:val="auto"/>
          <w:u w:val="none" w:color="auto"/>
        </w:rPr>
        <w:t>坝顶轴线长150.00m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坝顶高程294.17m，坝顶宽4.00m。坝顶设砼防护栏杆，高1.10m。大坝上游有3级平台，平台高程自上而下分别为287.56m，274.90m，266.47m，平台宽分别为3.13m，1.96m，2.50m；坡坡比自上而下分别为1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2.62，1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3.30，1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3.70，1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2.89，上游坝坡采用混凝土六方块护坡。</w:t>
      </w:r>
    </w:p>
    <w:p w14:paraId="436EC5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大坝下游有5级平台，平台高程自上而下分别为284.60m，278.86m，271.20m，262.14m，253.45m，平台宽分别为4.50m，3.20m，2.80m，5.00m，2.30m；坡坡比自上而下分别为1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1.93，1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3.49，1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2.52，1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2.16，1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2.16，1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下游坝坡采用块石护坡。溢洪道位于大坝左岸，为侧槽式溢洪道，由控制段、调整段、泄槽段、消力池段组成。控制段为折线型实用堰，堰轴线为弧形，堰顶高程289.85m，长41.00m。调整段长5.00m，宽24.00m；泄槽段，长166.17m，宽24.00m。消力池段长21.54m，池后接泄洪渠。</w:t>
      </w:r>
    </w:p>
    <w:p w14:paraId="7DD946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输水建筑物位于大坝左岸，由放水卧管和输水隧洞组成。卧管内径0.80m，壁厚0.15m，管身全长97.40m，放水孔每3m设一级，共11级，放水孔尺寸0.60×0.60m，采用铸铁闸门，闸门尺寸0.80×0.80m，3t卷样式启闭机启闭。卧管末端设消力井与隧洞相连接，0.15m，全长97.4m，采用铸铁闸门，闸门尺寸0.8×0.8m；消力井进口设闸门，尺寸1.0×1.0m。</w:t>
      </w:r>
    </w:p>
    <w:p w14:paraId="69FE0D7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隧洞为钢筋砼圆管，内径1.20m，衬砌厚度0.35m，全长181.50m。水库下游建两处电站，一处是坝后电站，装机容量为2×160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，另一处是在距大坝900m处的右干渠上建有一落差式电站，装机120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。两处电站总装机440</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rPr>
        <w:t>，年发电量190万</w:t>
      </w:r>
      <w:r>
        <w:rPr>
          <w:rFonts w:hint="default" w:ascii="Times New Roman" w:hAnsi="Times New Roman" w:cs="Times New Roman"/>
          <w:color w:val="auto"/>
          <w:u w:val="none" w:color="auto"/>
          <w:lang w:eastAsia="zh-CN"/>
        </w:rPr>
        <w:t>kW</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h。</w:t>
      </w:r>
    </w:p>
    <w:p w14:paraId="78A602BD">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项目建设历程</w:t>
      </w:r>
    </w:p>
    <w:p w14:paraId="493F8B1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1958年水库动工兴建，1961年建成小(1)型水库，后于1973年6月按中型水库扩建，1978年12月竣工。</w:t>
      </w:r>
    </w:p>
    <w:p w14:paraId="206FCAC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2002年6月，永州市水利水电勘测设计院进行廊洞水库安全鉴定工作。</w:t>
      </w:r>
    </w:p>
    <w:p w14:paraId="16E82A3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2002年11月，省水利厅组织的专家组对廊洞水库进行了安全鉴定审查并批准通过了《廊洞水库大坝安全鉴定书》，大坝安全类别评定为Ⅲ类坝。</w:t>
      </w:r>
    </w:p>
    <w:p w14:paraId="5CD9229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2008年3月，水利部大坝安全管理中心以坝函</w:t>
      </w:r>
      <w:r>
        <w:rPr>
          <w:rFonts w:hint="default" w:ascii="Times New Roman" w:hAnsi="Times New Roman" w:cs="Times New Roman"/>
          <w:color w:val="auto"/>
          <w:highlight w:val="none"/>
          <w:u w:val="none" w:color="auto"/>
          <w:lang w:val="en-US" w:eastAsia="zh-CN"/>
        </w:rPr>
        <w:t>[2008]750号</w:t>
      </w:r>
      <w:r>
        <w:rPr>
          <w:rFonts w:hint="default" w:ascii="Times New Roman" w:hAnsi="Times New Roman" w:cs="Times New Roman"/>
          <w:color w:val="auto"/>
          <w:u w:val="none" w:color="auto"/>
          <w:lang w:val="en-US" w:eastAsia="zh-CN"/>
        </w:rPr>
        <w:t>对道县廊洞水库大坝安全鉴定意见进行了核查，同意廊洞水库大坝为类坝的鉴定结论。</w:t>
      </w:r>
    </w:p>
    <w:p w14:paraId="32F4B78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2008年4月，永州市水利水电勘察设计院对廊洞水库进行了除险加固初步设计。</w:t>
      </w:r>
    </w:p>
    <w:p w14:paraId="47BEF52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2008年10月，湖南省水利厅对永州市水利水电勘察设计院编制的廊洞水库初步设计报告进行了批复(湘水建管</w:t>
      </w:r>
      <w:r>
        <w:rPr>
          <w:rFonts w:hint="default" w:ascii="Times New Roman" w:hAnsi="Times New Roman" w:cs="Times New Roman"/>
          <w:color w:val="auto"/>
          <w:highlight w:val="none"/>
          <w:u w:val="none" w:color="auto"/>
          <w:lang w:val="en-US" w:eastAsia="zh-CN"/>
        </w:rPr>
        <w:t>[2008]124号</w:t>
      </w:r>
      <w:r>
        <w:rPr>
          <w:rFonts w:hint="default" w:ascii="Times New Roman" w:hAnsi="Times New Roman" w:cs="Times New Roman"/>
          <w:color w:val="auto"/>
          <w:u w:val="none" w:color="auto"/>
          <w:lang w:val="en-US" w:eastAsia="zh-CN"/>
        </w:rPr>
        <w:t>)。</w:t>
      </w:r>
    </w:p>
    <w:p w14:paraId="37D4C38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2008年10月，长江水利委员会对永州市水利水电勘察设计院编制的廊洞水库初步设计进行了复核(</w:t>
      </w:r>
      <w:r>
        <w:rPr>
          <w:rFonts w:hint="default" w:ascii="Times New Roman" w:hAnsi="Times New Roman" w:cs="Times New Roman"/>
          <w:color w:val="auto"/>
          <w:highlight w:val="none"/>
          <w:u w:val="none" w:color="auto"/>
          <w:lang w:val="en-US" w:eastAsia="zh-CN"/>
        </w:rPr>
        <w:t>长规</w:t>
      </w:r>
      <w:r>
        <w:rPr>
          <w:rFonts w:hint="default" w:ascii="Times New Roman" w:hAnsi="Times New Roman" w:cs="Times New Roman"/>
          <w:color w:val="auto"/>
          <w:u w:val="none" w:color="auto"/>
          <w:lang w:val="en-US" w:eastAsia="zh-CN"/>
        </w:rPr>
        <w:t>计</w:t>
      </w:r>
      <w:r>
        <w:rPr>
          <w:rFonts w:hint="default" w:ascii="Times New Roman" w:hAnsi="Times New Roman" w:cs="Times New Roman"/>
          <w:color w:val="auto"/>
          <w:highlight w:val="none"/>
          <w:u w:val="none" w:color="auto"/>
          <w:lang w:val="en-US" w:eastAsia="zh-CN"/>
        </w:rPr>
        <w:t>[2008]513号</w:t>
      </w:r>
      <w:r>
        <w:rPr>
          <w:rFonts w:hint="default" w:ascii="Times New Roman" w:hAnsi="Times New Roman" w:cs="Times New Roman"/>
          <w:color w:val="auto"/>
          <w:u w:val="none" w:color="auto"/>
          <w:lang w:val="en-US" w:eastAsia="zh-CN"/>
        </w:rPr>
        <w:t>)。</w:t>
      </w:r>
    </w:p>
    <w:p w14:paraId="48363A3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2008年11月，省水利厅审查通过了湖南南方水利水电勘测设计院编制的技</w:t>
      </w:r>
      <w:r>
        <w:rPr>
          <w:rFonts w:hint="default" w:ascii="Times New Roman" w:hAnsi="Times New Roman" w:cs="Times New Roman"/>
          <w:color w:val="auto"/>
          <w:highlight w:val="none"/>
          <w:u w:val="none" w:color="auto"/>
          <w:lang w:val="en-US" w:eastAsia="zh-CN"/>
        </w:rPr>
        <w:t>施</w:t>
      </w:r>
      <w:r>
        <w:rPr>
          <w:rFonts w:hint="default" w:ascii="Times New Roman" w:hAnsi="Times New Roman" w:cs="Times New Roman"/>
          <w:color w:val="auto"/>
          <w:u w:val="none" w:color="auto"/>
          <w:lang w:val="en-US" w:eastAsia="zh-CN"/>
        </w:rPr>
        <w:t>设计并下达了实施计划(湘水计</w:t>
      </w:r>
      <w:r>
        <w:rPr>
          <w:rFonts w:hint="default" w:ascii="Times New Roman" w:hAnsi="Times New Roman" w:cs="Times New Roman"/>
          <w:color w:val="auto"/>
          <w:highlight w:val="none"/>
          <w:u w:val="none" w:color="auto"/>
          <w:lang w:val="en-US" w:eastAsia="zh-CN"/>
        </w:rPr>
        <w:t>[2009]106号</w:t>
      </w:r>
      <w:r>
        <w:rPr>
          <w:rFonts w:hint="default" w:ascii="Times New Roman" w:hAnsi="Times New Roman" w:cs="Times New Roman"/>
          <w:color w:val="auto"/>
          <w:u w:val="none" w:color="auto"/>
          <w:lang w:val="en-US" w:eastAsia="zh-CN"/>
        </w:rPr>
        <w:t>)。</w:t>
      </w:r>
    </w:p>
    <w:p w14:paraId="67A3B0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2009年10月，永州市水利局批复成立了道县廊洞水库除险加固建设项目部(永水建管</w:t>
      </w:r>
      <w:r>
        <w:rPr>
          <w:rFonts w:hint="eastAsia" w:cs="Times New Roman"/>
          <w:color w:val="auto"/>
          <w:u w:val="none" w:color="auto"/>
          <w:lang w:val="en-US" w:eastAsia="zh-CN"/>
        </w:rPr>
        <w:t>〔2009〕22号</w:t>
      </w:r>
      <w:r>
        <w:rPr>
          <w:rFonts w:hint="default" w:ascii="Times New Roman" w:hAnsi="Times New Roman" w:cs="Times New Roman"/>
          <w:color w:val="auto"/>
          <w:u w:val="none" w:color="auto"/>
          <w:lang w:val="en-US" w:eastAsia="zh-CN"/>
        </w:rPr>
        <w:t>)。</w:t>
      </w:r>
    </w:p>
    <w:p w14:paraId="7A691A4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2009年10月，廊洞水库除险加固工程开工，2010年11月基本完工，共完成投资1293.90万元。实施项目有</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4AE2802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2010年12月，省水利厅在道县组织召开了廊洞水库除险加固工程主体工程投入使用验收会议，验收委员会通过现场检查，查阅资料和认真讨论，形成了廊洞水库除险加固工程主体工程投入使用验收鉴定书，加固工程验收合格同意投入使用。</w:t>
      </w:r>
    </w:p>
    <w:p w14:paraId="628BB8D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2021年3月24日国务院办公厅印发《关于切实加强水库除险加固和运行管护工作的通知》(国办发(2021)8号)，从“十四五”期间水库除险加固和运行管护总体要求、工作措施和各方责任等三个方面，明确了水库除险加固和运行管护工作的指导思想、目标任务。《通知》要求：“十四五”末，集中进行安全鉴定的病险水库和已经鉴定的病险水库要全部完成除险加固。2021年7月8日湖南省人民政府办公厅印发《关于切实加强水库除险加固和运行管护工作的意见》（湘政办发〔2021〕30号），其重点任务包括有序推进水库除险加固。大中型水库方面，对已列入规划的大中型病险水库及时进行除险加固。小型水库方面，按照轻重缓急原则对2020年前已鉴定的小型病险水库和“十四五”期间经鉴定新增的小型病险水库及时进行除险加固，确保安全运行；加快小型水库除险加固遗留问题的处理，确保尽快投入正常运行。根据国务院办公厅《关于切实加强水库除险加固和运行管护工作的通知》（国办发〔2021〕8号）、水利部办公厅《关于进一步做好水库大坝安全鉴定工作的通知》（办建管﹝2018﹞71号）、湖南省人民政府办公厅《关于切实加强水库除险加固和运行管护工作的意见》（湘政办发〔2021〕30号）等文件要求，2022年3月，永州市水利局组织的专家组对廊洞水库进行了安全鉴定审查并批准通过了《廊洞水库大坝安全鉴定书》，大坝安全类别评定为Ⅲ类坝。2024年4月，委托长江水利水电开发集团(湖北)有限公司编制完成了《道县廊洞水库除险加固工程初步设计报告》(报批稿)和技术设计的全套图纸，经</w:t>
      </w:r>
      <w:r>
        <w:rPr>
          <w:rFonts w:hint="default" w:ascii="Times New Roman" w:hAnsi="Times New Roman" w:cs="Times New Roman"/>
          <w:color w:val="auto"/>
          <w:highlight w:val="none"/>
          <w:u w:val="none" w:color="auto"/>
          <w:lang w:val="en-US" w:eastAsia="zh-CN"/>
        </w:rPr>
        <w:t>湖南省水利厅</w:t>
      </w:r>
      <w:r>
        <w:rPr>
          <w:rFonts w:hint="default" w:ascii="Times New Roman" w:hAnsi="Times New Roman" w:cs="Times New Roman"/>
          <w:color w:val="auto"/>
          <w:u w:val="none" w:color="auto"/>
          <w:lang w:val="en-US" w:eastAsia="zh-CN"/>
        </w:rPr>
        <w:t>以湘水函</w:t>
      </w:r>
      <w:r>
        <w:rPr>
          <w:rFonts w:hint="default" w:ascii="Times New Roman" w:hAnsi="Times New Roman" w:cs="Times New Roman"/>
          <w:color w:val="auto"/>
          <w:highlight w:val="none"/>
          <w:u w:val="none" w:color="auto"/>
          <w:lang w:val="en-US" w:eastAsia="zh-CN"/>
        </w:rPr>
        <w:t>〔2024〕308号</w:t>
      </w:r>
      <w:r>
        <w:rPr>
          <w:rFonts w:hint="default" w:ascii="Times New Roman" w:hAnsi="Times New Roman" w:cs="Times New Roman"/>
          <w:color w:val="auto"/>
          <w:u w:val="none" w:color="auto"/>
          <w:lang w:val="en-US" w:eastAsia="zh-CN"/>
        </w:rPr>
        <w:t>文批复，同意初设报告，并据此开展工作。</w:t>
      </w:r>
    </w:p>
    <w:p w14:paraId="36225C3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项目的运行及现状情况</w:t>
      </w:r>
    </w:p>
    <w:p w14:paraId="13F15A3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该工程于1958年动工兴建，1961年建成小(1)型水库，后于1973年6月按中型水库扩建，1978年12月竣工。</w:t>
      </w:r>
    </w:p>
    <w:p w14:paraId="0CF58B1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大坝施工时，未能及时对施工质量进行跟踪检测，加之各种人为及自然因素的影响和危害。</w:t>
      </w:r>
      <w:r>
        <w:rPr>
          <w:rFonts w:hint="default" w:ascii="Times New Roman" w:hAnsi="Times New Roman" w:cs="Times New Roman"/>
          <w:color w:val="auto"/>
          <w:u w:val="none" w:color="auto"/>
          <w:lang w:val="en-US" w:eastAsia="zh-CN"/>
        </w:rPr>
        <w:t>对水库进行实地勘察踏勘，查阅了相关设计、施工、运行管理资料，并与水库运行管理人员进行交流、分析，从现场了解的情况以及结合安全鉴定结论和计算分析，</w:t>
      </w:r>
      <w:r>
        <w:rPr>
          <w:rFonts w:hint="eastAsia" w:cs="Times New Roman"/>
          <w:color w:val="auto"/>
          <w:u w:val="none" w:color="auto"/>
          <w:lang w:eastAsia="zh-CN"/>
        </w:rPr>
        <w:t>目前工程存在的主要问题有</w:t>
      </w:r>
      <w:r>
        <w:rPr>
          <w:rFonts w:hint="eastAsia" w:cs="Times New Roman"/>
          <w:color w:val="auto"/>
          <w:u w:val="none" w:color="auto"/>
          <w:lang w:val="en-US" w:eastAsia="zh-CN"/>
        </w:rPr>
        <w:t>：</w:t>
      </w:r>
    </w:p>
    <w:p w14:paraId="4AB65FA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(1)大坝上游坝坡局部沉陷，砼六方块和防渗铺膜局部破损，坝体心墙渗透系数不满足规范要求，坝体存在渗漏隐患。钻孔显示大坝坝基</w:t>
      </w:r>
      <w:r>
        <w:rPr>
          <w:rFonts w:hint="default" w:ascii="Times New Roman" w:hAnsi="Times New Roman" w:cs="Times New Roman"/>
          <w:color w:val="auto"/>
          <w:highlight w:val="none"/>
          <w:u w:val="none" w:color="auto"/>
          <w:lang w:val="en-US" w:eastAsia="zh-CN"/>
        </w:rPr>
        <w:t>砂砾石层</w:t>
      </w:r>
      <w:r>
        <w:rPr>
          <w:rFonts w:hint="default" w:ascii="Times New Roman" w:hAnsi="Times New Roman" w:cs="Times New Roman"/>
          <w:color w:val="auto"/>
          <w:u w:val="none" w:color="auto"/>
          <w:lang w:val="en-US" w:eastAsia="zh-CN"/>
        </w:rPr>
        <w:t>存在渗漏，两岸坝肩绕坝渗漏，大坝左肩下游电站尾水渠边墙处存在渗漏，渗漏量约12L/s，随着水位升高而加大，大坝左肩下游坝面坡脚浆砌石壁缝隙中出现渗水。</w:t>
      </w:r>
    </w:p>
    <w:p w14:paraId="10311D8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(2)大坝下游坝坡排水沟淤堵且未延伸至坡脚。大坝下游左侧第4~5级平台间坝坡未护砌，左侧坡脚无排水设施。</w:t>
      </w:r>
    </w:p>
    <w:p w14:paraId="4721B0D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(3)溢洪道泄槽段底板表层冲刷脱皮、露筋、开裂，填缝以及止水失效，破损较严重，浆砌石边墙局部漏浆；消力池底板冲毁严重，尾水渠底板冲垮。</w:t>
      </w:r>
    </w:p>
    <w:p w14:paraId="1182DCF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(4)卧管下部钢闸门、拉锁以及启闭设施老化以及锈蚀，闸门启闭困难；下库踏步较陡，两侧无防护栏杆，存在安全隐患；输水隧洞存在渗漏；无连接坝顶运行管理通行便道。</w:t>
      </w:r>
    </w:p>
    <w:p w14:paraId="0C17179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(5)大坝右岸坝肩、岸坡坡度较陡，现状已有张拉变形的趋势，在长期气候影</w:t>
      </w:r>
      <w:r>
        <w:rPr>
          <w:rFonts w:hint="default" w:ascii="Times New Roman" w:hAnsi="Times New Roman" w:cs="Times New Roman"/>
          <w:color w:val="auto"/>
          <w:highlight w:val="none"/>
          <w:u w:val="none" w:color="auto"/>
          <w:lang w:val="en-US" w:eastAsia="zh-CN"/>
        </w:rPr>
        <w:t>响</w:t>
      </w:r>
      <w:r>
        <w:rPr>
          <w:rFonts w:hint="default" w:ascii="Times New Roman" w:hAnsi="Times New Roman" w:cs="Times New Roman"/>
          <w:color w:val="auto"/>
          <w:u w:val="none" w:color="auto"/>
          <w:lang w:val="en-US" w:eastAsia="zh-CN"/>
        </w:rPr>
        <w:t>，水流淘蚀及风化作用将会加剧岸坡变形破坏，左侧岸坡浅表层</w:t>
      </w:r>
      <w:r>
        <w:rPr>
          <w:rFonts w:hint="default" w:ascii="Times New Roman" w:hAnsi="Times New Roman" w:cs="Times New Roman"/>
          <w:color w:val="auto"/>
          <w:highlight w:val="none"/>
          <w:u w:val="none" w:color="auto"/>
          <w:lang w:val="en-US" w:eastAsia="zh-CN"/>
        </w:rPr>
        <w:t>凤</w:t>
      </w:r>
      <w:r>
        <w:rPr>
          <w:rFonts w:hint="default" w:ascii="Times New Roman" w:hAnsi="Times New Roman" w:cs="Times New Roman"/>
          <w:color w:val="auto"/>
          <w:u w:val="none" w:color="auto"/>
          <w:lang w:val="en-US" w:eastAsia="zh-CN"/>
        </w:rPr>
        <w:t>化强烈，局部</w:t>
      </w:r>
      <w:r>
        <w:rPr>
          <w:rFonts w:hint="default" w:ascii="Times New Roman" w:hAnsi="Times New Roman" w:cs="Times New Roman"/>
          <w:color w:val="auto"/>
          <w:highlight w:val="none"/>
          <w:u w:val="none" w:color="auto"/>
          <w:lang w:val="en-US" w:eastAsia="zh-CN"/>
        </w:rPr>
        <w:t>岸披</w:t>
      </w:r>
      <w:r>
        <w:rPr>
          <w:rFonts w:hint="default" w:ascii="Times New Roman" w:hAnsi="Times New Roman" w:cs="Times New Roman"/>
          <w:color w:val="auto"/>
          <w:u w:val="none" w:color="auto"/>
          <w:lang w:val="en-US" w:eastAsia="zh-CN"/>
        </w:rPr>
        <w:t>松散岩土体滑塌；进坝公路近坝段局部可见岩块松弛的现象，且无支护措施，存在一定的安全隐患。</w:t>
      </w:r>
    </w:p>
    <w:p w14:paraId="504724A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(6)大坝有变形监测设施，局部设施已损坏，无渗流及水位监测设施。</w:t>
      </w:r>
    </w:p>
    <w:p w14:paraId="359FA77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(7)水库无防汛值班管理房及防汛砂石料场等管理设施。</w:t>
      </w:r>
    </w:p>
    <w:p w14:paraId="69FEF3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(8)大坝下游坝坡发现白蚁活动踪迹，蚁患较严重。</w:t>
      </w:r>
    </w:p>
    <w:p w14:paraId="62F3DFB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工程除险加固情况</w:t>
      </w:r>
    </w:p>
    <w:p w14:paraId="4DF2614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lang w:eastAsia="zh-CN"/>
        </w:rPr>
        <w:t>2009年</w:t>
      </w:r>
      <w:r>
        <w:rPr>
          <w:rFonts w:hint="default" w:ascii="Times New Roman" w:hAnsi="Times New Roman" w:cs="Times New Roman"/>
          <w:color w:val="auto"/>
          <w:u w:val="none" w:color="auto"/>
        </w:rPr>
        <w:t>以前加固情况</w:t>
      </w:r>
    </w:p>
    <w:p w14:paraId="77097E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月20日基本完工，共完成投资1293.9万元，其中完成合同投资1168.4万元。</w:t>
      </w:r>
    </w:p>
    <w:p w14:paraId="3BAC3E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2009年</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月</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2011年</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月除险加固工程施工完成，实施项目有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457AEE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验收遗留问题</w:t>
      </w:r>
      <w:r>
        <w:rPr>
          <w:rFonts w:hint="eastAsia" w:cs="Times New Roman"/>
          <w:color w:val="auto"/>
          <w:u w:val="none" w:color="auto"/>
          <w:lang w:eastAsia="zh-CN"/>
        </w:rPr>
        <w:t>：</w:t>
      </w:r>
      <w:r>
        <w:rPr>
          <w:rFonts w:hint="default" w:ascii="Times New Roman" w:hAnsi="Times New Roman" w:cs="Times New Roman"/>
          <w:color w:val="auto"/>
          <w:u w:val="none" w:color="auto"/>
        </w:rPr>
        <w:t>观测设施、房屋改造和防汛道路施工等项目未实施。</w:t>
      </w:r>
    </w:p>
    <w:p w14:paraId="78EF6F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2009年</w:t>
      </w:r>
      <w:r>
        <w:rPr>
          <w:rFonts w:hint="default" w:ascii="Times New Roman" w:hAnsi="Times New Roman" w:cs="Times New Roman"/>
          <w:color w:val="auto"/>
          <w:u w:val="none" w:color="auto"/>
        </w:rPr>
        <w:t>以后加固情况</w:t>
      </w:r>
    </w:p>
    <w:p w14:paraId="47DB199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安全鉴定情况</w:t>
      </w:r>
    </w:p>
    <w:p w14:paraId="6266D629">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针对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工程存在的病险问题和安全隐患，2022年3月，永州市水利局组织的专家组对廊洞水库进行了安全鉴定审查并批准通过了《廊洞水库大坝安全鉴定书》，大坝安全类别评定为Ⅲ类坝，鉴定结论如下</w:t>
      </w:r>
      <w:r>
        <w:rPr>
          <w:rFonts w:hint="eastAsia" w:cs="Times New Roman"/>
          <w:color w:val="auto"/>
          <w:u w:val="none" w:color="auto"/>
          <w:lang w:eastAsia="zh-CN"/>
        </w:rPr>
        <w:t>：</w:t>
      </w:r>
    </w:p>
    <w:p w14:paraId="22BCA6C5">
      <w:pPr>
        <w:spacing w:line="240" w:lineRule="auto"/>
        <w:ind w:left="0" w:leftChars="0" w:firstLine="0" w:firstLineChars="0"/>
        <w:jc w:val="center"/>
        <w:rPr>
          <w:rFonts w:hint="default" w:ascii="Times New Roman" w:hAnsi="Times New Roman" w:eastAsia="宋体" w:cs="Times New Roman"/>
          <w:b/>
          <w:bCs/>
          <w:color w:val="auto"/>
          <w:spacing w:val="-1"/>
          <w:sz w:val="21"/>
          <w:szCs w:val="21"/>
          <w:u w:val="none" w:color="auto"/>
        </w:rPr>
      </w:pPr>
      <w:r>
        <w:rPr>
          <w:rFonts w:hint="default" w:ascii="Times New Roman" w:hAnsi="Times New Roman" w:eastAsia="宋体" w:cs="Times New Roman"/>
          <w:b/>
          <w:bCs/>
          <w:color w:val="auto"/>
          <w:spacing w:val="-1"/>
          <w:sz w:val="21"/>
          <w:szCs w:val="21"/>
          <w:u w:val="none" w:color="auto"/>
        </w:rPr>
        <w:t>表1.1-1  廊洞水库大坝安全评价表</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75"/>
        <w:gridCol w:w="3250"/>
        <w:gridCol w:w="3502"/>
      </w:tblGrid>
      <w:tr w14:paraId="78D41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8" w:space="0"/>
              <w:left w:val="single" w:color="000000" w:sz="8" w:space="0"/>
              <w:bottom w:val="single" w:color="000000" w:sz="4" w:space="0"/>
              <w:right w:val="single" w:color="000000" w:sz="4" w:space="0"/>
            </w:tcBorders>
            <w:shd w:val="clear" w:color="auto" w:fill="auto"/>
            <w:vAlign w:val="top"/>
          </w:tcPr>
          <w:p w14:paraId="4C55552D">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序号</w:t>
            </w:r>
          </w:p>
        </w:tc>
        <w:tc>
          <w:tcPr>
            <w:tcW w:w="3250" w:type="dxa"/>
            <w:tcBorders>
              <w:top w:val="single" w:color="000000" w:sz="8" w:space="0"/>
              <w:left w:val="single" w:color="000000" w:sz="4" w:space="0"/>
              <w:bottom w:val="single" w:color="000000" w:sz="4" w:space="0"/>
              <w:right w:val="single" w:color="000000" w:sz="4" w:space="0"/>
            </w:tcBorders>
            <w:shd w:val="clear" w:color="auto" w:fill="auto"/>
            <w:vAlign w:val="top"/>
          </w:tcPr>
          <w:p w14:paraId="14D8816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内容</w:t>
            </w:r>
          </w:p>
        </w:tc>
        <w:tc>
          <w:tcPr>
            <w:tcW w:w="3502" w:type="dxa"/>
            <w:tcBorders>
              <w:top w:val="single" w:color="000000" w:sz="8" w:space="0"/>
              <w:left w:val="single" w:color="000000" w:sz="4" w:space="0"/>
              <w:bottom w:val="single" w:color="000000" w:sz="4" w:space="0"/>
              <w:right w:val="single" w:color="000000" w:sz="8" w:space="0"/>
            </w:tcBorders>
            <w:shd w:val="clear" w:color="auto" w:fill="auto"/>
            <w:vAlign w:val="top"/>
          </w:tcPr>
          <w:p w14:paraId="3BCC2F5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安全等级</w:t>
            </w:r>
          </w:p>
        </w:tc>
      </w:tr>
      <w:tr w14:paraId="79131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7B41BF85">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4B0BA86B">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工程质量评价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09205B5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不合格</w:t>
            </w:r>
          </w:p>
        </w:tc>
      </w:tr>
      <w:tr w14:paraId="0C2607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17CE099E">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21C2E6F4">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运行管理评价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043C4B86">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不规范</w:t>
            </w:r>
          </w:p>
        </w:tc>
      </w:tr>
      <w:tr w14:paraId="49616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5888837F">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650F799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防洪标准复核</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355FAAC5">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 级</w:t>
            </w:r>
          </w:p>
        </w:tc>
      </w:tr>
      <w:tr w14:paraId="7E018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48F16505">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41E5017F">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渗流安全评价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6FBB084F">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 级</w:t>
            </w:r>
          </w:p>
        </w:tc>
      </w:tr>
      <w:tr w14:paraId="7F4FB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6A248AEA">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06C6BAB7">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结构安全评价</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19B1CC5A">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 级</w:t>
            </w:r>
          </w:p>
        </w:tc>
      </w:tr>
      <w:tr w14:paraId="04B5D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4" w:space="0"/>
              <w:right w:val="single" w:color="000000" w:sz="4" w:space="0"/>
            </w:tcBorders>
            <w:shd w:val="clear" w:color="auto" w:fill="auto"/>
            <w:vAlign w:val="top"/>
          </w:tcPr>
          <w:p w14:paraId="0239422D">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3250" w:type="dxa"/>
            <w:tcBorders>
              <w:top w:val="single" w:color="000000" w:sz="4" w:space="0"/>
              <w:left w:val="single" w:color="000000" w:sz="4" w:space="0"/>
              <w:bottom w:val="single" w:color="000000" w:sz="4" w:space="0"/>
              <w:right w:val="single" w:color="000000" w:sz="4" w:space="0"/>
            </w:tcBorders>
            <w:shd w:val="clear" w:color="auto" w:fill="auto"/>
            <w:vAlign w:val="top"/>
          </w:tcPr>
          <w:p w14:paraId="3979C9C1">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抗震复核</w:t>
            </w:r>
          </w:p>
        </w:tc>
        <w:tc>
          <w:tcPr>
            <w:tcW w:w="3502" w:type="dxa"/>
            <w:tcBorders>
              <w:top w:val="single" w:color="000000" w:sz="4" w:space="0"/>
              <w:left w:val="single" w:color="000000" w:sz="4" w:space="0"/>
              <w:bottom w:val="single" w:color="000000" w:sz="4" w:space="0"/>
              <w:right w:val="single" w:color="000000" w:sz="8" w:space="0"/>
            </w:tcBorders>
            <w:shd w:val="clear" w:color="auto" w:fill="auto"/>
            <w:vAlign w:val="top"/>
          </w:tcPr>
          <w:p w14:paraId="75224ED4">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61768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775" w:type="dxa"/>
            <w:tcBorders>
              <w:top w:val="single" w:color="000000" w:sz="4" w:space="0"/>
              <w:left w:val="single" w:color="000000" w:sz="8" w:space="0"/>
              <w:bottom w:val="single" w:color="000000" w:sz="8" w:space="0"/>
              <w:right w:val="single" w:color="000000" w:sz="4" w:space="0"/>
            </w:tcBorders>
            <w:shd w:val="clear" w:color="auto" w:fill="auto"/>
            <w:vAlign w:val="top"/>
          </w:tcPr>
          <w:p w14:paraId="5955017E">
            <w:pPr>
              <w:keepNext w:val="0"/>
              <w:keepLines w:val="0"/>
              <w:widowControl/>
              <w:suppressLineNumbers w:val="0"/>
              <w:spacing w:line="240" w:lineRule="auto"/>
              <w:ind w:left="0" w:leftChars="0" w:firstLine="0" w:firstLineChars="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3250" w:type="dxa"/>
            <w:tcBorders>
              <w:top w:val="single" w:color="000000" w:sz="4" w:space="0"/>
              <w:left w:val="single" w:color="000000" w:sz="4" w:space="0"/>
              <w:bottom w:val="single" w:color="000000" w:sz="8" w:space="0"/>
              <w:right w:val="single" w:color="000000" w:sz="4" w:space="0"/>
            </w:tcBorders>
            <w:shd w:val="clear" w:color="auto" w:fill="auto"/>
            <w:vAlign w:val="top"/>
          </w:tcPr>
          <w:p w14:paraId="2AB3AA67">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金属结构评价</w:t>
            </w:r>
          </w:p>
        </w:tc>
        <w:tc>
          <w:tcPr>
            <w:tcW w:w="3502" w:type="dxa"/>
            <w:tcBorders>
              <w:top w:val="single" w:color="000000" w:sz="4" w:space="0"/>
              <w:left w:val="single" w:color="000000" w:sz="4" w:space="0"/>
              <w:bottom w:val="single" w:color="000000" w:sz="8" w:space="0"/>
              <w:right w:val="single" w:color="000000" w:sz="8" w:space="0"/>
            </w:tcBorders>
            <w:shd w:val="clear" w:color="auto" w:fill="auto"/>
            <w:vAlign w:val="top"/>
          </w:tcPr>
          <w:p w14:paraId="246AD1FD">
            <w:pPr>
              <w:keepNext w:val="0"/>
              <w:keepLines w:val="0"/>
              <w:widowControl/>
              <w:suppressLineNumbers w:val="0"/>
              <w:spacing w:line="240" w:lineRule="auto"/>
              <w:ind w:firstLineChars="200"/>
              <w:jc w:val="center"/>
              <w:textAlignment w:val="top"/>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 级</w:t>
            </w:r>
          </w:p>
        </w:tc>
      </w:tr>
    </w:tbl>
    <w:p w14:paraId="35740A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规定的大坝安全分类具体标准，安全认定确定将廊洞水库大坝定为三类坝。</w:t>
      </w:r>
    </w:p>
    <w:p w14:paraId="608B4ED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除险加固初步设计批复情况</w:t>
      </w:r>
    </w:p>
    <w:p w14:paraId="7024363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u w:val="none" w:color="auto"/>
          <w:lang w:val="en-US" w:eastAsia="zh-CN"/>
        </w:rPr>
        <w:t>2024年4月，委托长江水利水电开发集团(湖北)有限公司编制完成了《道县廊洞水库除险加固工程初步设计报告》(报批稿)。</w:t>
      </w:r>
    </w:p>
    <w:p w14:paraId="55EABF9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除险加固实施情况</w:t>
      </w:r>
    </w:p>
    <w:p w14:paraId="6C98CB4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月20日基本完工，共完成投资1293.9万元，其中完成合同投资1168.4万元。</w:t>
      </w:r>
    </w:p>
    <w:p w14:paraId="7C8D84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2009年</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月</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2011年</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月除险加固工程施工完成，实施项目有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22C1C7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修建在砂卵石和风化松散地层上，由于基础处理不到位，坝体填筑碾压质量较差，加之运行时间长，管理、维护跟不上，大坝蓄水后就出现渗漏现象，且渗漏量逐年增大，虽经1989年、1996年、1999年、2009年四次帷幕灌浆处理，对于坝基抗渗能力起到了一定的改善，但并未根本解决漏水问题，严重影响大坝安全。</w:t>
      </w:r>
    </w:p>
    <w:p w14:paraId="0DE31FA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安全鉴定结论</w:t>
      </w:r>
    </w:p>
    <w:p w14:paraId="44BE6D0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针对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工程存在的病险问题和安全隐患，2022年3月，永州市水利局组织的专家组对廊洞水库进行了安全鉴定审查并批准通过了《廊洞水库大坝安全鉴定书》，大坝安全类别评定为Ⅲ类坝，鉴定结论如下</w:t>
      </w:r>
      <w:r>
        <w:rPr>
          <w:rFonts w:hint="eastAsia" w:cs="Times New Roman"/>
          <w:color w:val="auto"/>
          <w:u w:val="none" w:color="auto"/>
          <w:lang w:eastAsia="zh-CN"/>
        </w:rPr>
        <w:t>：</w:t>
      </w:r>
    </w:p>
    <w:p w14:paraId="567EC5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工程质量评价</w:t>
      </w:r>
    </w:p>
    <w:p w14:paraId="3563FE5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廊洞水库大坝工程质量不满足设计和规范要求，现状工程运行过程中溢洪道、消力池、尾水渠底板出现不同程度的破坏，影响廊洞水库的安全运行，工程质量评价为不合格。</w:t>
      </w:r>
    </w:p>
    <w:p w14:paraId="62D5C73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运行管理评价</w:t>
      </w:r>
    </w:p>
    <w:p w14:paraId="7002CB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大坝没有得到完好的维修，一直处于带病运行状态；安全监测设施不完善缺乏渗流</w:t>
      </w:r>
      <w:r>
        <w:rPr>
          <w:rFonts w:hint="default" w:ascii="Times New Roman" w:hAnsi="Times New Roman" w:cs="Times New Roman"/>
          <w:color w:val="auto"/>
          <w:highlight w:val="none"/>
          <w:u w:val="none" w:color="auto"/>
          <w:lang w:eastAsia="zh-CN"/>
        </w:rPr>
        <w:t>观测</w:t>
      </w:r>
      <w:r>
        <w:rPr>
          <w:rFonts w:hint="default" w:ascii="Times New Roman" w:hAnsi="Times New Roman" w:cs="Times New Roman"/>
          <w:color w:val="auto"/>
          <w:u w:val="none" w:color="auto"/>
        </w:rPr>
        <w:t>设施，运行管理评价为不规范。</w:t>
      </w:r>
    </w:p>
    <w:p w14:paraId="0D817B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防洪能力复核</w:t>
      </w:r>
    </w:p>
    <w:p w14:paraId="21D12AA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洪水标准符合现行规范要求；大坝坝顶高程满足防洪要求，溢流坝段导墙顶部高程满足规范要求。但现状廊洞水库溢洪道底板，消力池底板已出现不同程度的破坏，尾水渠底板冲毁严重；对水库泄洪造成了一定的安全隐患，防洪能力复核为B级。</w:t>
      </w:r>
    </w:p>
    <w:p w14:paraId="5D987D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结构安全评价</w:t>
      </w:r>
    </w:p>
    <w:p w14:paraId="5C3F3E0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廊洞水库大坝抗滑稳定及上、下游护坡满足规范要求，但溢洪道底板，消力池底板已出现不同程度的破坏，尾水渠底板冲毁严重；近岸坝坡存在局部崩塌现象，结构安全评价为C级。</w:t>
      </w:r>
    </w:p>
    <w:p w14:paraId="77B146F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渗流安全评价</w:t>
      </w:r>
    </w:p>
    <w:p w14:paraId="5D00A3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坝基原地质条件较差，加之多年流水掏蚀影响，大坝现存在绕坝渗漏及坝基渗漏情况，需进一步进行处理，渗流安全评价为C级。</w:t>
      </w:r>
    </w:p>
    <w:p w14:paraId="56986B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抗震安全评价</w:t>
      </w:r>
    </w:p>
    <w:p w14:paraId="2C2A4D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水库位于地震动峰值加速度为小于0.05g的地区，相应地震基本烈度为小于VI度区。可不进行结构抗震安全复核。</w:t>
      </w:r>
    </w:p>
    <w:p w14:paraId="452FC2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金属结构安全评价</w:t>
      </w:r>
    </w:p>
    <w:p w14:paraId="7E4A8C8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通过对廊洞水库卧管钢闸门、</w:t>
      </w:r>
      <w:r>
        <w:rPr>
          <w:rFonts w:hint="default" w:ascii="Times New Roman" w:hAnsi="Times New Roman" w:cs="Times New Roman"/>
          <w:color w:val="auto"/>
          <w:highlight w:val="none"/>
          <w:u w:val="none" w:color="auto"/>
        </w:rPr>
        <w:t>拉锁</w:t>
      </w:r>
      <w:r>
        <w:rPr>
          <w:rFonts w:hint="default" w:ascii="Times New Roman" w:hAnsi="Times New Roman" w:cs="Times New Roman"/>
          <w:color w:val="auto"/>
          <w:u w:val="none" w:color="auto"/>
        </w:rPr>
        <w:t>及启闭设备进行的金属结构质量检测表明，金属结构表面都存在一定的锈蚀情况，锈蚀程度评定为B级，所有焊缝外观质量良好，检测结果为合格，金属结构安全评价为B级</w:t>
      </w:r>
      <w:r>
        <w:rPr>
          <w:rFonts w:hint="default" w:ascii="Times New Roman" w:hAnsi="Times New Roman" w:cs="Times New Roman"/>
          <w:color w:val="auto"/>
          <w:u w:val="none" w:color="auto"/>
          <w:lang w:eastAsia="zh-CN"/>
        </w:rPr>
        <w:t>。</w:t>
      </w:r>
    </w:p>
    <w:p w14:paraId="55F465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廊洞水库大坝安全评价表详见表1.1-1。</w:t>
      </w:r>
    </w:p>
    <w:p w14:paraId="45FE6B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综上所述，根据《水库大坝安全评价导则》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规定的大坝安全分类具体标准，安全认定确定将廊洞水库大坝定为三类坝。</w:t>
      </w:r>
    </w:p>
    <w:p w14:paraId="3F9255F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评价工作的由来</w:t>
      </w:r>
    </w:p>
    <w:p w14:paraId="4AC8946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根据以上水库存在的主要问题，并结合大坝安全鉴定的结论，只有通过水库再次进行除险加固，才能彻底消除安全隐患，保证水库安全运行，也才能完成水库负责的各项任务。</w:t>
      </w:r>
    </w:p>
    <w:p w14:paraId="7D80513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水库工程除险加固后，可有效排除工程历年积累的安全隐患，保证枢纽工程安全运行，水库综合效益则会继续正常发挥，也为地区防洪、发电、灌溉等提供有力保障，</w:t>
      </w:r>
      <w:r>
        <w:rPr>
          <w:rFonts w:hint="default" w:ascii="Times New Roman" w:hAnsi="Times New Roman" w:cs="Times New Roman"/>
          <w:color w:val="auto"/>
          <w:u w:val="none" w:color="auto"/>
          <w:lang w:val="en-US" w:eastAsia="zh-CN"/>
        </w:rPr>
        <w:t>改善区域农业生态环境、人居环境，</w:t>
      </w:r>
      <w:r>
        <w:rPr>
          <w:rFonts w:hint="default" w:ascii="Times New Roman" w:hAnsi="Times New Roman" w:cs="Times New Roman"/>
          <w:color w:val="auto"/>
          <w:u w:val="none" w:color="auto"/>
        </w:rPr>
        <w:t>工程除险加固实施后将带来良好的社会效益和较大的经济效益。</w:t>
      </w:r>
    </w:p>
    <w:p w14:paraId="3B193D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因此，为了充分发挥大坝的防洪、发电、灌溉、旅游等功能，提高当地人民的正常生活水平，从而促进当地社会经济的快速发展，对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进行除险加固是很有必要的。</w:t>
      </w:r>
      <w:r>
        <w:rPr>
          <w:rFonts w:hint="default" w:ascii="Times New Roman" w:hAnsi="Times New Roman" w:cs="Times New Roman"/>
          <w:color w:val="auto"/>
          <w:u w:val="none" w:color="auto"/>
          <w:lang w:val="en-US" w:eastAsia="zh-CN"/>
        </w:rPr>
        <w:t>为此，道县水利局启动了</w:t>
      </w: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lang w:val="en-US" w:eastAsia="zh-CN"/>
        </w:rPr>
        <w:t>建设。</w:t>
      </w:r>
    </w:p>
    <w:p w14:paraId="510C3E1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为了评估该项目对区域</w:t>
      </w:r>
      <w:r>
        <w:rPr>
          <w:rFonts w:hint="default" w:ascii="Times New Roman" w:hAnsi="Times New Roman" w:cs="Times New Roman"/>
          <w:color w:val="auto"/>
          <w:u w:val="none" w:color="auto"/>
          <w:lang w:val="en-US" w:eastAsia="zh-CN"/>
        </w:rPr>
        <w:t>生态环境</w:t>
      </w:r>
      <w:r>
        <w:rPr>
          <w:rFonts w:hint="default" w:ascii="Times New Roman" w:hAnsi="Times New Roman" w:cs="Times New Roman"/>
          <w:color w:val="auto"/>
          <w:u w:val="none" w:color="auto"/>
        </w:rPr>
        <w:t>带来的变化和可能产生的不利影响，为环保部门提供决策依据，根据《中华人民共和国环境影响评价法》及《建设项目环境保护管理条例》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国务院令第682号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等，该项目需进行环境影响评价，</w:t>
      </w:r>
      <w:r>
        <w:rPr>
          <w:rFonts w:hint="default" w:ascii="Times New Roman" w:hAnsi="Times New Roman" w:cs="Times New Roman"/>
          <w:color w:val="auto"/>
          <w:u w:val="none" w:color="auto"/>
          <w:lang w:val="en-US" w:eastAsia="zh-CN"/>
        </w:rPr>
        <w:t>根据</w:t>
      </w:r>
      <w:r>
        <w:rPr>
          <w:rFonts w:hint="default" w:ascii="Times New Roman" w:hAnsi="Times New Roman" w:cs="Times New Roman"/>
          <w:color w:val="auto"/>
          <w:u w:val="none" w:color="auto"/>
        </w:rPr>
        <w:t>《建设项目环</w:t>
      </w:r>
      <w:r>
        <w:rPr>
          <w:rFonts w:hint="default" w:ascii="Times New Roman" w:hAnsi="Times New Roman" w:cs="Times New Roman"/>
          <w:color w:val="auto"/>
          <w:u w:val="none" w:color="auto"/>
          <w:lang w:val="en-US" w:eastAsia="zh-CN"/>
        </w:rPr>
        <w:t>境影响评价分类管理名录》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生态环境部令第1号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五十一、水利124水库-库容1000万立方米及以上；涉及环境敏感区的”需编制环境影响评价报告书，廊洞水库设计总库容1008.6万m³，涉及永州市道县梅花镇廊洞水库饮用水水源保护区等环境敏感区，须编制环境影响报告书。</w:t>
      </w:r>
    </w:p>
    <w:p w14:paraId="6D7651C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为此，</w:t>
      </w:r>
      <w:r>
        <w:rPr>
          <w:rFonts w:hint="default" w:ascii="Times New Roman" w:hAnsi="Times New Roman" w:cs="Times New Roman"/>
          <w:color w:val="auto"/>
          <w:u w:val="none" w:color="auto"/>
          <w:lang w:eastAsia="zh-CN"/>
        </w:rPr>
        <w:t>道县水利局</w:t>
      </w:r>
      <w:r>
        <w:rPr>
          <w:rFonts w:hint="default" w:ascii="Times New Roman" w:hAnsi="Times New Roman" w:cs="Times New Roman"/>
          <w:color w:val="auto"/>
          <w:u w:val="none" w:color="auto"/>
        </w:rPr>
        <w:t>委托</w:t>
      </w:r>
      <w:r>
        <w:rPr>
          <w:rFonts w:hint="default" w:ascii="Times New Roman" w:hAnsi="Times New Roman" w:cs="Times New Roman"/>
          <w:color w:val="auto"/>
          <w:u w:val="none" w:color="auto"/>
          <w:lang w:eastAsia="zh-CN"/>
        </w:rPr>
        <w:t>湖南</w:t>
      </w:r>
      <w:r>
        <w:rPr>
          <w:rFonts w:hint="eastAsia" w:cs="Times New Roman"/>
          <w:color w:val="auto"/>
          <w:u w:val="none" w:color="auto"/>
          <w:lang w:val="en-US" w:eastAsia="zh-CN"/>
        </w:rPr>
        <w:t>振澜</w:t>
      </w:r>
      <w:r>
        <w:rPr>
          <w:rFonts w:hint="default" w:ascii="Times New Roman" w:hAnsi="Times New Roman" w:cs="Times New Roman"/>
          <w:color w:val="auto"/>
          <w:u w:val="none" w:color="auto"/>
          <w:lang w:eastAsia="zh-CN"/>
        </w:rPr>
        <w:t>环保有限公司</w:t>
      </w:r>
      <w:r>
        <w:rPr>
          <w:rFonts w:hint="default" w:ascii="Times New Roman" w:hAnsi="Times New Roman" w:cs="Times New Roman"/>
          <w:color w:val="auto"/>
          <w:u w:val="none" w:color="auto"/>
        </w:rPr>
        <w:t>承担项目环境影响评价工作。我公司在接受委托后，立即组织有关技术人员对工程场址及其周围环境进行了详尽的实地勘查和相关资料的收集、核实与分析工作，在此基础上，按照《环境影响评价技术导则》所规定的原则、方法、内容及要求，编制了本建设项目环境影响报告书，供环境主管部门审查批准。</w:t>
      </w:r>
    </w:p>
    <w:p w14:paraId="40EDC96B">
      <w:pPr>
        <w:bidi w:val="0"/>
        <w:rPr>
          <w:rFonts w:hint="default" w:ascii="Times New Roman" w:hAnsi="Times New Roman" w:cs="Times New Roman"/>
          <w:color w:val="auto"/>
          <w:u w:val="none" w:color="auto"/>
          <w:lang w:val="en-US" w:eastAsia="zh-CN"/>
        </w:rPr>
      </w:pPr>
      <w:r>
        <w:rPr>
          <w:rFonts w:hint="default" w:ascii="Times New Roman" w:hAnsi="Times New Roman" w:cs="Times New Roman"/>
          <w:b/>
          <w:bCs/>
          <w:color w:val="auto"/>
          <w:u w:val="none" w:color="auto"/>
          <w:lang w:val="en-US" w:eastAsia="zh-CN"/>
        </w:rPr>
        <w:t>本次评价内容仅为廊洞水库除险加固涉及的大坝及临时工程，不包括水库坝后电站及下游</w:t>
      </w:r>
      <w:r>
        <w:rPr>
          <w:rFonts w:hint="default" w:ascii="Times New Roman" w:hAnsi="Times New Roman" w:cs="Times New Roman"/>
          <w:b/>
          <w:bCs/>
          <w:color w:val="auto"/>
          <w:highlight w:val="none"/>
          <w:u w:val="none" w:color="auto"/>
          <w:lang w:val="en-US" w:eastAsia="zh-CN"/>
        </w:rPr>
        <w:t>灌区</w:t>
      </w:r>
      <w:r>
        <w:rPr>
          <w:rFonts w:hint="default" w:ascii="Times New Roman" w:hAnsi="Times New Roman" w:cs="Times New Roman"/>
          <w:b/>
          <w:bCs/>
          <w:color w:val="auto"/>
          <w:u w:val="none" w:color="auto"/>
          <w:lang w:val="en-US" w:eastAsia="zh-CN"/>
        </w:rPr>
        <w:t>的相关内容。</w:t>
      </w:r>
    </w:p>
    <w:p w14:paraId="25B94815">
      <w:pPr>
        <w:pStyle w:val="3"/>
        <w:rPr>
          <w:rFonts w:hint="default" w:ascii="Times New Roman" w:hAnsi="Times New Roman" w:cs="Times New Roman"/>
          <w:color w:val="auto"/>
          <w:u w:val="none" w:color="auto"/>
          <w:lang w:val="en-US" w:eastAsia="zh-CN"/>
        </w:rPr>
      </w:pPr>
      <w:bookmarkStart w:id="9" w:name="_Toc31850"/>
      <w:r>
        <w:rPr>
          <w:rFonts w:hint="default" w:ascii="Times New Roman" w:hAnsi="Times New Roman" w:cs="Times New Roman"/>
          <w:color w:val="auto"/>
          <w:u w:val="none" w:color="auto"/>
          <w:lang w:val="en-US" w:eastAsia="zh-CN"/>
        </w:rPr>
        <w:t>建设项目特点</w:t>
      </w:r>
      <w:bookmarkEnd w:id="9"/>
    </w:p>
    <w:p w14:paraId="7BA80CF1">
      <w:pPr>
        <w:rPr>
          <w:rFonts w:hint="default"/>
          <w:lang w:val="en-US" w:eastAsia="zh-CN"/>
        </w:rPr>
      </w:pPr>
      <w:r>
        <w:rPr>
          <w:rFonts w:hint="default"/>
          <w:lang w:val="en-US" w:eastAsia="zh-CN"/>
        </w:rPr>
        <w:t>（1）本工程主要对</w:t>
      </w:r>
      <w:r>
        <w:rPr>
          <w:rFonts w:hint="eastAsia"/>
          <w:lang w:val="en-US" w:eastAsia="zh-CN"/>
        </w:rPr>
        <w:t>廊洞</w:t>
      </w:r>
      <w:r>
        <w:rPr>
          <w:rFonts w:hint="default"/>
          <w:lang w:val="en-US" w:eastAsia="zh-CN"/>
        </w:rPr>
        <w:t>水库进行除险加固。本次除险加固聚焦各水库已有安全隐患的排除，工程目的是保障水库和流域防洪安全、确保工程安全可靠运行，没有以增加水库库容为目的、改变运行方式等工程安全问题之外的工程内容。除险加固工程实施后，各水库原有规模、功能、特征水位和水库调度运行方式均基本保持不变。同时，加固后减少水库渗漏，排除了威胁水库安全的险情问题，有利于库容的维持和水库安全运行，保障水库下游人民群众的生命财产安全。</w:t>
      </w:r>
    </w:p>
    <w:p w14:paraId="17B39A8F">
      <w:pPr>
        <w:rPr>
          <w:rFonts w:hint="default"/>
          <w:lang w:val="en-US" w:eastAsia="zh-CN"/>
        </w:rPr>
      </w:pPr>
      <w:r>
        <w:rPr>
          <w:rFonts w:hint="default"/>
          <w:lang w:val="en-US" w:eastAsia="zh-CN"/>
        </w:rPr>
        <w:t>（2）各水库建设内容主要包括挡水建筑物、泄水建筑物、输水建筑物等除险加固，建设管理用房、防汛设施等，均在原有工程建筑物基础上或水库管理范围内进行。</w:t>
      </w:r>
    </w:p>
    <w:p w14:paraId="71ED9C53">
      <w:pPr>
        <w:rPr>
          <w:rFonts w:hint="default"/>
          <w:lang w:val="en-US" w:eastAsia="zh-CN"/>
        </w:rPr>
      </w:pPr>
      <w:r>
        <w:rPr>
          <w:rFonts w:hint="default"/>
          <w:lang w:val="en-US" w:eastAsia="zh-CN"/>
        </w:rPr>
        <w:t>（3）本工程属于非污染类工程，工程产生的环境影响主要集中在施工期，工程运营期自身不向环境排放污染物，项目施工过程中将产生一定量的废水、废气、噪声和固体废物，根据建设项目排放的主要污染因子以及场址的地理位置、气象因素，环评重点为施工期废气、废水、噪声、固废对环境的影响，以及生态环境影响。本工程实施具有不可避让性，会对周边环境造成一定影响，工程实施过程中，严格采取本环评提出的污染防治措施及水土保持措施，完工后采取土地整治和植被措施对生态环境进行恢复。因此，本工程实施对周围环境影响较小。</w:t>
      </w:r>
    </w:p>
    <w:p w14:paraId="050A37AC">
      <w:pPr>
        <w:pStyle w:val="3"/>
        <w:rPr>
          <w:rFonts w:hint="default" w:ascii="Times New Roman" w:hAnsi="Times New Roman" w:cs="Times New Roman"/>
          <w:color w:val="auto"/>
          <w:u w:val="none" w:color="auto"/>
        </w:rPr>
      </w:pPr>
      <w:bookmarkStart w:id="10" w:name="_Toc22734"/>
      <w:bookmarkStart w:id="11" w:name="_Toc14022"/>
      <w:bookmarkStart w:id="12" w:name="_Toc494233693"/>
      <w:bookmarkStart w:id="13" w:name="_Toc999"/>
      <w:bookmarkStart w:id="14" w:name="_Toc494049347"/>
      <w:r>
        <w:rPr>
          <w:rFonts w:hint="default" w:ascii="Times New Roman" w:hAnsi="Times New Roman" w:cs="Times New Roman"/>
          <w:color w:val="auto"/>
          <w:u w:val="none" w:color="auto"/>
        </w:rPr>
        <w:t>评价工作程序</w:t>
      </w:r>
      <w:bookmarkEnd w:id="10"/>
      <w:bookmarkEnd w:id="11"/>
      <w:bookmarkEnd w:id="12"/>
      <w:bookmarkEnd w:id="13"/>
      <w:bookmarkEnd w:id="14"/>
    </w:p>
    <w:p w14:paraId="4063EF7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本次评价严格按照建设项目环境影响评价程序开展相应的工作。根据项目建设的特性，如选址、行业的特点，污染防治设施等与区域环境状况相结合，对本项目做出全面的评价。</w:t>
      </w:r>
    </w:p>
    <w:p w14:paraId="3819B42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评价工作分为三个阶段，第一阶段为准备阶段，主要为研究有关文件和资料，进行初步的工程分析，筛选重点评价项目，确定各单项环境影响评价的工作等级；第二阶段为正式工作阶段，主要工作为进一步开展工程分析和环境现状调查，并进行环境影响评价；第三阶段为报告书编制阶段。按照《建设项目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的要求，本项目环评的工作程序见图1.2-1。</w:t>
      </w:r>
    </w:p>
    <w:p w14:paraId="16E95191">
      <w:pPr>
        <w:pStyle w:val="16"/>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401820" cy="4231640"/>
            <wp:effectExtent l="0" t="0" r="17780" b="16510"/>
            <wp:docPr id="1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6"/>
                    <pic:cNvPicPr>
                      <a:picLocks noChangeAspect="1"/>
                    </pic:cNvPicPr>
                  </pic:nvPicPr>
                  <pic:blipFill>
                    <a:blip r:embed="rId21"/>
                    <a:stretch>
                      <a:fillRect/>
                    </a:stretch>
                  </pic:blipFill>
                  <pic:spPr>
                    <a:xfrm>
                      <a:off x="0" y="0"/>
                      <a:ext cx="4401820" cy="4231640"/>
                    </a:xfrm>
                    <a:prstGeom prst="rect">
                      <a:avLst/>
                    </a:prstGeom>
                    <a:noFill/>
                    <a:ln>
                      <a:noFill/>
                    </a:ln>
                  </pic:spPr>
                </pic:pic>
              </a:graphicData>
            </a:graphic>
          </wp:inline>
        </w:drawing>
      </w:r>
    </w:p>
    <w:p w14:paraId="00B090BB">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图1.2-1</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建设项目环境影响评价工作程序图</w:t>
      </w:r>
    </w:p>
    <w:p w14:paraId="1FDEF24D">
      <w:pPr>
        <w:pStyle w:val="3"/>
        <w:rPr>
          <w:rFonts w:hint="default" w:ascii="Times New Roman" w:hAnsi="Times New Roman" w:cs="Times New Roman"/>
          <w:color w:val="auto"/>
          <w:u w:val="none" w:color="auto"/>
        </w:rPr>
      </w:pPr>
      <w:bookmarkStart w:id="15" w:name="_Toc18257"/>
      <w:r>
        <w:rPr>
          <w:rFonts w:hint="default" w:ascii="Times New Roman" w:hAnsi="Times New Roman" w:cs="Times New Roman"/>
          <w:color w:val="auto"/>
          <w:u w:val="none" w:color="auto"/>
        </w:rPr>
        <w:t>分析</w:t>
      </w:r>
      <w:r>
        <w:rPr>
          <w:rFonts w:hint="default" w:ascii="Times New Roman" w:hAnsi="Times New Roman" w:cs="Times New Roman"/>
          <w:color w:val="auto"/>
          <w:u w:val="none" w:color="auto"/>
          <w:lang w:val="en-US" w:eastAsia="zh-CN"/>
        </w:rPr>
        <w:t>判定</w:t>
      </w:r>
      <w:r>
        <w:rPr>
          <w:rFonts w:hint="default" w:ascii="Times New Roman" w:hAnsi="Times New Roman" w:cs="Times New Roman"/>
          <w:color w:val="auto"/>
          <w:u w:val="none" w:color="auto"/>
        </w:rPr>
        <w:t>相关情况</w:t>
      </w:r>
      <w:bookmarkEnd w:id="15"/>
    </w:p>
    <w:p w14:paraId="5E63F2F2">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产业政策的相符性分析</w:t>
      </w:r>
    </w:p>
    <w:p w14:paraId="2556CB33">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rPr>
        <w:t>本项目属于</w:t>
      </w:r>
      <w:r>
        <w:rPr>
          <w:rFonts w:hint="default" w:ascii="Times New Roman" w:hAnsi="Times New Roman" w:cs="Times New Roman"/>
          <w:color w:val="auto"/>
          <w:u w:val="none" w:color="auto"/>
          <w:lang w:val="en-US" w:eastAsia="zh-CN"/>
        </w:rPr>
        <w:t>水库大坝除险加固工程</w:t>
      </w:r>
      <w:r>
        <w:rPr>
          <w:rFonts w:hint="default" w:ascii="Times New Roman" w:hAnsi="Times New Roman" w:cs="Times New Roman"/>
          <w:color w:val="auto"/>
          <w:u w:val="none" w:color="auto"/>
        </w:rPr>
        <w:t>，对照</w:t>
      </w:r>
      <w:r>
        <w:rPr>
          <w:rFonts w:hint="default" w:ascii="Times New Roman" w:hAnsi="Times New Roman" w:cs="Times New Roman"/>
          <w:color w:val="auto"/>
          <w:highlight w:val="none"/>
          <w:u w:val="none" w:color="auto"/>
        </w:rPr>
        <w:t>国家发改委</w:t>
      </w:r>
      <w:r>
        <w:rPr>
          <w:rFonts w:hint="default" w:ascii="Times New Roman" w:hAnsi="Times New Roman" w:cs="Times New Roman"/>
          <w:color w:val="auto"/>
          <w:u w:val="none" w:color="auto"/>
        </w:rPr>
        <w:t>颁布的《产业结构调整指导目录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》，本项目属于其中的</w:t>
      </w:r>
      <w:r>
        <w:rPr>
          <w:rFonts w:hint="default" w:ascii="Times New Roman" w:hAnsi="Times New Roman" w:cs="Times New Roman"/>
          <w:color w:val="auto"/>
          <w:u w:val="none" w:color="auto"/>
          <w:lang w:val="en-US" w:eastAsia="zh-CN"/>
        </w:rPr>
        <w:t>鼓励类“二、水利-3．防洪提升工程:病险水库、水闸除险加固工程”</w:t>
      </w: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zh-CN"/>
        </w:rPr>
        <w:t>。</w:t>
      </w:r>
    </w:p>
    <w:p w14:paraId="085FC9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项目用地不属于《禁止用地项目目录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2012年本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》和《限制用地项目目录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2012年本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》所规定的用地类型。</w:t>
      </w:r>
    </w:p>
    <w:p w14:paraId="4B5FFA9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2020年10月，党的十九届五中全会通过的制定国民经济和社会发展第十四个五年规划和二</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rPr>
        <w:t>三五年远景目标的建议，明确提出要“加快病险水库除险加固”。李克强总理明确要求，对现有病险水库，2025年底前要全面完成除险加固，对新出现的病险水库，及时除险加固。因此工程建设符合国家水利改革发展的要求。</w:t>
      </w:r>
    </w:p>
    <w:p w14:paraId="431E54FE">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zh-CN"/>
        </w:rPr>
        <w:t>因此，项目建设符合国家产业政策。</w:t>
      </w:r>
    </w:p>
    <w:p w14:paraId="7B99827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与生态环境分区管控符合性分析</w:t>
      </w:r>
    </w:p>
    <w:p w14:paraId="0C7F02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w:t>
      </w:r>
      <w:r>
        <w:rPr>
          <w:rFonts w:hint="default" w:ascii="Times New Roman" w:hAnsi="Times New Roman" w:cs="Times New Roman"/>
          <w:color w:val="auto"/>
          <w:highlight w:val="none"/>
          <w:u w:val="none" w:color="auto"/>
        </w:rPr>
        <w:t>环保部</w:t>
      </w:r>
      <w:r>
        <w:rPr>
          <w:rFonts w:hint="default" w:ascii="Times New Roman" w:hAnsi="Times New Roman" w:cs="Times New Roman"/>
          <w:color w:val="auto"/>
          <w:u w:val="none" w:color="auto"/>
        </w:rPr>
        <w:t>发布的《关于以改善环境质量为核心加强环境影响评价管理的通知》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以下简称《通知》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，《通知》要求切实加强环境影响评价管理，落实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生态保护红线、环境质量底线、资源利用上线和环境准入负面清单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约束，建立项目环评审批与规划环评、现有项目环境管理、区域环境质量联动机制，更好地发挥环评制度从源头防范环境污染和生态破坏的作用，加快推进改善环境质量。</w:t>
      </w:r>
    </w:p>
    <w:p w14:paraId="450F8AE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与生态保护红线的</w:t>
      </w:r>
      <w:r>
        <w:rPr>
          <w:rFonts w:hint="default" w:ascii="Times New Roman" w:hAnsi="Times New Roman" w:cs="Times New Roman"/>
          <w:color w:val="auto"/>
          <w:u w:val="none" w:color="auto"/>
          <w:lang w:val="en-US" w:eastAsia="zh-CN"/>
        </w:rPr>
        <w:t>符合</w:t>
      </w:r>
      <w:r>
        <w:rPr>
          <w:rFonts w:hint="default" w:ascii="Times New Roman" w:hAnsi="Times New Roman" w:cs="Times New Roman"/>
          <w:color w:val="auto"/>
          <w:u w:val="none" w:color="auto"/>
        </w:rPr>
        <w:t>性分析</w:t>
      </w:r>
    </w:p>
    <w:p w14:paraId="1E781F3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项目通过优化施工临时布置，将</w:t>
      </w:r>
      <w:r>
        <w:rPr>
          <w:rFonts w:hint="default" w:ascii="Times New Roman" w:hAnsi="Times New Roman" w:cs="Times New Roman"/>
          <w:color w:val="auto"/>
          <w:u w:val="none" w:color="auto"/>
          <w:lang w:eastAsia="zh-CN"/>
        </w:rPr>
        <w:t>临时施工道路、综合加工工厂、水泥仓库等施工临建设施</w:t>
      </w:r>
      <w:r>
        <w:rPr>
          <w:rFonts w:hint="default" w:ascii="Times New Roman" w:hAnsi="Times New Roman" w:cs="Times New Roman"/>
          <w:color w:val="auto"/>
          <w:u w:val="none" w:color="auto"/>
          <w:lang w:val="en-US" w:eastAsia="zh-CN"/>
        </w:rPr>
        <w:t>布置在生态保护红线外，即施工期不涉及临时占用生态红线。根据</w:t>
      </w:r>
      <w:r>
        <w:rPr>
          <w:rFonts w:hint="eastAsia" w:cs="Times New Roman"/>
          <w:color w:val="auto"/>
          <w:u w:val="none" w:color="auto"/>
          <w:lang w:val="en-US" w:eastAsia="zh-CN"/>
        </w:rPr>
        <w:t>工程</w:t>
      </w:r>
      <w:r>
        <w:rPr>
          <w:rFonts w:hint="default" w:ascii="Times New Roman" w:hAnsi="Times New Roman" w:cs="Times New Roman"/>
          <w:color w:val="auto"/>
          <w:u w:val="none" w:color="auto"/>
          <w:lang w:val="en-US" w:eastAsia="zh-CN"/>
        </w:rPr>
        <w:t>用地红线</w:t>
      </w:r>
      <w:r>
        <w:rPr>
          <w:rFonts w:hint="eastAsia" w:cs="Times New Roman"/>
          <w:color w:val="auto"/>
          <w:u w:val="none" w:color="auto"/>
          <w:lang w:val="en-US" w:eastAsia="zh-CN"/>
        </w:rPr>
        <w:t>与道县</w:t>
      </w:r>
      <w:r>
        <w:rPr>
          <w:rFonts w:hint="default" w:ascii="Times New Roman" w:hAnsi="Times New Roman" w:cs="Times New Roman"/>
          <w:color w:val="auto"/>
          <w:u w:val="none" w:color="auto"/>
          <w:lang w:val="en-US" w:eastAsia="zh-CN"/>
        </w:rPr>
        <w:t>“三区三线”</w:t>
      </w:r>
      <w:r>
        <w:rPr>
          <w:rFonts w:hint="eastAsia" w:cs="Times New Roman"/>
          <w:color w:val="auto"/>
          <w:u w:val="none" w:color="auto"/>
          <w:lang w:val="en-US" w:eastAsia="zh-CN"/>
        </w:rPr>
        <w:t>划定成果</w:t>
      </w:r>
      <w:r>
        <w:rPr>
          <w:rFonts w:hint="default" w:ascii="Times New Roman" w:hAnsi="Times New Roman" w:cs="Times New Roman"/>
          <w:color w:val="auto"/>
          <w:u w:val="none" w:color="auto"/>
          <w:lang w:val="en-US" w:eastAsia="zh-CN"/>
        </w:rPr>
        <w:t>套合图可知，项目红线范围与</w:t>
      </w:r>
      <w:r>
        <w:rPr>
          <w:rFonts w:hint="eastAsia" w:cs="Times New Roman"/>
          <w:color w:val="auto"/>
          <w:u w:val="none" w:color="auto"/>
          <w:lang w:val="en-US" w:eastAsia="zh-CN"/>
        </w:rPr>
        <w:t>永久基本农田相邻，与</w:t>
      </w:r>
      <w:r>
        <w:rPr>
          <w:rFonts w:hint="default" w:ascii="Times New Roman" w:hAnsi="Times New Roman" w:cs="Times New Roman"/>
          <w:color w:val="auto"/>
          <w:u w:val="none" w:color="auto"/>
          <w:lang w:val="en-US" w:eastAsia="zh-CN"/>
        </w:rPr>
        <w:t>生态保护红线</w:t>
      </w:r>
      <w:r>
        <w:rPr>
          <w:rFonts w:hint="eastAsia"/>
          <w:lang w:eastAsia="zh-CN"/>
        </w:rPr>
        <w:t>相距</w:t>
      </w:r>
      <w:r>
        <w:rPr>
          <w:rFonts w:hint="eastAsia" w:cs="Times New Roman"/>
          <w:color w:val="auto"/>
          <w:u w:val="none" w:color="auto"/>
          <w:lang w:val="en-US" w:eastAsia="zh-CN"/>
        </w:rPr>
        <w:t>约700米</w:t>
      </w:r>
      <w:r>
        <w:rPr>
          <w:rFonts w:hint="default" w:ascii="Times New Roman" w:hAnsi="Times New Roman" w:cs="Times New Roman"/>
          <w:color w:val="auto"/>
          <w:u w:val="none" w:color="auto"/>
          <w:lang w:val="en-US" w:eastAsia="zh-CN"/>
        </w:rPr>
        <w:t>。</w:t>
      </w:r>
    </w:p>
    <w:p w14:paraId="67F0BAA1">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根据湖南省政府印发《湖南省生态保护红线》的通知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湘政发〔2018〕20号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val="en-US" w:eastAsia="zh-CN"/>
        </w:rPr>
        <w:t>道县</w:t>
      </w:r>
      <w:r>
        <w:rPr>
          <w:rFonts w:hint="default" w:ascii="Times New Roman" w:hAnsi="Times New Roman" w:cs="Times New Roman"/>
          <w:color w:val="auto"/>
          <w:u w:val="none" w:color="auto"/>
          <w:lang w:val="en-US" w:eastAsia="zh-CN"/>
        </w:rPr>
        <w:t>涉及的是</w:t>
      </w:r>
      <w:r>
        <w:rPr>
          <w:rFonts w:hint="default" w:ascii="Times New Roman" w:hAnsi="Times New Roman" w:cs="Times New Roman"/>
          <w:color w:val="auto"/>
          <w:u w:val="none" w:color="auto"/>
          <w:lang w:eastAsia="zh-CN"/>
        </w:rPr>
        <w:t>南岭山地水源涵养与生物多样性保护重要区；</w:t>
      </w:r>
      <w:r>
        <w:rPr>
          <w:rFonts w:hint="default" w:ascii="Times New Roman" w:hAnsi="Times New Roman" w:cs="Times New Roman"/>
          <w:color w:val="auto"/>
          <w:u w:val="none" w:color="auto"/>
        </w:rPr>
        <w:t>生态系统特征</w:t>
      </w:r>
      <w:r>
        <w:rPr>
          <w:rFonts w:hint="eastAsia" w:cs="Times New Roman"/>
          <w:color w:val="auto"/>
          <w:u w:val="none" w:color="auto"/>
          <w:lang w:eastAsia="zh-CN"/>
        </w:rPr>
        <w:t>：</w:t>
      </w:r>
      <w:r>
        <w:rPr>
          <w:rFonts w:hint="default" w:ascii="Times New Roman" w:hAnsi="Times New Roman" w:cs="Times New Roman"/>
          <w:color w:val="auto"/>
          <w:u w:val="none" w:color="auto"/>
        </w:rPr>
        <w:t>红线区是原始次生林生态系统保存较为完好的区域，野生动植物资源丰富，地势较高处植被覆盖以草地为主。主要生态功能是生物多样性维护、水源涵养。保护重点</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加强原始次生林生态系统、草地植被的保护和高海拔草地水土流失治理，防治草场退化、土地沙化。</w:t>
      </w:r>
    </w:p>
    <w:p w14:paraId="7C8FAAA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根据《关于生态环境领域进一步深化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放管服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改革，推动经济高质量发展的指导意见》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环规评</w:t>
      </w:r>
      <w:r>
        <w:rPr>
          <w:rFonts w:hint="default" w:ascii="Times New Roman" w:hAnsi="Times New Roman" w:cs="Times New Roman"/>
          <w:color w:val="auto"/>
          <w:highlight w:val="none"/>
          <w:u w:val="none" w:color="auto"/>
        </w:rPr>
        <w:t>【2018】86号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对审批中发现涉及生态保护红线和相关法定保护区的输气管线、铁路等线性项目，指导督促项目优化调整选线，主动避让；确实无法避让的，要求建设单位采取无害化穿</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跨</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越方式，或依法依规向有关行政主管部门履行穿越法定保护区的行政许可手续、强化减缓和补偿措施。</w:t>
      </w:r>
      <w:r>
        <w:rPr>
          <w:rFonts w:hint="default" w:ascii="Times New Roman" w:hAnsi="Times New Roman" w:cs="Times New Roman"/>
          <w:color w:val="auto"/>
          <w:u w:val="none" w:color="auto"/>
          <w:lang w:eastAsia="zh-CN"/>
        </w:rPr>
        <w:t>”</w:t>
      </w:r>
    </w:p>
    <w:p w14:paraId="5659CF2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根据</w:t>
      </w:r>
      <w:r>
        <w:rPr>
          <w:rFonts w:hint="eastAsia" w:cs="Times New Roman"/>
          <w:color w:val="auto"/>
          <w:u w:val="none" w:color="auto"/>
          <w:lang w:eastAsia="zh-CN"/>
        </w:rPr>
        <w:t>中共中央办公厅、国务院办公厅</w:t>
      </w:r>
      <w:r>
        <w:rPr>
          <w:rFonts w:hint="default" w:ascii="Times New Roman" w:hAnsi="Times New Roman" w:cs="Times New Roman"/>
          <w:color w:val="auto"/>
          <w:u w:val="none" w:color="auto"/>
        </w:rPr>
        <w:t>印发的《关于在国土空间规划中统筹落实三条控制线的指导意见》，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按照生态功能划定生态保护红线。生态保护红线是指在生态空间范围内具有特殊重要生态功能、必须强制性严格保护的区域。.....</w:t>
      </w:r>
      <w:r>
        <w:rPr>
          <w:rFonts w:hint="default" w:ascii="Times New Roman" w:hAnsi="Times New Roman" w:cs="Times New Roman"/>
          <w:color w:val="auto"/>
          <w:highlight w:val="none"/>
          <w:u w:val="none" w:color="auto"/>
        </w:rPr>
        <w:t>.</w:t>
      </w:r>
      <w:r>
        <w:rPr>
          <w:rFonts w:hint="default" w:ascii="Times New Roman" w:hAnsi="Times New Roman" w:cs="Times New Roman"/>
          <w:b/>
          <w:bCs/>
          <w:color w:val="auto"/>
          <w:u w:val="none" w:color="auto"/>
        </w:rPr>
        <w:t>生态保护红线内，自然保护地核心保护区原则上禁止人为活动，其他区域严格禁止开发性、生产性建设活动，在符合现行法律法规前提下，除国家重大战略项目外，仅允许对生态功能不造成破坏的有限人为活动</w:t>
      </w:r>
      <w:r>
        <w:rPr>
          <w:rFonts w:hint="default" w:ascii="Times New Roman" w:hAnsi="Times New Roman" w:cs="Times New Roman"/>
          <w:color w:val="auto"/>
          <w:u w:val="none" w:color="auto"/>
        </w:rPr>
        <w:t>，主要包括</w:t>
      </w:r>
      <w:r>
        <w:rPr>
          <w:rFonts w:hint="eastAsia" w:cs="Times New Roman"/>
          <w:color w:val="auto"/>
          <w:u w:val="none" w:color="auto"/>
          <w:lang w:eastAsia="zh-CN"/>
        </w:rPr>
        <w:t>：</w:t>
      </w:r>
      <w:r>
        <w:rPr>
          <w:rFonts w:hint="default" w:ascii="Times New Roman" w:hAnsi="Times New Roman" w:cs="Times New Roman"/>
          <w:color w:val="auto"/>
          <w:u w:val="none" w:color="auto"/>
        </w:rPr>
        <w:t>零星的</w:t>
      </w:r>
      <w:r>
        <w:rPr>
          <w:rFonts w:hint="default" w:ascii="Times New Roman" w:hAnsi="Times New Roman" w:cs="Times New Roman"/>
          <w:color w:val="auto"/>
          <w:highlight w:val="none"/>
          <w:u w:val="none" w:color="auto"/>
        </w:rPr>
        <w:t>原住民</w:t>
      </w:r>
      <w:r>
        <w:rPr>
          <w:rFonts w:hint="default" w:ascii="Times New Roman" w:hAnsi="Times New Roman" w:cs="Times New Roman"/>
          <w:color w:val="auto"/>
          <w:u w:val="none" w:color="auto"/>
        </w:rPr>
        <w:t>在不扩大现有建设用地和耕地规模前提下，修缮生产生活设施，保留生活必需的少量种植、放牧、捕捞、养殖；因国家重大能源资源安全需要开展的</w:t>
      </w:r>
      <w:r>
        <w:rPr>
          <w:rFonts w:hint="default" w:ascii="Times New Roman" w:hAnsi="Times New Roman" w:cs="Times New Roman"/>
          <w:color w:val="auto"/>
          <w:highlight w:val="none"/>
          <w:u w:val="none" w:color="auto"/>
        </w:rPr>
        <w:t>战略性能源</w:t>
      </w:r>
      <w:r>
        <w:rPr>
          <w:rFonts w:hint="default" w:ascii="Times New Roman" w:hAnsi="Times New Roman" w:cs="Times New Roman"/>
          <w:color w:val="auto"/>
          <w:u w:val="none" w:color="auto"/>
        </w:rPr>
        <w:t>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w:t>
      </w:r>
      <w:r>
        <w:rPr>
          <w:rFonts w:hint="default" w:ascii="Times New Roman" w:hAnsi="Times New Roman" w:cs="Times New Roman"/>
          <w:b/>
          <w:bCs/>
          <w:color w:val="auto"/>
          <w:u w:val="none" w:color="auto"/>
        </w:rPr>
        <w:t>必须且无法避让、符合县级以上国土空间规划的线性基础设施建设、防洪和供水设施建设与运行维护</w:t>
      </w:r>
      <w:r>
        <w:rPr>
          <w:rFonts w:hint="default" w:ascii="Times New Roman" w:hAnsi="Times New Roman" w:cs="Times New Roman"/>
          <w:color w:val="auto"/>
          <w:u w:val="none" w:color="auto"/>
        </w:rPr>
        <w:t>；重要生态修复工程。</w:t>
      </w:r>
      <w:r>
        <w:rPr>
          <w:rFonts w:hint="default" w:ascii="Times New Roman" w:hAnsi="Times New Roman" w:cs="Times New Roman"/>
          <w:color w:val="auto"/>
          <w:u w:val="none" w:color="auto"/>
          <w:lang w:eastAsia="zh-CN"/>
        </w:rPr>
        <w:t>”</w:t>
      </w:r>
    </w:p>
    <w:p w14:paraId="6BBF40EC">
      <w:pPr>
        <w:ind w:firstLine="48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val="en-US" w:eastAsia="zh-CN"/>
        </w:rPr>
        <w:t>根据《</w:t>
      </w:r>
      <w:r>
        <w:rPr>
          <w:rFonts w:hint="default" w:ascii="Times New Roman" w:hAnsi="Times New Roman" w:cs="Times New Roman"/>
          <w:color w:val="auto"/>
          <w:sz w:val="24"/>
          <w:u w:val="none" w:color="auto"/>
        </w:rPr>
        <w:t>湖南省自然资源厅  湖南省生态环境厅  湖南省林业局关于加强全省生态保护红线管理的通知</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u w:val="none" w:color="auto"/>
        </w:rPr>
        <w:t>试行</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rPr>
        <w:t>湘自资规〔2024〕1号</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lang w:val="en-US" w:eastAsia="zh-CN"/>
        </w:rPr>
        <w:t>:“二、规范允许有限人为活动准入</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cs="Times New Roman"/>
          <w:color w:val="auto"/>
          <w:sz w:val="24"/>
          <w:u w:val="none" w:color="auto"/>
          <w:lang w:val="en-US" w:eastAsia="zh-CN"/>
        </w:rPr>
        <w:t>生态保护红线内，自然保护地核心保护区原则上禁止人为活动，其他区域禁止开发性、生产性建设活动，在符合法律法规的前提下，仅允许对生态功能不造成破坏的有限人为活动。允许有限人为活动准入目录见附件1。”</w:t>
      </w:r>
    </w:p>
    <w:p w14:paraId="7C906D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w:t>
      </w:r>
      <w:r>
        <w:rPr>
          <w:rFonts w:hint="default" w:ascii="Times New Roman" w:hAnsi="Times New Roman" w:cs="Times New Roman"/>
          <w:color w:val="auto"/>
          <w:u w:val="none" w:color="auto"/>
        </w:rPr>
        <w:t>湖南省生态保护红线内自然保护地核心保护区以外区域允许有限人为活动准入目录</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必须且无法避让，符合县级以上国土空间规划的线性基础设施、通信和防洪、供水设施建设和船舶航行、航道疏浚清淤等活动；已有的合法水利、交通运输等设施</w:t>
      </w:r>
      <w:r>
        <w:rPr>
          <w:rFonts w:hint="default" w:ascii="Times New Roman" w:hAnsi="Times New Roman" w:cs="Times New Roman"/>
          <w:color w:val="auto"/>
          <w:highlight w:val="none"/>
          <w:u w:val="none" w:color="auto"/>
        </w:rPr>
        <w:t>运行</w:t>
      </w:r>
      <w:r>
        <w:rPr>
          <w:rFonts w:hint="default" w:ascii="Times New Roman" w:hAnsi="Times New Roman" w:cs="Times New Roman"/>
          <w:color w:val="auto"/>
          <w:u w:val="none" w:color="auto"/>
        </w:rPr>
        <w:t>维护和改造。</w:t>
      </w:r>
    </w:p>
    <w:p w14:paraId="0AE96D6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公路、铁路、堤坝、桥梁、隧道，电缆</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光缆</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、油气、供水、供热管线，农业灌溉设施，航道，输变电等线性基础设施及配套设施；</w:t>
      </w:r>
    </w:p>
    <w:p w14:paraId="591AAC1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电视塔台、雷达、通信基站、广电发射台等通信设施；</w:t>
      </w:r>
    </w:p>
    <w:p w14:paraId="7786FE5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河道、湖泊、岸线整治，</w:t>
      </w:r>
      <w:r>
        <w:rPr>
          <w:rFonts w:hint="default" w:ascii="Times New Roman" w:hAnsi="Times New Roman" w:cs="Times New Roman"/>
          <w:b/>
          <w:bCs/>
          <w:color w:val="auto"/>
          <w:u w:val="none" w:color="auto"/>
          <w:lang w:val="en-US" w:eastAsia="zh-CN"/>
        </w:rPr>
        <w:t>堤坝建设及加固</w:t>
      </w:r>
      <w:r>
        <w:rPr>
          <w:rFonts w:hint="default" w:ascii="Times New Roman" w:hAnsi="Times New Roman" w:cs="Times New Roman"/>
          <w:color w:val="auto"/>
          <w:u w:val="none" w:color="auto"/>
          <w:lang w:val="en-US" w:eastAsia="zh-CN"/>
        </w:rPr>
        <w:t>，防洪治涝、水系连通、河湖清淤疏浚等；</w:t>
      </w:r>
    </w:p>
    <w:p w14:paraId="4834F81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船舶航行、航道疏浚清淤等活动；</w:t>
      </w:r>
    </w:p>
    <w:p w14:paraId="00F3332B">
      <w:pPr>
        <w:bidi w:val="0"/>
        <w:rPr>
          <w:rFonts w:hint="default" w:ascii="Times New Roman" w:hAnsi="Times New Roman" w:cs="Times New Roman"/>
          <w:color w:val="auto"/>
          <w:u w:val="none" w:color="auto"/>
          <w:lang w:val="en-US"/>
        </w:rPr>
      </w:pPr>
      <w:r>
        <w:rPr>
          <w:rFonts w:hint="default" w:ascii="Times New Roman" w:hAnsi="Times New Roman" w:cs="Times New Roman"/>
          <w:b/>
          <w:bCs/>
          <w:color w:val="auto"/>
          <w:highlight w:val="none"/>
          <w:u w:val="none" w:color="auto"/>
          <w:lang w:val="en-US" w:eastAsia="zh-CN"/>
        </w:rPr>
        <w:t>(</w:t>
      </w:r>
      <w:r>
        <w:rPr>
          <w:rFonts w:hint="default" w:ascii="Times New Roman" w:hAnsi="Times New Roman" w:cs="Times New Roman"/>
          <w:b/>
          <w:bCs/>
          <w:color w:val="auto"/>
          <w:u w:val="none" w:color="auto"/>
          <w:lang w:val="en-US" w:eastAsia="zh-CN"/>
        </w:rPr>
        <w:t>5</w:t>
      </w:r>
      <w:r>
        <w:rPr>
          <w:rFonts w:hint="default" w:ascii="Times New Roman" w:hAnsi="Times New Roman" w:cs="Times New Roman"/>
          <w:b/>
          <w:bCs/>
          <w:color w:val="auto"/>
          <w:highlight w:val="none"/>
          <w:u w:val="none" w:color="auto"/>
          <w:lang w:val="en-US" w:eastAsia="zh-CN"/>
        </w:rPr>
        <w:t>)</w:t>
      </w:r>
      <w:r>
        <w:rPr>
          <w:rFonts w:hint="default" w:ascii="Times New Roman" w:hAnsi="Times New Roman" w:cs="Times New Roman"/>
          <w:b/>
          <w:bCs/>
          <w:color w:val="auto"/>
          <w:u w:val="none" w:color="auto"/>
          <w:lang w:val="en-US" w:eastAsia="zh-CN"/>
        </w:rPr>
        <w:t>已有的合法水利、交通运输等设施运行维护改造等</w:t>
      </w:r>
      <w:r>
        <w:rPr>
          <w:rFonts w:hint="default" w:ascii="Times New Roman" w:hAnsi="Times New Roman" w:cs="Times New Roman"/>
          <w:color w:val="auto"/>
          <w:u w:val="none" w:color="auto"/>
          <w:lang w:val="en-US" w:eastAsia="zh-CN"/>
        </w:rPr>
        <w:t>。”</w:t>
      </w:r>
    </w:p>
    <w:p w14:paraId="70EBAC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w:t>
      </w: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水库大坝除险加固为水利基础设施，临时用地</w:t>
      </w:r>
      <w:r>
        <w:rPr>
          <w:rFonts w:hint="eastAsia" w:cs="Times New Roman"/>
          <w:color w:val="auto"/>
          <w:u w:val="none" w:color="auto"/>
          <w:lang w:val="en-US" w:eastAsia="zh-CN"/>
        </w:rPr>
        <w:t>及水库大坝均</w:t>
      </w:r>
      <w:r>
        <w:rPr>
          <w:rFonts w:hint="default" w:ascii="Times New Roman" w:hAnsi="Times New Roman" w:cs="Times New Roman"/>
          <w:color w:val="auto"/>
          <w:u w:val="none" w:color="auto"/>
          <w:lang w:val="en-US" w:eastAsia="zh-CN"/>
        </w:rPr>
        <w:t>不占用</w:t>
      </w:r>
      <w:r>
        <w:rPr>
          <w:rFonts w:hint="eastAsia" w:ascii="Times New Roman" w:hAnsi="Times New Roman" w:eastAsia="宋体" w:cs="Times New Roman"/>
          <w:color w:val="auto"/>
          <w:kern w:val="2"/>
          <w:sz w:val="24"/>
          <w:szCs w:val="24"/>
          <w:lang w:val="en-US" w:eastAsia="zh-CN" w:bidi="ar-SA"/>
        </w:rPr>
        <w:t>永久基本农田和</w:t>
      </w:r>
      <w:r>
        <w:rPr>
          <w:rFonts w:hint="default" w:ascii="Times New Roman" w:hAnsi="Times New Roman" w:cs="Times New Roman"/>
          <w:color w:val="auto"/>
          <w:u w:val="none" w:color="auto"/>
          <w:lang w:val="en-US" w:eastAsia="zh-CN"/>
        </w:rPr>
        <w:t>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w:t>
      </w:r>
      <w:r>
        <w:rPr>
          <w:rFonts w:hint="eastAsia" w:cs="Times New Roman"/>
          <w:color w:val="auto"/>
          <w:u w:val="none" w:color="auto"/>
          <w:lang w:val="en-US" w:eastAsia="zh-CN"/>
        </w:rPr>
        <w:t>且</w:t>
      </w:r>
      <w:r>
        <w:rPr>
          <w:rFonts w:hint="default" w:ascii="Times New Roman" w:hAnsi="Times New Roman" w:cs="Times New Roman"/>
          <w:color w:val="auto"/>
          <w:u w:val="none" w:color="auto"/>
          <w:lang w:val="en-US" w:eastAsia="zh-CN"/>
        </w:rPr>
        <w:t>属于</w:t>
      </w:r>
      <w:r>
        <w:rPr>
          <w:rFonts w:hint="default" w:ascii="Times New Roman" w:hAnsi="Times New Roman" w:cs="Times New Roman"/>
          <w:color w:val="auto"/>
          <w:u w:val="none" w:color="auto"/>
        </w:rPr>
        <w:t>已有的合法水利、交通运输等设施运行维护和改造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项目的建设不会影响</w:t>
      </w:r>
      <w:r>
        <w:rPr>
          <w:rFonts w:hint="eastAsia" w:ascii="Times New Roman" w:hAnsi="Times New Roman" w:eastAsia="宋体" w:cs="Times New Roman"/>
          <w:color w:val="auto"/>
          <w:kern w:val="2"/>
          <w:sz w:val="24"/>
          <w:szCs w:val="24"/>
          <w:lang w:val="en-US" w:eastAsia="zh-CN" w:bidi="ar-SA"/>
        </w:rPr>
        <w:t>永久基本农田和</w:t>
      </w:r>
      <w:r>
        <w:rPr>
          <w:rFonts w:hint="default" w:ascii="Times New Roman" w:hAnsi="Times New Roman" w:cs="Times New Roman"/>
          <w:color w:val="auto"/>
          <w:u w:val="none" w:color="auto"/>
        </w:rPr>
        <w:t>生态保护红线主体功能定位。</w:t>
      </w:r>
    </w:p>
    <w:p w14:paraId="5E9911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与环境质量底线的协调性分析</w:t>
      </w:r>
    </w:p>
    <w:p w14:paraId="689CED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环境质量底线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是国家和地方设置的大气、水和土壤环境质量目标，也是改善环境质量的基准线。</w:t>
      </w:r>
    </w:p>
    <w:p w14:paraId="2C49CE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年大气环境各常规因子达标，区域地表水体满足相应功能要求，拟建地土壤环境质量达标。</w:t>
      </w:r>
      <w:r>
        <w:rPr>
          <w:rFonts w:hint="default" w:ascii="Times New Roman" w:hAnsi="Times New Roman" w:cs="Times New Roman"/>
          <w:color w:val="auto"/>
          <w:u w:val="none" w:color="auto"/>
          <w:lang w:val="en-US" w:eastAsia="zh-CN"/>
        </w:rPr>
        <w:t>项目营运期不排放污染物，不会对大气环境、地表水环境等产生不利影响，不会对区域环境质量底线造成冲击影响，</w:t>
      </w:r>
      <w:r>
        <w:rPr>
          <w:rFonts w:hint="default" w:ascii="Times New Roman" w:hAnsi="Times New Roman" w:cs="Times New Roman"/>
          <w:color w:val="auto"/>
          <w:u w:val="none" w:color="auto"/>
        </w:rPr>
        <w:t>符合环境质量底线要求的。</w:t>
      </w:r>
    </w:p>
    <w:p w14:paraId="362FD54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与资源利用上线的协调性分析</w:t>
      </w:r>
    </w:p>
    <w:p w14:paraId="279C6D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资源是环境的载体，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资源利用上线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地区能源、水、土地等资源消耗不得突破的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天花板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3776A804">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本项目为除险加固项目，属于非生产型项目，本工程施工期用到少量水、电等资源，资源利用不会突破区域的资源利用上线。加固除险施工结束后，水库回归到正常日常管理。</w:t>
      </w:r>
    </w:p>
    <w:p w14:paraId="0D85538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生态环境准入</w:t>
      </w:r>
      <w:r>
        <w:rPr>
          <w:rFonts w:hint="default" w:ascii="Times New Roman" w:hAnsi="Times New Roman" w:cs="Times New Roman"/>
          <w:color w:val="auto"/>
          <w:u w:val="none" w:color="auto"/>
        </w:rPr>
        <w:t>清单</w:t>
      </w:r>
    </w:p>
    <w:p w14:paraId="1BBECF6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参照《湖南省新增19个国家重点生态功能区产业准入负面清单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湘发改规划〔2018〕972号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属于水源涵养型重点生态功能区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本项目为现有的廊洞水库大坝除险加固工程，不属于道县产业准入负面清单的限制类和淘汰类。</w:t>
      </w:r>
    </w:p>
    <w:p w14:paraId="0A0965D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与永州市生态环境分区管控相符性分析</w:t>
      </w:r>
    </w:p>
    <w:p w14:paraId="295ED0A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根据永州市生态环境局关于发布</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永州市生态环境分区管控更新成果</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2023版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的通知</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永环发〔2024〕</w:t>
      </w:r>
      <w:r>
        <w:rPr>
          <w:rFonts w:hint="eastAsia" w:cs="Times New Roman"/>
          <w:color w:val="auto"/>
          <w:u w:val="none" w:color="auto"/>
          <w:lang w:val="en-US" w:eastAsia="zh-CN"/>
        </w:rPr>
        <w:t>31</w:t>
      </w:r>
      <w:r>
        <w:rPr>
          <w:rFonts w:hint="default" w:ascii="Times New Roman" w:hAnsi="Times New Roman" w:cs="Times New Roman"/>
          <w:color w:val="auto"/>
          <w:u w:val="none" w:color="auto"/>
          <w:lang w:val="en-US" w:eastAsia="zh-CN"/>
        </w:rPr>
        <w:t>号</w:t>
      </w:r>
      <w:r>
        <w:rPr>
          <w:rFonts w:hint="eastAsia" w:cs="Times New Roman"/>
          <w:color w:val="auto"/>
          <w:u w:val="none" w:color="auto"/>
          <w:lang w:val="en-US" w:eastAsia="zh-CN"/>
        </w:rPr>
        <w:t>)，</w:t>
      </w:r>
      <w:r>
        <w:rPr>
          <w:rFonts w:hint="default" w:ascii="Times New Roman" w:hAnsi="Times New Roman" w:cs="Times New Roman"/>
          <w:color w:val="auto"/>
          <w:u w:val="none" w:color="auto"/>
        </w:rPr>
        <w:t>环境管控单元包括优先保护、重点管控和一般管控单元三类。</w:t>
      </w:r>
    </w:p>
    <w:p w14:paraId="0A6724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优先保护单元含生态空间、水环境优先保护区、大气环境优先保护区、农用地优先保护区域等，以生态环境保护为主，依法禁止或限制大规模、高强度的工业和城镇建设，在功能受损的优先保护单元优先开展生态保护修复活动，恢复生态系统服务功能。</w:t>
      </w:r>
    </w:p>
    <w:p w14:paraId="4965F9E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重点管控单元指涉及水、大气、土壤、自然资源等资源环境要素重点管控的区域，主要包括城镇规划区、省级以上产业园区和开发强度大、污染物排放强度高的区域等。重点管控单元应优化空间布局，加强污染物排放控制和环境风险防控，不断提升资源利用效率，解决生态环境质量不达标、生态环境风险高等问题。</w:t>
      </w:r>
    </w:p>
    <w:p w14:paraId="34E03C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一般管控单元指优先保护单元和重点管控单元之外的其他区域，要求落实生态环境保护要求。</w:t>
      </w:r>
    </w:p>
    <w:p w14:paraId="5D9B4601">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本项目位于永州市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，管控分类为</w:t>
      </w:r>
      <w:r>
        <w:rPr>
          <w:rFonts w:hint="default" w:ascii="Times New Roman" w:hAnsi="Times New Roman" w:cs="Times New Roman"/>
          <w:color w:val="auto"/>
          <w:u w:val="none" w:color="auto"/>
          <w:lang w:val="en-US" w:eastAsia="zh-CN"/>
        </w:rPr>
        <w:t>一般管控单元</w:t>
      </w:r>
      <w:r>
        <w:rPr>
          <w:rFonts w:hint="default" w:ascii="Times New Roman" w:hAnsi="Times New Roman" w:cs="Times New Roman"/>
          <w:color w:val="auto"/>
          <w:u w:val="none" w:color="auto"/>
        </w:rPr>
        <w:t>，区域的主体功能定位为</w:t>
      </w:r>
      <w:r>
        <w:rPr>
          <w:rFonts w:hint="default" w:ascii="Times New Roman" w:hAnsi="Times New Roman" w:cs="Times New Roman"/>
          <w:color w:val="auto"/>
          <w:u w:val="none" w:color="auto"/>
          <w:lang w:val="en-US" w:eastAsia="zh-CN"/>
        </w:rPr>
        <w:t>国家级重点生态功能区</w:t>
      </w:r>
      <w:r>
        <w:rPr>
          <w:rFonts w:hint="default" w:ascii="Times New Roman" w:hAnsi="Times New Roman" w:cs="Times New Roman"/>
          <w:color w:val="auto"/>
          <w:u w:val="none" w:color="auto"/>
        </w:rPr>
        <w:t>。与永州市生态环境分区管控更新成果</w:t>
      </w:r>
      <w:r>
        <w:rPr>
          <w:rFonts w:hint="eastAsia" w:cs="Times New Roman"/>
          <w:color w:val="auto"/>
          <w:u w:val="none" w:color="auto"/>
          <w:lang w:eastAsia="zh-CN"/>
        </w:rPr>
        <w:t>(</w:t>
      </w:r>
      <w:r>
        <w:rPr>
          <w:rFonts w:hint="default" w:ascii="Times New Roman" w:hAnsi="Times New Roman" w:cs="Times New Roman"/>
          <w:color w:val="auto"/>
          <w:u w:val="none" w:color="auto"/>
        </w:rPr>
        <w:t>2023版</w:t>
      </w:r>
      <w:r>
        <w:rPr>
          <w:rFonts w:hint="eastAsia" w:cs="Times New Roman"/>
          <w:color w:val="auto"/>
          <w:u w:val="none" w:color="auto"/>
          <w:lang w:eastAsia="zh-CN"/>
        </w:rPr>
        <w:t>)</w:t>
      </w:r>
      <w:r>
        <w:rPr>
          <w:rFonts w:hint="default" w:ascii="Times New Roman" w:hAnsi="Times New Roman" w:cs="Times New Roman"/>
          <w:color w:val="auto"/>
          <w:u w:val="none" w:color="auto"/>
        </w:rPr>
        <w:t>相符性分析</w:t>
      </w:r>
      <w:r>
        <w:rPr>
          <w:rFonts w:hint="eastAsia" w:cs="Times New Roman"/>
          <w:color w:val="auto"/>
          <w:u w:val="none" w:color="auto"/>
          <w:lang w:val="en-US" w:eastAsia="zh-CN"/>
        </w:rPr>
        <w:t>详见下表。</w:t>
      </w:r>
    </w:p>
    <w:p w14:paraId="45A54CA4">
      <w:pPr>
        <w:spacing w:line="240" w:lineRule="auto"/>
        <w:ind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1.3-2</w:t>
      </w:r>
      <w:r>
        <w:rPr>
          <w:rFonts w:hint="eastAsia"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项目与永州市生态环境分区管控更新成果</w:t>
      </w:r>
      <w:r>
        <w:rPr>
          <w:rFonts w:hint="eastAsia"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2023版</w:t>
      </w:r>
      <w:r>
        <w:rPr>
          <w:rFonts w:hint="eastAsia"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相符性分析</w:t>
      </w:r>
    </w:p>
    <w:tbl>
      <w:tblPr>
        <w:tblStyle w:val="37"/>
        <w:tblW w:w="85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820"/>
        <w:gridCol w:w="450"/>
        <w:gridCol w:w="397"/>
        <w:gridCol w:w="397"/>
        <w:gridCol w:w="450"/>
        <w:gridCol w:w="739"/>
        <w:gridCol w:w="763"/>
        <w:gridCol w:w="617"/>
        <w:gridCol w:w="1761"/>
        <w:gridCol w:w="8"/>
        <w:gridCol w:w="803"/>
      </w:tblGrid>
      <w:tr w14:paraId="527CF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8" w:hRule="atLeast"/>
        </w:trPr>
        <w:tc>
          <w:tcPr>
            <w:tcW w:w="1308" w:type="dxa"/>
            <w:vMerge w:val="restart"/>
            <w:vAlign w:val="center"/>
          </w:tcPr>
          <w:p w14:paraId="06EF4700">
            <w:pPr>
              <w:pStyle w:val="53"/>
              <w:bidi w:val="0"/>
              <w:rPr>
                <w:rFonts w:hint="default"/>
              </w:rPr>
            </w:pPr>
            <w:r>
              <w:rPr>
                <w:rFonts w:hint="default"/>
              </w:rPr>
              <w:t>环境管控单元编码</w:t>
            </w:r>
          </w:p>
        </w:tc>
        <w:tc>
          <w:tcPr>
            <w:tcW w:w="820" w:type="dxa"/>
            <w:vMerge w:val="restart"/>
            <w:vAlign w:val="center"/>
          </w:tcPr>
          <w:p w14:paraId="55824246">
            <w:pPr>
              <w:pStyle w:val="53"/>
              <w:bidi w:val="0"/>
              <w:rPr>
                <w:rFonts w:hint="default"/>
              </w:rPr>
            </w:pPr>
            <w:r>
              <w:rPr>
                <w:rFonts w:hint="default"/>
              </w:rPr>
              <w:t>单元名称</w:t>
            </w:r>
          </w:p>
        </w:tc>
        <w:tc>
          <w:tcPr>
            <w:tcW w:w="1244" w:type="dxa"/>
            <w:gridSpan w:val="3"/>
            <w:vAlign w:val="center"/>
          </w:tcPr>
          <w:p w14:paraId="1582B0EC">
            <w:pPr>
              <w:pStyle w:val="53"/>
              <w:bidi w:val="0"/>
              <w:rPr>
                <w:rFonts w:hint="default"/>
              </w:rPr>
            </w:pPr>
            <w:r>
              <w:rPr>
                <w:rFonts w:hint="default"/>
              </w:rPr>
              <w:t>行政区划</w:t>
            </w:r>
          </w:p>
        </w:tc>
        <w:tc>
          <w:tcPr>
            <w:tcW w:w="450" w:type="dxa"/>
            <w:vMerge w:val="restart"/>
            <w:vAlign w:val="center"/>
          </w:tcPr>
          <w:p w14:paraId="2F08779E">
            <w:pPr>
              <w:pStyle w:val="53"/>
              <w:bidi w:val="0"/>
              <w:rPr>
                <w:rFonts w:hint="default"/>
              </w:rPr>
            </w:pPr>
            <w:r>
              <w:rPr>
                <w:rFonts w:hint="default"/>
              </w:rPr>
              <w:t>单元分类</w:t>
            </w:r>
          </w:p>
        </w:tc>
        <w:tc>
          <w:tcPr>
            <w:tcW w:w="739" w:type="dxa"/>
            <w:vMerge w:val="restart"/>
            <w:vAlign w:val="center"/>
          </w:tcPr>
          <w:p w14:paraId="3DCCAB8E">
            <w:pPr>
              <w:pStyle w:val="53"/>
              <w:bidi w:val="0"/>
              <w:rPr>
                <w:rFonts w:hint="default"/>
              </w:rPr>
            </w:pPr>
            <w:r>
              <w:rPr>
                <w:rFonts w:hint="default"/>
              </w:rPr>
              <w:t>单元面积</w:t>
            </w:r>
          </w:p>
          <w:p w14:paraId="2AB2B735">
            <w:pPr>
              <w:pStyle w:val="53"/>
              <w:bidi w:val="0"/>
              <w:rPr>
                <w:rFonts w:hint="default"/>
              </w:rPr>
            </w:pPr>
            <w:r>
              <w:rPr>
                <w:rFonts w:hint="default"/>
              </w:rPr>
              <w:t>(k</w:t>
            </w:r>
            <w:r>
              <w:rPr>
                <w:rFonts w:hint="eastAsia"/>
                <w:lang w:eastAsia="zh-CN"/>
              </w:rPr>
              <w:t>m</w:t>
            </w:r>
            <w:r>
              <w:rPr>
                <w:rFonts w:hint="eastAsia"/>
                <w:vertAlign w:val="superscript"/>
                <w:lang w:eastAsia="zh-CN"/>
              </w:rPr>
              <w:t>2</w:t>
            </w:r>
            <w:r>
              <w:rPr>
                <w:rFonts w:hint="default"/>
              </w:rPr>
              <w:t>)</w:t>
            </w:r>
          </w:p>
        </w:tc>
        <w:tc>
          <w:tcPr>
            <w:tcW w:w="763" w:type="dxa"/>
            <w:vMerge w:val="restart"/>
            <w:vAlign w:val="center"/>
          </w:tcPr>
          <w:p w14:paraId="59CCDB6B">
            <w:pPr>
              <w:pStyle w:val="53"/>
              <w:bidi w:val="0"/>
              <w:rPr>
                <w:rFonts w:hint="default"/>
                <w:lang w:eastAsia="zh-CN"/>
              </w:rPr>
            </w:pPr>
            <w:r>
              <w:rPr>
                <w:rFonts w:hint="default"/>
              </w:rPr>
              <w:t>涉及乡镇</w:t>
            </w:r>
            <w:r>
              <w:rPr>
                <w:rFonts w:hint="default"/>
                <w:lang w:eastAsia="zh-CN"/>
              </w:rPr>
              <w:t>(</w:t>
            </w:r>
            <w:r>
              <w:rPr>
                <w:rFonts w:hint="default"/>
              </w:rPr>
              <w:t>街道</w:t>
            </w:r>
            <w:r>
              <w:rPr>
                <w:rFonts w:hint="default"/>
                <w:lang w:eastAsia="zh-CN"/>
              </w:rPr>
              <w:t>)</w:t>
            </w:r>
          </w:p>
        </w:tc>
        <w:tc>
          <w:tcPr>
            <w:tcW w:w="617" w:type="dxa"/>
            <w:vMerge w:val="restart"/>
            <w:vAlign w:val="center"/>
          </w:tcPr>
          <w:p w14:paraId="45EC6210">
            <w:pPr>
              <w:pStyle w:val="53"/>
              <w:bidi w:val="0"/>
              <w:rPr>
                <w:rFonts w:hint="default"/>
              </w:rPr>
            </w:pPr>
            <w:r>
              <w:rPr>
                <w:rFonts w:hint="default"/>
              </w:rPr>
              <w:t>区域主体功能定位</w:t>
            </w:r>
          </w:p>
        </w:tc>
        <w:tc>
          <w:tcPr>
            <w:tcW w:w="1769" w:type="dxa"/>
            <w:gridSpan w:val="2"/>
            <w:vMerge w:val="restart"/>
            <w:vAlign w:val="center"/>
          </w:tcPr>
          <w:p w14:paraId="1E88A00E">
            <w:pPr>
              <w:pStyle w:val="53"/>
              <w:bidi w:val="0"/>
              <w:rPr>
                <w:rFonts w:hint="default"/>
              </w:rPr>
            </w:pPr>
            <w:r>
              <w:rPr>
                <w:rFonts w:hint="default"/>
              </w:rPr>
              <w:t>经济产业布局</w:t>
            </w:r>
          </w:p>
        </w:tc>
        <w:tc>
          <w:tcPr>
            <w:tcW w:w="803" w:type="dxa"/>
            <w:vMerge w:val="restart"/>
            <w:vAlign w:val="center"/>
          </w:tcPr>
          <w:p w14:paraId="7239A4A3">
            <w:pPr>
              <w:pStyle w:val="53"/>
              <w:bidi w:val="0"/>
              <w:rPr>
                <w:rFonts w:hint="default"/>
              </w:rPr>
            </w:pPr>
            <w:r>
              <w:rPr>
                <w:rFonts w:hint="default"/>
              </w:rPr>
              <w:t>主要环境问题和重要敏感目标</w:t>
            </w:r>
          </w:p>
        </w:tc>
      </w:tr>
      <w:tr w14:paraId="7C0F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308" w:type="dxa"/>
            <w:vMerge w:val="continue"/>
            <w:vAlign w:val="center"/>
          </w:tcPr>
          <w:p w14:paraId="6F6F3CC3">
            <w:pPr>
              <w:pStyle w:val="53"/>
              <w:bidi w:val="0"/>
              <w:rPr>
                <w:rFonts w:hint="default"/>
              </w:rPr>
            </w:pPr>
          </w:p>
        </w:tc>
        <w:tc>
          <w:tcPr>
            <w:tcW w:w="820" w:type="dxa"/>
            <w:vMerge w:val="continue"/>
            <w:vAlign w:val="center"/>
          </w:tcPr>
          <w:p w14:paraId="28084048">
            <w:pPr>
              <w:pStyle w:val="53"/>
              <w:bidi w:val="0"/>
              <w:rPr>
                <w:rFonts w:hint="default"/>
              </w:rPr>
            </w:pPr>
          </w:p>
        </w:tc>
        <w:tc>
          <w:tcPr>
            <w:tcW w:w="450" w:type="dxa"/>
            <w:vAlign w:val="center"/>
          </w:tcPr>
          <w:p w14:paraId="646825AA">
            <w:pPr>
              <w:pStyle w:val="53"/>
              <w:bidi w:val="0"/>
              <w:rPr>
                <w:rFonts w:hint="default"/>
              </w:rPr>
            </w:pPr>
            <w:r>
              <w:rPr>
                <w:rFonts w:hint="default"/>
              </w:rPr>
              <w:t>省</w:t>
            </w:r>
          </w:p>
        </w:tc>
        <w:tc>
          <w:tcPr>
            <w:tcW w:w="397" w:type="dxa"/>
            <w:vAlign w:val="center"/>
          </w:tcPr>
          <w:p w14:paraId="3E01BCCE">
            <w:pPr>
              <w:pStyle w:val="53"/>
              <w:bidi w:val="0"/>
              <w:rPr>
                <w:rFonts w:hint="default"/>
              </w:rPr>
            </w:pPr>
            <w:r>
              <w:rPr>
                <w:rFonts w:hint="default"/>
              </w:rPr>
              <w:t>市</w:t>
            </w:r>
          </w:p>
        </w:tc>
        <w:tc>
          <w:tcPr>
            <w:tcW w:w="397" w:type="dxa"/>
            <w:vAlign w:val="center"/>
          </w:tcPr>
          <w:p w14:paraId="42793418">
            <w:pPr>
              <w:pStyle w:val="53"/>
              <w:bidi w:val="0"/>
              <w:rPr>
                <w:rFonts w:hint="default"/>
              </w:rPr>
            </w:pPr>
            <w:r>
              <w:rPr>
                <w:rFonts w:hint="default"/>
              </w:rPr>
              <w:t>县</w:t>
            </w:r>
          </w:p>
        </w:tc>
        <w:tc>
          <w:tcPr>
            <w:tcW w:w="450" w:type="dxa"/>
            <w:vMerge w:val="continue"/>
            <w:vAlign w:val="center"/>
          </w:tcPr>
          <w:p w14:paraId="166BD41E">
            <w:pPr>
              <w:pStyle w:val="53"/>
              <w:bidi w:val="0"/>
              <w:rPr>
                <w:rFonts w:hint="default"/>
              </w:rPr>
            </w:pPr>
          </w:p>
        </w:tc>
        <w:tc>
          <w:tcPr>
            <w:tcW w:w="739" w:type="dxa"/>
            <w:vMerge w:val="continue"/>
            <w:vAlign w:val="center"/>
          </w:tcPr>
          <w:p w14:paraId="7BB6CC27">
            <w:pPr>
              <w:pStyle w:val="53"/>
              <w:bidi w:val="0"/>
              <w:rPr>
                <w:rFonts w:hint="default"/>
              </w:rPr>
            </w:pPr>
          </w:p>
        </w:tc>
        <w:tc>
          <w:tcPr>
            <w:tcW w:w="763" w:type="dxa"/>
            <w:vMerge w:val="continue"/>
            <w:vAlign w:val="center"/>
          </w:tcPr>
          <w:p w14:paraId="33C44EF9">
            <w:pPr>
              <w:pStyle w:val="53"/>
              <w:bidi w:val="0"/>
              <w:rPr>
                <w:rFonts w:hint="default"/>
              </w:rPr>
            </w:pPr>
          </w:p>
        </w:tc>
        <w:tc>
          <w:tcPr>
            <w:tcW w:w="617" w:type="dxa"/>
            <w:vMerge w:val="continue"/>
            <w:vAlign w:val="center"/>
          </w:tcPr>
          <w:p w14:paraId="66DEDB58">
            <w:pPr>
              <w:pStyle w:val="53"/>
              <w:bidi w:val="0"/>
              <w:rPr>
                <w:rFonts w:hint="default"/>
              </w:rPr>
            </w:pPr>
          </w:p>
        </w:tc>
        <w:tc>
          <w:tcPr>
            <w:tcW w:w="1769" w:type="dxa"/>
            <w:gridSpan w:val="2"/>
            <w:vMerge w:val="continue"/>
            <w:vAlign w:val="center"/>
          </w:tcPr>
          <w:p w14:paraId="33063B9D">
            <w:pPr>
              <w:pStyle w:val="53"/>
              <w:bidi w:val="0"/>
              <w:rPr>
                <w:rFonts w:hint="default"/>
              </w:rPr>
            </w:pPr>
          </w:p>
        </w:tc>
        <w:tc>
          <w:tcPr>
            <w:tcW w:w="803" w:type="dxa"/>
            <w:vMerge w:val="continue"/>
            <w:vAlign w:val="center"/>
          </w:tcPr>
          <w:p w14:paraId="17B81115">
            <w:pPr>
              <w:pStyle w:val="53"/>
              <w:bidi w:val="0"/>
              <w:rPr>
                <w:rFonts w:hint="default"/>
              </w:rPr>
            </w:pPr>
          </w:p>
        </w:tc>
      </w:tr>
      <w:tr w14:paraId="0D7B4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1308" w:type="dxa"/>
            <w:vAlign w:val="center"/>
          </w:tcPr>
          <w:p w14:paraId="2B9E6B20">
            <w:pPr>
              <w:pStyle w:val="53"/>
              <w:bidi w:val="0"/>
              <w:rPr>
                <w:rFonts w:hint="default"/>
                <w:lang w:val="en-US" w:eastAsia="zh-CN"/>
              </w:rPr>
            </w:pPr>
            <w:r>
              <w:rPr>
                <w:rFonts w:hint="default"/>
                <w:lang w:val="en-US" w:eastAsia="zh-CN"/>
              </w:rPr>
              <w:t>ZH43112430001</w:t>
            </w:r>
          </w:p>
        </w:tc>
        <w:tc>
          <w:tcPr>
            <w:tcW w:w="820" w:type="dxa"/>
            <w:vAlign w:val="center"/>
          </w:tcPr>
          <w:p w14:paraId="6391ED27">
            <w:pPr>
              <w:pStyle w:val="53"/>
              <w:bidi w:val="0"/>
              <w:rPr>
                <w:rFonts w:hint="default"/>
                <w:lang w:val="en-US" w:eastAsia="zh-CN"/>
              </w:rPr>
            </w:pPr>
            <w:r>
              <w:rPr>
                <w:rFonts w:hint="default"/>
                <w:lang w:val="en-US" w:eastAsia="zh-CN"/>
              </w:rPr>
              <w:t>寿雁镇/仙子脚镇/白马渡镇/富塘街道/梅花镇</w:t>
            </w:r>
          </w:p>
        </w:tc>
        <w:tc>
          <w:tcPr>
            <w:tcW w:w="450" w:type="dxa"/>
            <w:vAlign w:val="center"/>
          </w:tcPr>
          <w:p w14:paraId="4D101504">
            <w:pPr>
              <w:pStyle w:val="53"/>
              <w:bidi w:val="0"/>
              <w:rPr>
                <w:rFonts w:hint="default"/>
                <w:lang w:val="en-US" w:eastAsia="zh-CN"/>
              </w:rPr>
            </w:pPr>
            <w:r>
              <w:rPr>
                <w:rFonts w:hint="default"/>
                <w:lang w:val="en-US" w:eastAsia="zh-CN"/>
              </w:rPr>
              <w:t>湖</w:t>
            </w:r>
          </w:p>
          <w:p w14:paraId="65B89524">
            <w:pPr>
              <w:pStyle w:val="53"/>
              <w:bidi w:val="0"/>
              <w:rPr>
                <w:rFonts w:hint="default"/>
                <w:lang w:val="en-US" w:eastAsia="zh-CN"/>
              </w:rPr>
            </w:pPr>
            <w:r>
              <w:rPr>
                <w:rFonts w:hint="default"/>
                <w:lang w:val="en-US" w:eastAsia="zh-CN"/>
              </w:rPr>
              <w:t>南</w:t>
            </w:r>
          </w:p>
          <w:p w14:paraId="6E52D014">
            <w:pPr>
              <w:pStyle w:val="53"/>
              <w:bidi w:val="0"/>
              <w:rPr>
                <w:rFonts w:hint="default"/>
                <w:lang w:val="en-US" w:eastAsia="zh-CN"/>
              </w:rPr>
            </w:pPr>
            <w:r>
              <w:rPr>
                <w:rFonts w:hint="default"/>
                <w:lang w:val="en-US" w:eastAsia="zh-CN"/>
              </w:rPr>
              <w:t>省</w:t>
            </w:r>
          </w:p>
        </w:tc>
        <w:tc>
          <w:tcPr>
            <w:tcW w:w="397" w:type="dxa"/>
            <w:vAlign w:val="center"/>
          </w:tcPr>
          <w:p w14:paraId="5BF86766">
            <w:pPr>
              <w:pStyle w:val="53"/>
              <w:bidi w:val="0"/>
              <w:rPr>
                <w:rFonts w:hint="default"/>
                <w:lang w:val="en-US" w:eastAsia="zh-CN"/>
              </w:rPr>
            </w:pPr>
            <w:r>
              <w:rPr>
                <w:rFonts w:hint="default"/>
                <w:lang w:val="en-US" w:eastAsia="zh-CN"/>
              </w:rPr>
              <w:t>永</w:t>
            </w:r>
          </w:p>
          <w:p w14:paraId="14551B31">
            <w:pPr>
              <w:pStyle w:val="53"/>
              <w:bidi w:val="0"/>
              <w:rPr>
                <w:rFonts w:hint="default"/>
                <w:lang w:val="en-US" w:eastAsia="zh-CN"/>
              </w:rPr>
            </w:pPr>
            <w:r>
              <w:rPr>
                <w:rFonts w:hint="default"/>
                <w:lang w:val="en-US" w:eastAsia="zh-CN"/>
              </w:rPr>
              <w:t>州</w:t>
            </w:r>
          </w:p>
          <w:p w14:paraId="1AF1B57F">
            <w:pPr>
              <w:pStyle w:val="53"/>
              <w:bidi w:val="0"/>
              <w:rPr>
                <w:rFonts w:hint="default"/>
                <w:lang w:val="en-US" w:eastAsia="zh-CN"/>
              </w:rPr>
            </w:pPr>
            <w:r>
              <w:rPr>
                <w:rFonts w:hint="default"/>
                <w:lang w:val="en-US" w:eastAsia="zh-CN"/>
              </w:rPr>
              <w:t>市</w:t>
            </w:r>
          </w:p>
        </w:tc>
        <w:tc>
          <w:tcPr>
            <w:tcW w:w="397" w:type="dxa"/>
            <w:vAlign w:val="center"/>
          </w:tcPr>
          <w:p w14:paraId="06388FC0">
            <w:pPr>
              <w:pStyle w:val="53"/>
              <w:bidi w:val="0"/>
              <w:rPr>
                <w:rFonts w:hint="default"/>
                <w:lang w:val="en-US" w:eastAsia="zh-CN"/>
              </w:rPr>
            </w:pPr>
            <w:r>
              <w:rPr>
                <w:rFonts w:hint="default"/>
                <w:lang w:val="en-US" w:eastAsia="zh-CN"/>
              </w:rPr>
              <w:t>道县</w:t>
            </w:r>
          </w:p>
        </w:tc>
        <w:tc>
          <w:tcPr>
            <w:tcW w:w="450" w:type="dxa"/>
            <w:vAlign w:val="center"/>
          </w:tcPr>
          <w:p w14:paraId="4760E23C">
            <w:pPr>
              <w:pStyle w:val="53"/>
              <w:bidi w:val="0"/>
              <w:rPr>
                <w:rFonts w:hint="default"/>
                <w:lang w:val="en-US" w:eastAsia="zh-CN"/>
              </w:rPr>
            </w:pPr>
            <w:r>
              <w:rPr>
                <w:rFonts w:hint="default"/>
                <w:lang w:val="en-US" w:eastAsia="zh-CN"/>
              </w:rPr>
              <w:t>一般管控单元</w:t>
            </w:r>
          </w:p>
        </w:tc>
        <w:tc>
          <w:tcPr>
            <w:tcW w:w="739" w:type="dxa"/>
            <w:vAlign w:val="center"/>
          </w:tcPr>
          <w:p w14:paraId="712211DD">
            <w:pPr>
              <w:pStyle w:val="53"/>
              <w:bidi w:val="0"/>
              <w:rPr>
                <w:rFonts w:hint="default"/>
                <w:lang w:val="en-US" w:eastAsia="zh-CN"/>
              </w:rPr>
            </w:pPr>
            <w:r>
              <w:rPr>
                <w:rFonts w:hint="default"/>
                <w:lang w:val="en-US" w:eastAsia="zh-CN"/>
              </w:rPr>
              <w:t>520.26</w:t>
            </w:r>
          </w:p>
        </w:tc>
        <w:tc>
          <w:tcPr>
            <w:tcW w:w="763" w:type="dxa"/>
            <w:vAlign w:val="center"/>
          </w:tcPr>
          <w:p w14:paraId="5526E57B">
            <w:pPr>
              <w:pStyle w:val="53"/>
              <w:bidi w:val="0"/>
              <w:rPr>
                <w:rFonts w:hint="default"/>
                <w:lang w:val="en-US" w:eastAsia="zh-CN"/>
              </w:rPr>
            </w:pPr>
            <w:r>
              <w:rPr>
                <w:rFonts w:hint="default"/>
                <w:lang w:val="en-US" w:eastAsia="zh-CN"/>
              </w:rPr>
              <w:t>梅花镇</w:t>
            </w:r>
          </w:p>
        </w:tc>
        <w:tc>
          <w:tcPr>
            <w:tcW w:w="617" w:type="dxa"/>
            <w:vAlign w:val="center"/>
          </w:tcPr>
          <w:p w14:paraId="377AEECA">
            <w:pPr>
              <w:pStyle w:val="53"/>
              <w:bidi w:val="0"/>
              <w:rPr>
                <w:rFonts w:hint="default"/>
                <w:lang w:val="en-US" w:eastAsia="zh-CN"/>
              </w:rPr>
            </w:pPr>
            <w:r>
              <w:rPr>
                <w:rFonts w:hint="default"/>
                <w:lang w:val="en-US" w:eastAsia="zh-CN"/>
              </w:rPr>
              <w:t>国家重点生态功能区</w:t>
            </w:r>
          </w:p>
        </w:tc>
        <w:tc>
          <w:tcPr>
            <w:tcW w:w="1769" w:type="dxa"/>
            <w:gridSpan w:val="2"/>
            <w:vAlign w:val="center"/>
          </w:tcPr>
          <w:p w14:paraId="6CE756CB">
            <w:pPr>
              <w:pStyle w:val="53"/>
              <w:bidi w:val="0"/>
              <w:rPr>
                <w:rFonts w:hint="default"/>
                <w:lang w:val="en-US" w:eastAsia="zh-CN"/>
              </w:rPr>
            </w:pPr>
            <w:r>
              <w:rPr>
                <w:rFonts w:hint="default"/>
                <w:lang w:val="en-US" w:eastAsia="zh-CN"/>
              </w:rPr>
              <w:t>梅花镇</w:t>
            </w:r>
            <w:r>
              <w:rPr>
                <w:rFonts w:hint="eastAsia"/>
                <w:lang w:val="en-US" w:eastAsia="zh-CN"/>
              </w:rPr>
              <w:t>：</w:t>
            </w:r>
            <w:r>
              <w:rPr>
                <w:rFonts w:hint="default"/>
                <w:lang w:val="en-US" w:eastAsia="zh-CN"/>
              </w:rPr>
              <w:t>农业、养殖业、旅游业。</w:t>
            </w:r>
          </w:p>
        </w:tc>
        <w:tc>
          <w:tcPr>
            <w:tcW w:w="803" w:type="dxa"/>
            <w:vAlign w:val="center"/>
          </w:tcPr>
          <w:p w14:paraId="00050C45">
            <w:pPr>
              <w:pStyle w:val="53"/>
              <w:bidi w:val="0"/>
              <w:rPr>
                <w:rFonts w:hint="default"/>
                <w:lang w:val="en-US" w:eastAsia="zh-CN"/>
              </w:rPr>
            </w:pPr>
            <w:r>
              <w:rPr>
                <w:rFonts w:hint="default"/>
                <w:lang w:val="en-US" w:eastAsia="zh-CN"/>
              </w:rPr>
              <w:t>无明显环境问题。</w:t>
            </w:r>
          </w:p>
        </w:tc>
      </w:tr>
      <w:tr w14:paraId="44F5C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308" w:type="dxa"/>
            <w:vAlign w:val="center"/>
          </w:tcPr>
          <w:p w14:paraId="18B99504">
            <w:pPr>
              <w:pStyle w:val="53"/>
              <w:bidi w:val="0"/>
              <w:rPr>
                <w:rFonts w:hint="default"/>
              </w:rPr>
            </w:pPr>
            <w:r>
              <w:rPr>
                <w:rFonts w:hint="default"/>
              </w:rPr>
              <w:t>主要属性</w:t>
            </w:r>
          </w:p>
        </w:tc>
        <w:tc>
          <w:tcPr>
            <w:tcW w:w="7205" w:type="dxa"/>
            <w:gridSpan w:val="11"/>
            <w:vAlign w:val="center"/>
          </w:tcPr>
          <w:p w14:paraId="6ED3C872">
            <w:pPr>
              <w:pStyle w:val="53"/>
              <w:bidi w:val="0"/>
              <w:rPr>
                <w:rFonts w:hint="default"/>
              </w:rPr>
            </w:pPr>
            <w:r>
              <w:rPr>
                <w:rFonts w:hint="default"/>
                <w:lang w:val="en-US" w:eastAsia="zh-CN"/>
              </w:rPr>
              <w:t>梅花镇:红线/一般生态空间</w:t>
            </w:r>
            <w:r>
              <w:rPr>
                <w:rFonts w:hint="eastAsia"/>
                <w:lang w:val="en-US" w:eastAsia="zh-CN"/>
              </w:rPr>
              <w:t>(</w:t>
            </w:r>
            <w:r>
              <w:rPr>
                <w:rFonts w:hint="default"/>
                <w:lang w:val="en-US" w:eastAsia="zh-CN"/>
              </w:rPr>
              <w:t>水源涵养重要区/三区三线生态红线/水土流失敏感区/生物多样性保护功能重要区/原生态红线</w:t>
            </w:r>
            <w:r>
              <w:rPr>
                <w:rFonts w:hint="eastAsia"/>
                <w:lang w:val="en-US" w:eastAsia="zh-CN"/>
              </w:rPr>
              <w:t>)</w:t>
            </w:r>
            <w:r>
              <w:rPr>
                <w:rFonts w:hint="default"/>
                <w:lang w:val="en-US" w:eastAsia="zh-CN"/>
              </w:rPr>
              <w:t>；水环境一般管控区；大气环境弱扩散重点管控区/大气环境受体敏感重点管控区；农用地优先保护区/一般管控区/其他重点管控区</w:t>
            </w:r>
          </w:p>
        </w:tc>
      </w:tr>
      <w:tr w14:paraId="4305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28DB4AEF">
            <w:pPr>
              <w:pStyle w:val="53"/>
              <w:bidi w:val="0"/>
              <w:rPr>
                <w:rFonts w:hint="default"/>
              </w:rPr>
            </w:pPr>
            <w:r>
              <w:rPr>
                <w:rFonts w:hint="default"/>
              </w:rPr>
              <w:t>管控维度</w:t>
            </w:r>
          </w:p>
        </w:tc>
        <w:tc>
          <w:tcPr>
            <w:tcW w:w="4633" w:type="dxa"/>
            <w:gridSpan w:val="8"/>
            <w:vAlign w:val="center"/>
          </w:tcPr>
          <w:p w14:paraId="582B5559">
            <w:pPr>
              <w:pStyle w:val="53"/>
              <w:bidi w:val="0"/>
              <w:rPr>
                <w:rFonts w:hint="default"/>
              </w:rPr>
            </w:pPr>
            <w:r>
              <w:rPr>
                <w:rFonts w:hint="default"/>
              </w:rPr>
              <w:t>管控要求</w:t>
            </w:r>
          </w:p>
        </w:tc>
        <w:tc>
          <w:tcPr>
            <w:tcW w:w="1761" w:type="dxa"/>
            <w:vAlign w:val="center"/>
          </w:tcPr>
          <w:p w14:paraId="04479AE7">
            <w:pPr>
              <w:pStyle w:val="53"/>
              <w:bidi w:val="0"/>
              <w:rPr>
                <w:rFonts w:hint="default"/>
              </w:rPr>
            </w:pPr>
            <w:r>
              <w:rPr>
                <w:rFonts w:hint="default"/>
              </w:rPr>
              <w:t>本项目情况</w:t>
            </w:r>
          </w:p>
        </w:tc>
        <w:tc>
          <w:tcPr>
            <w:tcW w:w="811" w:type="dxa"/>
            <w:gridSpan w:val="2"/>
            <w:vAlign w:val="center"/>
          </w:tcPr>
          <w:p w14:paraId="6779ACAE">
            <w:pPr>
              <w:pStyle w:val="53"/>
              <w:bidi w:val="0"/>
              <w:rPr>
                <w:rFonts w:hint="default"/>
              </w:rPr>
            </w:pPr>
            <w:r>
              <w:rPr>
                <w:rFonts w:hint="default"/>
              </w:rPr>
              <w:t>相符性</w:t>
            </w:r>
          </w:p>
        </w:tc>
      </w:tr>
      <w:tr w14:paraId="278F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26CC9D36">
            <w:pPr>
              <w:pStyle w:val="53"/>
              <w:bidi w:val="0"/>
              <w:rPr>
                <w:rFonts w:hint="default"/>
              </w:rPr>
            </w:pPr>
            <w:r>
              <w:rPr>
                <w:rFonts w:hint="default"/>
              </w:rPr>
              <w:t>空间布局约束</w:t>
            </w:r>
          </w:p>
        </w:tc>
        <w:tc>
          <w:tcPr>
            <w:tcW w:w="4633" w:type="dxa"/>
            <w:gridSpan w:val="8"/>
            <w:vAlign w:val="center"/>
          </w:tcPr>
          <w:p w14:paraId="25A02DE7">
            <w:pPr>
              <w:pStyle w:val="53"/>
              <w:bidi w:val="0"/>
              <w:rPr>
                <w:rFonts w:hint="default"/>
              </w:rPr>
            </w:pPr>
            <w:r>
              <w:rPr>
                <w:rFonts w:hint="default"/>
                <w:lang w:val="en-US" w:eastAsia="zh-CN"/>
              </w:rPr>
              <w:t>(1.1)畜禽养殖产业布局应符合《道县畜禽养殖禁养区划定方案》。优先发展生态型和资源综合利用型畜禽养殖场，逐步缩小散养比例。</w:t>
            </w:r>
          </w:p>
        </w:tc>
        <w:tc>
          <w:tcPr>
            <w:tcW w:w="1761" w:type="dxa"/>
            <w:vAlign w:val="center"/>
          </w:tcPr>
          <w:p w14:paraId="483F10C8">
            <w:pPr>
              <w:pStyle w:val="53"/>
              <w:bidi w:val="0"/>
              <w:rPr>
                <w:rFonts w:hint="default"/>
                <w:lang w:val="en-US" w:eastAsia="zh-CN"/>
              </w:rPr>
            </w:pPr>
            <w:r>
              <w:rPr>
                <w:rFonts w:hint="default"/>
                <w:lang w:val="en-US" w:eastAsia="zh-CN"/>
              </w:rPr>
              <w:t>1.</w:t>
            </w:r>
            <w:r>
              <w:rPr>
                <w:rFonts w:hint="default"/>
              </w:rPr>
              <w:t>本项目</w:t>
            </w:r>
            <w:r>
              <w:rPr>
                <w:rFonts w:hint="default"/>
                <w:lang w:val="en-US" w:eastAsia="zh-CN"/>
              </w:rPr>
              <w:t>不涉及畜禽养殖</w:t>
            </w:r>
            <w:r>
              <w:rPr>
                <w:rFonts w:hint="default"/>
              </w:rPr>
              <w:t>。</w:t>
            </w:r>
          </w:p>
        </w:tc>
        <w:tc>
          <w:tcPr>
            <w:tcW w:w="811" w:type="dxa"/>
            <w:gridSpan w:val="2"/>
            <w:vAlign w:val="center"/>
          </w:tcPr>
          <w:p w14:paraId="5134C519">
            <w:pPr>
              <w:pStyle w:val="53"/>
              <w:bidi w:val="0"/>
              <w:rPr>
                <w:rFonts w:hint="default"/>
              </w:rPr>
            </w:pPr>
            <w:r>
              <w:rPr>
                <w:rFonts w:hint="default"/>
              </w:rPr>
              <w:t>符合</w:t>
            </w:r>
          </w:p>
        </w:tc>
      </w:tr>
      <w:tr w14:paraId="29D25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181E7DA4">
            <w:pPr>
              <w:pStyle w:val="53"/>
              <w:bidi w:val="0"/>
              <w:rPr>
                <w:rFonts w:hint="default"/>
              </w:rPr>
            </w:pPr>
            <w:r>
              <w:rPr>
                <w:rFonts w:hint="default"/>
              </w:rPr>
              <w:t>污染物排放管控</w:t>
            </w:r>
          </w:p>
        </w:tc>
        <w:tc>
          <w:tcPr>
            <w:tcW w:w="4633" w:type="dxa"/>
            <w:gridSpan w:val="8"/>
            <w:vAlign w:val="center"/>
          </w:tcPr>
          <w:p w14:paraId="29BBEA7E">
            <w:pPr>
              <w:pStyle w:val="53"/>
              <w:bidi w:val="0"/>
              <w:rPr>
                <w:rFonts w:hint="default"/>
                <w:lang w:val="en-US" w:eastAsia="zh-CN"/>
              </w:rPr>
            </w:pPr>
            <w:r>
              <w:rPr>
                <w:rFonts w:hint="default"/>
                <w:lang w:val="en-US" w:eastAsia="zh-CN"/>
              </w:rPr>
              <w:t>(2.1)大力实施乡镇污水管网建设改造攻坚行动，加快补齐管网短板。</w:t>
            </w:r>
          </w:p>
          <w:p w14:paraId="277EB33B">
            <w:pPr>
              <w:pStyle w:val="53"/>
              <w:bidi w:val="0"/>
              <w:rPr>
                <w:rFonts w:hint="default"/>
                <w:lang w:val="en-US" w:eastAsia="zh-CN"/>
              </w:rPr>
            </w:pPr>
            <w:r>
              <w:rPr>
                <w:rFonts w:hint="eastAsia"/>
                <w:lang w:val="en-US" w:eastAsia="zh-CN"/>
              </w:rPr>
              <w:t>(</w:t>
            </w:r>
            <w:r>
              <w:rPr>
                <w:rFonts w:hint="default"/>
                <w:lang w:val="en-US" w:eastAsia="zh-CN"/>
              </w:rPr>
              <w:t>2.2</w:t>
            </w:r>
            <w:r>
              <w:rPr>
                <w:rFonts w:hint="eastAsia"/>
                <w:lang w:val="en-US" w:eastAsia="zh-CN"/>
              </w:rPr>
              <w:t>)</w:t>
            </w:r>
            <w:r>
              <w:rPr>
                <w:rFonts w:hint="default"/>
                <w:lang w:val="en-US" w:eastAsia="zh-CN"/>
              </w:rPr>
              <w:t>着力提升乡镇生活垃圾治理水平，建立动态管控机制，发现问题，及时交办、整改。有序推进厨余垃圾处理。</w:t>
            </w:r>
          </w:p>
          <w:p w14:paraId="77B9EFCA">
            <w:pPr>
              <w:pStyle w:val="53"/>
              <w:bidi w:val="0"/>
              <w:rPr>
                <w:rFonts w:hint="default"/>
              </w:rPr>
            </w:pPr>
            <w:r>
              <w:rPr>
                <w:rFonts w:hint="eastAsia"/>
                <w:lang w:val="en-US" w:eastAsia="zh-CN"/>
              </w:rPr>
              <w:t>(</w:t>
            </w:r>
            <w:r>
              <w:rPr>
                <w:rFonts w:hint="default"/>
                <w:lang w:val="en-US" w:eastAsia="zh-CN"/>
              </w:rPr>
              <w:t>2.3</w:t>
            </w:r>
            <w:r>
              <w:rPr>
                <w:rFonts w:hint="eastAsia"/>
                <w:lang w:val="en-US" w:eastAsia="zh-CN"/>
              </w:rPr>
              <w:t>)</w:t>
            </w:r>
            <w:r>
              <w:rPr>
                <w:rFonts w:hint="default"/>
                <w:lang w:val="en-US" w:eastAsia="zh-CN"/>
              </w:rPr>
              <w:t>进一步配套完善规模养殖场粪污处理设施装备以及配套完善畜禽养殖专业户粪污处理设施装备，有效提高畜禽养殖场户的粪污资源化利用率。大力倡导发展生态养殖业，因地制宜地建设粪污收集、贮存、处理、利用设施，实现粪污资源化利用，从而促进畜禽养殖业的持续健康发展。</w:t>
            </w:r>
          </w:p>
        </w:tc>
        <w:tc>
          <w:tcPr>
            <w:tcW w:w="1761" w:type="dxa"/>
            <w:vAlign w:val="center"/>
          </w:tcPr>
          <w:p w14:paraId="397F836C">
            <w:pPr>
              <w:pStyle w:val="53"/>
              <w:bidi w:val="0"/>
              <w:rPr>
                <w:rFonts w:hint="default"/>
                <w:lang w:val="en-US" w:eastAsia="zh-CN"/>
              </w:rPr>
            </w:pPr>
            <w:r>
              <w:rPr>
                <w:rFonts w:hint="default"/>
                <w:lang w:val="en-US" w:eastAsia="zh-CN"/>
              </w:rPr>
              <w:t>本项目不涉及。</w:t>
            </w:r>
          </w:p>
        </w:tc>
        <w:tc>
          <w:tcPr>
            <w:tcW w:w="811" w:type="dxa"/>
            <w:gridSpan w:val="2"/>
            <w:vAlign w:val="center"/>
          </w:tcPr>
          <w:p w14:paraId="3D267D95">
            <w:pPr>
              <w:pStyle w:val="53"/>
              <w:bidi w:val="0"/>
              <w:rPr>
                <w:rFonts w:hint="default"/>
              </w:rPr>
            </w:pPr>
            <w:r>
              <w:rPr>
                <w:rFonts w:hint="default"/>
              </w:rPr>
              <w:t>符合</w:t>
            </w:r>
          </w:p>
        </w:tc>
      </w:tr>
      <w:tr w14:paraId="31BFE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02B3ED3F">
            <w:pPr>
              <w:pStyle w:val="53"/>
              <w:bidi w:val="0"/>
              <w:rPr>
                <w:rFonts w:hint="default"/>
              </w:rPr>
            </w:pPr>
            <w:r>
              <w:rPr>
                <w:rFonts w:hint="default"/>
              </w:rPr>
              <w:t>环境风险防控</w:t>
            </w:r>
          </w:p>
        </w:tc>
        <w:tc>
          <w:tcPr>
            <w:tcW w:w="4633" w:type="dxa"/>
            <w:gridSpan w:val="8"/>
            <w:vAlign w:val="center"/>
          </w:tcPr>
          <w:p w14:paraId="7E09ADC4">
            <w:pPr>
              <w:pStyle w:val="53"/>
              <w:bidi w:val="0"/>
              <w:rPr>
                <w:rFonts w:hint="default"/>
                <w:lang w:val="en-US" w:eastAsia="zh-CN"/>
              </w:rPr>
            </w:pPr>
            <w:r>
              <w:rPr>
                <w:rFonts w:hint="default"/>
                <w:lang w:val="en-US" w:eastAsia="zh-CN"/>
              </w:rPr>
              <w:t>(3.1)加强环境风险防控和应急管理。建立健全工矿企业和流域水污染事件应急体系。</w:t>
            </w:r>
          </w:p>
          <w:p w14:paraId="6EA99D7B">
            <w:pPr>
              <w:pStyle w:val="53"/>
              <w:bidi w:val="0"/>
              <w:rPr>
                <w:rFonts w:hint="default"/>
                <w:lang w:val="en-US" w:eastAsia="zh-CN"/>
              </w:rPr>
            </w:pPr>
            <w:r>
              <w:rPr>
                <w:rFonts w:hint="default"/>
                <w:lang w:val="en-US" w:eastAsia="zh-CN"/>
              </w:rPr>
              <w:t>（3.2）防治地下水污染。推进地下水污染预防、风险管控与修复试点，加强地下水型饮用水水源安全保障工作。</w:t>
            </w:r>
          </w:p>
          <w:p w14:paraId="0F311BA4">
            <w:pPr>
              <w:pStyle w:val="53"/>
              <w:bidi w:val="0"/>
              <w:rPr>
                <w:rFonts w:hint="default"/>
              </w:rPr>
            </w:pPr>
            <w:r>
              <w:rPr>
                <w:rFonts w:hint="default"/>
                <w:lang w:val="en-US" w:eastAsia="zh-CN"/>
              </w:rPr>
              <w:t>（3.3）按照《永州市“十四五”生态环境保护规划》《道县“十四五”生态环境保护规划》强化环境风险管控，完善环境风险防控体系。</w:t>
            </w:r>
          </w:p>
        </w:tc>
        <w:tc>
          <w:tcPr>
            <w:tcW w:w="1761" w:type="dxa"/>
            <w:vAlign w:val="center"/>
          </w:tcPr>
          <w:p w14:paraId="2A6EF87F">
            <w:pPr>
              <w:pStyle w:val="53"/>
              <w:bidi w:val="0"/>
              <w:rPr>
                <w:rFonts w:hint="default"/>
                <w:lang w:val="en-US" w:eastAsia="zh-CN"/>
              </w:rPr>
            </w:pPr>
            <w:r>
              <w:rPr>
                <w:rFonts w:hint="default"/>
                <w:lang w:val="en-US" w:eastAsia="zh-CN"/>
              </w:rPr>
              <w:t>本项目属于饮用水源保护区配套的供水设施项目。</w:t>
            </w:r>
          </w:p>
        </w:tc>
        <w:tc>
          <w:tcPr>
            <w:tcW w:w="811" w:type="dxa"/>
            <w:gridSpan w:val="2"/>
            <w:vAlign w:val="center"/>
          </w:tcPr>
          <w:p w14:paraId="18851117">
            <w:pPr>
              <w:pStyle w:val="53"/>
              <w:bidi w:val="0"/>
              <w:rPr>
                <w:rFonts w:hint="default"/>
              </w:rPr>
            </w:pPr>
            <w:r>
              <w:rPr>
                <w:rFonts w:hint="default"/>
              </w:rPr>
              <w:t>符合</w:t>
            </w:r>
          </w:p>
        </w:tc>
      </w:tr>
      <w:tr w14:paraId="41E41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8" w:type="dxa"/>
            <w:vAlign w:val="center"/>
          </w:tcPr>
          <w:p w14:paraId="7B119F09">
            <w:pPr>
              <w:pStyle w:val="53"/>
              <w:bidi w:val="0"/>
              <w:rPr>
                <w:rFonts w:hint="default"/>
              </w:rPr>
            </w:pPr>
            <w:r>
              <w:rPr>
                <w:rFonts w:hint="default"/>
              </w:rPr>
              <w:t>资源开发效率要求</w:t>
            </w:r>
          </w:p>
        </w:tc>
        <w:tc>
          <w:tcPr>
            <w:tcW w:w="4633" w:type="dxa"/>
            <w:gridSpan w:val="8"/>
            <w:vAlign w:val="center"/>
          </w:tcPr>
          <w:p w14:paraId="23ED3F86">
            <w:pPr>
              <w:pStyle w:val="53"/>
              <w:bidi w:val="0"/>
              <w:rPr>
                <w:rFonts w:hint="default"/>
                <w:lang w:val="en-US" w:eastAsia="zh-CN"/>
              </w:rPr>
            </w:pPr>
            <w:r>
              <w:rPr>
                <w:rFonts w:hint="default"/>
                <w:lang w:val="en-US" w:eastAsia="zh-CN"/>
              </w:rPr>
              <w:t>(4.1)能源：</w:t>
            </w:r>
          </w:p>
          <w:p w14:paraId="7D895A34">
            <w:pPr>
              <w:pStyle w:val="53"/>
              <w:bidi w:val="0"/>
              <w:rPr>
                <w:rFonts w:hint="default"/>
                <w:lang w:val="en-US" w:eastAsia="zh-CN"/>
              </w:rPr>
            </w:pPr>
            <w:r>
              <w:rPr>
                <w:rFonts w:hint="default"/>
                <w:lang w:val="en-US" w:eastAsia="zh-CN"/>
              </w:rPr>
              <w:t>（4.1.2）优化能源结构，严格控制煤炭消费总量、优先使用可再生能源、积极推广利用天然气、推进燃油品质量升级。</w:t>
            </w:r>
          </w:p>
          <w:p w14:paraId="700CD9B7">
            <w:pPr>
              <w:pStyle w:val="53"/>
              <w:bidi w:val="0"/>
              <w:rPr>
                <w:rFonts w:hint="default"/>
                <w:lang w:val="en-US" w:eastAsia="zh-CN"/>
              </w:rPr>
            </w:pPr>
            <w:r>
              <w:rPr>
                <w:rFonts w:hint="default"/>
                <w:lang w:val="en-US" w:eastAsia="zh-CN"/>
              </w:rPr>
              <w:t>（4.2）水资源：</w:t>
            </w:r>
          </w:p>
          <w:p w14:paraId="4B37EAEE">
            <w:pPr>
              <w:pStyle w:val="53"/>
              <w:bidi w:val="0"/>
              <w:rPr>
                <w:rFonts w:hint="default"/>
                <w:lang w:val="en-US" w:eastAsia="zh-CN"/>
              </w:rPr>
            </w:pPr>
            <w:r>
              <w:rPr>
                <w:rFonts w:hint="default"/>
                <w:lang w:val="en-US" w:eastAsia="zh-CN"/>
              </w:rPr>
              <w:t>（4.2.1）到2025年，道县指标应符合相应行政区域的管控要求，道县用水总量达32958万</w:t>
            </w:r>
            <w:r>
              <w:rPr>
                <w:rFonts w:hint="eastAsia"/>
                <w:lang w:val="en-US" w:eastAsia="zh-CN"/>
              </w:rPr>
              <w:t>m3</w:t>
            </w:r>
            <w:r>
              <w:rPr>
                <w:rFonts w:hint="default"/>
                <w:lang w:val="en-US" w:eastAsia="zh-CN"/>
              </w:rPr>
              <w:t>，农业用水总量为27867万</w:t>
            </w:r>
            <w:r>
              <w:rPr>
                <w:rFonts w:hint="eastAsia"/>
                <w:lang w:val="en-US" w:eastAsia="zh-CN"/>
              </w:rPr>
              <w:t>m3</w:t>
            </w:r>
            <w:r>
              <w:rPr>
                <w:rFonts w:hint="default"/>
                <w:lang w:val="en-US" w:eastAsia="zh-CN"/>
              </w:rPr>
              <w:t>，万元地区生产总值用水量、万元工业增加值用水量分别比2020年降低12.88%、8.87%，农田灌溉水有效利用系数为0.586。</w:t>
            </w:r>
          </w:p>
          <w:p w14:paraId="3F63FCC7">
            <w:pPr>
              <w:pStyle w:val="53"/>
              <w:bidi w:val="0"/>
              <w:rPr>
                <w:rFonts w:hint="default"/>
              </w:rPr>
            </w:pPr>
            <w:r>
              <w:rPr>
                <w:rFonts w:hint="default"/>
                <w:lang w:val="en-US" w:eastAsia="zh-CN"/>
              </w:rPr>
              <w:t>（4.3）土地资源：规划到2035年，全县耕地保有量不低于4.40万公顷（其中寿雁镇、仙子脚镇、白马渡镇、富塘街道、梅花镇分别为5683.95、2341.85、1944.56、814.04、2232.44公顷），永久基本农田保护面积不低于4.06万公顷（其中寿雁镇、仙子脚镇、白马渡镇、富塘街道、梅花镇分别为5415.87、2240.91、1867.96、576.30、2161.11公顷），全县生态保护红线面积不低于44930.26公顷；全县划定城镇开发边界4077.86公顷，划定城镇发展区4386.37公顷，乡村发展区125445.17公顷，矿产能源发展区696.49公顷。</w:t>
            </w:r>
          </w:p>
        </w:tc>
        <w:tc>
          <w:tcPr>
            <w:tcW w:w="1761" w:type="dxa"/>
            <w:vAlign w:val="center"/>
          </w:tcPr>
          <w:p w14:paraId="754F5136">
            <w:pPr>
              <w:pStyle w:val="53"/>
              <w:bidi w:val="0"/>
              <w:rPr>
                <w:rFonts w:hint="default"/>
                <w:lang w:eastAsia="zh-CN"/>
              </w:rPr>
            </w:pPr>
            <w:r>
              <w:rPr>
                <w:rFonts w:hint="default"/>
              </w:rPr>
              <w:t>本项目</w:t>
            </w:r>
            <w:r>
              <w:rPr>
                <w:rFonts w:hint="default"/>
                <w:lang w:val="en-US" w:eastAsia="zh-CN"/>
              </w:rPr>
              <w:t>不涉及</w:t>
            </w:r>
          </w:p>
        </w:tc>
        <w:tc>
          <w:tcPr>
            <w:tcW w:w="811" w:type="dxa"/>
            <w:gridSpan w:val="2"/>
            <w:vAlign w:val="center"/>
          </w:tcPr>
          <w:p w14:paraId="0BE9F7EE">
            <w:pPr>
              <w:pStyle w:val="53"/>
              <w:bidi w:val="0"/>
              <w:rPr>
                <w:rFonts w:hint="default"/>
              </w:rPr>
            </w:pPr>
            <w:r>
              <w:rPr>
                <w:rFonts w:hint="default"/>
              </w:rPr>
              <w:t>符合</w:t>
            </w:r>
          </w:p>
        </w:tc>
      </w:tr>
    </w:tbl>
    <w:p w14:paraId="191F066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由上表可知，本项目与《</w:t>
      </w:r>
      <w:r>
        <w:rPr>
          <w:rFonts w:hint="eastAsia" w:cs="Times New Roman"/>
          <w:color w:val="auto"/>
          <w:u w:val="none" w:color="auto"/>
          <w:lang w:eastAsia="zh-CN"/>
        </w:rPr>
        <w:t>永州市生态环境分区管控更新成果(2023版)</w:t>
      </w:r>
      <w:r>
        <w:rPr>
          <w:rFonts w:hint="default" w:ascii="Times New Roman" w:hAnsi="Times New Roman" w:cs="Times New Roman"/>
          <w:color w:val="auto"/>
          <w:u w:val="none" w:color="auto"/>
        </w:rPr>
        <w:t>》相符</w:t>
      </w:r>
      <w:r>
        <w:rPr>
          <w:rFonts w:hint="default" w:ascii="Times New Roman" w:hAnsi="Times New Roman" w:cs="Times New Roman"/>
          <w:color w:val="auto"/>
          <w:u w:val="none" w:color="auto"/>
          <w:lang w:eastAsia="zh-CN"/>
        </w:rPr>
        <w:t>。</w:t>
      </w:r>
    </w:p>
    <w:p w14:paraId="10831FAD">
      <w:pPr>
        <w:tabs>
          <w:tab w:val="left" w:pos="2422"/>
        </w:tabs>
        <w:rPr>
          <w:rFonts w:hint="default" w:ascii="Times New Roman" w:hAnsi="Times New Roman" w:cs="Times New Roman"/>
          <w:b/>
          <w:bCs/>
          <w:color w:val="auto"/>
          <w:u w:val="none" w:color="auto"/>
          <w:lang w:eastAsia="zh-CN"/>
        </w:rPr>
      </w:pPr>
      <w:r>
        <w:rPr>
          <w:rFonts w:hint="default" w:ascii="Times New Roman" w:hAnsi="Times New Roman" w:cs="Times New Roman"/>
          <w:b/>
          <w:bCs/>
          <w:color w:val="auto"/>
          <w:u w:val="none" w:color="auto"/>
          <w:lang w:eastAsia="zh-CN"/>
        </w:rPr>
        <w:t>与道县国土空间规划及“三区三线”相符性分析</w:t>
      </w:r>
      <w:r>
        <w:rPr>
          <w:rFonts w:hint="eastAsia" w:cs="Times New Roman"/>
          <w:b/>
          <w:bCs/>
          <w:color w:val="auto"/>
          <w:u w:val="none" w:color="auto"/>
          <w:lang w:eastAsia="zh-CN"/>
        </w:rPr>
        <w:t>：</w:t>
      </w:r>
    </w:p>
    <w:p w14:paraId="56DD1501">
      <w:pPr>
        <w:tabs>
          <w:tab w:val="left" w:pos="2422"/>
        </w:tabs>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本项目位于永州市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根据</w:t>
      </w: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lang w:eastAsia="zh-CN"/>
        </w:rPr>
        <w:t>与道县“三区三线”划定成果套合示意</w:t>
      </w:r>
      <w:r>
        <w:rPr>
          <w:rFonts w:hint="default" w:ascii="Times New Roman" w:hAnsi="Times New Roman" w:cs="Times New Roman"/>
          <w:color w:val="auto"/>
          <w:u w:val="none" w:color="auto"/>
          <w:lang w:val="en-US" w:eastAsia="zh-CN"/>
        </w:rPr>
        <w:t>图</w:t>
      </w:r>
      <w:r>
        <w:rPr>
          <w:rFonts w:hint="eastAsia" w:cs="Times New Roman"/>
          <w:color w:val="auto"/>
          <w:u w:val="none" w:color="auto"/>
          <w:lang w:val="en-US" w:eastAsia="zh-CN"/>
        </w:rPr>
        <w:t>(详见附图16)</w:t>
      </w:r>
      <w:r>
        <w:rPr>
          <w:rFonts w:hint="default" w:ascii="Times New Roman" w:hAnsi="Times New Roman" w:cs="Times New Roman"/>
          <w:color w:val="auto"/>
          <w:u w:val="none" w:color="auto"/>
          <w:lang w:eastAsia="zh-CN"/>
        </w:rPr>
        <w:t>，本工程的</w:t>
      </w:r>
      <w:r>
        <w:rPr>
          <w:rFonts w:hint="default" w:ascii="Times New Roman" w:hAnsi="Times New Roman" w:cs="Times New Roman"/>
          <w:color w:val="auto"/>
          <w:u w:val="none" w:color="auto"/>
          <w:lang w:val="en-US" w:eastAsia="zh-CN"/>
        </w:rPr>
        <w:t>水库大</w:t>
      </w:r>
      <w:r>
        <w:rPr>
          <w:rFonts w:hint="default" w:ascii="Times New Roman" w:hAnsi="Times New Roman" w:cs="Times New Roman"/>
          <w:color w:val="auto"/>
          <w:u w:val="none" w:color="auto"/>
          <w:lang w:eastAsia="zh-CN"/>
        </w:rPr>
        <w:t>坝</w:t>
      </w:r>
      <w:r>
        <w:rPr>
          <w:rFonts w:hint="default" w:ascii="Times New Roman" w:hAnsi="Times New Roman" w:cs="Times New Roman"/>
          <w:color w:val="auto"/>
          <w:u w:val="none" w:color="auto"/>
          <w:lang w:val="en-US" w:eastAsia="zh-CN"/>
        </w:rPr>
        <w:t>施工范围与生态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红线相邻，优化布置后施工临时用地的</w:t>
      </w:r>
      <w:r>
        <w:rPr>
          <w:rFonts w:hint="default" w:ascii="Times New Roman" w:hAnsi="Times New Roman" w:cs="Times New Roman"/>
          <w:color w:val="auto"/>
          <w:u w:val="none" w:color="auto"/>
          <w:lang w:eastAsia="zh-CN"/>
        </w:rPr>
        <w:t>临时施工道路、综合加工工厂、水泥仓库等临建设施</w:t>
      </w:r>
      <w:r>
        <w:rPr>
          <w:rFonts w:hint="default" w:ascii="Times New Roman" w:hAnsi="Times New Roman" w:cs="Times New Roman"/>
          <w:color w:val="auto"/>
          <w:u w:val="none" w:color="auto"/>
          <w:lang w:val="en-US" w:eastAsia="zh-CN"/>
        </w:rPr>
        <w:t>均不在道县生态</w:t>
      </w:r>
      <w:r>
        <w:rPr>
          <w:rFonts w:hint="eastAsia" w:cs="Times New Roman"/>
          <w:color w:val="auto"/>
          <w:u w:val="none" w:color="auto"/>
          <w:lang w:val="en-US" w:eastAsia="zh-CN"/>
        </w:rPr>
        <w:t>保护</w:t>
      </w:r>
      <w:r>
        <w:rPr>
          <w:rFonts w:hint="default" w:ascii="Times New Roman" w:hAnsi="Times New Roman" w:cs="Times New Roman"/>
          <w:color w:val="auto"/>
          <w:u w:val="none" w:color="auto"/>
          <w:lang w:val="en-US" w:eastAsia="zh-CN"/>
        </w:rPr>
        <w:t>红线的范围内</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bidi="ar"/>
        </w:rPr>
        <w:t>本项目为水库除险加固项目，属于水利工程项目，</w:t>
      </w:r>
      <w:r>
        <w:rPr>
          <w:rFonts w:hint="default" w:ascii="Times New Roman" w:hAnsi="Times New Roman" w:cs="Times New Roman"/>
          <w:color w:val="auto"/>
          <w:u w:val="none" w:color="auto"/>
          <w:lang w:val="en-US" w:eastAsia="zh-CN"/>
        </w:rPr>
        <w:t>项目不涉及永久基本农田和生态保护红线，项目用地符合道县国土空间规划，</w:t>
      </w:r>
      <w:r>
        <w:rPr>
          <w:rFonts w:hint="default" w:ascii="Times New Roman" w:hAnsi="Times New Roman" w:cs="Times New Roman"/>
          <w:color w:val="auto"/>
          <w:u w:val="none" w:color="auto"/>
          <w:lang w:val="en-US" w:eastAsia="zh-CN" w:bidi="ar"/>
        </w:rPr>
        <w:t>与道县国土空间规划及“三区三线”</w:t>
      </w:r>
      <w:r>
        <w:rPr>
          <w:rFonts w:hint="default" w:ascii="Times New Roman" w:hAnsi="Times New Roman" w:cs="Times New Roman"/>
          <w:color w:val="auto"/>
          <w:u w:val="none" w:color="auto"/>
          <w:lang w:val="en-US" w:eastAsia="zh-CN"/>
        </w:rPr>
        <w:t>相符。</w:t>
      </w:r>
    </w:p>
    <w:p w14:paraId="7797D0BE">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相关政策符合性分析</w:t>
      </w:r>
    </w:p>
    <w:p w14:paraId="3516A81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与《中华人民共和国长江保护法》相符性分析</w:t>
      </w:r>
    </w:p>
    <w:p w14:paraId="6DDE8EA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本项目位于湖南省</w:t>
      </w:r>
      <w:r>
        <w:rPr>
          <w:rFonts w:hint="default" w:ascii="Times New Roman" w:hAnsi="Times New Roman" w:cs="Times New Roman"/>
          <w:color w:val="auto"/>
          <w:u w:val="none" w:color="auto"/>
          <w:lang w:eastAsia="zh-CN"/>
        </w:rPr>
        <w:t>永州市道县</w:t>
      </w:r>
      <w:r>
        <w:rPr>
          <w:rFonts w:hint="default" w:ascii="Times New Roman" w:hAnsi="Times New Roman" w:cs="Times New Roman"/>
          <w:color w:val="auto"/>
          <w:u w:val="none" w:color="auto"/>
        </w:rPr>
        <w:t>，属于长江流域范围，</w:t>
      </w:r>
      <w:r>
        <w:rPr>
          <w:rFonts w:hint="default" w:ascii="Times New Roman" w:hAnsi="Times New Roman" w:cs="Times New Roman"/>
          <w:color w:val="auto"/>
          <w:u w:val="none" w:color="auto"/>
          <w:lang w:val="en-US" w:eastAsia="zh-CN"/>
        </w:rPr>
        <w:t>位于宜水河上游</w:t>
      </w:r>
      <w:r>
        <w:rPr>
          <w:rFonts w:hint="default" w:ascii="Times New Roman" w:hAnsi="Times New Roman" w:cs="Times New Roman"/>
          <w:color w:val="auto"/>
          <w:u w:val="none" w:color="auto"/>
        </w:rPr>
        <w:t>，不属于化工项目以及其他禁止建设的项目，项目的建设与《中华人民共和国长江保护法》及《长江经济带发展负面清单指南</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》不相冲突。</w:t>
      </w:r>
    </w:p>
    <w:p w14:paraId="1680264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中华人民共和国</w:t>
      </w:r>
      <w:r>
        <w:rPr>
          <w:rFonts w:hint="default" w:ascii="Times New Roman" w:hAnsi="Times New Roman" w:cs="Times New Roman"/>
          <w:color w:val="auto"/>
          <w:u w:val="none" w:color="auto"/>
          <w:lang w:val="en-US" w:eastAsia="zh-CN"/>
        </w:rPr>
        <w:t>水污染防治法》</w:t>
      </w:r>
      <w:r>
        <w:rPr>
          <w:rFonts w:hint="default" w:ascii="Times New Roman" w:hAnsi="Times New Roman" w:cs="Times New Roman"/>
          <w:color w:val="auto"/>
          <w:u w:val="none" w:color="auto"/>
        </w:rPr>
        <w:t>相符性分析</w:t>
      </w:r>
    </w:p>
    <w:p w14:paraId="07ED4E9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本项目位于</w:t>
      </w:r>
      <w:r>
        <w:rPr>
          <w:rFonts w:hint="default" w:ascii="Times New Roman" w:hAnsi="Times New Roman" w:cs="Times New Roman"/>
          <w:color w:val="auto"/>
          <w:u w:val="none" w:color="auto"/>
          <w:lang w:eastAsia="zh-CN"/>
        </w:rPr>
        <w:t>永州市道县梅花镇廊洞水库饮用水水源保护区</w:t>
      </w:r>
      <w:r>
        <w:rPr>
          <w:rFonts w:hint="default" w:ascii="Times New Roman" w:hAnsi="Times New Roman" w:cs="Times New Roman"/>
          <w:color w:val="auto"/>
          <w:u w:val="none" w:color="auto"/>
        </w:rPr>
        <w:t>。根据《中华人民共和国水污染防治法》第五章规定</w:t>
      </w:r>
      <w:r>
        <w:rPr>
          <w:rFonts w:hint="eastAsia" w:cs="Times New Roman"/>
          <w:color w:val="auto"/>
          <w:u w:val="none" w:color="auto"/>
          <w:lang w:eastAsia="zh-CN"/>
        </w:rPr>
        <w:t>：</w:t>
      </w:r>
    </w:p>
    <w:p w14:paraId="27C6686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第六十四条  在饮用水水源保护区内，禁止设置排污口。</w:t>
      </w:r>
    </w:p>
    <w:p w14:paraId="51C69C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第六十五条  禁止在饮用水水源一级保护区内新建、改建、扩建与供水设施和保护水源无关的建设项目；已建成的与供水设施和保护水源无关的建设项目,由县级以上人民政府责令拆除或者关闭。</w:t>
      </w:r>
    </w:p>
    <w:p w14:paraId="4CFA64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禁止在饮用水水源一级保护区内从事网箱养殖、旅游、游泳、垂钓或者其他可能污染饮用水水体的活动。</w:t>
      </w:r>
    </w:p>
    <w:p w14:paraId="6AC1015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第六十六条  禁止在饮用水水源二级保护区内新建、改建、扩建排放污染物的建设项目；已建成的排放污染物的建设项目，由县级以上人民政府责令拆除或者关闭。</w:t>
      </w:r>
    </w:p>
    <w:p w14:paraId="2C6A80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在饮用水水源二级保护区内从事网箱养殖、旅游等活动的，应当按照规定采取措施，防止污染饮用水水体。</w:t>
      </w:r>
    </w:p>
    <w:p w14:paraId="675DA2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第六十七条禁止在饮用水水源准保护区内新建、扩建对水体污染严重的建设项目；改建建设项目，不得增加排污量。</w:t>
      </w:r>
    </w:p>
    <w:p w14:paraId="7DEE8E5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化粪池处理后用于场区内绿化，不外排。符合《中华人民共和国水污染防治法》相关规定。</w:t>
      </w:r>
    </w:p>
    <w:p w14:paraId="277E126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中华人民共和国防洪法</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相符性分析</w:t>
      </w:r>
    </w:p>
    <w:p w14:paraId="20FC1921">
      <w:pPr>
        <w:rPr>
          <w:rFonts w:hint="default" w:ascii="Times New Roman" w:hAnsi="Times New Roman" w:eastAsia="宋体" w:cs="Times New Roman"/>
          <w:color w:val="auto"/>
          <w:kern w:val="2"/>
          <w:sz w:val="24"/>
          <w:szCs w:val="22"/>
          <w:u w:val="none" w:color="auto"/>
          <w:lang w:val="en-US" w:eastAsia="zh-CN" w:bidi="ar-SA"/>
        </w:rPr>
      </w:pPr>
      <w:r>
        <w:rPr>
          <w:rFonts w:hint="default" w:ascii="Times New Roman" w:hAnsi="Times New Roman" w:eastAsia="宋体" w:cs="Times New Roman"/>
          <w:color w:val="auto"/>
          <w:kern w:val="2"/>
          <w:sz w:val="24"/>
          <w:szCs w:val="22"/>
          <w:u w:val="none" w:color="auto"/>
          <w:lang w:val="en-US" w:eastAsia="zh-CN" w:bidi="ar-SA"/>
        </w:rPr>
        <w:t>根据《</w:t>
      </w:r>
      <w:r>
        <w:rPr>
          <w:rFonts w:hint="default" w:ascii="Times New Roman" w:hAnsi="Times New Roman" w:cs="Times New Roman"/>
          <w:color w:val="auto"/>
          <w:u w:val="none" w:color="auto"/>
        </w:rPr>
        <w:t>中华人民共和国防洪法</w:t>
      </w:r>
      <w:r>
        <w:rPr>
          <w:rFonts w:hint="default" w:ascii="Times New Roman" w:hAnsi="Times New Roman" w:eastAsia="宋体" w:cs="Times New Roman"/>
          <w:color w:val="auto"/>
          <w:kern w:val="2"/>
          <w:sz w:val="24"/>
          <w:szCs w:val="22"/>
          <w:u w:val="none" w:color="auto"/>
          <w:lang w:val="en-US" w:eastAsia="zh-CN" w:bidi="ar-SA"/>
        </w:rPr>
        <w:t>》</w:t>
      </w:r>
      <w:r>
        <w:rPr>
          <w:rFonts w:hint="default" w:ascii="Times New Roman" w:hAnsi="Times New Roman" w:cs="Times New Roman"/>
          <w:color w:val="auto"/>
          <w:u w:val="none" w:color="auto"/>
        </w:rPr>
        <w:t>第</w:t>
      </w:r>
      <w:r>
        <w:rPr>
          <w:rFonts w:hint="default" w:ascii="Times New Roman" w:hAnsi="Times New Roman" w:cs="Times New Roman"/>
          <w:color w:val="auto"/>
          <w:u w:val="none" w:color="auto"/>
          <w:lang w:val="en-US" w:eastAsia="zh-CN"/>
        </w:rPr>
        <w:t>二</w:t>
      </w:r>
      <w:r>
        <w:rPr>
          <w:rFonts w:hint="default" w:ascii="Times New Roman" w:hAnsi="Times New Roman" w:cs="Times New Roman"/>
          <w:color w:val="auto"/>
          <w:u w:val="none" w:color="auto"/>
        </w:rPr>
        <w:t>章 </w:t>
      </w:r>
      <w:r>
        <w:rPr>
          <w:rFonts w:hint="default" w:ascii="Times New Roman" w:hAnsi="Times New Roman" w:cs="Times New Roman"/>
          <w:color w:val="auto"/>
          <w:u w:val="none" w:color="auto"/>
          <w:lang w:val="en-US" w:eastAsia="zh-CN"/>
        </w:rPr>
        <w:t>防洪规划</w:t>
      </w:r>
      <w:r>
        <w:rPr>
          <w:rFonts w:hint="default" w:ascii="Times New Roman" w:hAnsi="Times New Roman" w:cs="Times New Roman"/>
          <w:color w:val="auto"/>
          <w:kern w:val="2"/>
          <w:sz w:val="24"/>
          <w:szCs w:val="22"/>
          <w:u w:val="none" w:color="auto"/>
          <w:lang w:val="en-US" w:eastAsia="zh-CN" w:bidi="ar-SA"/>
        </w:rPr>
        <w:t>:</w:t>
      </w:r>
    </w:p>
    <w:p w14:paraId="3F382A71">
      <w:pPr>
        <w:pStyle w:val="121"/>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“第十七条　在江河、湖泊上建设防洪工程和其他水工程、水电站等，应当符合防洪规划的要求；水库应当按照防洪规划的要求留足防洪库容。”</w:t>
      </w:r>
    </w:p>
    <w:p w14:paraId="4EE92FFA">
      <w:pPr>
        <w:pStyle w:val="121"/>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第三章防洪区和防洪工程设施的管理:</w:t>
      </w:r>
    </w:p>
    <w:p w14:paraId="1D63635A">
      <w:pPr>
        <w:pStyle w:val="121"/>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“第三十六条　各级人民政府应当组织有关部门加强对水库大坝的定期检查和监督管理。对未达到设计洪水标准、抗震设防要求或者有严重质量缺陷的险坝，大坝主管部门应当组织有关单位采取除险加固措施，限期消除危险或者重建，有关人民政府应当优先安排所需资金。对可能出现垮坝的水库，应当事先制定应急抢险和居民临时撤离方案。”</w:t>
      </w:r>
    </w:p>
    <w:p w14:paraId="02D42F81">
      <w:pPr>
        <w:pStyle w:val="121"/>
        <w:rPr>
          <w:rFonts w:hint="default" w:ascii="Times New Roman" w:hAnsi="Times New Roman" w:cs="Times New Roman"/>
          <w:color w:val="auto"/>
          <w:u w:val="none" w:color="auto"/>
        </w:rPr>
      </w:pPr>
      <w:bookmarkStart w:id="16" w:name="6384881-6598534-4"/>
      <w:bookmarkEnd w:id="16"/>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是由道县水利局主导建设的廊洞水库除险加固，该项目</w:t>
      </w:r>
      <w:r>
        <w:rPr>
          <w:rFonts w:hint="default" w:ascii="Times New Roman" w:hAnsi="Times New Roman" w:cs="Times New Roman"/>
          <w:color w:val="auto"/>
          <w:u w:val="none" w:color="auto"/>
          <w:lang w:eastAsia="zh-CN"/>
        </w:rPr>
        <w:t>按照防洪规划的要求留足防洪库容。</w:t>
      </w:r>
      <w:r>
        <w:rPr>
          <w:rFonts w:hint="default" w:ascii="Times New Roman" w:hAnsi="Times New Roman" w:cs="Times New Roman"/>
          <w:color w:val="auto"/>
          <w:u w:val="none" w:color="auto"/>
        </w:rPr>
        <w:t>因此，本项目符合《中华人民共和国防洪法》有关内容。</w:t>
      </w:r>
    </w:p>
    <w:p w14:paraId="7E05B1F5">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与《中华人民共和国水法》符合性分析</w:t>
      </w:r>
    </w:p>
    <w:p w14:paraId="24A7DF9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根据《中华人民共和国水法》法律条文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“第四章 水资源、水域和水工程的保护，第三十条 县级以上人民政府水行政主管部门、流域管理机构以及其他有关部门在制定水资源开发、利用规划和调度水资源时，应当注意维持江河的合理流量和湖泊、水库以及地下水的合理水位，维护水体的自然净化能力；第三十一条 从事水资源开发、利用、节约、保护和防治水害等水事活动，应当遵守经批准的规划；因违反规划造成江河和湖泊水域使用功能降低、地下水超采、地面沉降、水体污染的，应当承担治理责任。”</w:t>
      </w:r>
    </w:p>
    <w:p w14:paraId="3EEF7F4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实施后有利于降低洪涝威胁，防止溃坝风险，对饮用水水源保护区的水质也具有保护作用，项目具有保护水源的性质，同时营造生态护岸景观，美化两岸环境，属于民生工程项目，实施后不会对水库水生生态产生影响。</w:t>
      </w:r>
    </w:p>
    <w:p w14:paraId="58A596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第四十二条规定“县级以上地方人民政府应当采取措施，保障本行政区域内水工程，特别是水坝和堤防的安全，限期消除险情。”</w:t>
      </w:r>
    </w:p>
    <w:p w14:paraId="2A9395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经安全鉴定，综合判定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为“三类坝”。为保障下游人民生命财产及公共设施安全，确保水库安全运行，充分发挥工程效益，同时更有效保障下游农田灌溉及向</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及周边供水，对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除险加固是必要的。因此，本项目符合《中华人民共和国水法》的相关规定。</w:t>
      </w:r>
    </w:p>
    <w:p w14:paraId="56AEDBA5">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与《饮用水水源保护区污染防治管理规定》符合性分析</w:t>
      </w:r>
    </w:p>
    <w:p w14:paraId="490EA64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本项目位于</w:t>
      </w:r>
      <w:r>
        <w:rPr>
          <w:rFonts w:hint="default" w:ascii="Times New Roman" w:hAnsi="Times New Roman" w:cs="Times New Roman"/>
          <w:color w:val="auto"/>
          <w:u w:val="none" w:color="auto"/>
          <w:lang w:eastAsia="zh-CN"/>
        </w:rPr>
        <w:t>永州市道县梅花镇廊洞水库饮用水水源保护区</w:t>
      </w:r>
      <w:r>
        <w:rPr>
          <w:rFonts w:hint="default" w:ascii="Times New Roman" w:hAnsi="Times New Roman" w:cs="Times New Roman"/>
          <w:color w:val="auto"/>
          <w:u w:val="none" w:color="auto"/>
        </w:rPr>
        <w:t>。根据《饮用水水源保护区污染防治管理规定》</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2010年修订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第十二条规定，饮用水地表水源各级保护区及准保护区内必须分别遵守下列规定</w:t>
      </w:r>
      <w:r>
        <w:rPr>
          <w:rFonts w:hint="eastAsia" w:cs="Times New Roman"/>
          <w:color w:val="auto"/>
          <w:u w:val="none" w:color="auto"/>
          <w:lang w:eastAsia="zh-CN"/>
        </w:rPr>
        <w:t>：</w:t>
      </w:r>
    </w:p>
    <w:p w14:paraId="56829CC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1、一级保护区内</w:t>
      </w:r>
    </w:p>
    <w:p w14:paraId="7383920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①禁止新建、扩建与供水设施和保护水源无关的建设项目；</w:t>
      </w:r>
    </w:p>
    <w:p w14:paraId="39AEF0F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②禁止向水域排放污水，已设置的排污口必须拆除；</w:t>
      </w:r>
    </w:p>
    <w:p w14:paraId="5818A6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③不得设置与供水需要无关的码头，禁止停靠船舶；</w:t>
      </w:r>
    </w:p>
    <w:p w14:paraId="511BFE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④禁止堆置和存放工业废渣、城市垃圾、粪便和其他废弃物；</w:t>
      </w:r>
    </w:p>
    <w:p w14:paraId="001D74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⑤禁止设置油库；</w:t>
      </w:r>
    </w:p>
    <w:p w14:paraId="28E15AE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⑥禁止从事种植、放养畜禽和网箱养殖活动；</w:t>
      </w:r>
    </w:p>
    <w:p w14:paraId="2F8B71D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⑦禁止可能污染水源的旅游活动和其他活动。</w:t>
      </w:r>
    </w:p>
    <w:p w14:paraId="3720758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2、二级保护区内</w:t>
      </w:r>
    </w:p>
    <w:p w14:paraId="17D6BD7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①禁止新建、改建、扩建排放污染物的建设项目；</w:t>
      </w:r>
    </w:p>
    <w:p w14:paraId="6E4F64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②原有排污口依法拆除或者关闭；</w:t>
      </w:r>
    </w:p>
    <w:p w14:paraId="080632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③禁止设立装卸垃圾、粪便、油类和有毒物品的码头。</w:t>
      </w:r>
    </w:p>
    <w:p w14:paraId="52CC40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3、准保护区内</w:t>
      </w:r>
    </w:p>
    <w:p w14:paraId="51DB81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禁止新建、扩建对水体污染严重的建设项目；改建建设项目，不得增加排污量。</w:t>
      </w:r>
    </w:p>
    <w:p w14:paraId="548B82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饮用水水源保护区污染防治管理规定》保护要求。</w:t>
      </w:r>
    </w:p>
    <w:p w14:paraId="2D1D302F">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与《长江流域综合规划》、《长江流域防洪规划》的符合性</w:t>
      </w:r>
    </w:p>
    <w:p w14:paraId="4895BD5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根据《长江流域综合规划</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2012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2030年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》中4.1.6防洪规划方案: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继续对病险水库</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闸</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进行除险加固。巩固大中型病险水库除险加固成果，加快小型病险水库除险加固步伐，尽快消除水库安全隐患，恢复防洪库容，增强洪水调控能力；推进大中型病险水闸除险加固</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w:t>
      </w:r>
    </w:p>
    <w:p w14:paraId="6246982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长江流域防洪规划》在长江中下游防洪总体布局中提出，病险水库一旦失事，将会给其下游带来巨大的人员死亡和财产损失的毁灭性灾害，对环境也将带来不可估量的影响，因此对病险水库应区分重要性，分期分批进行除险加固，尽快消除隐患，充分发挥防洪效益，保障人民生命财产安全。规划远期水平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2025年</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水库除险加固的任务是全面完成大、中型及重要小型水库的除险加固。</w:t>
      </w:r>
    </w:p>
    <w:p w14:paraId="18DF97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本项目为道县廊洞水库除险加固工程，通过采取工程措施对大坝维修加固，旨在消除大坝安全隐患，保障水库和流域防洪安全，确保枢纽工程安全可靠运行；项目建设符合《长江流域综合规划</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长江流域防洪规划》相关要求。</w:t>
      </w:r>
    </w:p>
    <w:p w14:paraId="24F4B67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与湖南省相关政策的符合性分析</w:t>
      </w:r>
    </w:p>
    <w:p w14:paraId="1DDF866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与《湖南省环境保护条例》符合性分析</w:t>
      </w:r>
    </w:p>
    <w:p w14:paraId="7BAD308F">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根据《湖南省环境保护条例》</w:t>
      </w:r>
      <w:r>
        <w:rPr>
          <w:rFonts w:hint="eastAsia" w:ascii="Times New Roman" w:hAnsi="Times New Roman" w:cs="Times New Roman"/>
          <w:color w:val="auto"/>
          <w:u w:val="none" w:color="auto"/>
          <w:lang w:eastAsia="zh-CN"/>
        </w:rPr>
        <w:t>：</w:t>
      </w:r>
    </w:p>
    <w:p w14:paraId="65445FC5">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第十二条排污单位应当按照排污许可证的要求设置排污口，并在排污口设置标志牌；按照有关规定建立环境管理</w:t>
      </w:r>
      <w:r>
        <w:rPr>
          <w:rFonts w:hint="default" w:ascii="Times New Roman" w:hAnsi="Times New Roman" w:cs="Times New Roman"/>
          <w:color w:val="auto"/>
          <w:u w:val="none" w:color="auto"/>
          <w:lang w:val="en-US" w:eastAsia="zh-CN"/>
        </w:rPr>
        <w:t>台账</w:t>
      </w:r>
      <w:r>
        <w:rPr>
          <w:rFonts w:hint="default" w:ascii="Times New Roman" w:hAnsi="Times New Roman" w:cs="Times New Roman"/>
          <w:color w:val="auto"/>
          <w:u w:val="none" w:color="auto"/>
        </w:rPr>
        <w:t>，按规定开展自行监测；排放污染物不得超过国家和本省污染物排放标准，不得超过重点污染物排放总量控制指标。</w:t>
      </w:r>
    </w:p>
    <w:p w14:paraId="0CE6314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重点排污单位应当按照国家有关规定和监测规范安装、使用自动监测设备，并确保自动监测设备与生态环境主管部门的监控设备联网；原始监测记录应当按照规定保存，不得篡改、伪造。</w:t>
      </w:r>
    </w:p>
    <w:p w14:paraId="07D268B9">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第十四条……企业事业单位和其他生产经营者应当优先使用清洁能源，采用先进工艺设备、废弃物综合利用技术和污染物无害化处理技术，减少污染物产生。</w:t>
      </w:r>
    </w:p>
    <w:p w14:paraId="3599D212">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第十六条……涉重金属企业应当对含有重金属的尾矿、废渣、废水等进行资源化利用和无害化处理，防止造成环境污染；对已造成污染的，承担环境修复责任。</w:t>
      </w:r>
    </w:p>
    <w:p w14:paraId="774FE49F">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第十八条……产生、收集、贮存、运输、利用、处置危险废物的单位应当遵守有关危险废物管理规定，防止危险废物污染环境。</w:t>
      </w:r>
    </w:p>
    <w:p w14:paraId="4D975C3F">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第二十条在城市建成区内，禁止下列行为</w:t>
      </w:r>
      <w:r>
        <w:rPr>
          <w:rFonts w:hint="eastAsia" w:ascii="Times New Roman" w:hAnsi="Times New Roman" w:cs="Times New Roman"/>
          <w:color w:val="auto"/>
          <w:u w:val="none" w:color="auto"/>
          <w:lang w:eastAsia="zh-CN"/>
        </w:rPr>
        <w:t>：</w:t>
      </w:r>
    </w:p>
    <w:p w14:paraId="17E00218">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晚二十二点至晨七点之间在居民住宅区、学校、医院等噪声敏感建筑物集中区域进行产生环境噪声污染的建筑施工作业，但抢修、抢险作业和因生产工艺要求或者特殊需要必须连续作业的除外；因生产工艺要求或者特殊需要必须连续作业的，应当经县</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市、区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人民政府或者其有关部门批准，批准文件应当向附近居民公布。</w:t>
      </w:r>
    </w:p>
    <w:p w14:paraId="09B751FD">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高考、中考等特殊期间，在考场周围产生环境噪声污染。</w:t>
      </w:r>
    </w:p>
    <w:p w14:paraId="70D3EBE3">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在噪声敏感建筑物集中区域或者在广场、街道、公园等公共场所组织集会、娱乐、健身等活动产生环境噪声污染。</w:t>
      </w:r>
    </w:p>
    <w:p w14:paraId="4A715E89">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在商住综合楼内经营歌舞厅、酒吧等娱乐业经营场所产生环境噪声污染。</w:t>
      </w:r>
    </w:p>
    <w:p w14:paraId="223E717D">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法律法规禁止的其他行为。</w:t>
      </w:r>
      <w:r>
        <w:rPr>
          <w:rFonts w:hint="default" w:ascii="Times New Roman" w:hAnsi="Times New Roman" w:cs="Times New Roman"/>
          <w:color w:val="auto"/>
          <w:u w:val="none" w:color="auto"/>
          <w:lang w:eastAsia="zh-CN"/>
        </w:rPr>
        <w:t>”</w:t>
      </w:r>
    </w:p>
    <w:p w14:paraId="35D263E7">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为道县廊洞水库除险加固工程，不设置</w:t>
      </w:r>
      <w:r>
        <w:rPr>
          <w:rFonts w:hint="default" w:ascii="Times New Roman" w:hAnsi="Times New Roman" w:cs="Times New Roman"/>
          <w:color w:val="auto"/>
          <w:u w:val="none" w:color="auto"/>
        </w:rPr>
        <w:t>排污口，项目所属行业</w:t>
      </w:r>
      <w:r>
        <w:rPr>
          <w:rFonts w:hint="default" w:ascii="Times New Roman" w:hAnsi="Times New Roman" w:cs="Times New Roman"/>
          <w:color w:val="auto"/>
          <w:u w:val="none" w:color="auto"/>
          <w:lang w:val="en-US" w:eastAsia="zh-CN"/>
        </w:rPr>
        <w:t>无排污许可证管理要求</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运营期水库本身无污染物排放</w:t>
      </w:r>
      <w:r>
        <w:rPr>
          <w:rFonts w:hint="default" w:ascii="Times New Roman" w:hAnsi="Times New Roman" w:cs="Times New Roman"/>
          <w:color w:val="auto"/>
          <w:u w:val="none" w:color="auto"/>
        </w:rPr>
        <w:t>，不存在第二十条禁止的行为。因此，本项目符合《湖南省环境保护条例》有关内容。</w:t>
      </w:r>
    </w:p>
    <w:p w14:paraId="361A417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与《湖南省湘江流域水污染防治条例》符合性分析</w:t>
      </w:r>
    </w:p>
    <w:p w14:paraId="56A5A96C">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根据《湖南省湘江流域水污染防治条例》</w:t>
      </w:r>
      <w:r>
        <w:rPr>
          <w:rFonts w:hint="eastAsia" w:ascii="Times New Roman" w:hAnsi="Times New Roman" w:cs="Times New Roman"/>
          <w:color w:val="auto"/>
          <w:u w:val="none" w:color="auto"/>
          <w:lang w:eastAsia="zh-CN"/>
        </w:rPr>
        <w:t>：</w:t>
      </w:r>
    </w:p>
    <w:p w14:paraId="5B2ABAD1">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湘江流域内禁止下列行为</w:t>
      </w:r>
      <w:r>
        <w:rPr>
          <w:rFonts w:hint="eastAsia" w:ascii="Times New Roman" w:hAnsi="Times New Roman" w:cs="Times New Roman"/>
          <w:color w:val="auto"/>
          <w:u w:val="none" w:color="auto"/>
          <w:lang w:eastAsia="zh-CN"/>
        </w:rPr>
        <w:t>：</w:t>
      </w:r>
    </w:p>
    <w:p w14:paraId="5E8F3C9C">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土法生产石棉制品、放射性制品；</w:t>
      </w:r>
    </w:p>
    <w:p w14:paraId="211455EB">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土法炼砷、炼汞、炼铅锌、炼油、选金、漂染、电镀和生产农药；</w:t>
      </w:r>
    </w:p>
    <w:p w14:paraId="7D01456E">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新建无</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"https://baike.so.com/doc/1931678-2043607.html"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水污染防治</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措施的小型化学制浆造纸厂、制革厂、</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"https://baike.so.com/doc/9286160-9620496.html"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染料厂</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p>
    <w:p w14:paraId="7DCF6830">
      <w:pPr>
        <w:pStyle w:val="121"/>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向水体倾倒、排放</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"https://baike.so.com/doc/6284338-6497808.html"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工业废渣</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"https://baike.so.com/doc/6283727-6497194.html" \t "https://baike.so.com/doc/_blank"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城市垃圾</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和其他废弃物；</w:t>
      </w:r>
    </w:p>
    <w:p w14:paraId="7921060A">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禁止的其他污染水体的行为。</w:t>
      </w:r>
      <w:r>
        <w:rPr>
          <w:rFonts w:hint="default" w:ascii="Times New Roman" w:hAnsi="Times New Roman" w:cs="Times New Roman"/>
          <w:color w:val="auto"/>
          <w:u w:val="none" w:color="auto"/>
          <w:lang w:eastAsia="zh-CN"/>
        </w:rPr>
        <w:t>”</w:t>
      </w:r>
    </w:p>
    <w:p w14:paraId="7E65B5C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为道县廊洞水库除险加固工程，</w:t>
      </w:r>
      <w:r>
        <w:rPr>
          <w:rFonts w:hint="default" w:ascii="Times New Roman" w:hAnsi="Times New Roman" w:cs="Times New Roman"/>
          <w:color w:val="auto"/>
          <w:u w:val="none" w:color="auto"/>
        </w:rPr>
        <w:t>不属于《湖南省湘江流域水污染防治条例》中湘江流域内禁止的行为。因此，本项目符合《湖南省湘江流域水污染防治条例》。</w:t>
      </w:r>
    </w:p>
    <w:p w14:paraId="6439BC1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与《湖南省湘江保护条例》符合性分析</w:t>
      </w:r>
    </w:p>
    <w:p w14:paraId="0A21C893">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根据《湖南省湘江保护条例》</w:t>
      </w:r>
      <w:r>
        <w:rPr>
          <w:rFonts w:hint="eastAsia" w:ascii="Times New Roman" w:hAnsi="Times New Roman" w:cs="Times New Roman"/>
          <w:color w:val="auto"/>
          <w:u w:val="none" w:color="auto"/>
          <w:lang w:eastAsia="zh-CN"/>
        </w:rPr>
        <w:t>：</w:t>
      </w:r>
    </w:p>
    <w:p w14:paraId="3E33E417">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第二十四条禁止在湘江流域饮用水水源一级保护区内设置排污口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，禁止新建、改建、扩建与供水设施和保护水源无关的建设项目；已经设置排污口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、建成与供水设施和保护水源无关的建设项目，县级以上人民政府应当在省人民政府规定期限内组织拆除或者关闭。</w:t>
      </w:r>
    </w:p>
    <w:p w14:paraId="4020DF63">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第二十五条禁止在湘江流域饮用水水源二级保护区内设置排污口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，禁止新建、改建、扩建排放污染物的建设项目；已经设置排污口</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渠</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、建成排放污染物的建设项目，县级以上人民政府应当在省人民政府规定期限内组织拆除或者关闭。</w:t>
      </w:r>
    </w:p>
    <w:p w14:paraId="14DDF5FB">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第三十二条对湘江流域内化学需氧量、氨氮、石油类、汞、镉、铅、砷、铬、锑等重点水污染物排放实行总量控制。</w:t>
      </w:r>
    </w:p>
    <w:p w14:paraId="3A357329">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第三十四条对有下列情形之一的地区，湘江流域县级以上人民政府环境保护行政主管部门应当暂停新增水污染物排放的建设项目环境影响评价审批</w:t>
      </w:r>
      <w:r>
        <w:rPr>
          <w:rFonts w:hint="eastAsia" w:ascii="Times New Roman" w:hAnsi="Times New Roman" w:cs="Times New Roman"/>
          <w:color w:val="auto"/>
          <w:u w:val="none" w:color="auto"/>
          <w:lang w:eastAsia="zh-CN"/>
        </w:rPr>
        <w:t>：</w:t>
      </w:r>
    </w:p>
    <w:p w14:paraId="2A50A654">
      <w:pPr>
        <w:pStyle w:val="121"/>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水功能区水质未达到规定标准的；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跨行政区域河流交界断面水质未达到控制目标的；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超过排污总量控制指标的；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未按照规定时间淘汰严重污染水环境的落后工艺和设备的；</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未完成重点水污染物排放总量年度控制计划的。</w:t>
      </w:r>
      <w:r>
        <w:rPr>
          <w:rFonts w:hint="default" w:ascii="Times New Roman" w:hAnsi="Times New Roman" w:cs="Times New Roman"/>
          <w:color w:val="auto"/>
          <w:highlight w:val="none"/>
          <w:u w:val="none" w:color="auto"/>
          <w:lang w:eastAsia="zh-CN"/>
        </w:rPr>
        <w:t>”</w:t>
      </w:r>
    </w:p>
    <w:p w14:paraId="2CF21F21">
      <w:pPr>
        <w:pStyle w:val="121"/>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为道县廊洞水库除险加固工程，位于饮用水源保护区陆域范围内，属于生态影响型项目，无污染排放，是</w:t>
      </w:r>
      <w:r>
        <w:rPr>
          <w:rFonts w:hint="default" w:ascii="Times New Roman" w:hAnsi="Times New Roman" w:cs="Times New Roman"/>
          <w:color w:val="auto"/>
          <w:u w:val="none" w:color="auto"/>
        </w:rPr>
        <w:t>保护水源</w:t>
      </w:r>
      <w:r>
        <w:rPr>
          <w:rFonts w:hint="default" w:ascii="Times New Roman" w:hAnsi="Times New Roman" w:cs="Times New Roman"/>
          <w:color w:val="auto"/>
          <w:u w:val="none" w:color="auto"/>
          <w:lang w:val="en-US" w:eastAsia="zh-CN"/>
        </w:rPr>
        <w:t>有</w:t>
      </w:r>
      <w:r>
        <w:rPr>
          <w:rFonts w:hint="default" w:ascii="Times New Roman" w:hAnsi="Times New Roman" w:cs="Times New Roman"/>
          <w:color w:val="auto"/>
          <w:u w:val="none" w:color="auto"/>
        </w:rPr>
        <w:t>关的建设项目；因此，本项目符合《湖南省湘江保护条例》相关内容。</w:t>
      </w:r>
    </w:p>
    <w:p w14:paraId="24DAA5E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与《湖南省长江经济带发展负面清单实施细则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》相符性分析</w:t>
      </w:r>
    </w:p>
    <w:p w14:paraId="1FA56957">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本项目与《湖南省长江经济带发展负面清单实施细则</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》相符性分析如下表</w:t>
      </w:r>
      <w:r>
        <w:rPr>
          <w:rFonts w:hint="eastAsia" w:cs="Times New Roman"/>
          <w:color w:val="auto"/>
          <w:u w:val="none" w:color="auto"/>
          <w:lang w:eastAsia="zh-CN"/>
        </w:rPr>
        <w:t>：</w:t>
      </w:r>
    </w:p>
    <w:p w14:paraId="6F39419C">
      <w:pPr>
        <w:pStyle w:val="16"/>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1.</w:t>
      </w:r>
      <w:r>
        <w:rPr>
          <w:rFonts w:hint="eastAsia" w:cs="Times New Roman"/>
          <w:b/>
          <w:bCs/>
          <w:color w:val="auto"/>
          <w:u w:val="none" w:color="auto"/>
          <w:lang w:val="en-US" w:eastAsia="zh-CN"/>
        </w:rPr>
        <w:t>4</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 xml:space="preserve">3 </w:t>
      </w:r>
      <w:r>
        <w:rPr>
          <w:rFonts w:hint="default" w:ascii="Times New Roman" w:hAnsi="Times New Roman" w:cs="Times New Roman"/>
          <w:b/>
          <w:bCs/>
          <w:color w:val="auto"/>
          <w:u w:val="none" w:color="auto"/>
        </w:rPr>
        <w:t>项目与《湖南省长江经济带发展负面清单实施细则</w:t>
      </w:r>
      <w:r>
        <w:rPr>
          <w:rFonts w:hint="default" w:ascii="Times New Roman" w:hAnsi="Times New Roman" w:cs="Times New Roman"/>
          <w:b/>
          <w:bCs/>
          <w:color w:val="auto"/>
          <w:highlight w:val="none"/>
          <w:u w:val="none" w:color="auto"/>
          <w:lang w:eastAsia="zh-CN"/>
        </w:rPr>
        <w:t>(</w:t>
      </w:r>
      <w:r>
        <w:rPr>
          <w:rFonts w:hint="default" w:ascii="Times New Roman" w:hAnsi="Times New Roman" w:cs="Times New Roman"/>
          <w:b/>
          <w:bCs/>
          <w:color w:val="auto"/>
          <w:u w:val="none" w:color="auto"/>
        </w:rPr>
        <w:t>试行</w:t>
      </w:r>
      <w:r>
        <w:rPr>
          <w:rFonts w:hint="default" w:ascii="Times New Roman" w:hAnsi="Times New Roman" w:cs="Times New Roman"/>
          <w:b/>
          <w:bCs/>
          <w:color w:val="auto"/>
          <w:highlight w:val="none"/>
          <w:u w:val="none" w:color="auto"/>
          <w:lang w:eastAsia="zh-CN"/>
        </w:rPr>
        <w:t>)</w:t>
      </w:r>
      <w:r>
        <w:rPr>
          <w:rFonts w:hint="default" w:ascii="Times New Roman" w:hAnsi="Times New Roman" w:cs="Times New Roman"/>
          <w:b/>
          <w:bCs/>
          <w:color w:val="auto"/>
          <w:u w:val="none" w:color="auto"/>
        </w:rPr>
        <w:t>》相符性分析表</w:t>
      </w:r>
    </w:p>
    <w:tbl>
      <w:tblPr>
        <w:tblStyle w:val="38"/>
        <w:tblW w:w="85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1"/>
        <w:gridCol w:w="2277"/>
        <w:gridCol w:w="643"/>
      </w:tblGrid>
      <w:tr w14:paraId="2B1CF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vAlign w:val="center"/>
          </w:tcPr>
          <w:p w14:paraId="183C2812">
            <w:pPr>
              <w:pStyle w:val="49"/>
              <w:bidi w:val="0"/>
              <w:rPr>
                <w:rFonts w:hint="default"/>
              </w:rPr>
            </w:pPr>
            <w:r>
              <w:rPr>
                <w:rFonts w:hint="default"/>
              </w:rPr>
              <w:t>《湖南省长江经济带发展负面清单实施细则</w:t>
            </w:r>
            <w:r>
              <w:rPr>
                <w:rFonts w:hint="default"/>
                <w:lang w:eastAsia="zh-CN"/>
              </w:rPr>
              <w:t>(</w:t>
            </w:r>
            <w:r>
              <w:rPr>
                <w:rFonts w:hint="default"/>
              </w:rPr>
              <w:t>试行</w:t>
            </w:r>
            <w:r>
              <w:rPr>
                <w:rFonts w:hint="default"/>
                <w:lang w:eastAsia="zh-CN"/>
              </w:rPr>
              <w:t>)</w:t>
            </w:r>
            <w:r>
              <w:rPr>
                <w:rFonts w:hint="default"/>
              </w:rPr>
              <w:t>》相关内容</w:t>
            </w:r>
          </w:p>
        </w:tc>
        <w:tc>
          <w:tcPr>
            <w:tcW w:w="2277" w:type="dxa"/>
            <w:vAlign w:val="center"/>
          </w:tcPr>
          <w:p w14:paraId="19121CAF">
            <w:pPr>
              <w:pStyle w:val="49"/>
              <w:bidi w:val="0"/>
              <w:rPr>
                <w:rFonts w:hint="default"/>
              </w:rPr>
            </w:pPr>
            <w:r>
              <w:rPr>
                <w:rFonts w:hint="default"/>
              </w:rPr>
              <w:t>本项目实际情况</w:t>
            </w:r>
          </w:p>
        </w:tc>
        <w:tc>
          <w:tcPr>
            <w:tcW w:w="643" w:type="dxa"/>
            <w:vAlign w:val="center"/>
          </w:tcPr>
          <w:p w14:paraId="37F78EDF">
            <w:pPr>
              <w:pStyle w:val="49"/>
              <w:bidi w:val="0"/>
              <w:rPr>
                <w:rFonts w:hint="default"/>
              </w:rPr>
            </w:pPr>
            <w:r>
              <w:rPr>
                <w:rFonts w:hint="default"/>
              </w:rPr>
              <w:t>是否相符</w:t>
            </w:r>
          </w:p>
        </w:tc>
      </w:tr>
      <w:tr w14:paraId="1DCFD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91BDCFA">
            <w:pPr>
              <w:pStyle w:val="49"/>
              <w:bidi w:val="0"/>
              <w:rPr>
                <w:rFonts w:hint="default"/>
              </w:rPr>
            </w:pPr>
            <w:r>
              <w:rPr>
                <w:rFonts w:hint="default"/>
              </w:rPr>
              <w:t>第三条  禁止建设不符合全国和省级港口布局规划以及港口总体规划的码头项目。对不符合港口总体规划的新建、改建和扩建的码头工程</w:t>
            </w:r>
            <w:r>
              <w:rPr>
                <w:rFonts w:hint="default"/>
                <w:lang w:eastAsia="zh-CN"/>
              </w:rPr>
              <w:t>(</w:t>
            </w:r>
            <w:r>
              <w:rPr>
                <w:rFonts w:hint="default"/>
              </w:rPr>
              <w:t>含舾装码头工程</w:t>
            </w:r>
            <w:r>
              <w:rPr>
                <w:rFonts w:hint="default"/>
                <w:lang w:eastAsia="zh-CN"/>
              </w:rPr>
              <w:t>)</w:t>
            </w:r>
            <w:r>
              <w:rPr>
                <w:rFonts w:hint="default"/>
              </w:rPr>
              <w:t>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的过长江通道项目。</w:t>
            </w:r>
          </w:p>
        </w:tc>
        <w:tc>
          <w:tcPr>
            <w:tcW w:w="2277" w:type="dxa"/>
            <w:vAlign w:val="center"/>
          </w:tcPr>
          <w:p w14:paraId="5B936984">
            <w:pPr>
              <w:pStyle w:val="49"/>
              <w:bidi w:val="0"/>
              <w:rPr>
                <w:rFonts w:hint="default"/>
              </w:rPr>
            </w:pPr>
            <w:r>
              <w:rPr>
                <w:rFonts w:hint="default"/>
              </w:rPr>
              <w:t>本项目不属于港</w:t>
            </w:r>
            <w:r>
              <w:rPr>
                <w:rFonts w:hint="default"/>
                <w:lang w:val="en-US" w:eastAsia="zh-CN"/>
              </w:rPr>
              <w:t>口</w:t>
            </w:r>
            <w:r>
              <w:rPr>
                <w:rFonts w:hint="default"/>
              </w:rPr>
              <w:t>项目</w:t>
            </w:r>
          </w:p>
        </w:tc>
        <w:tc>
          <w:tcPr>
            <w:tcW w:w="643" w:type="dxa"/>
            <w:vAlign w:val="center"/>
          </w:tcPr>
          <w:p w14:paraId="71DD6F14">
            <w:pPr>
              <w:pStyle w:val="49"/>
              <w:bidi w:val="0"/>
              <w:rPr>
                <w:rFonts w:hint="default"/>
              </w:rPr>
            </w:pPr>
            <w:r>
              <w:rPr>
                <w:rFonts w:hint="default"/>
              </w:rPr>
              <w:t>是</w:t>
            </w:r>
          </w:p>
        </w:tc>
      </w:tr>
      <w:tr w14:paraId="00D1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021C0B55">
            <w:pPr>
              <w:pStyle w:val="49"/>
              <w:bidi w:val="0"/>
              <w:rPr>
                <w:rFonts w:hint="default"/>
              </w:rPr>
            </w:pPr>
            <w:r>
              <w:rPr>
                <w:rFonts w:hint="default"/>
              </w:rPr>
              <w:t>第四条  禁止在自然保护区核心区、 缓冲区的岸线和河段范围内投资建设以下项目</w:t>
            </w:r>
            <w:r>
              <w:rPr>
                <w:rFonts w:hint="default"/>
                <w:lang w:eastAsia="zh-CN"/>
              </w:rPr>
              <w:t>:(</w:t>
            </w:r>
            <w:r>
              <w:rPr>
                <w:rFonts w:hint="default"/>
              </w:rPr>
              <w:t>一</w:t>
            </w:r>
            <w:r>
              <w:rPr>
                <w:rFonts w:hint="default"/>
                <w:lang w:eastAsia="zh-CN"/>
              </w:rPr>
              <w:t>)</w:t>
            </w:r>
            <w:r>
              <w:rPr>
                <w:rFonts w:hint="default"/>
              </w:rPr>
              <w:t>高尔夫球场开发、房地产开发、索道建设、会所建设等项目；</w:t>
            </w:r>
            <w:r>
              <w:rPr>
                <w:rFonts w:hint="default"/>
                <w:lang w:eastAsia="zh-CN"/>
              </w:rPr>
              <w:t>(</w:t>
            </w:r>
            <w:r>
              <w:rPr>
                <w:rFonts w:hint="default"/>
              </w:rPr>
              <w:t>二</w:t>
            </w:r>
            <w:r>
              <w:rPr>
                <w:rFonts w:hint="default"/>
                <w:lang w:eastAsia="zh-CN"/>
              </w:rPr>
              <w:t>)</w:t>
            </w:r>
            <w:r>
              <w:rPr>
                <w:rFonts w:hint="default"/>
              </w:rPr>
              <w:t>光伏发电、风力发电、火力发电建设项目；</w:t>
            </w:r>
            <w:r>
              <w:rPr>
                <w:rFonts w:hint="default"/>
                <w:lang w:eastAsia="zh-CN"/>
              </w:rPr>
              <w:t>(</w:t>
            </w:r>
            <w:r>
              <w:rPr>
                <w:rFonts w:hint="default"/>
              </w:rPr>
              <w:t>三</w:t>
            </w:r>
            <w:r>
              <w:rPr>
                <w:rFonts w:hint="default"/>
                <w:lang w:eastAsia="zh-CN"/>
              </w:rPr>
              <w:t>)</w:t>
            </w:r>
            <w:r>
              <w:rPr>
                <w:rFonts w:hint="default"/>
              </w:rPr>
              <w:t>社会资金进行商业性探矿勘查，以及不属于国家紧缺矿种资源的基础地质调查和矿产远景调查等公益性工作的设施建设；</w:t>
            </w:r>
            <w:r>
              <w:rPr>
                <w:rFonts w:hint="default"/>
                <w:lang w:eastAsia="zh-CN"/>
              </w:rPr>
              <w:t>(</w:t>
            </w:r>
            <w:r>
              <w:rPr>
                <w:rFonts w:hint="default"/>
              </w:rPr>
              <w:t>四</w:t>
            </w:r>
            <w:r>
              <w:rPr>
                <w:rFonts w:hint="default"/>
                <w:lang w:eastAsia="zh-CN"/>
              </w:rPr>
              <w:t>)</w:t>
            </w:r>
            <w:r>
              <w:rPr>
                <w:rFonts w:hint="default"/>
              </w:rPr>
              <w:t>野生动物驯养繁殖、展览基地建设项目；</w:t>
            </w:r>
            <w:r>
              <w:rPr>
                <w:rFonts w:hint="default"/>
                <w:lang w:eastAsia="zh-CN"/>
              </w:rPr>
              <w:t>(</w:t>
            </w:r>
            <w:r>
              <w:rPr>
                <w:rFonts w:hint="default"/>
              </w:rPr>
              <w:t>五</w:t>
            </w:r>
            <w:r>
              <w:rPr>
                <w:rFonts w:hint="default"/>
                <w:lang w:eastAsia="zh-CN"/>
              </w:rPr>
              <w:t>)</w:t>
            </w:r>
            <w:r>
              <w:rPr>
                <w:rFonts w:hint="default"/>
              </w:rPr>
              <w:t>污染环境、破坏自然资源或自然景观的建设设施；</w:t>
            </w:r>
            <w:r>
              <w:rPr>
                <w:rFonts w:hint="default"/>
                <w:lang w:eastAsia="zh-CN"/>
              </w:rPr>
              <w:t>(</w:t>
            </w:r>
            <w:r>
              <w:rPr>
                <w:rFonts w:hint="default"/>
              </w:rPr>
              <w:t>六</w:t>
            </w:r>
            <w:r>
              <w:rPr>
                <w:rFonts w:hint="default"/>
                <w:lang w:eastAsia="zh-CN"/>
              </w:rPr>
              <w:t>)</w:t>
            </w:r>
            <w:r>
              <w:rPr>
                <w:rFonts w:hint="default"/>
              </w:rPr>
              <w:t>对自然保护区主要保护对象产生重大影响、改变自然生态系统完整性、原真性、破坏自然景观的设施；</w:t>
            </w:r>
            <w:r>
              <w:rPr>
                <w:rFonts w:hint="default"/>
                <w:lang w:eastAsia="zh-CN"/>
              </w:rPr>
              <w:t>(</w:t>
            </w:r>
            <w:r>
              <w:rPr>
                <w:rFonts w:hint="default"/>
              </w:rPr>
              <w:t>七</w:t>
            </w:r>
            <w:r>
              <w:rPr>
                <w:rFonts w:hint="default"/>
                <w:lang w:eastAsia="zh-CN"/>
              </w:rPr>
              <w:t>)</w:t>
            </w:r>
            <w:r>
              <w:rPr>
                <w:rFonts w:hint="default"/>
              </w:rPr>
              <w:t>其他不符合自然保护区主体功能定位和国家禁止的设施。</w:t>
            </w:r>
          </w:p>
        </w:tc>
        <w:tc>
          <w:tcPr>
            <w:tcW w:w="2277" w:type="dxa"/>
            <w:vAlign w:val="center"/>
          </w:tcPr>
          <w:p w14:paraId="3AF8B9AB">
            <w:pPr>
              <w:pStyle w:val="49"/>
              <w:bidi w:val="0"/>
              <w:rPr>
                <w:rFonts w:hint="default"/>
              </w:rPr>
            </w:pPr>
            <w:r>
              <w:rPr>
                <w:rFonts w:hint="default"/>
              </w:rPr>
              <w:t>本项目不在自然保护区核心区、缓冲区的岸线和河段范围</w:t>
            </w:r>
          </w:p>
        </w:tc>
        <w:tc>
          <w:tcPr>
            <w:tcW w:w="643" w:type="dxa"/>
            <w:vAlign w:val="center"/>
          </w:tcPr>
          <w:p w14:paraId="0E262C95">
            <w:pPr>
              <w:pStyle w:val="49"/>
              <w:bidi w:val="0"/>
              <w:rPr>
                <w:rFonts w:hint="default"/>
              </w:rPr>
            </w:pPr>
            <w:r>
              <w:rPr>
                <w:rFonts w:hint="default"/>
              </w:rPr>
              <w:t>是</w:t>
            </w:r>
          </w:p>
        </w:tc>
      </w:tr>
      <w:tr w14:paraId="13CA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58B199B4">
            <w:pPr>
              <w:pStyle w:val="49"/>
              <w:bidi w:val="0"/>
              <w:rPr>
                <w:rFonts w:hint="default"/>
              </w:rPr>
            </w:pPr>
            <w:r>
              <w:rPr>
                <w:rFonts w:hint="default"/>
              </w:rPr>
              <w:t>第五条  机场、铁路、公路、水利、航运、围堰等公益性基础设施的选址选线应多方案优化比选，尽量避让相关自然保护区域、野生动物</w:t>
            </w:r>
            <w:r>
              <w:rPr>
                <w:rFonts w:hint="default"/>
                <w:lang w:val="en-US" w:eastAsia="zh-CN"/>
              </w:rPr>
              <w:t>迁徙</w:t>
            </w:r>
            <w:r>
              <w:rPr>
                <w:rFonts w:hint="default"/>
              </w:rPr>
              <w:t>洄游通道；无法避让的，应当采取修建野生动物通道、过鱼设施等措施，消除或者减少对野生动物的不利影响。</w:t>
            </w:r>
          </w:p>
        </w:tc>
        <w:tc>
          <w:tcPr>
            <w:tcW w:w="2277" w:type="dxa"/>
            <w:vAlign w:val="center"/>
          </w:tcPr>
          <w:p w14:paraId="5A2C8E16">
            <w:pPr>
              <w:pStyle w:val="49"/>
              <w:bidi w:val="0"/>
              <w:rPr>
                <w:rFonts w:hint="default"/>
              </w:rPr>
            </w:pPr>
            <w:r>
              <w:rPr>
                <w:rFonts w:hint="default"/>
              </w:rPr>
              <w:t>本项目不</w:t>
            </w:r>
            <w:r>
              <w:rPr>
                <w:rFonts w:hint="default"/>
                <w:lang w:val="en-US" w:eastAsia="zh-CN"/>
              </w:rPr>
              <w:t>涉及</w:t>
            </w:r>
            <w:r>
              <w:rPr>
                <w:rFonts w:hint="default"/>
              </w:rPr>
              <w:t>自然保护区域、野生动物</w:t>
            </w:r>
            <w:r>
              <w:rPr>
                <w:rFonts w:hint="default"/>
                <w:lang w:eastAsia="zh-CN"/>
              </w:rPr>
              <w:t>迁徙</w:t>
            </w:r>
            <w:r>
              <w:rPr>
                <w:rFonts w:hint="default"/>
              </w:rPr>
              <w:t>洄游通道</w:t>
            </w:r>
          </w:p>
        </w:tc>
        <w:tc>
          <w:tcPr>
            <w:tcW w:w="643" w:type="dxa"/>
            <w:vAlign w:val="center"/>
          </w:tcPr>
          <w:p w14:paraId="16B4F0EB">
            <w:pPr>
              <w:pStyle w:val="49"/>
              <w:bidi w:val="0"/>
              <w:rPr>
                <w:rFonts w:hint="default"/>
              </w:rPr>
            </w:pPr>
            <w:r>
              <w:rPr>
                <w:rFonts w:hint="default"/>
              </w:rPr>
              <w:t>是</w:t>
            </w:r>
          </w:p>
        </w:tc>
      </w:tr>
      <w:tr w14:paraId="3E1C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F4DA4D1">
            <w:pPr>
              <w:pStyle w:val="49"/>
              <w:bidi w:val="0"/>
              <w:rPr>
                <w:rFonts w:hint="default"/>
              </w:rPr>
            </w:pPr>
            <w:r>
              <w:rPr>
                <w:rFonts w:hint="default"/>
              </w:rPr>
              <w:t>第六条  禁止违反风景名胜区规划， 在风景名胜区内设立各类开发区和在核心景区内建设宾馆、招待所、培训中心、疗养院以及与风景名胜资源保护无关的其他建筑物；已经建设的，应当按照风景名胜区规划，逐步迁出。</w:t>
            </w:r>
          </w:p>
        </w:tc>
        <w:tc>
          <w:tcPr>
            <w:tcW w:w="2277" w:type="dxa"/>
            <w:vAlign w:val="center"/>
          </w:tcPr>
          <w:p w14:paraId="572509B5">
            <w:pPr>
              <w:pStyle w:val="49"/>
              <w:bidi w:val="0"/>
              <w:rPr>
                <w:rFonts w:hint="default"/>
              </w:rPr>
            </w:pPr>
            <w:r>
              <w:rPr>
                <w:rFonts w:hint="default"/>
              </w:rPr>
              <w:t>本项目不在风景名胜区内</w:t>
            </w:r>
          </w:p>
        </w:tc>
        <w:tc>
          <w:tcPr>
            <w:tcW w:w="643" w:type="dxa"/>
            <w:vAlign w:val="center"/>
          </w:tcPr>
          <w:p w14:paraId="2BB0F2E6">
            <w:pPr>
              <w:pStyle w:val="49"/>
              <w:bidi w:val="0"/>
              <w:rPr>
                <w:rFonts w:hint="default"/>
              </w:rPr>
            </w:pPr>
            <w:r>
              <w:rPr>
                <w:rFonts w:hint="default"/>
              </w:rPr>
              <w:t>是</w:t>
            </w:r>
          </w:p>
        </w:tc>
      </w:tr>
      <w:tr w14:paraId="33ECC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2B7ACA4">
            <w:pPr>
              <w:pStyle w:val="49"/>
              <w:bidi w:val="0"/>
              <w:rPr>
                <w:rFonts w:hint="default"/>
              </w:rPr>
            </w:pPr>
            <w:r>
              <w:rPr>
                <w:rFonts w:hint="default"/>
              </w:rPr>
              <w:t>第七条  饮用水水源一 级保护区内禁止新建、改建、扩建与供水设施和保护水源无关的建设项目；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2277" w:type="dxa"/>
            <w:vAlign w:val="center"/>
          </w:tcPr>
          <w:p w14:paraId="01FC73A4">
            <w:pPr>
              <w:pStyle w:val="49"/>
              <w:bidi w:val="0"/>
              <w:rPr>
                <w:rFonts w:hint="default"/>
                <w:lang w:eastAsia="zh-CN"/>
              </w:rPr>
            </w:pPr>
            <w:r>
              <w:rPr>
                <w:rFonts w:hint="default"/>
              </w:rPr>
              <w:t>本项目</w:t>
            </w:r>
            <w:r>
              <w:rPr>
                <w:rFonts w:hint="default"/>
                <w:lang w:val="en-US" w:eastAsia="zh-CN"/>
              </w:rPr>
              <w:t>属于</w:t>
            </w:r>
            <w:r>
              <w:rPr>
                <w:rFonts w:hint="default"/>
              </w:rPr>
              <w:t>与供水设施和保护水源</w:t>
            </w:r>
            <w:r>
              <w:rPr>
                <w:rFonts w:hint="default"/>
                <w:lang w:val="en-US" w:eastAsia="zh-CN"/>
              </w:rPr>
              <w:t>有</w:t>
            </w:r>
            <w:r>
              <w:rPr>
                <w:rFonts w:hint="default"/>
              </w:rPr>
              <w:t>关的建设项目</w:t>
            </w:r>
          </w:p>
        </w:tc>
        <w:tc>
          <w:tcPr>
            <w:tcW w:w="643" w:type="dxa"/>
            <w:vAlign w:val="center"/>
          </w:tcPr>
          <w:p w14:paraId="23E8DBB3">
            <w:pPr>
              <w:pStyle w:val="49"/>
              <w:bidi w:val="0"/>
              <w:rPr>
                <w:rFonts w:hint="default"/>
              </w:rPr>
            </w:pPr>
            <w:r>
              <w:rPr>
                <w:rFonts w:hint="default"/>
              </w:rPr>
              <w:t>是</w:t>
            </w:r>
          </w:p>
        </w:tc>
      </w:tr>
      <w:tr w14:paraId="0B1EA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CFE9B73">
            <w:pPr>
              <w:pStyle w:val="49"/>
              <w:bidi w:val="0"/>
              <w:rPr>
                <w:rFonts w:hint="default"/>
              </w:rPr>
            </w:pPr>
            <w:r>
              <w:rPr>
                <w:rFonts w:hint="default"/>
              </w:rPr>
              <w:t>第八条  饮用水水源二级保护区内禁止新建、 改建、扩建向水体排放污染物的投资建设项目。原有排污口依法拆除或关闭。禁止设立装卸垃圾、粪便.油类和有毒物品的码头。</w:t>
            </w:r>
          </w:p>
        </w:tc>
        <w:tc>
          <w:tcPr>
            <w:tcW w:w="2277" w:type="dxa"/>
            <w:vAlign w:val="center"/>
          </w:tcPr>
          <w:p w14:paraId="1C30FEC6">
            <w:pPr>
              <w:pStyle w:val="49"/>
              <w:bidi w:val="0"/>
              <w:rPr>
                <w:rFonts w:hint="default"/>
              </w:rPr>
            </w:pPr>
            <w:r>
              <w:rPr>
                <w:rFonts w:hint="default"/>
              </w:rPr>
              <w:t>本项目不向水体排放污染物</w:t>
            </w:r>
          </w:p>
        </w:tc>
        <w:tc>
          <w:tcPr>
            <w:tcW w:w="643" w:type="dxa"/>
            <w:vAlign w:val="center"/>
          </w:tcPr>
          <w:p w14:paraId="4909188F">
            <w:pPr>
              <w:pStyle w:val="49"/>
              <w:bidi w:val="0"/>
              <w:rPr>
                <w:rFonts w:hint="default"/>
              </w:rPr>
            </w:pPr>
            <w:r>
              <w:rPr>
                <w:rFonts w:hint="default"/>
              </w:rPr>
              <w:t>是</w:t>
            </w:r>
          </w:p>
        </w:tc>
      </w:tr>
      <w:tr w14:paraId="07FD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0F127A7">
            <w:pPr>
              <w:pStyle w:val="49"/>
              <w:bidi w:val="0"/>
              <w:rPr>
                <w:rFonts w:hint="default"/>
              </w:rPr>
            </w:pPr>
            <w:r>
              <w:rPr>
                <w:rFonts w:hint="default"/>
              </w:rPr>
              <w:t>第九条  禁止在水产种质资源保护区内新建排污口、 从事围湖造田造地等投资建设项目。</w:t>
            </w:r>
          </w:p>
        </w:tc>
        <w:tc>
          <w:tcPr>
            <w:tcW w:w="2277" w:type="dxa"/>
            <w:vAlign w:val="center"/>
          </w:tcPr>
          <w:p w14:paraId="37BC8998">
            <w:pPr>
              <w:pStyle w:val="49"/>
              <w:bidi w:val="0"/>
              <w:rPr>
                <w:rFonts w:hint="default"/>
              </w:rPr>
            </w:pPr>
            <w:r>
              <w:rPr>
                <w:rFonts w:hint="default"/>
              </w:rPr>
              <w:t>本项目不在水产种质资源保护区内</w:t>
            </w:r>
          </w:p>
        </w:tc>
        <w:tc>
          <w:tcPr>
            <w:tcW w:w="643" w:type="dxa"/>
            <w:vAlign w:val="center"/>
          </w:tcPr>
          <w:p w14:paraId="5DF53F20">
            <w:pPr>
              <w:pStyle w:val="49"/>
              <w:bidi w:val="0"/>
              <w:rPr>
                <w:rFonts w:hint="default"/>
              </w:rPr>
            </w:pPr>
            <w:r>
              <w:rPr>
                <w:rFonts w:hint="default"/>
              </w:rPr>
              <w:t>是</w:t>
            </w:r>
          </w:p>
        </w:tc>
      </w:tr>
      <w:tr w14:paraId="7E3A6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BFBF115">
            <w:pPr>
              <w:pStyle w:val="49"/>
              <w:bidi w:val="0"/>
              <w:rPr>
                <w:rFonts w:hint="default"/>
              </w:rPr>
            </w:pPr>
            <w:r>
              <w:rPr>
                <w:rFonts w:hint="default"/>
              </w:rPr>
              <w:t>第十条  禁止在国家湿地公园范围 内开</w:t>
            </w:r>
            <w:r>
              <w:rPr>
                <w:rFonts w:hint="default"/>
                <w:lang w:eastAsia="zh-CN"/>
              </w:rPr>
              <w:t>(</w:t>
            </w:r>
            <w:r>
              <w:rPr>
                <w:rFonts w:hint="default"/>
              </w:rPr>
              <w:t>围</w:t>
            </w:r>
            <w:r>
              <w:rPr>
                <w:rFonts w:hint="default"/>
                <w:lang w:eastAsia="zh-CN"/>
              </w:rPr>
              <w:t>)</w:t>
            </w:r>
            <w:r>
              <w:rPr>
                <w:rFonts w:hint="default"/>
              </w:rPr>
              <w:t>垦湿地、挖沙、采矿等，《中华人民共和国防洪法》规定的紧急防汛期采取的紧急措施除外。</w:t>
            </w:r>
          </w:p>
        </w:tc>
        <w:tc>
          <w:tcPr>
            <w:tcW w:w="2277" w:type="dxa"/>
            <w:vAlign w:val="center"/>
          </w:tcPr>
          <w:p w14:paraId="570BBFA6">
            <w:pPr>
              <w:pStyle w:val="49"/>
              <w:bidi w:val="0"/>
              <w:rPr>
                <w:rFonts w:hint="default"/>
              </w:rPr>
            </w:pPr>
            <w:r>
              <w:rPr>
                <w:rFonts w:hint="default"/>
              </w:rPr>
              <w:t>本项目不在国家湿地公园范围内开</w:t>
            </w:r>
            <w:r>
              <w:rPr>
                <w:rFonts w:hint="default"/>
                <w:lang w:eastAsia="zh-CN"/>
              </w:rPr>
              <w:t>(</w:t>
            </w:r>
            <w:r>
              <w:rPr>
                <w:rFonts w:hint="default"/>
              </w:rPr>
              <w:t>围</w:t>
            </w:r>
            <w:r>
              <w:rPr>
                <w:rFonts w:hint="default"/>
                <w:lang w:eastAsia="zh-CN"/>
              </w:rPr>
              <w:t>)</w:t>
            </w:r>
            <w:r>
              <w:rPr>
                <w:rFonts w:hint="default"/>
              </w:rPr>
              <w:t>垦湿地、挖沙、采矿</w:t>
            </w:r>
          </w:p>
        </w:tc>
        <w:tc>
          <w:tcPr>
            <w:tcW w:w="643" w:type="dxa"/>
            <w:vAlign w:val="center"/>
          </w:tcPr>
          <w:p w14:paraId="7441769F">
            <w:pPr>
              <w:pStyle w:val="49"/>
              <w:bidi w:val="0"/>
              <w:rPr>
                <w:rFonts w:hint="default"/>
              </w:rPr>
            </w:pPr>
            <w:r>
              <w:rPr>
                <w:rFonts w:hint="default"/>
              </w:rPr>
              <w:t>是</w:t>
            </w:r>
          </w:p>
        </w:tc>
      </w:tr>
      <w:tr w14:paraId="41E76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9617E45">
            <w:pPr>
              <w:pStyle w:val="49"/>
              <w:bidi w:val="0"/>
              <w:rPr>
                <w:rFonts w:hint="default"/>
              </w:rPr>
            </w:pPr>
            <w:r>
              <w:rPr>
                <w:rFonts w:hint="default"/>
              </w:rPr>
              <w:t>第十一条  禁止在国家湿地公园范围内从事房地产、 度假村、高尔夫球场、风力发电、光伏发电等任何不符合主体功能定位的投资建设项目。</w:t>
            </w:r>
          </w:p>
        </w:tc>
        <w:tc>
          <w:tcPr>
            <w:tcW w:w="2277" w:type="dxa"/>
            <w:vAlign w:val="center"/>
          </w:tcPr>
          <w:p w14:paraId="69E1BF32">
            <w:pPr>
              <w:pStyle w:val="49"/>
              <w:bidi w:val="0"/>
              <w:rPr>
                <w:rFonts w:hint="default"/>
              </w:rPr>
            </w:pPr>
            <w:r>
              <w:rPr>
                <w:rFonts w:hint="default"/>
              </w:rPr>
              <w:t>本项目不</w:t>
            </w:r>
            <w:r>
              <w:rPr>
                <w:rFonts w:hint="default"/>
                <w:lang w:val="en-US" w:eastAsia="zh-CN"/>
              </w:rPr>
              <w:t>属于</w:t>
            </w:r>
            <w:r>
              <w:rPr>
                <w:rFonts w:hint="default"/>
              </w:rPr>
              <w:t>房地产、度假村、高尔夫球场、风力发电、光伏发电</w:t>
            </w:r>
          </w:p>
        </w:tc>
        <w:tc>
          <w:tcPr>
            <w:tcW w:w="643" w:type="dxa"/>
            <w:vAlign w:val="center"/>
          </w:tcPr>
          <w:p w14:paraId="69D1A41A">
            <w:pPr>
              <w:pStyle w:val="49"/>
              <w:bidi w:val="0"/>
              <w:rPr>
                <w:rFonts w:hint="default"/>
              </w:rPr>
            </w:pPr>
            <w:r>
              <w:rPr>
                <w:rFonts w:hint="default"/>
              </w:rPr>
              <w:t>是</w:t>
            </w:r>
          </w:p>
        </w:tc>
      </w:tr>
      <w:tr w14:paraId="1C53A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79E0DF31">
            <w:pPr>
              <w:pStyle w:val="49"/>
              <w:bidi w:val="0"/>
              <w:rPr>
                <w:rFonts w:hint="default"/>
              </w:rPr>
            </w:pPr>
            <w:r>
              <w:rPr>
                <w:rFonts w:hint="default"/>
              </w:rPr>
              <w:t>第十三条  禁止在岸线保护区内投资建设除保障防洪安全、河势稳定、供水安全以及保护生态环境、已建重要枢纽工程以外的项目。禁止在岸线保留区内投资建设除保障防洪安全、河势稳定、供水安全，航道稳定以及保护生态环境以外的项目。</w:t>
            </w:r>
          </w:p>
        </w:tc>
        <w:tc>
          <w:tcPr>
            <w:tcW w:w="2277" w:type="dxa"/>
            <w:vAlign w:val="center"/>
          </w:tcPr>
          <w:p w14:paraId="022EC4ED">
            <w:pPr>
              <w:pStyle w:val="49"/>
              <w:bidi w:val="0"/>
              <w:rPr>
                <w:rFonts w:hint="default"/>
                <w:lang w:eastAsia="zh-CN"/>
              </w:rPr>
            </w:pPr>
            <w:r>
              <w:rPr>
                <w:rFonts w:hint="default"/>
              </w:rPr>
              <w:t>本项目</w:t>
            </w:r>
            <w:r>
              <w:rPr>
                <w:rFonts w:hint="default"/>
                <w:lang w:eastAsia="zh-CN"/>
              </w:rPr>
              <w:t>属于</w:t>
            </w:r>
            <w:r>
              <w:rPr>
                <w:rFonts w:hint="default"/>
              </w:rPr>
              <w:t>保障防洪安全、河势稳定、供水安全以及保护生态环境的项目</w:t>
            </w:r>
          </w:p>
        </w:tc>
        <w:tc>
          <w:tcPr>
            <w:tcW w:w="643" w:type="dxa"/>
            <w:vAlign w:val="center"/>
          </w:tcPr>
          <w:p w14:paraId="2B2A18A9">
            <w:pPr>
              <w:pStyle w:val="49"/>
              <w:bidi w:val="0"/>
              <w:rPr>
                <w:rFonts w:hint="default"/>
              </w:rPr>
            </w:pPr>
            <w:r>
              <w:rPr>
                <w:rFonts w:hint="default"/>
              </w:rPr>
              <w:t>是</w:t>
            </w:r>
          </w:p>
        </w:tc>
      </w:tr>
      <w:tr w14:paraId="4AC12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2F5DA511">
            <w:pPr>
              <w:pStyle w:val="49"/>
              <w:bidi w:val="0"/>
              <w:rPr>
                <w:rFonts w:hint="default"/>
              </w:rPr>
            </w:pPr>
            <w:r>
              <w:rPr>
                <w:rFonts w:hint="default"/>
              </w:rPr>
              <w:t>第十四条  禁止在 《全国重要江河湖泊水功能区划》划定的河段保护区、保留区内投资建设不利于水资源及自然生态保护的项目。</w:t>
            </w:r>
          </w:p>
        </w:tc>
        <w:tc>
          <w:tcPr>
            <w:tcW w:w="2277" w:type="dxa"/>
            <w:vAlign w:val="center"/>
          </w:tcPr>
          <w:p w14:paraId="0F934407">
            <w:pPr>
              <w:pStyle w:val="49"/>
              <w:bidi w:val="0"/>
              <w:rPr>
                <w:rFonts w:hint="default"/>
              </w:rPr>
            </w:pPr>
            <w:r>
              <w:rPr>
                <w:rFonts w:hint="default"/>
              </w:rPr>
              <w:t>本项目</w:t>
            </w:r>
            <w:r>
              <w:rPr>
                <w:rFonts w:hint="default"/>
                <w:lang w:val="en-US" w:eastAsia="zh-CN"/>
              </w:rPr>
              <w:t>为有</w:t>
            </w:r>
            <w:r>
              <w:rPr>
                <w:rFonts w:hint="default"/>
              </w:rPr>
              <w:t>利于水资源及自然生态保护的项目</w:t>
            </w:r>
          </w:p>
        </w:tc>
        <w:tc>
          <w:tcPr>
            <w:tcW w:w="643" w:type="dxa"/>
            <w:vAlign w:val="center"/>
          </w:tcPr>
          <w:p w14:paraId="58092AC3">
            <w:pPr>
              <w:pStyle w:val="49"/>
              <w:bidi w:val="0"/>
              <w:rPr>
                <w:rFonts w:hint="default"/>
              </w:rPr>
            </w:pPr>
            <w:r>
              <w:rPr>
                <w:rFonts w:hint="default"/>
              </w:rPr>
              <w:t>是</w:t>
            </w:r>
          </w:p>
        </w:tc>
      </w:tr>
      <w:tr w14:paraId="05A72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9F60A63">
            <w:pPr>
              <w:pStyle w:val="49"/>
              <w:bidi w:val="0"/>
              <w:rPr>
                <w:rFonts w:hint="default"/>
              </w:rPr>
            </w:pPr>
            <w:r>
              <w:rPr>
                <w:rFonts w:hint="default"/>
              </w:rPr>
              <w:t>第十五条  禁止在生态保护红线和永久基本农田范围内投资建设除国家重大战略资源勘查项目、生态保护修复和环境治理项目、重大基础设施项目、军事国防项目以及农牧民基本生产生活等必要的</w:t>
            </w:r>
            <w:r>
              <w:rPr>
                <w:rFonts w:hint="default"/>
              </w:rPr>
              <w:fldChar w:fldCharType="begin"/>
            </w:r>
            <w:r>
              <w:rPr>
                <w:rFonts w:hint="default"/>
              </w:rPr>
              <w:instrText xml:space="preserve"> HYPERLINK "http://mq.xtol.cn/" \t "http://www.xtol.cn/2019/1217/_blank" </w:instrText>
            </w:r>
            <w:r>
              <w:rPr>
                <w:rFonts w:hint="default"/>
              </w:rPr>
              <w:fldChar w:fldCharType="separate"/>
            </w:r>
            <w:r>
              <w:rPr>
                <w:rFonts w:hint="default"/>
              </w:rPr>
              <w:t>民生</w:t>
            </w:r>
            <w:r>
              <w:rPr>
                <w:rFonts w:hint="default"/>
              </w:rPr>
              <w:fldChar w:fldCharType="end"/>
            </w:r>
            <w:r>
              <w:rPr>
                <w:rFonts w:hint="default"/>
              </w:rPr>
              <w:t>项目以外的项目。</w:t>
            </w:r>
          </w:p>
        </w:tc>
        <w:tc>
          <w:tcPr>
            <w:tcW w:w="2277" w:type="dxa"/>
            <w:vAlign w:val="center"/>
          </w:tcPr>
          <w:p w14:paraId="45D0C5FE">
            <w:pPr>
              <w:pStyle w:val="49"/>
              <w:bidi w:val="0"/>
              <w:rPr>
                <w:rFonts w:hint="default"/>
              </w:rPr>
            </w:pPr>
            <w:r>
              <w:rPr>
                <w:rFonts w:hint="default"/>
              </w:rPr>
              <w:t>本项目</w:t>
            </w:r>
            <w:r>
              <w:rPr>
                <w:rFonts w:hint="default"/>
                <w:lang w:val="en-US" w:eastAsia="zh-CN"/>
              </w:rPr>
              <w:t>水库除险加固属于</w:t>
            </w:r>
            <w:r>
              <w:rPr>
                <w:rFonts w:hint="default"/>
              </w:rPr>
              <w:t>重大基础设施项目</w:t>
            </w:r>
          </w:p>
        </w:tc>
        <w:tc>
          <w:tcPr>
            <w:tcW w:w="643" w:type="dxa"/>
            <w:vAlign w:val="center"/>
          </w:tcPr>
          <w:p w14:paraId="62098017">
            <w:pPr>
              <w:pStyle w:val="49"/>
              <w:bidi w:val="0"/>
              <w:rPr>
                <w:rFonts w:hint="default"/>
              </w:rPr>
            </w:pPr>
            <w:r>
              <w:rPr>
                <w:rFonts w:hint="default"/>
              </w:rPr>
              <w:t>是</w:t>
            </w:r>
          </w:p>
        </w:tc>
      </w:tr>
      <w:tr w14:paraId="459E8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1FC050BE">
            <w:pPr>
              <w:pStyle w:val="49"/>
              <w:bidi w:val="0"/>
              <w:rPr>
                <w:rFonts w:hint="default"/>
              </w:rPr>
            </w:pPr>
            <w:r>
              <w:rPr>
                <w:rFonts w:hint="default"/>
              </w:rPr>
              <w:t>第十八条  禁止在长江干支流 </w:t>
            </w:r>
            <w:r>
              <w:rPr>
                <w:rFonts w:hint="default"/>
                <w:lang w:eastAsia="zh-CN"/>
              </w:rPr>
              <w:t>(</w:t>
            </w:r>
            <w:r>
              <w:rPr>
                <w:rFonts w:hint="default"/>
              </w:rPr>
              <w:t>长江</w:t>
            </w:r>
            <w:r>
              <w:rPr>
                <w:rFonts w:hint="eastAsia"/>
                <w:lang w:eastAsia="zh-CN"/>
              </w:rPr>
              <w:t>干流</w:t>
            </w:r>
            <w:r>
              <w:rPr>
                <w:rFonts w:hint="default"/>
              </w:rPr>
              <w:t>湖南段、湘江沅江干流及洞庭湖</w:t>
            </w:r>
            <w:r>
              <w:rPr>
                <w:rFonts w:hint="default"/>
                <w:lang w:eastAsia="zh-CN"/>
              </w:rPr>
              <w:t>)</w:t>
            </w:r>
            <w:r>
              <w:rPr>
                <w:rFonts w:hint="default"/>
              </w:rPr>
              <w:t>岸线1公里范围</w:t>
            </w:r>
            <w:r>
              <w:rPr>
                <w:rFonts w:hint="default"/>
                <w:lang w:eastAsia="zh-CN"/>
              </w:rPr>
              <w:t>(</w:t>
            </w:r>
            <w:r>
              <w:rPr>
                <w:rFonts w:hint="default"/>
              </w:rPr>
              <w:t>指长江干支流岸线边界向陆域纵深1公里，边界指水利部门河道管理范围边界</w:t>
            </w:r>
            <w:r>
              <w:rPr>
                <w:rFonts w:hint="default"/>
                <w:lang w:eastAsia="zh-CN"/>
              </w:rPr>
              <w:t>)</w:t>
            </w:r>
            <w:r>
              <w:rPr>
                <w:rFonts w:hint="default"/>
              </w:rPr>
              <w:t>内新建、扩建化工园区和化工项目。禁止在《中国开发区审核公告目录》公布的园区或省人民政府批准设立的园区外新建，扩建钢铁、石化、化工、焦化、建材、有色等高污染项目。</w:t>
            </w:r>
          </w:p>
          <w:p w14:paraId="010F5550">
            <w:pPr>
              <w:pStyle w:val="49"/>
              <w:bidi w:val="0"/>
              <w:rPr>
                <w:rFonts w:hint="default"/>
              </w:rPr>
            </w:pPr>
          </w:p>
        </w:tc>
        <w:tc>
          <w:tcPr>
            <w:tcW w:w="2277" w:type="dxa"/>
            <w:vAlign w:val="center"/>
          </w:tcPr>
          <w:p w14:paraId="1FC57AD8">
            <w:pPr>
              <w:pStyle w:val="49"/>
              <w:bidi w:val="0"/>
              <w:rPr>
                <w:rFonts w:hint="default"/>
              </w:rPr>
            </w:pPr>
            <w:r>
              <w:rPr>
                <w:rFonts w:hint="default"/>
              </w:rPr>
              <w:t>本项目不在长江干支流 </w:t>
            </w:r>
            <w:r>
              <w:rPr>
                <w:rFonts w:hint="default"/>
                <w:lang w:eastAsia="zh-CN"/>
              </w:rPr>
              <w:t>(</w:t>
            </w:r>
            <w:r>
              <w:rPr>
                <w:rFonts w:hint="default"/>
              </w:rPr>
              <w:t>长江</w:t>
            </w:r>
            <w:r>
              <w:rPr>
                <w:rFonts w:hint="eastAsia"/>
                <w:lang w:eastAsia="zh-CN"/>
              </w:rPr>
              <w:t>干流</w:t>
            </w:r>
            <w:r>
              <w:rPr>
                <w:rFonts w:hint="default"/>
              </w:rPr>
              <w:t>湖南段、湘江沅江干流及洞庭湖</w:t>
            </w:r>
            <w:r>
              <w:rPr>
                <w:rFonts w:hint="default"/>
                <w:lang w:eastAsia="zh-CN"/>
              </w:rPr>
              <w:t>)</w:t>
            </w:r>
            <w:r>
              <w:rPr>
                <w:rFonts w:hint="default"/>
              </w:rPr>
              <w:t>岸线1公里范围</w:t>
            </w:r>
          </w:p>
        </w:tc>
        <w:tc>
          <w:tcPr>
            <w:tcW w:w="643" w:type="dxa"/>
            <w:vAlign w:val="center"/>
          </w:tcPr>
          <w:p w14:paraId="5183C152">
            <w:pPr>
              <w:pStyle w:val="49"/>
              <w:bidi w:val="0"/>
              <w:rPr>
                <w:rFonts w:hint="default"/>
              </w:rPr>
            </w:pPr>
            <w:r>
              <w:rPr>
                <w:rFonts w:hint="default"/>
              </w:rPr>
              <w:t>是</w:t>
            </w:r>
          </w:p>
        </w:tc>
      </w:tr>
      <w:tr w14:paraId="575E7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23495FE">
            <w:pPr>
              <w:pStyle w:val="49"/>
              <w:bidi w:val="0"/>
              <w:rPr>
                <w:rFonts w:hint="default"/>
              </w:rPr>
            </w:pPr>
            <w:r>
              <w:rPr>
                <w:rFonts w:hint="default"/>
              </w:rPr>
              <w:t>第十九条  禁止新建、 扩建不符合国家石化、现代煤化工等产业布局规划的项目。</w:t>
            </w:r>
          </w:p>
        </w:tc>
        <w:tc>
          <w:tcPr>
            <w:tcW w:w="2277" w:type="dxa"/>
            <w:vAlign w:val="center"/>
          </w:tcPr>
          <w:p w14:paraId="2FA61DB9">
            <w:pPr>
              <w:pStyle w:val="49"/>
              <w:bidi w:val="0"/>
              <w:rPr>
                <w:rFonts w:hint="default"/>
              </w:rPr>
            </w:pPr>
            <w:r>
              <w:rPr>
                <w:rFonts w:hint="default"/>
              </w:rPr>
              <w:t>本项目不属于石化、现代煤化工等</w:t>
            </w:r>
          </w:p>
        </w:tc>
        <w:tc>
          <w:tcPr>
            <w:tcW w:w="643" w:type="dxa"/>
            <w:vAlign w:val="center"/>
          </w:tcPr>
          <w:p w14:paraId="19BAB890">
            <w:pPr>
              <w:pStyle w:val="49"/>
              <w:bidi w:val="0"/>
              <w:rPr>
                <w:rFonts w:hint="default"/>
              </w:rPr>
            </w:pPr>
            <w:r>
              <w:rPr>
                <w:rFonts w:hint="default"/>
              </w:rPr>
              <w:t>是</w:t>
            </w:r>
          </w:p>
        </w:tc>
      </w:tr>
      <w:tr w14:paraId="7588B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44116E59">
            <w:pPr>
              <w:pStyle w:val="49"/>
              <w:bidi w:val="0"/>
              <w:rPr>
                <w:rFonts w:hint="default"/>
              </w:rPr>
            </w:pPr>
            <w:r>
              <w:rPr>
                <w:rFonts w:hint="default"/>
              </w:rPr>
              <w:t>第二十条  新建乙烯、 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等石化项目由省人民政府投资主管部门按照国家批准的石化产业规划布局方案核准。未列入国家批准的相关规划的新建乙烯、对二甲苯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项目，禁止建设。</w:t>
            </w:r>
          </w:p>
        </w:tc>
        <w:tc>
          <w:tcPr>
            <w:tcW w:w="2277" w:type="dxa"/>
            <w:vAlign w:val="center"/>
          </w:tcPr>
          <w:p w14:paraId="46EA4C81">
            <w:pPr>
              <w:pStyle w:val="49"/>
              <w:bidi w:val="0"/>
              <w:rPr>
                <w:rFonts w:hint="default"/>
              </w:rPr>
            </w:pPr>
            <w:r>
              <w:rPr>
                <w:rFonts w:hint="default"/>
              </w:rPr>
              <w:t>本项目不属于乙烯、 对二甲苯</w:t>
            </w:r>
            <w:r>
              <w:rPr>
                <w:rFonts w:hint="default"/>
                <w:lang w:eastAsia="zh-CN"/>
              </w:rPr>
              <w:t>(</w:t>
            </w:r>
            <w:r>
              <w:rPr>
                <w:rFonts w:hint="default"/>
              </w:rPr>
              <w:t>PX</w:t>
            </w:r>
            <w:r>
              <w:rPr>
                <w:rFonts w:hint="default"/>
                <w:lang w:eastAsia="zh-CN"/>
              </w:rPr>
              <w:t>)</w:t>
            </w:r>
            <w:r>
              <w:rPr>
                <w:rFonts w:hint="default"/>
              </w:rPr>
              <w:t>、二苯基甲烷二异氰酸酯</w:t>
            </w:r>
            <w:r>
              <w:rPr>
                <w:rFonts w:hint="default"/>
                <w:lang w:eastAsia="zh-CN"/>
              </w:rPr>
              <w:t>(</w:t>
            </w:r>
            <w:r>
              <w:rPr>
                <w:rFonts w:hint="default"/>
              </w:rPr>
              <w:t>MDI</w:t>
            </w:r>
            <w:r>
              <w:rPr>
                <w:rFonts w:hint="default"/>
                <w:lang w:eastAsia="zh-CN"/>
              </w:rPr>
              <w:t>)</w:t>
            </w:r>
            <w:r>
              <w:rPr>
                <w:rFonts w:hint="default"/>
              </w:rPr>
              <w:t>等石化项目</w:t>
            </w:r>
          </w:p>
        </w:tc>
        <w:tc>
          <w:tcPr>
            <w:tcW w:w="643" w:type="dxa"/>
            <w:vAlign w:val="center"/>
          </w:tcPr>
          <w:p w14:paraId="3A1FC95F">
            <w:pPr>
              <w:pStyle w:val="49"/>
              <w:bidi w:val="0"/>
              <w:rPr>
                <w:rFonts w:hint="default"/>
              </w:rPr>
            </w:pPr>
            <w:r>
              <w:rPr>
                <w:rFonts w:hint="default"/>
              </w:rPr>
              <w:t>是</w:t>
            </w:r>
          </w:p>
        </w:tc>
      </w:tr>
      <w:tr w14:paraId="5E2FB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77C7694">
            <w:pPr>
              <w:pStyle w:val="49"/>
              <w:bidi w:val="0"/>
              <w:rPr>
                <w:rFonts w:hint="default"/>
              </w:rPr>
            </w:pPr>
            <w:r>
              <w:rPr>
                <w:rFonts w:hint="default"/>
              </w:rPr>
              <w:t>第二十一条新建煤制烯烃、煤制对二甲苯</w:t>
            </w:r>
            <w:r>
              <w:rPr>
                <w:rFonts w:hint="default"/>
                <w:lang w:eastAsia="zh-CN"/>
              </w:rPr>
              <w:t>(</w:t>
            </w:r>
            <w:r>
              <w:rPr>
                <w:rFonts w:hint="default"/>
              </w:rPr>
              <w:t>PX</w:t>
            </w:r>
            <w:r>
              <w:rPr>
                <w:rFonts w:hint="default"/>
                <w:lang w:eastAsia="zh-CN"/>
              </w:rPr>
              <w:t>)</w:t>
            </w:r>
            <w:r>
              <w:rPr>
                <w:rFonts w:hint="default"/>
              </w:rPr>
              <w:t>等煤化工项目，依法依规按程序核准。新建年产超过100万吨的煤制甲醇项目，由省人民政府投资主管部门依法核准。其余项目禁止建设。</w:t>
            </w:r>
          </w:p>
        </w:tc>
        <w:tc>
          <w:tcPr>
            <w:tcW w:w="2277" w:type="dxa"/>
            <w:vAlign w:val="center"/>
          </w:tcPr>
          <w:p w14:paraId="50640158">
            <w:pPr>
              <w:pStyle w:val="49"/>
              <w:bidi w:val="0"/>
              <w:rPr>
                <w:rFonts w:hint="default"/>
              </w:rPr>
            </w:pPr>
            <w:r>
              <w:rPr>
                <w:rFonts w:hint="default"/>
              </w:rPr>
              <w:t>本项目不属于烯烃、煤制对二甲苯</w:t>
            </w:r>
            <w:r>
              <w:rPr>
                <w:rFonts w:hint="default"/>
                <w:lang w:eastAsia="zh-CN"/>
              </w:rPr>
              <w:t>(</w:t>
            </w:r>
            <w:r>
              <w:rPr>
                <w:rFonts w:hint="default"/>
              </w:rPr>
              <w:t>PX</w:t>
            </w:r>
            <w:r>
              <w:rPr>
                <w:rFonts w:hint="default"/>
                <w:lang w:eastAsia="zh-CN"/>
              </w:rPr>
              <w:t>)</w:t>
            </w:r>
            <w:r>
              <w:rPr>
                <w:rFonts w:hint="default"/>
              </w:rPr>
              <w:t>等煤化工项目</w:t>
            </w:r>
          </w:p>
        </w:tc>
        <w:tc>
          <w:tcPr>
            <w:tcW w:w="643" w:type="dxa"/>
            <w:vAlign w:val="center"/>
          </w:tcPr>
          <w:p w14:paraId="4EDEB49B">
            <w:pPr>
              <w:pStyle w:val="49"/>
              <w:bidi w:val="0"/>
              <w:rPr>
                <w:rFonts w:hint="default"/>
              </w:rPr>
            </w:pPr>
            <w:r>
              <w:rPr>
                <w:rFonts w:hint="default"/>
              </w:rPr>
              <w:t>是</w:t>
            </w:r>
          </w:p>
        </w:tc>
      </w:tr>
      <w:tr w14:paraId="736C4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0CFCF56A">
            <w:pPr>
              <w:pStyle w:val="49"/>
              <w:bidi w:val="0"/>
              <w:rPr>
                <w:rFonts w:hint="default"/>
              </w:rPr>
            </w:pPr>
            <w:r>
              <w:rPr>
                <w:rFonts w:hint="default"/>
              </w:rPr>
              <w:t>第二十二条  禁止新建、 扩建法律法规和相关政策明令禁止的落后产能项目；对不符合要求的落后产能项目，依法依规退出。</w:t>
            </w:r>
          </w:p>
        </w:tc>
        <w:tc>
          <w:tcPr>
            <w:tcW w:w="2277" w:type="dxa"/>
            <w:vAlign w:val="center"/>
          </w:tcPr>
          <w:p w14:paraId="4A6C2D9B">
            <w:pPr>
              <w:pStyle w:val="49"/>
              <w:bidi w:val="0"/>
              <w:rPr>
                <w:rFonts w:hint="default"/>
              </w:rPr>
            </w:pPr>
            <w:r>
              <w:rPr>
                <w:rFonts w:hint="default"/>
              </w:rPr>
              <w:t>本项目不属于法律法规和相关政策明令禁止的落后产能项目，不属于落后产能项目</w:t>
            </w:r>
          </w:p>
        </w:tc>
        <w:tc>
          <w:tcPr>
            <w:tcW w:w="643" w:type="dxa"/>
            <w:vAlign w:val="center"/>
          </w:tcPr>
          <w:p w14:paraId="6C55A0C1">
            <w:pPr>
              <w:pStyle w:val="49"/>
              <w:bidi w:val="0"/>
              <w:rPr>
                <w:rFonts w:hint="default"/>
              </w:rPr>
            </w:pPr>
            <w:r>
              <w:rPr>
                <w:rFonts w:hint="default"/>
              </w:rPr>
              <w:t>是</w:t>
            </w:r>
          </w:p>
        </w:tc>
      </w:tr>
      <w:tr w14:paraId="2B108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613140E2">
            <w:pPr>
              <w:pStyle w:val="49"/>
              <w:bidi w:val="0"/>
              <w:rPr>
                <w:rFonts w:hint="default"/>
              </w:rPr>
            </w:pPr>
            <w:r>
              <w:rPr>
                <w:rFonts w:hint="default"/>
              </w:rPr>
              <w:t>第二十三条  对最新版 《产业结构调整指导目录》中限制类的新建项目，禁止投资；对淘汰类项目，禁止投资。国家级重点生态功能区，要严格执行国家重点生态功能区产业准入负面清单。</w:t>
            </w:r>
          </w:p>
        </w:tc>
        <w:tc>
          <w:tcPr>
            <w:tcW w:w="2277" w:type="dxa"/>
            <w:vAlign w:val="center"/>
          </w:tcPr>
          <w:p w14:paraId="764C1E18">
            <w:pPr>
              <w:pStyle w:val="49"/>
              <w:bidi w:val="0"/>
              <w:rPr>
                <w:rFonts w:hint="default"/>
              </w:rPr>
            </w:pPr>
            <w:r>
              <w:rPr>
                <w:rFonts w:hint="default"/>
              </w:rPr>
              <w:t>本项目不属于限制类、淘汰类项目</w:t>
            </w:r>
          </w:p>
        </w:tc>
        <w:tc>
          <w:tcPr>
            <w:tcW w:w="643" w:type="dxa"/>
            <w:vAlign w:val="center"/>
          </w:tcPr>
          <w:p w14:paraId="33745C7D">
            <w:pPr>
              <w:pStyle w:val="49"/>
              <w:bidi w:val="0"/>
              <w:rPr>
                <w:rFonts w:hint="default"/>
              </w:rPr>
            </w:pPr>
            <w:r>
              <w:rPr>
                <w:rFonts w:hint="default"/>
              </w:rPr>
              <w:t>是</w:t>
            </w:r>
          </w:p>
        </w:tc>
      </w:tr>
      <w:tr w14:paraId="5E7A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01" w:type="dxa"/>
          </w:tcPr>
          <w:p w14:paraId="365B9E81">
            <w:pPr>
              <w:pStyle w:val="49"/>
              <w:bidi w:val="0"/>
              <w:rPr>
                <w:rFonts w:hint="default"/>
              </w:rPr>
            </w:pPr>
            <w:r>
              <w:rPr>
                <w:rFonts w:hint="default"/>
              </w:rPr>
              <w:t>第二十四条  禁止新建、 扩建不符合国家产能置换要求的严重过剩产能行业</w:t>
            </w:r>
            <w:r>
              <w:rPr>
                <w:rFonts w:hint="default"/>
                <w:lang w:eastAsia="zh-CN"/>
              </w:rPr>
              <w:t>(</w:t>
            </w:r>
            <w:r>
              <w:rPr>
                <w:rFonts w:hint="default"/>
              </w:rPr>
              <w:t>钢铁、水泥、电解铝、平板玻璃、船舶等行业</w:t>
            </w:r>
            <w:r>
              <w:rPr>
                <w:rFonts w:hint="default"/>
                <w:lang w:eastAsia="zh-CN"/>
              </w:rPr>
              <w:t>)</w:t>
            </w:r>
            <w:r>
              <w:rPr>
                <w:rFonts w:hint="default"/>
              </w:rPr>
              <w:t>的项目。</w:t>
            </w:r>
          </w:p>
        </w:tc>
        <w:tc>
          <w:tcPr>
            <w:tcW w:w="2277" w:type="dxa"/>
            <w:vAlign w:val="center"/>
          </w:tcPr>
          <w:p w14:paraId="191C9332">
            <w:pPr>
              <w:pStyle w:val="49"/>
              <w:bidi w:val="0"/>
              <w:rPr>
                <w:rFonts w:hint="default"/>
              </w:rPr>
            </w:pPr>
            <w:r>
              <w:rPr>
                <w:rFonts w:hint="default"/>
              </w:rPr>
              <w:t>本项目不属于严重过剩产能行业</w:t>
            </w:r>
            <w:r>
              <w:rPr>
                <w:rFonts w:hint="default"/>
                <w:lang w:eastAsia="zh-CN"/>
              </w:rPr>
              <w:t>(</w:t>
            </w:r>
            <w:r>
              <w:rPr>
                <w:rFonts w:hint="default"/>
              </w:rPr>
              <w:t>钢铁、水泥、电解铝、平板玻璃、船舶等行业</w:t>
            </w:r>
            <w:r>
              <w:rPr>
                <w:rFonts w:hint="default"/>
                <w:lang w:eastAsia="zh-CN"/>
              </w:rPr>
              <w:t>)</w:t>
            </w:r>
            <w:r>
              <w:rPr>
                <w:rFonts w:hint="default"/>
              </w:rPr>
              <w:t>的项目</w:t>
            </w:r>
          </w:p>
        </w:tc>
        <w:tc>
          <w:tcPr>
            <w:tcW w:w="643" w:type="dxa"/>
            <w:vAlign w:val="center"/>
          </w:tcPr>
          <w:p w14:paraId="4182412D">
            <w:pPr>
              <w:pStyle w:val="49"/>
              <w:bidi w:val="0"/>
              <w:rPr>
                <w:rFonts w:hint="default"/>
              </w:rPr>
            </w:pPr>
            <w:r>
              <w:rPr>
                <w:rFonts w:hint="default"/>
              </w:rPr>
              <w:t>是</w:t>
            </w:r>
          </w:p>
        </w:tc>
      </w:tr>
    </w:tbl>
    <w:p w14:paraId="64A24CC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综上分析，本项目符合《湖南省长江经济带发展负面清单实施细则</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》相关要求。</w:t>
      </w:r>
    </w:p>
    <w:p w14:paraId="147C1D9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与《湖南省饮用水水源保护条例》符合性分析</w:t>
      </w:r>
    </w:p>
    <w:p w14:paraId="4099AA31">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《湖南省饮用水水源保护条例》的相关规定，在饮用水水源准保护区内，禁止下列行为</w:t>
      </w:r>
      <w:r>
        <w:rPr>
          <w:rFonts w:hint="eastAsia" w:cs="Times New Roman"/>
          <w:color w:val="auto"/>
          <w:u w:val="none" w:color="auto"/>
          <w:lang w:eastAsia="zh-CN"/>
        </w:rPr>
        <w:t>：</w:t>
      </w:r>
    </w:p>
    <w:p w14:paraId="3B0C74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①新建、扩建水上加油站、油库、制药、造纸、化工等严重污染水体的建设项目，或者改建增加排污量的建设项目；</w:t>
      </w:r>
    </w:p>
    <w:p w14:paraId="313625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②使用毒鱼、炸鱼等方法进行捕捞；</w:t>
      </w:r>
    </w:p>
    <w:p w14:paraId="7AC7D8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③排放倾倒工业废渣、城镇垃圾、医疗垃圾和其他废弃物，或者贮存、堆放</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和其他污染物；</w:t>
      </w:r>
    </w:p>
    <w:p w14:paraId="26FF4E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④使用剧毒和高残留农药，滥用化肥；</w:t>
      </w:r>
    </w:p>
    <w:p w14:paraId="257509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⑤投肥养鱼；</w:t>
      </w:r>
    </w:p>
    <w:p w14:paraId="12956B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⑥其他可能污染饮用水水体的行为。</w:t>
      </w:r>
    </w:p>
    <w:p w14:paraId="17C72662">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在饮用水水源二级保护区内，除饮用水水源准保护区内的禁止行为外，还禁止下列行为</w:t>
      </w:r>
      <w:r>
        <w:rPr>
          <w:rFonts w:hint="eastAsia" w:cs="Times New Roman"/>
          <w:color w:val="auto"/>
          <w:u w:val="none" w:color="auto"/>
          <w:lang w:eastAsia="zh-CN"/>
        </w:rPr>
        <w:t>：</w:t>
      </w:r>
    </w:p>
    <w:p w14:paraId="7DDACCF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①设置排污口；</w:t>
      </w:r>
    </w:p>
    <w:p w14:paraId="5012D0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②新建、改建、扩建排放污染物的建设项目；</w:t>
      </w:r>
    </w:p>
    <w:p w14:paraId="0142620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③设置畜禽养殖场、养殖小区；</w:t>
      </w:r>
    </w:p>
    <w:p w14:paraId="1645C4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④设置装卸垃圾、油类及其他有毒有害物品的码头；</w:t>
      </w:r>
    </w:p>
    <w:p w14:paraId="5B10673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⑤水上运输剧毒化学品及国家禁止运输的其他危险化学品；</w:t>
      </w:r>
    </w:p>
    <w:p w14:paraId="11E100E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⑥使用农药。</w:t>
      </w:r>
    </w:p>
    <w:p w14:paraId="5095035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在饮用水水源一级保护区内，除饮用水水源准保护区、二级保护区内的禁止行为外，还禁止下列行为</w:t>
      </w:r>
      <w:r>
        <w:rPr>
          <w:rFonts w:hint="eastAsia" w:cs="Times New Roman"/>
          <w:color w:val="auto"/>
          <w:u w:val="none" w:color="auto"/>
          <w:lang w:eastAsia="zh-CN"/>
        </w:rPr>
        <w:t>：</w:t>
      </w:r>
    </w:p>
    <w:p w14:paraId="3CE245A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①新建、改建、扩建与供水设施和保护水源无关的建设项目；</w:t>
      </w:r>
    </w:p>
    <w:p w14:paraId="2E18FA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②水上餐饮；</w:t>
      </w:r>
    </w:p>
    <w:p w14:paraId="7682559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③网箱养殖、旅游、游泳、垂钓。</w:t>
      </w:r>
    </w:p>
    <w:p w14:paraId="6816B83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湖南省饮用水水源保护条例》保护要求。</w:t>
      </w:r>
    </w:p>
    <w:p w14:paraId="08576C2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与《永州市饮用水水源地保护规定》符合性分析</w:t>
      </w:r>
    </w:p>
    <w:p w14:paraId="0339D9E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根据《永州市饮用水水源地保护规定》，在保护区域内，除执行法律法规有关规定外，禁止下列行为</w:t>
      </w:r>
      <w:r>
        <w:rPr>
          <w:rFonts w:hint="eastAsia" w:cs="Times New Roman"/>
          <w:color w:val="auto"/>
          <w:u w:val="none" w:color="auto"/>
          <w:lang w:eastAsia="zh-CN"/>
        </w:rPr>
        <w:t>：</w:t>
      </w:r>
    </w:p>
    <w:p w14:paraId="70DA2B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擅自挖山、采石、采矿、取土、开垦林地；</w:t>
      </w:r>
    </w:p>
    <w:p w14:paraId="700FCF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擅自采砂、填埋水体；</w:t>
      </w:r>
    </w:p>
    <w:p w14:paraId="3E3BEEA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擅自</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围堤；</w:t>
      </w:r>
    </w:p>
    <w:p w14:paraId="6D8468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四</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投肥养鱼；</w:t>
      </w:r>
    </w:p>
    <w:p w14:paraId="7329A5D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直接排放、倾倒未经无害化处理的畜禽养殖粪污；</w:t>
      </w:r>
    </w:p>
    <w:p w14:paraId="3863D31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其他破坏水环境生态平衡的活动以及破坏水源涵养林、护岸林等与水源保护相关植被的活动。</w:t>
      </w:r>
    </w:p>
    <w:p w14:paraId="38A3ADD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本项目涉及饮用水水源保护区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一、二级保护区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属于除险加固项目，本次除险加固工程完成后，水库运行本身不产生水污染物，营运期废水主要为现有水库管理人员日常生活产生的生活污水，水库管理人员人数不变，营运期无新增污水，生活污水经现有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施工期禁止向水源区倾倒垃圾和弃渣，土方开挖、临时堆放和回填过程应严格按照水土保持方案做好水土流失防治措施；施工场地应尽量远离保护区并设置截排水措施，防止施工废水进入饮用水源区内；施工废水经处理后回用，不外排；施工期</w:t>
      </w:r>
      <w:r>
        <w:rPr>
          <w:rFonts w:hint="eastAsia" w:cs="Times New Roman"/>
          <w:color w:val="auto"/>
          <w:u w:val="none" w:color="auto"/>
          <w:lang w:val="en-US" w:eastAsia="zh-CN"/>
        </w:rPr>
        <w:t>不</w:t>
      </w:r>
      <w:r>
        <w:rPr>
          <w:rFonts w:hint="default" w:ascii="Times New Roman" w:hAnsi="Times New Roman" w:cs="Times New Roman"/>
          <w:color w:val="auto"/>
          <w:u w:val="none" w:color="auto"/>
        </w:rPr>
        <w:t>设施工营地，生活污水经</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本工程弃渣场等临时占地均不在饮用水源保护区范围内。施工结束后通过地表平整、种植植被等生态恢复措施，及时恢复土地的原有功能，对区域生态环境影响不大。本工程实施后有利于降低洪涝威胁，减少环境风险隐患，对饮用水水源保护区的水质也具有保护作用，属于保护水源相关的建设项目，符合《永州市饮用水水源地保护规定》保护要求</w:t>
      </w:r>
      <w:r>
        <w:rPr>
          <w:rFonts w:hint="default" w:ascii="Times New Roman" w:hAnsi="Times New Roman" w:cs="Times New Roman"/>
          <w:color w:val="auto"/>
          <w:u w:val="none" w:color="auto"/>
          <w:lang w:eastAsia="zh-CN"/>
        </w:rPr>
        <w:t>。</w:t>
      </w:r>
    </w:p>
    <w:p w14:paraId="4567F4C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与《湖南省国民经济和社会发展第十四个五年规划和二〇三五年远景目标纲要》符合性分析</w:t>
      </w:r>
    </w:p>
    <w:p w14:paraId="0D16A6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2021年2月，湖南省人民政府印发了《湖南省国民经济和社会发展第十四个五年规划和二〇三五年远景目标纲要》，“专栏12 水利重点工程”中明确提出“推进大中小型病险水库和大中型病险水闸除险加固，推动病险水电站除险加固。”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为Ⅲ等中型水库，经安全鉴定，综合判定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为“三类坝”。为保障下游人民生命财产及公共设施安全，确保水库安全运行，充分发挥工程效益，同时更有效保障下游农田灌溉及向</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及周边供水，对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除险加固是必要的。因此，工程建设符合《湖南省国民经济和社会发展第十四个五年规划和二〇三五年远景目标纲要》。</w:t>
      </w:r>
    </w:p>
    <w:p w14:paraId="79E073B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与《湖南省“十四五”水安全保障规划</w:t>
      </w:r>
      <w:r>
        <w:rPr>
          <w:rFonts w:hint="eastAsia"/>
          <w:color w:val="000000" w:themeColor="text1"/>
          <w:highlight w:val="none"/>
          <w14:textFill>
            <w14:solidFill>
              <w14:schemeClr w14:val="tx1"/>
            </w14:solidFill>
          </w14:textFill>
        </w:rPr>
        <w:t>（2021～2025年）</w:t>
      </w:r>
      <w:r>
        <w:rPr>
          <w:rFonts w:hint="default" w:ascii="Times New Roman" w:hAnsi="Times New Roman" w:cs="Times New Roman"/>
          <w:color w:val="auto"/>
          <w:u w:val="none" w:color="auto"/>
        </w:rPr>
        <w:t>》的符合性分析</w:t>
      </w:r>
    </w:p>
    <w:p w14:paraId="1998B6D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湖南省水利厅和湖南省发展和改革委员会联合印发的《湖南省“十四五”水安全保障规划》</w:t>
      </w:r>
      <w:r>
        <w:rPr>
          <w:rFonts w:hint="eastAsia"/>
          <w:color w:val="000000" w:themeColor="text1"/>
          <w:highlight w:val="none"/>
          <w14:textFill>
            <w14:solidFill>
              <w14:schemeClr w14:val="tx1"/>
            </w14:solidFill>
          </w14:textFill>
        </w:rPr>
        <w:t>（2021～2025年）</w:t>
      </w:r>
      <w:r>
        <w:rPr>
          <w:rFonts w:hint="default" w:ascii="Times New Roman" w:hAnsi="Times New Roman" w:cs="Times New Roman"/>
          <w:color w:val="auto"/>
          <w:u w:val="none" w:color="auto"/>
        </w:rPr>
        <w:t>中指出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实施病险水库水闸除险加固。加快完成列入国家实施方案的病险水库除险加固任务，消除存量隐患。有序完成已到安全鉴定期限水库的安全鉴定任务，对病险程度较高、防洪任务较重的水库，抓紧实施除险加固，完成以往已实施除险加固的小型水库遗留问题的处理。继续完成经鉴定后新增病险水库的除险加固任务，对每年按期开展安全鉴定后新增的病险水库，及时实施除险加固。健全水库运行管护长效机制，探索实行小型水库专业化管护模式，实现水库安全良性运行。适时推动大中型水闸除险加固。”</w:t>
      </w:r>
    </w:p>
    <w:p w14:paraId="071938A4">
      <w:pPr>
        <w:pStyle w:val="48"/>
        <w:bidi w:val="0"/>
        <w:spacing w:line="240" w:lineRule="auto"/>
        <w:rPr>
          <w:rFonts w:hint="eastAsia" w:ascii="Times New Roman" w:hAnsi="Times New Roman" w:eastAsia="宋体" w:cs="Times New Roman"/>
          <w:b/>
          <w:bCs/>
          <w:color w:val="auto"/>
          <w:kern w:val="2"/>
          <w:sz w:val="24"/>
          <w:szCs w:val="22"/>
          <w:u w:val="none" w:color="auto"/>
          <w:lang w:val="en-US" w:eastAsia="zh-CN" w:bidi="ar-SA"/>
        </w:rPr>
      </w:pPr>
      <w:r>
        <w:rPr>
          <w:rFonts w:hint="eastAsia" w:ascii="Times New Roman" w:hAnsi="Times New Roman" w:eastAsia="宋体" w:cs="Times New Roman"/>
          <w:b/>
          <w:bCs/>
          <w:color w:val="auto"/>
          <w:kern w:val="2"/>
          <w:sz w:val="24"/>
          <w:szCs w:val="22"/>
          <w:u w:val="none" w:color="auto"/>
          <w:lang w:val="en-US" w:eastAsia="zh-CN" w:bidi="ar-SA"/>
        </w:rPr>
        <w:t>表1.</w:t>
      </w:r>
      <w:r>
        <w:rPr>
          <w:rFonts w:hint="eastAsia" w:eastAsia="宋体" w:cs="Times New Roman"/>
          <w:b/>
          <w:bCs/>
          <w:color w:val="auto"/>
          <w:kern w:val="2"/>
          <w:sz w:val="24"/>
          <w:szCs w:val="22"/>
          <w:u w:val="none" w:color="auto"/>
          <w:lang w:val="en-US" w:eastAsia="zh-CN" w:bidi="ar-SA"/>
        </w:rPr>
        <w:t>4</w:t>
      </w:r>
      <w:r>
        <w:rPr>
          <w:rFonts w:hint="eastAsia" w:ascii="Times New Roman" w:hAnsi="Times New Roman" w:eastAsia="宋体" w:cs="Times New Roman"/>
          <w:b/>
          <w:bCs/>
          <w:color w:val="auto"/>
          <w:kern w:val="2"/>
          <w:sz w:val="24"/>
          <w:szCs w:val="22"/>
          <w:u w:val="none" w:color="auto"/>
          <w:lang w:val="en-US" w:eastAsia="zh-CN" w:bidi="ar-SA"/>
        </w:rPr>
        <w:t>-</w:t>
      </w:r>
      <w:r>
        <w:rPr>
          <w:rFonts w:hint="eastAsia" w:eastAsia="宋体" w:cs="Times New Roman"/>
          <w:b/>
          <w:bCs/>
          <w:color w:val="auto"/>
          <w:kern w:val="2"/>
          <w:sz w:val="24"/>
          <w:szCs w:val="22"/>
          <w:u w:val="none" w:color="auto"/>
          <w:lang w:val="en-US" w:eastAsia="zh-CN" w:bidi="ar-SA"/>
        </w:rPr>
        <w:t>4</w:t>
      </w:r>
      <w:r>
        <w:rPr>
          <w:rFonts w:hint="eastAsia" w:ascii="Times New Roman" w:hAnsi="Times New Roman" w:eastAsia="宋体" w:cs="Times New Roman"/>
          <w:b/>
          <w:bCs/>
          <w:color w:val="auto"/>
          <w:kern w:val="2"/>
          <w:sz w:val="24"/>
          <w:szCs w:val="22"/>
          <w:u w:val="none" w:color="auto"/>
          <w:lang w:val="en-US" w:eastAsia="zh-CN" w:bidi="ar-SA"/>
        </w:rPr>
        <w:t xml:space="preserve">  与《湖南省永州市“十四五”水安全保障规划（2021～2025年）》环境影响评价要求的符合性分析一览表</w:t>
      </w:r>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47"/>
        <w:gridCol w:w="2880"/>
      </w:tblGrid>
      <w:tr w14:paraId="457EE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3DC72CC6">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《湖南省永州市“十四五”水安全保障规划（2021～2025年）》要求</w:t>
            </w:r>
          </w:p>
        </w:tc>
        <w:tc>
          <w:tcPr>
            <w:tcW w:w="3000" w:type="dxa"/>
            <w:tcBorders>
              <w:tl2br w:val="nil"/>
              <w:tr2bl w:val="nil"/>
            </w:tcBorders>
            <w:vAlign w:val="center"/>
          </w:tcPr>
          <w:p w14:paraId="219E5F29">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符合性分析</w:t>
            </w:r>
          </w:p>
        </w:tc>
      </w:tr>
      <w:tr w14:paraId="3AE91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64B44255">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坚持节水优先，绿色发展。加强用水需求管理，以水定需、量水而行，加强流域和区域用水总量控制，减少对水资源的过度消耗，识别流域水资源利用上线。在水资源开发利用过程中，优先保障河湖基本生态用水要求，维护河湖健康需要的合理生态流量和水位。加快节水型社会建设，按照减量化、再利用、资源化的原则，建立全社会的水资源循环利用体系，提高水资源的利用效率和效益，实现水资源可持续利用，努力形成节约水资源和保护水环境的产业结构、增长方式和消费模式，保护生态环境。</w:t>
            </w:r>
          </w:p>
        </w:tc>
        <w:tc>
          <w:tcPr>
            <w:tcW w:w="3000" w:type="dxa"/>
            <w:tcBorders>
              <w:tl2br w:val="nil"/>
              <w:tr2bl w:val="nil"/>
            </w:tcBorders>
            <w:vAlign w:val="center"/>
          </w:tcPr>
          <w:p w14:paraId="5CE8DD39">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项目符合“三先三后”原则；本项目取用水均满足</w:t>
            </w:r>
            <w:r>
              <w:rPr>
                <w:rFonts w:hint="eastAsia"/>
                <w:color w:val="000000" w:themeColor="text1"/>
                <w:highlight w:val="none"/>
                <w:lang w:eastAsia="zh-CN"/>
                <w14:textFill>
                  <w14:solidFill>
                    <w14:schemeClr w14:val="tx1"/>
                  </w14:solidFill>
                </w14:textFill>
              </w:rPr>
              <w:t>道县</w:t>
            </w:r>
            <w:r>
              <w:rPr>
                <w:rFonts w:hint="eastAsia"/>
                <w:color w:val="000000" w:themeColor="text1"/>
                <w:highlight w:val="none"/>
                <w14:textFill>
                  <w14:solidFill>
                    <w14:schemeClr w14:val="tx1"/>
                  </w14:solidFill>
                </w14:textFill>
              </w:rPr>
              <w:t>水资源配置管理要求，与“三条红线”中用水量保持一致，均未突破“三条红线”用水总量控制要求。</w:t>
            </w:r>
          </w:p>
        </w:tc>
      </w:tr>
      <w:tr w14:paraId="6BDDF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2E162122">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落实建设项目环境影响评价制度。加强规划环评与环评项目联动管理，重点关注规划实施对流域、区域生态系统及生态环境敏感目标造成的长期累积性影响。重点是识别生态保护红线和流域生态空间，确定环境质量底线、水资源开发利用上线，识别项目实施的主要资源、生态、环境制约因素。认真落实工程建设项目环境影响评价制度和各项环境保护措施，严格执行“三同时”管理制度。高度重视水利工程建设对生态环境的影响，树立生态的工程理念，注重人水关系的和谐性。在水利工程规划设计、建设和运行各环节采取综合措施，努力把对生态环境的影响减至最低。河道治理要避免束窄河道、减少行洪断面，以及河流渠道化的倾向，尽量保持河道自然形态，提倡采用与环境保护相结舍的生态治理措施，注重与城市景观、生态环境相协调。加强工程建设管理和环境监管，强化减水河段生态修复治理和最小下泄流量保证。</w:t>
            </w:r>
          </w:p>
        </w:tc>
        <w:tc>
          <w:tcPr>
            <w:tcW w:w="3000" w:type="dxa"/>
            <w:tcBorders>
              <w:tl2br w:val="nil"/>
              <w:tr2bl w:val="nil"/>
            </w:tcBorders>
            <w:vAlign w:val="center"/>
          </w:tcPr>
          <w:p w14:paraId="149CEF9F">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正在</w:t>
            </w:r>
            <w:r>
              <w:rPr>
                <w:rFonts w:hint="eastAsia"/>
                <w:color w:val="000000" w:themeColor="text1"/>
                <w:highlight w:val="none"/>
                <w14:textFill>
                  <w14:solidFill>
                    <w14:schemeClr w14:val="tx1"/>
                  </w14:solidFill>
                </w14:textFill>
              </w:rPr>
              <w:t>开展环境影响评价，符合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永州市生态环境分区管控更新成果</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2023版</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的通知</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永环发〔2024〕</w:t>
            </w:r>
            <w:r>
              <w:rPr>
                <w:rFonts w:hint="eastAsia" w:cs="Times New Roman"/>
                <w:color w:val="auto"/>
                <w:u w:val="none" w:color="auto"/>
                <w:lang w:val="en-US" w:eastAsia="zh-CN"/>
              </w:rPr>
              <w:t>31</w:t>
            </w:r>
            <w:r>
              <w:rPr>
                <w:rFonts w:hint="default" w:ascii="Times New Roman" w:hAnsi="Times New Roman" w:cs="Times New Roman"/>
                <w:color w:val="auto"/>
                <w:u w:val="none" w:color="auto"/>
                <w:lang w:val="en-US" w:eastAsia="zh-CN"/>
              </w:rPr>
              <w:t>号</w:t>
            </w:r>
            <w:r>
              <w:rPr>
                <w:rFonts w:hint="eastAsia" w:cs="Times New Roman"/>
                <w:color w:val="auto"/>
                <w:u w:val="none" w:color="auto"/>
                <w:lang w:val="en-US" w:eastAsia="zh-CN"/>
              </w:rPr>
              <w:t>)</w:t>
            </w:r>
            <w:r>
              <w:rPr>
                <w:rFonts w:hint="eastAsia"/>
                <w:color w:val="000000" w:themeColor="text1"/>
                <w:highlight w:val="none"/>
                <w14:textFill>
                  <w14:solidFill>
                    <w14:schemeClr w14:val="tx1"/>
                  </w14:solidFill>
                </w14:textFill>
              </w:rPr>
              <w:t>；项目提出了下泄最小生态流量，人工放流等环保措施。</w:t>
            </w:r>
          </w:p>
        </w:tc>
      </w:tr>
      <w:tr w14:paraId="5F35E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1BFBA79F">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强化水土流失防治。规划建设项目选址、选线应当避让水土流失重点预防区和重点治理治理区，无法避让的，要提高防治标准，优化施工工艺，减少地表扰动和植被破坏范围，有效控制可能造成的水土流失。项目建设应编报水土保持方案，并严格按照经批准的水土保持方案，采取水土流失预防和治理措施。</w:t>
            </w:r>
          </w:p>
        </w:tc>
        <w:tc>
          <w:tcPr>
            <w:tcW w:w="3000" w:type="dxa"/>
            <w:tcBorders>
              <w:tl2br w:val="nil"/>
              <w:tr2bl w:val="nil"/>
            </w:tcBorders>
            <w:vAlign w:val="center"/>
          </w:tcPr>
          <w:p w14:paraId="580E2494">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项目编制了《湖南省</w:t>
            </w:r>
            <w:r>
              <w:rPr>
                <w:rFonts w:hint="eastAsia"/>
                <w:color w:val="000000" w:themeColor="text1"/>
                <w:highlight w:val="none"/>
                <w:lang w:eastAsia="zh-CN"/>
                <w14:textFill>
                  <w14:solidFill>
                    <w14:schemeClr w14:val="tx1"/>
                  </w14:solidFill>
                </w14:textFill>
              </w:rPr>
              <w:t>道县廊洞水库除险加固工程</w:t>
            </w:r>
            <w:r>
              <w:rPr>
                <w:rFonts w:hint="eastAsia"/>
                <w:color w:val="000000" w:themeColor="text1"/>
                <w:highlight w:val="none"/>
                <w14:textFill>
                  <w14:solidFill>
                    <w14:schemeClr w14:val="tx1"/>
                  </w14:solidFill>
                </w14:textFill>
              </w:rPr>
              <w:t>水土保持方案报告书》并取得批复，提出了相关水土保持措施要求。</w:t>
            </w:r>
          </w:p>
        </w:tc>
      </w:tr>
      <w:tr w14:paraId="3D4B16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49" w:type="dxa"/>
            <w:tcBorders>
              <w:tl2br w:val="nil"/>
              <w:tr2bl w:val="nil"/>
            </w:tcBorders>
            <w:vAlign w:val="center"/>
          </w:tcPr>
          <w:p w14:paraId="1137F794">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妥善做好移民安置工作。坚持节约集约用地，切实做好工程征地补偿、搬迁安置和水库移民后期扶持工作，确保征用土地居民生活水平逐步提高，保障其合法权益，维护社会稳定。农村移民集中安置的居民点、城（集）镇、工矿企业以及专项设施等基础设施的迁建或者复建选址，应当依法做好环境影响评价、洪水影响分析、地质勘察、地质灾害危险性评估和地质灾害防治等工作。</w:t>
            </w:r>
          </w:p>
        </w:tc>
        <w:tc>
          <w:tcPr>
            <w:tcW w:w="3000" w:type="dxa"/>
            <w:tcBorders>
              <w:tl2br w:val="nil"/>
              <w:tr2bl w:val="nil"/>
            </w:tcBorders>
            <w:vAlign w:val="center"/>
          </w:tcPr>
          <w:p w14:paraId="519629DB">
            <w:pPr>
              <w:pStyle w:val="53"/>
              <w:widowControl w:val="0"/>
              <w:tabs>
                <w:tab w:val="left" w:pos="1315"/>
                <w:tab w:val="left" w:pos="2565"/>
              </w:tabs>
              <w:bidi w:val="0"/>
              <w:jc w:val="center"/>
              <w:rPr>
                <w:color w:val="000000" w:themeColor="text1"/>
                <w:highlight w:val="none"/>
                <w14:textFill>
                  <w14:solidFill>
                    <w14:schemeClr w14:val="tx1"/>
                  </w14:solidFill>
                </w14:textFill>
              </w:rPr>
            </w:pPr>
            <w:r>
              <w:rPr>
                <w:rFonts w:hint="default" w:ascii="Times New Roman" w:hAnsi="Times New Roman" w:eastAsia="宋体" w:cs="Times New Roman"/>
                <w:color w:val="auto"/>
                <w:sz w:val="21"/>
                <w:szCs w:val="21"/>
                <w:u w:val="none" w:color="auto"/>
                <w:lang w:val="en-US" w:eastAsia="zh-CN"/>
              </w:rPr>
              <w:t>本项目为除险加固工程，不增加淹没和影响范围，故不存在拆迁安置问题</w:t>
            </w:r>
          </w:p>
        </w:tc>
      </w:tr>
    </w:tbl>
    <w:p w14:paraId="1C7430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经安全鉴定，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属于中型水库，工程等级为Ⅲ等，大坝安全类别为三类坝。本次工程主要是对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遗留问题和新增险情进行除险加固。因此，本项目建设符合国家、省、市水利改革发展的要求。</w:t>
      </w:r>
    </w:p>
    <w:p w14:paraId="17033812">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与《关于切实加强水库除险加固和运行管护工作的意见(湘政办发〔2021〕30号)》符合性分析</w:t>
      </w:r>
    </w:p>
    <w:p w14:paraId="2CB9A95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本项目与湖南省人民政府办公厅《关于切实加强水库除险加固和运行管护工作的意见》</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湘政办发〔2021〕30号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符合性分析如下</w:t>
      </w:r>
      <w:r>
        <w:rPr>
          <w:rFonts w:hint="eastAsia" w:cs="Times New Roman"/>
          <w:color w:val="auto"/>
          <w:u w:val="none" w:color="auto"/>
          <w:lang w:val="en-US" w:eastAsia="zh-CN"/>
        </w:rPr>
        <w:t>：</w:t>
      </w:r>
    </w:p>
    <w:p w14:paraId="16017EF1">
      <w:pPr>
        <w:pStyle w:val="16"/>
        <w:spacing w:line="240" w:lineRule="auto"/>
        <w:ind w:left="0" w:leftChars="0" w:firstLine="0" w:firstLineChars="0"/>
        <w:jc w:val="center"/>
        <w:rPr>
          <w:rFonts w:hint="default" w:ascii="Times New Roman" w:hAnsi="Times New Roman" w:cs="Times New Roman"/>
          <w:b/>
          <w:bCs/>
          <w:color w:val="auto"/>
          <w:u w:val="none" w:color="auto"/>
          <w:lang w:val="en-US" w:eastAsia="zh-CN"/>
        </w:rPr>
      </w:pPr>
      <w:r>
        <w:rPr>
          <w:rFonts w:hint="default" w:ascii="Times New Roman" w:hAnsi="Times New Roman" w:cs="Times New Roman"/>
          <w:b/>
          <w:bCs/>
          <w:color w:val="auto"/>
          <w:u w:val="none" w:color="auto"/>
          <w:lang w:val="en-US" w:eastAsia="zh-CN"/>
        </w:rPr>
        <w:t>表1.</w:t>
      </w:r>
      <w:r>
        <w:rPr>
          <w:rFonts w:hint="eastAsia" w:cs="Times New Roman"/>
          <w:b/>
          <w:bCs/>
          <w:color w:val="auto"/>
          <w:u w:val="none" w:color="auto"/>
          <w:lang w:val="en-US" w:eastAsia="zh-CN"/>
        </w:rPr>
        <w:t>4</w:t>
      </w:r>
      <w:r>
        <w:rPr>
          <w:rFonts w:hint="default" w:ascii="Times New Roman" w:hAnsi="Times New Roman" w:cs="Times New Roman"/>
          <w:b/>
          <w:bCs/>
          <w:color w:val="auto"/>
          <w:u w:val="none" w:color="auto"/>
          <w:lang w:val="en-US" w:eastAsia="zh-CN"/>
        </w:rPr>
        <w:t>-</w:t>
      </w:r>
      <w:r>
        <w:rPr>
          <w:rFonts w:hint="eastAsia" w:cs="Times New Roman"/>
          <w:b/>
          <w:bCs/>
          <w:color w:val="auto"/>
          <w:u w:val="none" w:color="auto"/>
          <w:lang w:val="en-US" w:eastAsia="zh-CN"/>
        </w:rPr>
        <w:t>5</w:t>
      </w:r>
      <w:r>
        <w:rPr>
          <w:rFonts w:hint="default" w:ascii="Times New Roman" w:hAnsi="Times New Roman" w:cs="Times New Roman"/>
          <w:b/>
          <w:bCs/>
          <w:color w:val="auto"/>
          <w:u w:val="none" w:color="auto"/>
          <w:lang w:val="en-US" w:eastAsia="zh-CN"/>
        </w:rPr>
        <w:t xml:space="preserve"> 与湘政办发〔2021〕30号见符合性分析</w:t>
      </w:r>
    </w:p>
    <w:tbl>
      <w:tblPr>
        <w:tblStyle w:val="37"/>
        <w:tblW w:w="851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70"/>
        <w:gridCol w:w="4329"/>
        <w:gridCol w:w="2389"/>
        <w:gridCol w:w="1028"/>
      </w:tblGrid>
      <w:tr w14:paraId="7EFD0F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5B6E480E">
            <w:pPr>
              <w:spacing w:line="240" w:lineRule="auto"/>
              <w:ind w:firstLine="0" w:firstLineChars="0"/>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序号</w:t>
            </w:r>
          </w:p>
        </w:tc>
        <w:tc>
          <w:tcPr>
            <w:tcW w:w="4329" w:type="dxa"/>
            <w:tcBorders>
              <w:tl2br w:val="nil"/>
              <w:tr2bl w:val="nil"/>
            </w:tcBorders>
            <w:vAlign w:val="center"/>
          </w:tcPr>
          <w:p w14:paraId="48FD1A2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文件</w:t>
            </w:r>
            <w:r>
              <w:rPr>
                <w:rFonts w:hint="default" w:ascii="Times New Roman" w:hAnsi="Times New Roman" w:cs="Times New Roman"/>
                <w:color w:val="auto"/>
                <w:sz w:val="21"/>
                <w:szCs w:val="21"/>
                <w:u w:val="none" w:color="auto"/>
              </w:rPr>
              <w:t>要求</w:t>
            </w:r>
          </w:p>
        </w:tc>
        <w:tc>
          <w:tcPr>
            <w:tcW w:w="2389" w:type="dxa"/>
            <w:tcBorders>
              <w:tl2br w:val="nil"/>
              <w:tr2bl w:val="nil"/>
            </w:tcBorders>
            <w:vAlign w:val="center"/>
          </w:tcPr>
          <w:p w14:paraId="2666FB7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本项目情况</w:t>
            </w:r>
          </w:p>
        </w:tc>
        <w:tc>
          <w:tcPr>
            <w:tcW w:w="1028" w:type="dxa"/>
            <w:tcBorders>
              <w:tl2br w:val="nil"/>
              <w:tr2bl w:val="nil"/>
            </w:tcBorders>
            <w:vAlign w:val="center"/>
          </w:tcPr>
          <w:p w14:paraId="1ED6BE8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符合性</w:t>
            </w:r>
          </w:p>
        </w:tc>
      </w:tr>
      <w:tr w14:paraId="2EA562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655CC2B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1</w:t>
            </w:r>
          </w:p>
        </w:tc>
        <w:tc>
          <w:tcPr>
            <w:tcW w:w="4329" w:type="dxa"/>
            <w:tcBorders>
              <w:tl2br w:val="nil"/>
              <w:tr2bl w:val="nil"/>
            </w:tcBorders>
            <w:vAlign w:val="center"/>
          </w:tcPr>
          <w:p w14:paraId="33844069">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及时开展水库安全鉴定</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严格执行水库大坝定期安全检查、鉴定制度，优化安全鉴定程序，强化鉴定成果核查，提高鉴定成果质量，有序完成“十四五”期间水库安全鉴定任务。</w:t>
            </w:r>
          </w:p>
        </w:tc>
        <w:tc>
          <w:tcPr>
            <w:tcW w:w="2389" w:type="dxa"/>
            <w:tcBorders>
              <w:tl2br w:val="nil"/>
              <w:tr2bl w:val="nil"/>
            </w:tcBorders>
            <w:vAlign w:val="center"/>
          </w:tcPr>
          <w:p w14:paraId="0A775DD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本项目于2021年12月鉴定结果为“三类坝”。</w:t>
            </w:r>
          </w:p>
        </w:tc>
        <w:tc>
          <w:tcPr>
            <w:tcW w:w="1028" w:type="dxa"/>
            <w:tcBorders>
              <w:tl2br w:val="nil"/>
              <w:tr2bl w:val="nil"/>
            </w:tcBorders>
            <w:vAlign w:val="center"/>
          </w:tcPr>
          <w:p w14:paraId="2BB0130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r w14:paraId="6C8817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04EF373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2</w:t>
            </w:r>
          </w:p>
        </w:tc>
        <w:tc>
          <w:tcPr>
            <w:tcW w:w="4329" w:type="dxa"/>
            <w:tcBorders>
              <w:tl2br w:val="nil"/>
              <w:tr2bl w:val="nil"/>
            </w:tcBorders>
            <w:vAlign w:val="center"/>
          </w:tcPr>
          <w:p w14:paraId="103428D6">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有序推进水库除险加固</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大中型水库方面，对已列入规划的大中型病险水库及时进行除险加固。</w:t>
            </w:r>
          </w:p>
        </w:tc>
        <w:tc>
          <w:tcPr>
            <w:tcW w:w="2389" w:type="dxa"/>
            <w:tcBorders>
              <w:tl2br w:val="nil"/>
              <w:tr2bl w:val="nil"/>
            </w:tcBorders>
            <w:vAlign w:val="center"/>
          </w:tcPr>
          <w:p w14:paraId="501CB5E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本项目属于“十四五”期间经鉴定新增的病险水库，目前按要求开展除险加固工作。</w:t>
            </w:r>
          </w:p>
        </w:tc>
        <w:tc>
          <w:tcPr>
            <w:tcW w:w="1028" w:type="dxa"/>
            <w:tcBorders>
              <w:tl2br w:val="nil"/>
              <w:tr2bl w:val="nil"/>
            </w:tcBorders>
            <w:vAlign w:val="center"/>
          </w:tcPr>
          <w:p w14:paraId="06E7915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r w14:paraId="698D9C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70" w:type="dxa"/>
            <w:tcBorders>
              <w:tl2br w:val="nil"/>
              <w:tr2bl w:val="nil"/>
            </w:tcBorders>
            <w:vAlign w:val="center"/>
          </w:tcPr>
          <w:p w14:paraId="578939DA">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3</w:t>
            </w:r>
          </w:p>
        </w:tc>
        <w:tc>
          <w:tcPr>
            <w:tcW w:w="4329" w:type="dxa"/>
            <w:tcBorders>
              <w:tl2br w:val="nil"/>
              <w:tr2bl w:val="nil"/>
            </w:tcBorders>
            <w:vAlign w:val="center"/>
          </w:tcPr>
          <w:p w14:paraId="2C4D2F48">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切实加强水库运行管理</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全面落实水库安全管理责任制，按照相关法律和规定落实责任人。在做好病险水库控制运用的基础上，落实水库管护主体、人员和经费，做好日常巡查、维修养护、安全监测、调度运用、防汛抢险等工作。</w:t>
            </w:r>
          </w:p>
        </w:tc>
        <w:tc>
          <w:tcPr>
            <w:tcW w:w="2389" w:type="dxa"/>
            <w:tcBorders>
              <w:tl2br w:val="nil"/>
              <w:tr2bl w:val="nil"/>
            </w:tcBorders>
            <w:vAlign w:val="center"/>
          </w:tcPr>
          <w:p w14:paraId="6F66B56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廊洞水库已安全运行多年，并建立了严格的水库管理责任制，已落实人员日常巡查、调度运用、防汛抢险等工作。</w:t>
            </w:r>
          </w:p>
        </w:tc>
        <w:tc>
          <w:tcPr>
            <w:tcW w:w="1028" w:type="dxa"/>
            <w:tcBorders>
              <w:tl2br w:val="nil"/>
              <w:tr2bl w:val="nil"/>
            </w:tcBorders>
            <w:vAlign w:val="center"/>
          </w:tcPr>
          <w:p w14:paraId="680D948D">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符合</w:t>
            </w:r>
          </w:p>
        </w:tc>
      </w:tr>
    </w:tbl>
    <w:p w14:paraId="1BDC08F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综上，本项目符合湖南省人民政府办公厅《关于切实加强水库除险加固和运行管护工作的意见》</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湘政办发〔2021〕30号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相关要求。</w:t>
      </w:r>
    </w:p>
    <w:p w14:paraId="33FFBC68">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与生态公益林相关规定的符合性分析</w:t>
      </w:r>
    </w:p>
    <w:p w14:paraId="0793EEC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国家级生态公益林管理办法》第十一条规定“禁止在国家级公益林地开垦、采石、采沙、取土，严格控制勘查、开采矿藏和工程建设征收、征用、占用国家级公益林地。除国务院有关部门和省级人民政府批准的基础设施建设项目外，不得征收、征用、 占用一级国家级公益林地” 。《湖南省公益林管理办法》第十一条规定“除国务院有关部门和省级人民政府批准的基础设施建设项目外，不得占用、征收一级国家级公益林地。经批准占用、征收的公益林地，由省林业厅进行审核汇总并相应核减公益林总量，省财政厅根据省林业厅审核结果相应核减下一年度中央财政和省财政森林生态效益补偿基金”。</w:t>
      </w:r>
    </w:p>
    <w:p w14:paraId="5EC73A7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符合性分析：本项目均在原有工程建筑物基础上或水库管理范围内进行。永久占地类型主要为水利设施用地、荒地和少量林地；临时占地为林地，不涉及一级国家级公益林，在施工结束后可立即进行恢复。因此，本项目建设符合《国家级生态公益林管理办法》。</w:t>
      </w:r>
    </w:p>
    <w:p w14:paraId="56EB4CF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环境</w:t>
      </w:r>
      <w:r>
        <w:rPr>
          <w:rFonts w:hint="default" w:ascii="Times New Roman" w:hAnsi="Times New Roman" w:cs="Times New Roman"/>
          <w:color w:val="auto"/>
          <w:u w:val="none" w:color="auto"/>
        </w:rPr>
        <w:t>制约因素</w:t>
      </w:r>
      <w:r>
        <w:rPr>
          <w:rFonts w:hint="eastAsia" w:cs="Times New Roman"/>
          <w:color w:val="auto"/>
          <w:u w:val="none" w:color="auto"/>
          <w:lang w:val="en-US" w:eastAsia="zh-CN"/>
        </w:rPr>
        <w:t>分析</w:t>
      </w:r>
    </w:p>
    <w:p w14:paraId="11079A7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据以上分析各项法规、政策、文件分析，</w:t>
      </w:r>
      <w:r>
        <w:rPr>
          <w:rFonts w:hint="default" w:ascii="Times New Roman" w:hAnsi="Times New Roman" w:cs="Times New Roman"/>
          <w:color w:val="auto"/>
          <w:u w:val="none" w:color="auto"/>
        </w:rPr>
        <w:t>项目建设无明显的环境制约因素。</w:t>
      </w:r>
    </w:p>
    <w:p w14:paraId="263168E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小结</w:t>
      </w:r>
    </w:p>
    <w:p w14:paraId="3B50BB5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项目符合《产业结构调整指导目录》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，符合相关行业政策，选址符合规划，平面布局合理，无明显的环境制约因素，项目建设可行</w:t>
      </w:r>
      <w:r>
        <w:rPr>
          <w:rFonts w:hint="default" w:ascii="Times New Roman" w:hAnsi="Times New Roman" w:cs="Times New Roman"/>
          <w:color w:val="auto"/>
          <w:u w:val="none" w:color="auto"/>
          <w:lang w:eastAsia="zh-CN"/>
        </w:rPr>
        <w:t>。</w:t>
      </w:r>
    </w:p>
    <w:p w14:paraId="685F86C2">
      <w:pPr>
        <w:pStyle w:val="3"/>
        <w:rPr>
          <w:rFonts w:hint="default" w:ascii="Times New Roman" w:hAnsi="Times New Roman" w:cs="Times New Roman"/>
          <w:color w:val="auto"/>
          <w:u w:val="none" w:color="auto"/>
        </w:rPr>
      </w:pPr>
      <w:bookmarkStart w:id="17" w:name="_Toc494049348"/>
      <w:bookmarkStart w:id="18" w:name="_Toc7139"/>
      <w:bookmarkStart w:id="19" w:name="_Toc9689"/>
      <w:bookmarkStart w:id="20" w:name="_Toc494233694"/>
      <w:bookmarkStart w:id="21" w:name="_Toc19167"/>
      <w:r>
        <w:rPr>
          <w:rFonts w:hint="default" w:ascii="Times New Roman" w:hAnsi="Times New Roman" w:cs="Times New Roman"/>
          <w:color w:val="auto"/>
          <w:u w:val="none" w:color="auto"/>
        </w:rPr>
        <w:t>本项目主要关注的环境问题</w:t>
      </w:r>
      <w:bookmarkEnd w:id="17"/>
      <w:bookmarkEnd w:id="18"/>
      <w:bookmarkEnd w:id="19"/>
      <w:bookmarkEnd w:id="20"/>
      <w:bookmarkEnd w:id="21"/>
    </w:p>
    <w:p w14:paraId="724123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本次环评工作重点为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分析项目施工期废水、扬尘、固废、施工噪声以及工程占地破坏植被引起水土流失等影响</w:t>
      </w:r>
      <w:r>
        <w:rPr>
          <w:rFonts w:hint="default" w:ascii="Times New Roman" w:hAnsi="Times New Roman" w:cs="Times New Roman"/>
          <w:color w:val="auto"/>
          <w:u w:val="none" w:color="auto"/>
        </w:rPr>
        <w:t>；从环境保护角度论证本项目建设方案的可行性，提出有关的环境保护对策与建议；为项目建设决策、审批、工程设计、运行及管理、竣工验收等提供可靠技术依据。</w:t>
      </w: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水库建成历史久远，环评通过收集相关资料对其进行环境影响回顾性分析；对加固除险工程完成后水库回归正常管理提出相关环境管理建议。</w:t>
      </w:r>
    </w:p>
    <w:p w14:paraId="535966E1">
      <w:pPr>
        <w:pStyle w:val="3"/>
        <w:rPr>
          <w:rFonts w:hint="default" w:ascii="Times New Roman" w:hAnsi="Times New Roman" w:cs="Times New Roman"/>
          <w:color w:val="auto"/>
          <w:u w:val="none" w:color="auto"/>
        </w:rPr>
      </w:pPr>
      <w:bookmarkStart w:id="22" w:name="_Toc1626"/>
      <w:bookmarkStart w:id="23" w:name="_Toc494233695"/>
      <w:bookmarkStart w:id="24" w:name="_Toc494049349"/>
      <w:bookmarkStart w:id="25" w:name="_Toc31856"/>
      <w:bookmarkStart w:id="26" w:name="_Toc7435"/>
      <w:r>
        <w:rPr>
          <w:rFonts w:hint="default" w:ascii="Times New Roman" w:hAnsi="Times New Roman" w:cs="Times New Roman"/>
          <w:color w:val="auto"/>
          <w:u w:val="none" w:color="auto"/>
        </w:rPr>
        <w:t>环境影响评价结论</w:t>
      </w:r>
      <w:bookmarkEnd w:id="22"/>
      <w:bookmarkEnd w:id="23"/>
      <w:bookmarkEnd w:id="24"/>
      <w:bookmarkEnd w:id="25"/>
      <w:bookmarkEnd w:id="26"/>
    </w:p>
    <w:p w14:paraId="2FDB4DD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建设符合国家产业政策和相关规划；工程对环境的不利影响主要集中在施工期，但影响大部分是暂时，可以通过采取合理的生态保护及污染控制措施得到较大程度的减缓，使不利环境影响降低到最低可接受的程度。本次除险加固工程基本是在原址基础上进行除险加固，不改变水库的特性。在严格落实本环境影响报告提出的各项环境保护措施的前提下，可将工程实施对的影响降至最低。因此，从环境保护的角度而言，本工程建设是可行的。</w:t>
      </w:r>
    </w:p>
    <w:p w14:paraId="0948D44C">
      <w:pPr>
        <w:bidi w:val="0"/>
        <w:rPr>
          <w:rFonts w:hint="default" w:ascii="Times New Roman" w:hAnsi="Times New Roman" w:cs="Times New Roman"/>
          <w:color w:val="auto"/>
          <w:u w:val="none" w:color="auto"/>
        </w:rPr>
        <w:sectPr>
          <w:footerReference r:id="rId13" w:type="default"/>
          <w:pgSz w:w="11911" w:h="16838"/>
          <w:pgMar w:top="1440" w:right="1800" w:bottom="1440" w:left="1800" w:header="851" w:footer="850" w:gutter="0"/>
          <w:pgBorders>
            <w:top w:val="none" w:sz="0" w:space="0"/>
            <w:left w:val="none" w:sz="0" w:space="0"/>
            <w:bottom w:val="none" w:sz="0" w:space="0"/>
            <w:right w:val="none" w:sz="0" w:space="0"/>
          </w:pgBorders>
          <w:pgNumType w:fmt="decimal" w:start="1"/>
          <w:cols w:space="720" w:num="1"/>
          <w:docGrid w:linePitch="326" w:charSpace="0"/>
        </w:sectPr>
      </w:pPr>
    </w:p>
    <w:p w14:paraId="73F38CDE">
      <w:pPr>
        <w:pStyle w:val="2"/>
        <w:rPr>
          <w:rFonts w:hint="default" w:ascii="Times New Roman" w:hAnsi="Times New Roman" w:cs="Times New Roman"/>
          <w:color w:val="auto"/>
          <w:u w:val="none" w:color="auto"/>
        </w:rPr>
      </w:pPr>
      <w:bookmarkStart w:id="27" w:name="_Toc494233696"/>
      <w:bookmarkStart w:id="28" w:name="_Toc7582"/>
      <w:bookmarkStart w:id="29" w:name="_Toc26709"/>
      <w:bookmarkStart w:id="30" w:name="_Toc20462"/>
      <w:bookmarkStart w:id="31" w:name="_Toc494049350"/>
      <w:bookmarkStart w:id="32" w:name="_Toc12270"/>
      <w:bookmarkStart w:id="33" w:name="_Toc4966"/>
      <w:bookmarkStart w:id="34" w:name="_Toc23764"/>
      <w:bookmarkStart w:id="35" w:name="_Toc494049359"/>
      <w:bookmarkStart w:id="36" w:name="_Toc26082"/>
      <w:r>
        <w:rPr>
          <w:rFonts w:hint="default" w:ascii="Times New Roman" w:hAnsi="Times New Roman" w:cs="Times New Roman"/>
          <w:color w:val="auto"/>
          <w:u w:val="none" w:color="auto"/>
        </w:rPr>
        <w:t>总则</w:t>
      </w:r>
      <w:bookmarkEnd w:id="27"/>
      <w:bookmarkEnd w:id="28"/>
      <w:bookmarkEnd w:id="29"/>
      <w:bookmarkEnd w:id="30"/>
      <w:bookmarkEnd w:id="31"/>
    </w:p>
    <w:p w14:paraId="779E0D1F">
      <w:pPr>
        <w:pStyle w:val="3"/>
        <w:rPr>
          <w:rFonts w:hint="default" w:ascii="Times New Roman" w:hAnsi="Times New Roman" w:cs="Times New Roman"/>
          <w:color w:val="auto"/>
          <w:u w:val="none" w:color="auto"/>
        </w:rPr>
      </w:pPr>
      <w:bookmarkStart w:id="37" w:name="_Toc494233697"/>
      <w:bookmarkStart w:id="38" w:name="_Toc494049351"/>
      <w:bookmarkStart w:id="39" w:name="_Toc9748"/>
      <w:bookmarkStart w:id="40" w:name="_Toc20955"/>
      <w:bookmarkStart w:id="41" w:name="_Toc1586"/>
      <w:r>
        <w:rPr>
          <w:rFonts w:hint="default" w:ascii="Times New Roman" w:hAnsi="Times New Roman" w:cs="Times New Roman"/>
          <w:color w:val="auto"/>
          <w:u w:val="none" w:color="auto"/>
        </w:rPr>
        <w:t>编制依据</w:t>
      </w:r>
      <w:bookmarkEnd w:id="37"/>
      <w:bookmarkEnd w:id="38"/>
      <w:bookmarkEnd w:id="39"/>
      <w:bookmarkEnd w:id="40"/>
      <w:bookmarkEnd w:id="41"/>
    </w:p>
    <w:p w14:paraId="29015C1C">
      <w:pPr>
        <w:pStyle w:val="4"/>
        <w:rPr>
          <w:rFonts w:hint="default" w:ascii="Times New Roman" w:hAnsi="Times New Roman" w:cs="Times New Roman"/>
          <w:color w:val="auto"/>
          <w:u w:val="none" w:color="auto"/>
        </w:rPr>
      </w:pPr>
      <w:bookmarkStart w:id="42" w:name="_Toc24528"/>
      <w:bookmarkStart w:id="43" w:name="_Toc494233698"/>
      <w:bookmarkStart w:id="44" w:name="_Toc22805"/>
      <w:r>
        <w:rPr>
          <w:rFonts w:hint="default" w:ascii="Times New Roman" w:hAnsi="Times New Roman" w:cs="Times New Roman"/>
          <w:color w:val="auto"/>
          <w:u w:val="none" w:color="auto"/>
          <w:lang w:eastAsia="zh-CN"/>
        </w:rPr>
        <w:t>法律法规</w:t>
      </w:r>
      <w:bookmarkEnd w:id="42"/>
      <w:bookmarkEnd w:id="43"/>
      <w:bookmarkEnd w:id="44"/>
    </w:p>
    <w:p w14:paraId="3CE4309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《中华人民共和国环境保护法》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2015年1月1日施行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3D5CA5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《中华人民共和国环境影响评价法》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2018年12月29日施行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1F2D7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2016年7月2日实施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7CC20D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《中华人民共和国水土保持法》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2011年3月1日实施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E5EB3F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《中华人民共和国水污染防治法》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B2FCD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《中华人民共和国大气污染防治法》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2018年10月26日施行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B6EDF8A">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《中华人民共和国环境噪声污染防治法》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2022年6月5日施行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13BB4F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《中华人民共和国固体废物污染环境防治法》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48763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《中华人民共和国土地管理法》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2019年8月26日实施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FCE7F9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《中华人民共和国环境保护税法》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2018年10月26日修改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7B3042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《中华人民共和国城乡规划法》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2008年1月1日实施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9CAF83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《中华人民共和国长江保护法》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2021年3月1日起施行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584540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《建设项目环境保护管理条例》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2017年修订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E6554E0">
      <w:pPr>
        <w:ind w:firstLine="48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《中华人民共和国土地管理法实施条例》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2021年7月2日修订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7063611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中华人民共和国防洪法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1998年1月1日起施行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6AA321F">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部门规章、规范性文件</w:t>
      </w:r>
    </w:p>
    <w:p w14:paraId="58ADA8C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《建设项目环境影响评价分类管理名录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2021年版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》部令第16号；</w:t>
      </w:r>
    </w:p>
    <w:p w14:paraId="12614AD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《建设项目环境影响评价政府信息公开指南</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环办〔2013〕103号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55A65E9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《关于以改善环境质量为核心加强环境影响评价管理的通知》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环环评〔2016〕150号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33400ED">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《产业结构调整指导目录》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5F0F385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《关于进一步加强环境影响评价管理防范环境风险的通知》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环发﹝2012﹞77号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5748A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《关于切实加强风险防范严格环境影响评价管理的通知》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环发﹝2012﹞98号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1C6EE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《突发环境事件应急管理办法》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原</w:t>
      </w:r>
      <w:r>
        <w:rPr>
          <w:rFonts w:hint="default" w:ascii="Times New Roman" w:hAnsi="Times New Roman" w:cs="Times New Roman"/>
          <w:color w:val="auto"/>
          <w:highlight w:val="none"/>
          <w:u w:val="none" w:color="auto"/>
        </w:rPr>
        <w:t>环境保护部</w:t>
      </w:r>
      <w:r>
        <w:rPr>
          <w:rFonts w:hint="default" w:ascii="Times New Roman" w:hAnsi="Times New Roman" w:cs="Times New Roman"/>
          <w:color w:val="auto"/>
          <w:u w:val="none" w:color="auto"/>
        </w:rPr>
        <w:t>令第34号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0646C6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《国家危险废物名录》</w:t>
      </w:r>
      <w:r>
        <w:rPr>
          <w:rFonts w:hint="default" w:ascii="Times New Roman" w:hAnsi="Times New Roman" w:cs="Times New Roman"/>
          <w:color w:val="auto"/>
          <w:u w:val="none" w:color="auto"/>
          <w:lang w:eastAsia="zh-CN"/>
        </w:rPr>
        <w:t>(2025年版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C20BD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《危险化学品安全管理条例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2011年修订</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国务院令第591号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0BA43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《环境影响评价公众参与办法》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生态环境部令第4号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58A33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《关于做好环境影响评价制度与排污许可制衔接相关工作的通知》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环办环评〔2017〕84号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8FECF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《关于生态环境领域进一步深化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放管服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改革，推动经济高质量发展的指导意见》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环规财〔2018〕86号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5BF0B6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《关于进一步完善建设项目环境保护</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三同时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及竣工环境保护自主验收监督管理机制的意见》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w:t>
      </w:r>
      <w:r>
        <w:rPr>
          <w:rFonts w:hint="default" w:ascii="Times New Roman" w:hAnsi="Times New Roman" w:cs="Times New Roman"/>
          <w:color w:val="auto"/>
          <w:highlight w:val="none"/>
          <w:u w:val="none" w:color="auto"/>
        </w:rPr>
        <w:t>执法</w:t>
      </w:r>
      <w:r>
        <w:rPr>
          <w:rFonts w:hint="default" w:ascii="Times New Roman" w:hAnsi="Times New Roman" w:cs="Times New Roman"/>
          <w:color w:val="auto"/>
          <w:u w:val="none" w:color="auto"/>
        </w:rPr>
        <w:t>〔2021〕70号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659012D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14</w:t>
      </w:r>
      <w:r>
        <w:rPr>
          <w:rFonts w:hint="default" w:ascii="Times New Roman" w:hAnsi="Times New Roman" w:cs="Times New Roman"/>
          <w:color w:val="auto"/>
          <w:u w:val="none" w:color="auto"/>
          <w:lang w:eastAsia="zh-CN"/>
        </w:rPr>
        <w:t>)《水利部关于加强河湖水域岸线空间管控的指导意见》</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水河湖〔2022〕216号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350EF1F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)《饮用水水源保护区污染防治管理规定》(2010年12月22日修正版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439759C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16</w:t>
      </w:r>
      <w:r>
        <w:rPr>
          <w:rFonts w:hint="default" w:ascii="Times New Roman" w:hAnsi="Times New Roman" w:cs="Times New Roman"/>
          <w:color w:val="auto"/>
          <w:u w:val="none" w:color="auto"/>
          <w:lang w:eastAsia="zh-CN"/>
        </w:rPr>
        <w:t>)《自然资源部生态环境部国家林业和草原局关于加强生态保护红线管理的通知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》自然资发〔2022〕142号。</w:t>
      </w:r>
    </w:p>
    <w:p w14:paraId="40594C9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地方性法律法规及规范性文件</w:t>
      </w:r>
    </w:p>
    <w:p w14:paraId="0CA2EA0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《湖南省环境保护条例》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2020年1月1日起施行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02AEBD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《湖南省大气污染防治条例》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2020年6月12日修改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5DEFC6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《湖南省湘江流域水污染防治条例》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2002年5月1日施行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69982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《湖南省湘江保护条例》</w:t>
      </w:r>
      <w:r>
        <w:rPr>
          <w:rFonts w:hint="default" w:ascii="Times New Roman" w:hAnsi="Times New Roman" w:cs="Times New Roman"/>
          <w:color w:val="auto"/>
          <w:u w:val="none" w:color="auto"/>
          <w:lang w:eastAsia="zh-CN"/>
        </w:rPr>
        <w:t>(20</w:t>
      </w:r>
      <w:r>
        <w:rPr>
          <w:rFonts w:hint="default" w:ascii="Times New Roman" w:hAnsi="Times New Roman" w:cs="Times New Roman"/>
          <w:color w:val="auto"/>
          <w:u w:val="none" w:color="auto"/>
          <w:lang w:val="en-US" w:eastAsia="zh-CN"/>
        </w:rPr>
        <w:t>23年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2E9EF767">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5</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湖南省饮用水水源保护条例</w:t>
      </w:r>
      <w:r>
        <w:rPr>
          <w:rFonts w:hint="default" w:ascii="Times New Roman" w:hAnsi="Times New Roman" w:eastAsia="宋体" w:cs="Times New Roman"/>
          <w:color w:val="auto"/>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rPr>
        <w:t>2022年5月26日</w:t>
      </w:r>
      <w:r>
        <w:rPr>
          <w:rFonts w:hint="default" w:ascii="Times New Roman" w:hAnsi="Times New Roman" w:eastAsia="宋体" w:cs="Times New Roman"/>
          <w:color w:val="auto"/>
          <w:u w:val="none" w:color="auto"/>
          <w:lang w:val="en-US" w:eastAsia="zh-CN"/>
        </w:rPr>
        <w:t>修订</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w:t>
      </w:r>
    </w:p>
    <w:p w14:paraId="22C7D9F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《湖南省主要水系地表水环境功能区划》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DB43/023-2005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1559364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HYPERLINK "http://search.chinalaw.gov.cn/law/searchTitleDetail?LawID=405944&amp;Query=%E4%B8%AD%E5%8D%8E%E4%BA%BA%E6%B0%91%E5%85%B1%E5%92%8C%E5%9B%BD%E6%B0%B4%E5%9C%9F%E4%BF%9D%E6%8C%81%E6%B3%95&amp;IsExact=" \t "http://search.chinalaw.gov.cn/_blank"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湖南省实施《中华人民共和国水土保持法》办法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2018年修正本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w:t>
      </w:r>
    </w:p>
    <w:p w14:paraId="176B26D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《湖南省人民政府关于实施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三线一单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生态环境分区管控的意见》湘政发〔2020〕12号；</w:t>
      </w:r>
    </w:p>
    <w:p w14:paraId="56D8C3F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《湖南省地方标准用水定额》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2020年5月27日实施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714FA0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《湖南省人民政府关于公布湖南省县级以上地表水集中式饮用水水源保护区划定方案的通知》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176号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306E6EC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湖南省实施《中华人民共和国固体废物污染环境防治法》办法，2018年1月17日；</w:t>
      </w:r>
    </w:p>
    <w:p w14:paraId="7ADA2B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《湖南省土壤污染防治工作方案》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0CAC2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《湖南省新增19个国家重点生态功能区产业准入负面清单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湘发改规划〔2018〕972号</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p>
    <w:p w14:paraId="241A99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《湖南省实施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中华人民共和国土壤污染防治法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办法》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2020年7月1日起施行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76619C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《湖南省实施〈中华人民共和国水法〉办法》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2004年9月1日起施行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73B516B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《湖南省人民政府关于印发</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湖南省生态保护红线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湘政发〔2018〕20号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7C09047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湖南省长江经济带发展负面清单实施细则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试行，2022年版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p>
    <w:p w14:paraId="55F7E6F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湖南省生态环境厅关于印发《</w:t>
      </w:r>
      <w:r>
        <w:rPr>
          <w:rFonts w:hint="default" w:ascii="Times New Roman" w:hAnsi="Times New Roman" w:cs="Times New Roman"/>
          <w:color w:val="auto"/>
          <w:u w:val="none" w:color="auto"/>
        </w:rPr>
        <w:t>湖南省生态保护红线生态环境监督办法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》的通知</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 w:eastAsia="zh-CN"/>
        </w:rPr>
        <w:t>湘环发〔2023〕51号</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w:t>
      </w:r>
    </w:p>
    <w:p w14:paraId="3EC0CED8">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(19)</w:t>
      </w:r>
      <w:r>
        <w:rPr>
          <w:rFonts w:hint="default" w:ascii="Times New Roman" w:hAnsi="Times New Roman" w:eastAsia="宋体" w:cs="Times New Roman"/>
          <w:color w:val="auto"/>
          <w:u w:val="none" w:color="auto"/>
          <w:lang w:val="en-US" w:eastAsia="zh-CN"/>
        </w:rPr>
        <w:t>《湖南省自然资源厅  湖南省生态环境厅  湖南省林业局关于加强全省生态保护红线管理的通知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湘自资规〔2024〕1号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7920A4E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u w:val="none" w:color="auto"/>
          <w:lang w:eastAsia="zh-CN"/>
        </w:rPr>
        <w:t>湖南省环境影响评价领域深化改革实施意见</w:t>
      </w:r>
      <w:r>
        <w:rPr>
          <w:rFonts w:hint="default" w:ascii="Times New Roman" w:hAnsi="Times New Roman" w:eastAsia="宋体" w:cs="Times New Roman"/>
          <w:color w:val="auto"/>
          <w:u w:val="none" w:color="auto"/>
          <w:lang w:val="en-US" w:eastAsia="zh-CN"/>
        </w:rPr>
        <w:t>》湘环发〔2023〕60号；</w:t>
      </w:r>
    </w:p>
    <w:p w14:paraId="011FB61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《全国生态功能区划</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修编版本</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2015.10</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w:t>
      </w:r>
    </w:p>
    <w:p w14:paraId="4A1BAF3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《中国国家重点保护野生植物名录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第一批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6DF6B3E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3)</w:t>
      </w:r>
      <w:r>
        <w:rPr>
          <w:rFonts w:hint="default" w:ascii="Times New Roman" w:hAnsi="Times New Roman" w:eastAsia="宋体" w:cs="Times New Roman"/>
          <w:color w:val="auto"/>
          <w:u w:val="none" w:color="auto"/>
          <w:lang w:val="en-US" w:eastAsia="zh-CN"/>
        </w:rPr>
        <w:t>《中国植被》；</w:t>
      </w:r>
    </w:p>
    <w:p w14:paraId="13BE43DB">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4)</w:t>
      </w:r>
      <w:r>
        <w:rPr>
          <w:rFonts w:hint="default" w:ascii="Times New Roman" w:hAnsi="Times New Roman" w:eastAsia="宋体" w:cs="Times New Roman"/>
          <w:color w:val="auto"/>
          <w:u w:val="none" w:color="auto"/>
          <w:lang w:val="en-US" w:eastAsia="zh-CN"/>
        </w:rPr>
        <w:t>《中国两栖、爬行动物更新名录》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王剀等，2020年</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67D96951">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5)</w:t>
      </w:r>
      <w:r>
        <w:rPr>
          <w:rFonts w:hint="default" w:ascii="Times New Roman" w:hAnsi="Times New Roman" w:eastAsia="宋体" w:cs="Times New Roman"/>
          <w:color w:val="auto"/>
          <w:u w:val="none" w:color="auto"/>
          <w:lang w:val="en-US" w:eastAsia="zh-CN"/>
        </w:rPr>
        <w:t>《国家重点保护野生动物名录》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林业和草原局农业农村部公告，2021年第3号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346ECC7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6)</w:t>
      </w:r>
      <w:r>
        <w:rPr>
          <w:rFonts w:hint="default" w:ascii="Times New Roman" w:hAnsi="Times New Roman" w:eastAsia="宋体" w:cs="Times New Roman"/>
          <w:color w:val="auto"/>
          <w:u w:val="none" w:color="auto"/>
          <w:lang w:val="en-US" w:eastAsia="zh-CN"/>
        </w:rPr>
        <w:t>《关于发布中国第一批外来入侵物种名单的通知》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环发〔2003〕11号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highlight w:val="none"/>
          <w:u w:val="none" w:color="auto"/>
          <w:lang w:val="en-US" w:eastAsia="zh-CN"/>
        </w:rPr>
        <w:t>国家环保总局</w:t>
      </w:r>
      <w:r>
        <w:rPr>
          <w:rFonts w:hint="default" w:ascii="Times New Roman" w:hAnsi="Times New Roman" w:eastAsia="宋体" w:cs="Times New Roman"/>
          <w:color w:val="auto"/>
          <w:u w:val="none" w:color="auto"/>
          <w:lang w:val="en-US" w:eastAsia="zh-CN"/>
        </w:rPr>
        <w:t>，2003年1月10日；</w:t>
      </w:r>
    </w:p>
    <w:p w14:paraId="104E4CA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《关于发布中国第二批外来入侵物种名单的通知》</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环发〔2010〕4号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，2010年1月7日；</w:t>
      </w:r>
    </w:p>
    <w:p w14:paraId="22C6509B">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cs="Times New Roman"/>
          <w:color w:val="auto"/>
          <w:u w:val="none" w:color="auto"/>
          <w:lang w:val="en-US" w:eastAsia="zh-CN"/>
        </w:rPr>
        <w:t>8)</w:t>
      </w:r>
      <w:r>
        <w:rPr>
          <w:rFonts w:hint="default" w:ascii="Times New Roman" w:hAnsi="Times New Roman" w:eastAsia="宋体" w:cs="Times New Roman"/>
          <w:color w:val="auto"/>
          <w:u w:val="none" w:color="auto"/>
          <w:lang w:val="en-US" w:eastAsia="zh-CN"/>
        </w:rPr>
        <w:t>《关于发布中国外来入侵物种名单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第三批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的公告》</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公告2014年第57号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、中国科学院，2014年8月15日；</w:t>
      </w:r>
    </w:p>
    <w:p w14:paraId="14321CDD">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(29)</w:t>
      </w:r>
      <w:r>
        <w:rPr>
          <w:rFonts w:hint="default" w:ascii="Times New Roman" w:hAnsi="Times New Roman" w:eastAsia="宋体" w:cs="Times New Roman"/>
          <w:color w:val="auto"/>
          <w:u w:val="none" w:color="auto"/>
          <w:lang w:val="en-US" w:eastAsia="zh-CN"/>
        </w:rPr>
        <w:t>《关于发布〈中国自然生态系统外来入侵物种名单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第四批</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〉的公告》</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公</w:t>
      </w:r>
      <w:r>
        <w:rPr>
          <w:rFonts w:hint="default" w:ascii="Times New Roman" w:hAnsi="Times New Roman" w:eastAsia="宋体" w:cs="Times New Roman"/>
          <w:color w:val="auto"/>
          <w:u w:val="none" w:color="auto"/>
          <w:lang w:val="en-US" w:eastAsia="zh-CN"/>
        </w:rPr>
        <w:t>告2016年第78号</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，原</w:t>
      </w:r>
      <w:r>
        <w:rPr>
          <w:rFonts w:hint="default" w:ascii="Times New Roman" w:hAnsi="Times New Roman" w:eastAsia="宋体" w:cs="Times New Roman"/>
          <w:color w:val="auto"/>
          <w:highlight w:val="none"/>
          <w:u w:val="none" w:color="auto"/>
          <w:lang w:val="en-US" w:eastAsia="zh-CN"/>
        </w:rPr>
        <w:t>环境保护部</w:t>
      </w:r>
      <w:r>
        <w:rPr>
          <w:rFonts w:hint="default" w:ascii="Times New Roman" w:hAnsi="Times New Roman" w:eastAsia="宋体" w:cs="Times New Roman"/>
          <w:color w:val="auto"/>
          <w:u w:val="none" w:color="auto"/>
          <w:lang w:val="en-US" w:eastAsia="zh-CN"/>
        </w:rPr>
        <w:t>、中国科学院，2016年12月12日；</w:t>
      </w:r>
    </w:p>
    <w:p w14:paraId="6F7485C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《濒危野生动植物种国际贸易公约》</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CITES附录</w:t>
      </w:r>
      <w:r>
        <w:rPr>
          <w:rFonts w:hint="default" w:ascii="Times New Roman" w:hAnsi="Times New Roman" w:cs="Times New Roman"/>
          <w:color w:val="auto"/>
          <w:highlight w:val="none"/>
          <w:u w:val="none" w:color="auto"/>
          <w:lang w:val="en-US" w:eastAsia="zh-CN"/>
        </w:rPr>
        <w:t>)</w:t>
      </w:r>
      <w:r>
        <w:rPr>
          <w:rFonts w:hint="default" w:ascii="Times New Roman" w:hAnsi="Times New Roman" w:eastAsia="宋体" w:cs="Times New Roman"/>
          <w:color w:val="auto"/>
          <w:u w:val="none" w:color="auto"/>
          <w:lang w:val="en-US" w:eastAsia="zh-CN"/>
        </w:rPr>
        <w:t>；</w:t>
      </w:r>
    </w:p>
    <w:p w14:paraId="2793FED7">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《湖南植被区系与植被概况》；</w:t>
      </w:r>
    </w:p>
    <w:p w14:paraId="28E3939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3)</w:t>
      </w:r>
      <w:r>
        <w:rPr>
          <w:rFonts w:hint="default" w:ascii="Times New Roman" w:hAnsi="Times New Roman" w:eastAsia="宋体" w:cs="Times New Roman"/>
          <w:color w:val="auto"/>
          <w:u w:val="none" w:color="auto"/>
          <w:lang w:val="en-US" w:eastAsia="zh-CN"/>
        </w:rPr>
        <w:t>《湖南植被研究</w:t>
      </w: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植被类型、组成和分布格局》；</w:t>
      </w:r>
    </w:p>
    <w:p w14:paraId="50DBDFA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4)</w:t>
      </w:r>
      <w:r>
        <w:rPr>
          <w:rFonts w:hint="default" w:ascii="Times New Roman" w:hAnsi="Times New Roman" w:eastAsia="宋体" w:cs="Times New Roman"/>
          <w:color w:val="auto"/>
          <w:u w:val="none" w:color="auto"/>
          <w:lang w:val="en-US" w:eastAsia="zh-CN"/>
        </w:rPr>
        <w:t>《湖南天然植被类型分类系统》；</w:t>
      </w:r>
    </w:p>
    <w:p w14:paraId="14EDF2C2">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5)</w:t>
      </w:r>
      <w:r>
        <w:rPr>
          <w:rFonts w:hint="default" w:ascii="Times New Roman" w:hAnsi="Times New Roman" w:eastAsia="宋体" w:cs="Times New Roman"/>
          <w:color w:val="auto"/>
          <w:u w:val="none" w:color="auto"/>
          <w:lang w:val="en-US" w:eastAsia="zh-CN"/>
        </w:rPr>
        <w:t>《湖南野生动物》；</w:t>
      </w:r>
    </w:p>
    <w:p w14:paraId="068C5D0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6)</w:t>
      </w:r>
      <w:r>
        <w:rPr>
          <w:rFonts w:hint="default" w:ascii="Times New Roman" w:hAnsi="Times New Roman" w:eastAsia="宋体" w:cs="Times New Roman"/>
          <w:color w:val="auto"/>
          <w:u w:val="none" w:color="auto"/>
          <w:lang w:val="en-US" w:eastAsia="zh-CN"/>
        </w:rPr>
        <w:t>《湖南陆栖脊椎动物分布名录》；</w:t>
      </w:r>
    </w:p>
    <w:p w14:paraId="741B3673">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湖南省林业局 湖南省农业农村厅关于调整《湖南省地方重点保护野生动物名录》《湖南省地方重点保护野生植物名录》的通知（湘林护〔2023〕9号）；</w:t>
      </w:r>
    </w:p>
    <w:p w14:paraId="4957A7AE">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《重点管理外来入侵物种名录》，2023年1月1日起施行；</w:t>
      </w:r>
    </w:p>
    <w:p w14:paraId="7903317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val="en-US" w:eastAsia="zh-CN"/>
        </w:rPr>
        <w:t>(38)《永州市道县梅花镇廊洞水库饮用水水源保护区划分方案》(湘环函[2019]231号)</w:t>
      </w:r>
      <w:r>
        <w:rPr>
          <w:rFonts w:hint="default" w:ascii="Times New Roman" w:hAnsi="Times New Roman" w:eastAsia="宋体" w:cs="Times New Roman"/>
          <w:color w:val="auto"/>
          <w:u w:val="none" w:color="auto"/>
          <w:lang w:val="en-US" w:eastAsia="zh-CN"/>
        </w:rPr>
        <w:t>。</w:t>
      </w:r>
    </w:p>
    <w:p w14:paraId="485F9198">
      <w:pPr>
        <w:pStyle w:val="4"/>
        <w:rPr>
          <w:rFonts w:hint="default" w:ascii="Times New Roman" w:hAnsi="Times New Roman" w:cs="Times New Roman"/>
          <w:color w:val="auto"/>
          <w:u w:val="none" w:color="auto"/>
        </w:rPr>
      </w:pPr>
      <w:bookmarkStart w:id="45" w:name="_Toc381"/>
      <w:bookmarkStart w:id="46" w:name="_Toc494233700"/>
      <w:bookmarkStart w:id="47" w:name="_Toc29151"/>
      <w:r>
        <w:rPr>
          <w:rFonts w:hint="default" w:ascii="Times New Roman" w:hAnsi="Times New Roman" w:cs="Times New Roman"/>
          <w:color w:val="auto"/>
          <w:u w:val="none" w:color="auto"/>
        </w:rPr>
        <w:t>技术导则与规范</w:t>
      </w:r>
      <w:bookmarkEnd w:id="45"/>
      <w:bookmarkEnd w:id="46"/>
      <w:bookmarkEnd w:id="47"/>
    </w:p>
    <w:p w14:paraId="08AB937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799615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DFF8F4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地表水环境》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HJ2.3-2018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550BD73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(HJ2.4-2021)</w:t>
      </w:r>
      <w:r>
        <w:rPr>
          <w:rFonts w:hint="default" w:ascii="Times New Roman" w:hAnsi="Times New Roman" w:cs="Times New Roman"/>
          <w:color w:val="auto"/>
          <w:u w:val="none" w:color="auto"/>
        </w:rPr>
        <w:t>；</w:t>
      </w:r>
    </w:p>
    <w:p w14:paraId="6357D16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C2A9BA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487CD0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5EA0B3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生态影响》</w:t>
      </w:r>
      <w:r>
        <w:rPr>
          <w:rFonts w:hint="default" w:ascii="Times New Roman" w:hAnsi="Times New Roman" w:cs="Times New Roman"/>
          <w:color w:val="auto"/>
          <w:u w:val="none" w:color="auto"/>
          <w:lang w:eastAsia="zh-CN"/>
        </w:rPr>
        <w:t>(HJ19-2022)</w:t>
      </w:r>
      <w:r>
        <w:rPr>
          <w:rFonts w:hint="default" w:ascii="Times New Roman" w:hAnsi="Times New Roman" w:cs="Times New Roman"/>
          <w:color w:val="auto"/>
          <w:u w:val="none" w:color="auto"/>
        </w:rPr>
        <w:t>；</w:t>
      </w:r>
    </w:p>
    <w:p w14:paraId="6D301DD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《防治城市扬尘污染技术规范》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HJ/T7393-2007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6B2F3E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《固定污染源排污许可分类管理名录》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2019年版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1CE8BBA9">
      <w:pPr>
        <w:pStyle w:val="4"/>
        <w:rPr>
          <w:rFonts w:hint="default" w:ascii="Times New Roman" w:hAnsi="Times New Roman" w:cs="Times New Roman"/>
          <w:color w:val="auto"/>
          <w:u w:val="none" w:color="auto"/>
        </w:rPr>
      </w:pPr>
      <w:bookmarkStart w:id="48" w:name="_Toc30967"/>
      <w:bookmarkStart w:id="49" w:name="_Toc11456"/>
      <w:bookmarkStart w:id="50" w:name="_Toc494233701"/>
      <w:r>
        <w:rPr>
          <w:rFonts w:hint="default" w:ascii="Times New Roman" w:hAnsi="Times New Roman" w:cs="Times New Roman"/>
          <w:color w:val="auto"/>
          <w:u w:val="none" w:color="auto"/>
        </w:rPr>
        <w:t>项目有关资料</w:t>
      </w:r>
      <w:bookmarkEnd w:id="48"/>
      <w:bookmarkEnd w:id="49"/>
      <w:bookmarkEnd w:id="50"/>
    </w:p>
    <w:p w14:paraId="470A9C5C">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eastAsia" w:cs="Times New Roman"/>
          <w:color w:val="auto"/>
          <w:highlight w:val="none"/>
          <w:u w:val="none" w:color="auto"/>
          <w:lang w:eastAsia="zh-CN"/>
        </w:rPr>
        <w:t>道县</w:t>
      </w:r>
      <w:r>
        <w:rPr>
          <w:rFonts w:hint="default" w:ascii="Times New Roman" w:hAnsi="Times New Roman" w:cs="Times New Roman"/>
          <w:color w:val="auto"/>
          <w:u w:val="none" w:color="auto"/>
          <w:lang w:eastAsia="zh-CN"/>
        </w:rPr>
        <w:t>廊洞水库除险加固工程</w:t>
      </w:r>
      <w:r>
        <w:rPr>
          <w:rFonts w:hint="default" w:ascii="Times New Roman" w:hAnsi="Times New Roman" w:cs="Times New Roman"/>
          <w:color w:val="auto"/>
          <w:u w:val="none" w:color="auto"/>
        </w:rPr>
        <w:t>初步设计工程地质</w:t>
      </w:r>
      <w:r>
        <w:rPr>
          <w:rFonts w:hint="default" w:ascii="Times New Roman" w:hAnsi="Times New Roman" w:cs="Times New Roman"/>
          <w:color w:val="auto"/>
          <w:highlight w:val="none"/>
          <w:u w:val="none" w:color="auto"/>
        </w:rPr>
        <w:t>勘察报告</w:t>
      </w:r>
      <w:r>
        <w:rPr>
          <w:rFonts w:hint="eastAsia" w:cs="Times New Roman"/>
          <w:color w:val="auto"/>
          <w:u w:val="none" w:color="auto"/>
          <w:lang w:eastAsia="zh-CN"/>
        </w:rPr>
        <w:t>；</w:t>
      </w:r>
    </w:p>
    <w:p w14:paraId="230E2AE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道县廊洞水库除险加固工程可行性研究报告</w:t>
      </w:r>
      <w:r>
        <w:rPr>
          <w:rFonts w:hint="eastAsia" w:cs="Times New Roman"/>
          <w:color w:val="auto"/>
          <w:u w:val="none" w:color="auto"/>
          <w:lang w:val="en-US" w:eastAsia="zh-CN"/>
        </w:rPr>
        <w:t>及其批复；</w:t>
      </w:r>
    </w:p>
    <w:p w14:paraId="0DFF5362">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初步设计报告</w:t>
      </w:r>
      <w:r>
        <w:rPr>
          <w:rFonts w:hint="eastAsia" w:cs="Times New Roman"/>
          <w:color w:val="auto"/>
          <w:u w:val="none" w:color="auto"/>
          <w:lang w:val="en-US" w:eastAsia="zh-CN"/>
        </w:rPr>
        <w:t>及其</w:t>
      </w:r>
      <w:r>
        <w:rPr>
          <w:rFonts w:hint="default" w:ascii="Times New Roman" w:hAnsi="Times New Roman" w:cs="Times New Roman"/>
          <w:color w:val="auto"/>
          <w:u w:val="none" w:color="auto"/>
          <w:lang w:val="en-US" w:eastAsia="zh-CN"/>
        </w:rPr>
        <w:t>初步设计批复</w:t>
      </w:r>
      <w:r>
        <w:rPr>
          <w:rFonts w:hint="eastAsia" w:cs="Times New Roman"/>
          <w:color w:val="auto"/>
          <w:u w:val="none" w:color="auto"/>
          <w:lang w:eastAsia="zh-CN"/>
        </w:rPr>
        <w:t>；</w:t>
      </w:r>
    </w:p>
    <w:p w14:paraId="71D21E4F">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建设单位提供的与项目有关的</w:t>
      </w:r>
      <w:r>
        <w:rPr>
          <w:rFonts w:hint="default" w:ascii="Times New Roman" w:hAnsi="Times New Roman" w:cs="Times New Roman"/>
          <w:color w:val="auto"/>
          <w:u w:val="none" w:color="auto"/>
          <w:lang w:val="en-US" w:eastAsia="zh-CN"/>
        </w:rPr>
        <w:t>其他</w:t>
      </w:r>
      <w:r>
        <w:rPr>
          <w:rFonts w:hint="default" w:ascii="Times New Roman" w:hAnsi="Times New Roman" w:cs="Times New Roman"/>
          <w:color w:val="auto"/>
          <w:u w:val="none" w:color="auto"/>
        </w:rPr>
        <w:t>技术资料。</w:t>
      </w:r>
    </w:p>
    <w:p w14:paraId="3A29835D">
      <w:pPr>
        <w:pStyle w:val="3"/>
        <w:rPr>
          <w:rFonts w:hint="default" w:ascii="Times New Roman" w:hAnsi="Times New Roman" w:cs="Times New Roman"/>
          <w:color w:val="auto"/>
          <w:u w:val="none" w:color="auto"/>
        </w:rPr>
      </w:pPr>
      <w:bookmarkStart w:id="51" w:name="_Toc494233702"/>
      <w:bookmarkStart w:id="52" w:name="_Toc23092"/>
      <w:bookmarkStart w:id="53" w:name="_Toc494049352"/>
      <w:bookmarkStart w:id="54" w:name="_Toc24733"/>
      <w:bookmarkStart w:id="55" w:name="_Toc23515"/>
      <w:r>
        <w:rPr>
          <w:rFonts w:hint="default" w:ascii="Times New Roman" w:hAnsi="Times New Roman" w:cs="Times New Roman"/>
          <w:color w:val="auto"/>
          <w:u w:val="none" w:color="auto"/>
        </w:rPr>
        <w:t>评价的目的和原则</w:t>
      </w:r>
      <w:bookmarkEnd w:id="51"/>
      <w:bookmarkEnd w:id="52"/>
      <w:bookmarkEnd w:id="53"/>
      <w:bookmarkEnd w:id="54"/>
      <w:bookmarkEnd w:id="55"/>
    </w:p>
    <w:p w14:paraId="5C9F255E">
      <w:pPr>
        <w:pStyle w:val="4"/>
        <w:rPr>
          <w:rFonts w:hint="default" w:ascii="Times New Roman" w:hAnsi="Times New Roman" w:cs="Times New Roman"/>
          <w:color w:val="auto"/>
          <w:u w:val="none" w:color="auto"/>
        </w:rPr>
      </w:pPr>
      <w:bookmarkStart w:id="56" w:name="_Toc6673"/>
      <w:bookmarkStart w:id="57" w:name="_Toc494233703"/>
      <w:bookmarkStart w:id="58" w:name="_Toc10009"/>
      <w:r>
        <w:rPr>
          <w:rFonts w:hint="default" w:ascii="Times New Roman" w:hAnsi="Times New Roman" w:cs="Times New Roman"/>
          <w:color w:val="auto"/>
          <w:u w:val="none" w:color="auto"/>
        </w:rPr>
        <w:t>评价目的</w:t>
      </w:r>
      <w:bookmarkEnd w:id="56"/>
      <w:bookmarkEnd w:id="57"/>
      <w:bookmarkEnd w:id="58"/>
    </w:p>
    <w:p w14:paraId="0DE3830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实地踏勘、环境现状监测与调查、污染源调查与评价、有关资料收集分析的基础上，全面分析该项目在施工期、运行期的环境影响特点、范围、程度等，客观评价该项目的建设和运行对周围环境可能造成的有利和不利影响。</w:t>
      </w:r>
    </w:p>
    <w:p w14:paraId="691B4CB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通过环境影响评价，为工程决策和加强环境管理提供科学依据，同时促使建设项目的业主明确和履行自己的环境责任，以便在本工程的施工期和运行期做好生态防护、补偿、恢复工作。</w:t>
      </w:r>
    </w:p>
    <w:p w14:paraId="6A7C19C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提出项目环境管理与监测机构的设置，提出环境管理与监测计划。</w:t>
      </w:r>
    </w:p>
    <w:p w14:paraId="4702D40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从环境保护角度出发，论证该项目建设的可行性，为该项目的环境保护</w:t>
      </w:r>
      <w:r>
        <w:rPr>
          <w:rFonts w:hint="eastAsia" w:cs="Times New Roman"/>
          <w:color w:val="auto"/>
          <w:u w:val="none" w:color="auto"/>
          <w:lang w:eastAsia="zh-CN"/>
        </w:rPr>
        <w:t>工程设计</w:t>
      </w:r>
      <w:r>
        <w:rPr>
          <w:rFonts w:hint="default" w:ascii="Times New Roman" w:hAnsi="Times New Roman" w:cs="Times New Roman"/>
          <w:color w:val="auto"/>
          <w:u w:val="none" w:color="auto"/>
        </w:rPr>
        <w:t>环境管理提供依据</w:t>
      </w:r>
      <w:r>
        <w:rPr>
          <w:rFonts w:hint="default" w:ascii="Times New Roman" w:hAnsi="Times New Roman" w:cs="Times New Roman"/>
          <w:color w:val="auto"/>
          <w:u w:val="none" w:color="auto"/>
          <w:lang w:eastAsia="zh-CN"/>
        </w:rPr>
        <w:t>。</w:t>
      </w:r>
    </w:p>
    <w:p w14:paraId="717AADC1">
      <w:pPr>
        <w:pStyle w:val="4"/>
        <w:rPr>
          <w:rFonts w:hint="default" w:ascii="Times New Roman" w:hAnsi="Times New Roman" w:cs="Times New Roman"/>
          <w:color w:val="auto"/>
          <w:u w:val="none" w:color="auto"/>
        </w:rPr>
      </w:pPr>
      <w:bookmarkStart w:id="59" w:name="_Toc16381"/>
      <w:bookmarkStart w:id="60" w:name="_Toc5198"/>
      <w:bookmarkStart w:id="61" w:name="_Toc494233704"/>
      <w:r>
        <w:rPr>
          <w:rFonts w:hint="default" w:ascii="Times New Roman" w:hAnsi="Times New Roman" w:cs="Times New Roman"/>
          <w:color w:val="auto"/>
          <w:u w:val="none" w:color="auto"/>
        </w:rPr>
        <w:t>评价原则</w:t>
      </w:r>
      <w:bookmarkEnd w:id="59"/>
      <w:bookmarkEnd w:id="60"/>
      <w:bookmarkEnd w:id="61"/>
    </w:p>
    <w:p w14:paraId="400EDD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突出环境影响评价的源头预防作用，坚持保护和改善环境质量。</w:t>
      </w:r>
    </w:p>
    <w:p w14:paraId="74037F1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依法评价</w:t>
      </w:r>
    </w:p>
    <w:p w14:paraId="1589FC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贯彻执行我国环境保护相关法律法规、标准、政策和规划等，优化项目建设，服务环境管理。</w:t>
      </w:r>
    </w:p>
    <w:p w14:paraId="06A728F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科学评价</w:t>
      </w:r>
    </w:p>
    <w:p w14:paraId="332F98F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规范环境影响评价方法，科学分析项目建设对环境质量的影响。</w:t>
      </w:r>
    </w:p>
    <w:p w14:paraId="4BCB116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突出重点</w:t>
      </w:r>
    </w:p>
    <w:p w14:paraId="72CA78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根据建设项目的工程内容及其特点，明确与环境要素间的作用效应关系，根据规划环境影响评价结论和审查意见，充分利用符合时效的数据资料及成果，对建设项目主要环境影响予以重点分析和评价。</w:t>
      </w:r>
    </w:p>
    <w:p w14:paraId="316560C7">
      <w:pPr>
        <w:pStyle w:val="3"/>
        <w:rPr>
          <w:rFonts w:hint="default" w:ascii="Times New Roman" w:hAnsi="Times New Roman" w:cs="Times New Roman"/>
          <w:color w:val="auto"/>
          <w:u w:val="none" w:color="auto"/>
        </w:rPr>
      </w:pPr>
      <w:bookmarkStart w:id="62" w:name="_Toc494049353"/>
      <w:bookmarkStart w:id="63" w:name="_Toc8993"/>
      <w:bookmarkStart w:id="64" w:name="_Toc8146"/>
      <w:bookmarkStart w:id="65" w:name="_Toc494233705"/>
      <w:bookmarkStart w:id="66" w:name="_Toc27492"/>
      <w:r>
        <w:rPr>
          <w:rFonts w:hint="default" w:ascii="Times New Roman" w:hAnsi="Times New Roman" w:cs="Times New Roman"/>
          <w:color w:val="auto"/>
          <w:u w:val="none" w:color="auto"/>
        </w:rPr>
        <w:t>环境影响因素识别和评价因子</w:t>
      </w:r>
      <w:bookmarkEnd w:id="62"/>
      <w:bookmarkEnd w:id="63"/>
      <w:bookmarkEnd w:id="64"/>
      <w:bookmarkEnd w:id="65"/>
      <w:r>
        <w:rPr>
          <w:rFonts w:hint="default" w:ascii="Times New Roman" w:hAnsi="Times New Roman" w:cs="Times New Roman"/>
          <w:color w:val="auto"/>
          <w:u w:val="none" w:color="auto"/>
        </w:rPr>
        <w:t>筛选</w:t>
      </w:r>
      <w:bookmarkEnd w:id="66"/>
    </w:p>
    <w:p w14:paraId="191E14D5">
      <w:pPr>
        <w:pStyle w:val="4"/>
        <w:rPr>
          <w:rFonts w:hint="default" w:ascii="Times New Roman" w:hAnsi="Times New Roman" w:cs="Times New Roman"/>
          <w:color w:val="auto"/>
          <w:u w:val="none" w:color="auto"/>
        </w:rPr>
      </w:pPr>
      <w:bookmarkStart w:id="67" w:name="_Toc450299756"/>
      <w:r>
        <w:rPr>
          <w:rFonts w:hint="default" w:ascii="Times New Roman" w:hAnsi="Times New Roman" w:cs="Times New Roman"/>
          <w:color w:val="auto"/>
          <w:u w:val="none" w:color="auto"/>
        </w:rPr>
        <w:t>环境影响因素识别</w:t>
      </w:r>
      <w:bookmarkEnd w:id="67"/>
    </w:p>
    <w:p w14:paraId="6F8127F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根据工程特点与周围环境特征，环境影响因素识别</w:t>
      </w:r>
      <w:r>
        <w:rPr>
          <w:rFonts w:hint="eastAsia" w:cs="Times New Roman"/>
          <w:color w:val="auto"/>
          <w:u w:val="none" w:color="auto"/>
          <w:lang w:val="en-US" w:eastAsia="zh-CN"/>
        </w:rPr>
        <w:t>详</w:t>
      </w:r>
      <w:r>
        <w:rPr>
          <w:rFonts w:hint="default" w:ascii="Times New Roman" w:hAnsi="Times New Roman" w:cs="Times New Roman"/>
          <w:color w:val="auto"/>
          <w:u w:val="none" w:color="auto"/>
        </w:rPr>
        <w:t>见表2.3-1和表2.3-2。</w:t>
      </w:r>
    </w:p>
    <w:p w14:paraId="7B7954F5">
      <w:pPr>
        <w:pStyle w:val="118"/>
        <w:bidi w:val="0"/>
        <w:rPr>
          <w:rFonts w:hint="default"/>
        </w:rPr>
      </w:pPr>
      <w:r>
        <w:rPr>
          <w:rFonts w:hint="default"/>
        </w:rPr>
        <w:t>表2.3-1</w:t>
      </w:r>
      <w:r>
        <w:rPr>
          <w:rFonts w:hint="default"/>
          <w:lang w:val="en-US" w:eastAsia="zh-CN"/>
        </w:rPr>
        <w:t xml:space="preserve"> </w:t>
      </w:r>
      <w:r>
        <w:rPr>
          <w:rFonts w:hint="default"/>
        </w:rPr>
        <w:t>环境影响因素程度识别</w:t>
      </w:r>
    </w:p>
    <w:tbl>
      <w:tblPr>
        <w:tblStyle w:val="162"/>
        <w:tblW w:w="8332" w:type="dxa"/>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509"/>
        <w:gridCol w:w="1725"/>
        <w:gridCol w:w="527"/>
        <w:gridCol w:w="527"/>
        <w:gridCol w:w="539"/>
        <w:gridCol w:w="529"/>
        <w:gridCol w:w="532"/>
        <w:gridCol w:w="529"/>
        <w:gridCol w:w="532"/>
        <w:gridCol w:w="602"/>
        <w:gridCol w:w="587"/>
        <w:gridCol w:w="587"/>
        <w:gridCol w:w="607"/>
      </w:tblGrid>
      <w:tr w14:paraId="3EE1CC7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34" w:type="dxa"/>
            <w:gridSpan w:val="2"/>
            <w:vMerge w:val="restart"/>
            <w:tcBorders>
              <w:tl2br w:val="nil"/>
              <w:tr2bl w:val="nil"/>
            </w:tcBorders>
            <w:vAlign w:val="center"/>
          </w:tcPr>
          <w:p w14:paraId="2633182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环境要素</w:t>
            </w:r>
          </w:p>
        </w:tc>
        <w:tc>
          <w:tcPr>
            <w:tcW w:w="1593" w:type="dxa"/>
            <w:gridSpan w:val="3"/>
            <w:tcBorders>
              <w:tl2br w:val="nil"/>
              <w:tr2bl w:val="nil"/>
            </w:tcBorders>
            <w:vAlign w:val="center"/>
          </w:tcPr>
          <w:p w14:paraId="26DAED28">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水文情势</w:t>
            </w:r>
          </w:p>
        </w:tc>
        <w:tc>
          <w:tcPr>
            <w:tcW w:w="1061" w:type="dxa"/>
            <w:gridSpan w:val="2"/>
            <w:tcBorders>
              <w:tl2br w:val="nil"/>
              <w:tr2bl w:val="nil"/>
            </w:tcBorders>
            <w:vAlign w:val="center"/>
          </w:tcPr>
          <w:p w14:paraId="2F9EF85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地表水</w:t>
            </w:r>
          </w:p>
        </w:tc>
        <w:tc>
          <w:tcPr>
            <w:tcW w:w="1061" w:type="dxa"/>
            <w:gridSpan w:val="2"/>
            <w:tcBorders>
              <w:tl2br w:val="nil"/>
              <w:tr2bl w:val="nil"/>
            </w:tcBorders>
            <w:vAlign w:val="center"/>
          </w:tcPr>
          <w:p w14:paraId="0AC6D30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地下水</w:t>
            </w:r>
          </w:p>
        </w:tc>
        <w:tc>
          <w:tcPr>
            <w:tcW w:w="602" w:type="dxa"/>
            <w:vMerge w:val="restart"/>
            <w:tcBorders>
              <w:tl2br w:val="nil"/>
              <w:tr2bl w:val="nil"/>
            </w:tcBorders>
            <w:vAlign w:val="center"/>
          </w:tcPr>
          <w:p w14:paraId="26765F6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声环境</w:t>
            </w:r>
          </w:p>
        </w:tc>
        <w:tc>
          <w:tcPr>
            <w:tcW w:w="587" w:type="dxa"/>
            <w:vMerge w:val="restart"/>
            <w:tcBorders>
              <w:tl2br w:val="nil"/>
              <w:tr2bl w:val="nil"/>
            </w:tcBorders>
            <w:vAlign w:val="center"/>
          </w:tcPr>
          <w:p w14:paraId="21B496E4">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大气环境</w:t>
            </w:r>
          </w:p>
        </w:tc>
        <w:tc>
          <w:tcPr>
            <w:tcW w:w="587" w:type="dxa"/>
            <w:vMerge w:val="restart"/>
            <w:tcBorders>
              <w:tl2br w:val="nil"/>
              <w:tr2bl w:val="nil"/>
            </w:tcBorders>
            <w:vAlign w:val="center"/>
          </w:tcPr>
          <w:p w14:paraId="674C758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固体废物</w:t>
            </w:r>
          </w:p>
        </w:tc>
        <w:tc>
          <w:tcPr>
            <w:tcW w:w="607" w:type="dxa"/>
            <w:vMerge w:val="restart"/>
            <w:tcBorders>
              <w:tl2br w:val="nil"/>
              <w:tr2bl w:val="nil"/>
            </w:tcBorders>
            <w:vAlign w:val="center"/>
          </w:tcPr>
          <w:p w14:paraId="7D8D411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土壤环境</w:t>
            </w:r>
          </w:p>
        </w:tc>
      </w:tr>
      <w:tr w14:paraId="4ED2151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34" w:type="dxa"/>
            <w:gridSpan w:val="2"/>
            <w:vMerge w:val="continue"/>
            <w:tcBorders>
              <w:tl2br w:val="nil"/>
              <w:tr2bl w:val="nil"/>
            </w:tcBorders>
            <w:vAlign w:val="center"/>
          </w:tcPr>
          <w:p w14:paraId="6214C9F6">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45B9B10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流量</w:t>
            </w:r>
          </w:p>
        </w:tc>
        <w:tc>
          <w:tcPr>
            <w:tcW w:w="527" w:type="dxa"/>
            <w:tcBorders>
              <w:tl2br w:val="nil"/>
              <w:tr2bl w:val="nil"/>
            </w:tcBorders>
            <w:vAlign w:val="center"/>
          </w:tcPr>
          <w:p w14:paraId="199E4C5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泥沙</w:t>
            </w:r>
          </w:p>
        </w:tc>
        <w:tc>
          <w:tcPr>
            <w:tcW w:w="539" w:type="dxa"/>
            <w:tcBorders>
              <w:tl2br w:val="nil"/>
              <w:tr2bl w:val="nil"/>
            </w:tcBorders>
            <w:vAlign w:val="center"/>
          </w:tcPr>
          <w:p w14:paraId="6FA8FB63">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水位</w:t>
            </w:r>
          </w:p>
        </w:tc>
        <w:tc>
          <w:tcPr>
            <w:tcW w:w="529" w:type="dxa"/>
            <w:tcBorders>
              <w:tl2br w:val="nil"/>
              <w:tr2bl w:val="nil"/>
            </w:tcBorders>
            <w:vAlign w:val="center"/>
          </w:tcPr>
          <w:p w14:paraId="0E974D4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水温</w:t>
            </w:r>
          </w:p>
        </w:tc>
        <w:tc>
          <w:tcPr>
            <w:tcW w:w="532" w:type="dxa"/>
            <w:tcBorders>
              <w:tl2br w:val="nil"/>
              <w:tr2bl w:val="nil"/>
            </w:tcBorders>
            <w:vAlign w:val="center"/>
          </w:tcPr>
          <w:p w14:paraId="68CE3B72">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水质</w:t>
            </w:r>
          </w:p>
        </w:tc>
        <w:tc>
          <w:tcPr>
            <w:tcW w:w="529" w:type="dxa"/>
            <w:tcBorders>
              <w:tl2br w:val="nil"/>
              <w:tr2bl w:val="nil"/>
            </w:tcBorders>
            <w:vAlign w:val="center"/>
          </w:tcPr>
          <w:p w14:paraId="1203C1A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水质</w:t>
            </w:r>
          </w:p>
        </w:tc>
        <w:tc>
          <w:tcPr>
            <w:tcW w:w="532" w:type="dxa"/>
            <w:tcBorders>
              <w:tl2br w:val="nil"/>
              <w:tr2bl w:val="nil"/>
            </w:tcBorders>
            <w:vAlign w:val="center"/>
          </w:tcPr>
          <w:p w14:paraId="2C3E2E6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水位</w:t>
            </w:r>
          </w:p>
        </w:tc>
        <w:tc>
          <w:tcPr>
            <w:tcW w:w="602" w:type="dxa"/>
            <w:vMerge w:val="continue"/>
            <w:tcBorders>
              <w:tl2br w:val="nil"/>
              <w:tr2bl w:val="nil"/>
            </w:tcBorders>
            <w:vAlign w:val="center"/>
          </w:tcPr>
          <w:p w14:paraId="0959ADCC">
            <w:pPr>
              <w:pStyle w:val="54"/>
              <w:jc w:val="center"/>
              <w:rPr>
                <w:rFonts w:hint="default" w:ascii="Times New Roman" w:hAnsi="Times New Roman" w:cs="Times New Roman" w:eastAsiaTheme="minorEastAsia"/>
                <w:color w:val="auto"/>
                <w:u w:val="none" w:color="auto"/>
              </w:rPr>
            </w:pPr>
          </w:p>
        </w:tc>
        <w:tc>
          <w:tcPr>
            <w:tcW w:w="587" w:type="dxa"/>
            <w:vMerge w:val="continue"/>
            <w:tcBorders>
              <w:tl2br w:val="nil"/>
              <w:tr2bl w:val="nil"/>
            </w:tcBorders>
            <w:vAlign w:val="center"/>
          </w:tcPr>
          <w:p w14:paraId="187D5248">
            <w:pPr>
              <w:pStyle w:val="54"/>
              <w:jc w:val="center"/>
              <w:rPr>
                <w:rFonts w:hint="default" w:ascii="Times New Roman" w:hAnsi="Times New Roman" w:cs="Times New Roman" w:eastAsiaTheme="minorEastAsia"/>
                <w:color w:val="auto"/>
                <w:u w:val="none" w:color="auto"/>
              </w:rPr>
            </w:pPr>
          </w:p>
        </w:tc>
        <w:tc>
          <w:tcPr>
            <w:tcW w:w="587" w:type="dxa"/>
            <w:vMerge w:val="continue"/>
            <w:tcBorders>
              <w:tl2br w:val="nil"/>
              <w:tr2bl w:val="nil"/>
            </w:tcBorders>
            <w:vAlign w:val="center"/>
          </w:tcPr>
          <w:p w14:paraId="58EF6FDE">
            <w:pPr>
              <w:pStyle w:val="54"/>
              <w:jc w:val="center"/>
              <w:rPr>
                <w:rFonts w:hint="default" w:ascii="Times New Roman" w:hAnsi="Times New Roman" w:cs="Times New Roman" w:eastAsiaTheme="minorEastAsia"/>
                <w:color w:val="auto"/>
                <w:u w:val="none" w:color="auto"/>
              </w:rPr>
            </w:pPr>
          </w:p>
        </w:tc>
        <w:tc>
          <w:tcPr>
            <w:tcW w:w="607" w:type="dxa"/>
            <w:vMerge w:val="continue"/>
            <w:tcBorders>
              <w:tl2br w:val="nil"/>
              <w:tr2bl w:val="nil"/>
            </w:tcBorders>
            <w:vAlign w:val="center"/>
          </w:tcPr>
          <w:p w14:paraId="49F1B0B9">
            <w:pPr>
              <w:pStyle w:val="54"/>
              <w:jc w:val="center"/>
              <w:rPr>
                <w:rFonts w:hint="default" w:ascii="Times New Roman" w:hAnsi="Times New Roman" w:cs="Times New Roman" w:eastAsiaTheme="minorEastAsia"/>
                <w:color w:val="auto"/>
                <w:u w:val="none" w:color="auto"/>
              </w:rPr>
            </w:pPr>
          </w:p>
        </w:tc>
      </w:tr>
      <w:tr w14:paraId="2087C2C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restart"/>
            <w:tcBorders>
              <w:tl2br w:val="nil"/>
              <w:tr2bl w:val="nil"/>
            </w:tcBorders>
            <w:vAlign w:val="center"/>
          </w:tcPr>
          <w:p w14:paraId="09F56A0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施工期</w:t>
            </w:r>
          </w:p>
        </w:tc>
        <w:tc>
          <w:tcPr>
            <w:tcW w:w="1725" w:type="dxa"/>
            <w:tcBorders>
              <w:tl2br w:val="nil"/>
              <w:tr2bl w:val="nil"/>
            </w:tcBorders>
            <w:vAlign w:val="center"/>
          </w:tcPr>
          <w:p w14:paraId="13DF66F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大坝加固、溢洪道加固施工</w:t>
            </w:r>
          </w:p>
        </w:tc>
        <w:tc>
          <w:tcPr>
            <w:tcW w:w="527" w:type="dxa"/>
            <w:tcBorders>
              <w:tl2br w:val="nil"/>
              <w:tr2bl w:val="nil"/>
            </w:tcBorders>
            <w:vAlign w:val="center"/>
          </w:tcPr>
          <w:p w14:paraId="6531B2D3">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4A2B8F72">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02B7251E">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1EEFE6E8">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3A7064A">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54BD90D1">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05FE892C">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7A0A0E5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77815FF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38E8F8B1">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10DF8E8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r>
      <w:tr w14:paraId="24F638C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1EA55491">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6175D846">
            <w:pPr>
              <w:pStyle w:val="54"/>
              <w:jc w:val="center"/>
              <w:rPr>
                <w:rFonts w:hint="default" w:ascii="Times New Roman" w:hAnsi="Times New Roman" w:cs="Times New Roman" w:eastAsiaTheme="minorEastAsia"/>
                <w:color w:val="auto"/>
                <w:u w:val="none" w:color="auto"/>
              </w:rPr>
            </w:pPr>
            <w:r>
              <w:rPr>
                <w:rFonts w:hint="eastAsia" w:cs="Times New Roman" w:eastAsiaTheme="minorEastAsia"/>
                <w:color w:val="auto"/>
                <w:highlight w:val="none"/>
                <w:u w:val="none" w:color="auto"/>
                <w:lang w:val="en-US" w:eastAsia="zh-CN"/>
              </w:rPr>
              <w:t>隧洞</w:t>
            </w:r>
            <w:r>
              <w:rPr>
                <w:rFonts w:hint="default" w:ascii="Times New Roman" w:hAnsi="Times New Roman" w:cs="Times New Roman" w:eastAsiaTheme="minorEastAsia"/>
                <w:color w:val="auto"/>
                <w:u w:val="none" w:color="auto"/>
              </w:rPr>
              <w:t>工程施工</w:t>
            </w:r>
          </w:p>
        </w:tc>
        <w:tc>
          <w:tcPr>
            <w:tcW w:w="527" w:type="dxa"/>
            <w:tcBorders>
              <w:tl2br w:val="nil"/>
              <w:tr2bl w:val="nil"/>
            </w:tcBorders>
            <w:vAlign w:val="center"/>
          </w:tcPr>
          <w:p w14:paraId="14F330C1">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AD42740">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17DDCDEF">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169DBEC2">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4831D6C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6548304E">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4DA27BD2">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5AC777F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3E6CEECC">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30FCC0C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18EFBEBE">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r>
      <w:tr w14:paraId="3E1A5AE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66BC42D4">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6D79CC3F">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施工人员活动</w:t>
            </w:r>
          </w:p>
        </w:tc>
        <w:tc>
          <w:tcPr>
            <w:tcW w:w="527" w:type="dxa"/>
            <w:tcBorders>
              <w:tl2br w:val="nil"/>
              <w:tr2bl w:val="nil"/>
            </w:tcBorders>
            <w:vAlign w:val="center"/>
          </w:tcPr>
          <w:p w14:paraId="1A108B20">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3F360DC5">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54A25155">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060361A8">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5D2033A">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52CFBB1A">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0B1F1362">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370E2E6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05413C5D">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2969B03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607" w:type="dxa"/>
            <w:tcBorders>
              <w:tl2br w:val="nil"/>
              <w:tr2bl w:val="nil"/>
            </w:tcBorders>
            <w:vAlign w:val="center"/>
          </w:tcPr>
          <w:p w14:paraId="75D91466">
            <w:pPr>
              <w:pStyle w:val="54"/>
              <w:jc w:val="center"/>
              <w:rPr>
                <w:rFonts w:hint="default" w:ascii="Times New Roman" w:hAnsi="Times New Roman" w:cs="Times New Roman" w:eastAsiaTheme="minorEastAsia"/>
                <w:color w:val="auto"/>
                <w:u w:val="none" w:color="auto"/>
              </w:rPr>
            </w:pPr>
          </w:p>
        </w:tc>
      </w:tr>
      <w:tr w14:paraId="704C3BD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006B34A4">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7D2DB83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施工交通</w:t>
            </w:r>
          </w:p>
        </w:tc>
        <w:tc>
          <w:tcPr>
            <w:tcW w:w="527" w:type="dxa"/>
            <w:tcBorders>
              <w:tl2br w:val="nil"/>
              <w:tr2bl w:val="nil"/>
            </w:tcBorders>
            <w:vAlign w:val="center"/>
          </w:tcPr>
          <w:p w14:paraId="07B5C399">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74CA6F4">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3CC68812">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4B6E6633">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7B06A7F">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525D5D6C">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68335A9">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14888F4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5241429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60137A0B">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288DEBEA">
            <w:pPr>
              <w:pStyle w:val="54"/>
              <w:jc w:val="center"/>
              <w:rPr>
                <w:rFonts w:hint="default" w:ascii="Times New Roman" w:hAnsi="Times New Roman" w:cs="Times New Roman" w:eastAsiaTheme="minorEastAsia"/>
                <w:color w:val="auto"/>
                <w:u w:val="none" w:color="auto"/>
              </w:rPr>
            </w:pPr>
          </w:p>
        </w:tc>
      </w:tr>
      <w:tr w14:paraId="7CF511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7B528377">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34A74F97">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施工机械</w:t>
            </w:r>
          </w:p>
        </w:tc>
        <w:tc>
          <w:tcPr>
            <w:tcW w:w="527" w:type="dxa"/>
            <w:tcBorders>
              <w:tl2br w:val="nil"/>
              <w:tr2bl w:val="nil"/>
            </w:tcBorders>
            <w:vAlign w:val="center"/>
          </w:tcPr>
          <w:p w14:paraId="4276DAB0">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2BAB0A52">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21C4E039">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78B242F7">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3D8A420">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29" w:type="dxa"/>
            <w:tcBorders>
              <w:tl2br w:val="nil"/>
              <w:tr2bl w:val="nil"/>
            </w:tcBorders>
            <w:vAlign w:val="center"/>
          </w:tcPr>
          <w:p w14:paraId="652FA11B">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7632CC98">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7DA07919">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-2S</w:t>
            </w:r>
          </w:p>
        </w:tc>
        <w:tc>
          <w:tcPr>
            <w:tcW w:w="587" w:type="dxa"/>
            <w:tcBorders>
              <w:tl2br w:val="nil"/>
              <w:tr2bl w:val="nil"/>
            </w:tcBorders>
            <w:vAlign w:val="center"/>
          </w:tcPr>
          <w:p w14:paraId="1B67D2E6">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-1S</w:t>
            </w:r>
          </w:p>
        </w:tc>
        <w:tc>
          <w:tcPr>
            <w:tcW w:w="587" w:type="dxa"/>
            <w:tcBorders>
              <w:tl2br w:val="nil"/>
              <w:tr2bl w:val="nil"/>
            </w:tcBorders>
            <w:vAlign w:val="center"/>
          </w:tcPr>
          <w:p w14:paraId="1C9C238B">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6825B1CD">
            <w:pPr>
              <w:pStyle w:val="54"/>
              <w:jc w:val="center"/>
              <w:rPr>
                <w:rFonts w:hint="default" w:ascii="Times New Roman" w:hAnsi="Times New Roman" w:cs="Times New Roman" w:eastAsiaTheme="minorEastAsia"/>
                <w:color w:val="auto"/>
                <w:u w:val="none" w:color="auto"/>
              </w:rPr>
            </w:pPr>
          </w:p>
        </w:tc>
      </w:tr>
      <w:tr w14:paraId="0B31961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9" w:type="dxa"/>
            <w:vMerge w:val="continue"/>
            <w:tcBorders>
              <w:tl2br w:val="nil"/>
              <w:tr2bl w:val="nil"/>
            </w:tcBorders>
            <w:vAlign w:val="center"/>
          </w:tcPr>
          <w:p w14:paraId="4F42031D">
            <w:pPr>
              <w:pStyle w:val="54"/>
              <w:jc w:val="center"/>
              <w:rPr>
                <w:rFonts w:hint="default" w:ascii="Times New Roman" w:hAnsi="Times New Roman" w:cs="Times New Roman" w:eastAsiaTheme="minorEastAsia"/>
                <w:color w:val="auto"/>
                <w:u w:val="none" w:color="auto"/>
              </w:rPr>
            </w:pPr>
          </w:p>
        </w:tc>
        <w:tc>
          <w:tcPr>
            <w:tcW w:w="1725" w:type="dxa"/>
            <w:tcBorders>
              <w:tl2br w:val="nil"/>
              <w:tr2bl w:val="nil"/>
            </w:tcBorders>
            <w:vAlign w:val="center"/>
          </w:tcPr>
          <w:p w14:paraId="07838EA5">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工程占地</w:t>
            </w:r>
          </w:p>
        </w:tc>
        <w:tc>
          <w:tcPr>
            <w:tcW w:w="527" w:type="dxa"/>
            <w:tcBorders>
              <w:tl2br w:val="nil"/>
              <w:tr2bl w:val="nil"/>
            </w:tcBorders>
            <w:vAlign w:val="center"/>
          </w:tcPr>
          <w:p w14:paraId="7EB6C69E">
            <w:pPr>
              <w:pStyle w:val="54"/>
              <w:jc w:val="center"/>
              <w:rPr>
                <w:rFonts w:hint="default" w:ascii="Times New Roman" w:hAnsi="Times New Roman" w:cs="Times New Roman" w:eastAsiaTheme="minorEastAsia"/>
                <w:color w:val="auto"/>
                <w:u w:val="none" w:color="auto"/>
              </w:rPr>
            </w:pPr>
          </w:p>
        </w:tc>
        <w:tc>
          <w:tcPr>
            <w:tcW w:w="527" w:type="dxa"/>
            <w:tcBorders>
              <w:tl2br w:val="nil"/>
              <w:tr2bl w:val="nil"/>
            </w:tcBorders>
            <w:vAlign w:val="center"/>
          </w:tcPr>
          <w:p w14:paraId="008277E0">
            <w:pPr>
              <w:pStyle w:val="54"/>
              <w:jc w:val="center"/>
              <w:rPr>
                <w:rFonts w:hint="default" w:ascii="Times New Roman" w:hAnsi="Times New Roman" w:cs="Times New Roman" w:eastAsiaTheme="minorEastAsia"/>
                <w:color w:val="auto"/>
                <w:u w:val="none" w:color="auto"/>
              </w:rPr>
            </w:pPr>
          </w:p>
        </w:tc>
        <w:tc>
          <w:tcPr>
            <w:tcW w:w="539" w:type="dxa"/>
            <w:tcBorders>
              <w:tl2br w:val="nil"/>
              <w:tr2bl w:val="nil"/>
            </w:tcBorders>
            <w:vAlign w:val="center"/>
          </w:tcPr>
          <w:p w14:paraId="2D6F033D">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31307282">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3B565257">
            <w:pPr>
              <w:pStyle w:val="54"/>
              <w:jc w:val="center"/>
              <w:rPr>
                <w:rFonts w:hint="default" w:ascii="Times New Roman" w:hAnsi="Times New Roman" w:cs="Times New Roman" w:eastAsiaTheme="minorEastAsia"/>
                <w:color w:val="auto"/>
                <w:u w:val="none" w:color="auto"/>
              </w:rPr>
            </w:pPr>
          </w:p>
        </w:tc>
        <w:tc>
          <w:tcPr>
            <w:tcW w:w="529" w:type="dxa"/>
            <w:tcBorders>
              <w:tl2br w:val="nil"/>
              <w:tr2bl w:val="nil"/>
            </w:tcBorders>
            <w:vAlign w:val="center"/>
          </w:tcPr>
          <w:p w14:paraId="21FB8A9D">
            <w:pPr>
              <w:pStyle w:val="54"/>
              <w:jc w:val="center"/>
              <w:rPr>
                <w:rFonts w:hint="default" w:ascii="Times New Roman" w:hAnsi="Times New Roman" w:cs="Times New Roman" w:eastAsiaTheme="minorEastAsia"/>
                <w:color w:val="auto"/>
                <w:u w:val="none" w:color="auto"/>
              </w:rPr>
            </w:pPr>
          </w:p>
        </w:tc>
        <w:tc>
          <w:tcPr>
            <w:tcW w:w="532" w:type="dxa"/>
            <w:tcBorders>
              <w:tl2br w:val="nil"/>
              <w:tr2bl w:val="nil"/>
            </w:tcBorders>
            <w:vAlign w:val="center"/>
          </w:tcPr>
          <w:p w14:paraId="24C7EDCC">
            <w:pPr>
              <w:pStyle w:val="54"/>
              <w:jc w:val="center"/>
              <w:rPr>
                <w:rFonts w:hint="default" w:ascii="Times New Roman" w:hAnsi="Times New Roman" w:cs="Times New Roman" w:eastAsiaTheme="minorEastAsia"/>
                <w:color w:val="auto"/>
                <w:u w:val="none" w:color="auto"/>
              </w:rPr>
            </w:pPr>
          </w:p>
        </w:tc>
        <w:tc>
          <w:tcPr>
            <w:tcW w:w="602" w:type="dxa"/>
            <w:tcBorders>
              <w:tl2br w:val="nil"/>
              <w:tr2bl w:val="nil"/>
            </w:tcBorders>
            <w:vAlign w:val="center"/>
          </w:tcPr>
          <w:p w14:paraId="62375B7F">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04AF7803">
            <w:pPr>
              <w:pStyle w:val="54"/>
              <w:jc w:val="center"/>
              <w:rPr>
                <w:rFonts w:hint="default" w:ascii="Times New Roman" w:hAnsi="Times New Roman" w:cs="Times New Roman" w:eastAsiaTheme="minorEastAsia"/>
                <w:color w:val="auto"/>
                <w:u w:val="none" w:color="auto"/>
              </w:rPr>
            </w:pPr>
          </w:p>
        </w:tc>
        <w:tc>
          <w:tcPr>
            <w:tcW w:w="587" w:type="dxa"/>
            <w:tcBorders>
              <w:tl2br w:val="nil"/>
              <w:tr2bl w:val="nil"/>
            </w:tcBorders>
            <w:vAlign w:val="center"/>
          </w:tcPr>
          <w:p w14:paraId="3433EF19">
            <w:pPr>
              <w:pStyle w:val="54"/>
              <w:jc w:val="center"/>
              <w:rPr>
                <w:rFonts w:hint="default" w:ascii="Times New Roman" w:hAnsi="Times New Roman" w:cs="Times New Roman" w:eastAsiaTheme="minorEastAsia"/>
                <w:color w:val="auto"/>
                <w:u w:val="none" w:color="auto"/>
              </w:rPr>
            </w:pPr>
          </w:p>
        </w:tc>
        <w:tc>
          <w:tcPr>
            <w:tcW w:w="607" w:type="dxa"/>
            <w:tcBorders>
              <w:tl2br w:val="nil"/>
              <w:tr2bl w:val="nil"/>
            </w:tcBorders>
            <w:vAlign w:val="center"/>
          </w:tcPr>
          <w:p w14:paraId="03865535">
            <w:pPr>
              <w:pStyle w:val="54"/>
              <w:jc w:val="center"/>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-2L</w:t>
            </w:r>
          </w:p>
        </w:tc>
      </w:tr>
    </w:tbl>
    <w:p w14:paraId="51122BC7">
      <w:pPr>
        <w:bidi w:val="0"/>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表中“</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”表示不利影响，“S”表示短期影响，“L”表示长期影响，空格表示无影响，“1”表示轻度影响，“2”表示中等影响，“3”表示较重影响。</w:t>
      </w:r>
    </w:p>
    <w:p w14:paraId="030D201E">
      <w:pPr>
        <w:pStyle w:val="118"/>
        <w:bidi w:val="0"/>
        <w:rPr>
          <w:rFonts w:hint="default"/>
        </w:rPr>
      </w:pPr>
      <w:r>
        <w:rPr>
          <w:rFonts w:hint="default"/>
        </w:rPr>
        <w:t>表2.3-2</w:t>
      </w:r>
      <w:r>
        <w:rPr>
          <w:rFonts w:hint="eastAsia"/>
          <w:lang w:val="en-US" w:eastAsia="zh-CN"/>
        </w:rPr>
        <w:t xml:space="preserve">  </w:t>
      </w:r>
      <w:r>
        <w:rPr>
          <w:rFonts w:hint="default"/>
        </w:rPr>
        <w:t>生态影响评价因子筛选表</w:t>
      </w:r>
    </w:p>
    <w:tbl>
      <w:tblPr>
        <w:tblStyle w:val="162"/>
        <w:tblW w:w="831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9"/>
        <w:gridCol w:w="933"/>
        <w:gridCol w:w="1757"/>
        <w:gridCol w:w="3115"/>
        <w:gridCol w:w="898"/>
        <w:gridCol w:w="792"/>
      </w:tblGrid>
      <w:tr w14:paraId="28AD73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819" w:type="dxa"/>
            <w:tcBorders>
              <w:tl2br w:val="nil"/>
              <w:tr2bl w:val="nil"/>
            </w:tcBorders>
            <w:vAlign w:val="center"/>
          </w:tcPr>
          <w:p w14:paraId="7E42648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阶段</w:t>
            </w:r>
          </w:p>
        </w:tc>
        <w:tc>
          <w:tcPr>
            <w:tcW w:w="933" w:type="dxa"/>
            <w:tcBorders>
              <w:tl2br w:val="nil"/>
              <w:tr2bl w:val="nil"/>
            </w:tcBorders>
            <w:vAlign w:val="center"/>
          </w:tcPr>
          <w:p w14:paraId="4D30FE8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受影响对象</w:t>
            </w:r>
          </w:p>
        </w:tc>
        <w:tc>
          <w:tcPr>
            <w:tcW w:w="1757" w:type="dxa"/>
            <w:tcBorders>
              <w:tl2br w:val="nil"/>
              <w:tr2bl w:val="nil"/>
            </w:tcBorders>
            <w:vAlign w:val="center"/>
          </w:tcPr>
          <w:p w14:paraId="43B7D12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评价因子</w:t>
            </w:r>
          </w:p>
        </w:tc>
        <w:tc>
          <w:tcPr>
            <w:tcW w:w="3115" w:type="dxa"/>
            <w:tcBorders>
              <w:tl2br w:val="nil"/>
              <w:tr2bl w:val="nil"/>
            </w:tcBorders>
            <w:vAlign w:val="center"/>
          </w:tcPr>
          <w:p w14:paraId="4C9E988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工作内容及影响方式</w:t>
            </w:r>
          </w:p>
        </w:tc>
        <w:tc>
          <w:tcPr>
            <w:tcW w:w="898" w:type="dxa"/>
            <w:tcBorders>
              <w:tl2br w:val="nil"/>
              <w:tr2bl w:val="nil"/>
            </w:tcBorders>
            <w:vAlign w:val="center"/>
          </w:tcPr>
          <w:p w14:paraId="4B59B47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影响性质</w:t>
            </w:r>
          </w:p>
        </w:tc>
        <w:tc>
          <w:tcPr>
            <w:tcW w:w="792" w:type="dxa"/>
            <w:tcBorders>
              <w:tl2br w:val="nil"/>
              <w:tr2bl w:val="nil"/>
            </w:tcBorders>
            <w:vAlign w:val="center"/>
          </w:tcPr>
          <w:p w14:paraId="6C4DA7C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影响程度</w:t>
            </w:r>
          </w:p>
        </w:tc>
      </w:tr>
      <w:tr w14:paraId="7FC51B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819" w:type="dxa"/>
            <w:vMerge w:val="restart"/>
            <w:tcBorders>
              <w:tl2br w:val="nil"/>
              <w:tr2bl w:val="nil"/>
            </w:tcBorders>
            <w:vAlign w:val="center"/>
          </w:tcPr>
          <w:p w14:paraId="15CFF194">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施工期</w:t>
            </w:r>
          </w:p>
        </w:tc>
        <w:tc>
          <w:tcPr>
            <w:tcW w:w="933" w:type="dxa"/>
            <w:tcBorders>
              <w:tl2br w:val="nil"/>
              <w:tr2bl w:val="nil"/>
            </w:tcBorders>
            <w:vAlign w:val="center"/>
          </w:tcPr>
          <w:p w14:paraId="31D640F2">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w:t>
            </w:r>
          </w:p>
        </w:tc>
        <w:tc>
          <w:tcPr>
            <w:tcW w:w="1757" w:type="dxa"/>
            <w:tcBorders>
              <w:tl2br w:val="nil"/>
              <w:tr2bl w:val="nil"/>
            </w:tcBorders>
            <w:vAlign w:val="center"/>
          </w:tcPr>
          <w:p w14:paraId="2ED9AF4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分布范围、种群数</w:t>
            </w:r>
          </w:p>
          <w:p w14:paraId="1BD62438">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量、种群结构、行</w:t>
            </w:r>
          </w:p>
          <w:p w14:paraId="4D2A1D43">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为等</w:t>
            </w:r>
          </w:p>
        </w:tc>
        <w:tc>
          <w:tcPr>
            <w:tcW w:w="3115" w:type="dxa"/>
            <w:tcBorders>
              <w:tl2br w:val="nil"/>
              <w:tr2bl w:val="nil"/>
            </w:tcBorders>
            <w:vAlign w:val="center"/>
          </w:tcPr>
          <w:p w14:paraId="766351B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进口段土方开挖对施工范围内植被造成影响，对物种分布范围、种群数量、种群结构、行为影响很小。</w:t>
            </w:r>
          </w:p>
        </w:tc>
        <w:tc>
          <w:tcPr>
            <w:tcW w:w="898" w:type="dxa"/>
            <w:tcBorders>
              <w:tl2br w:val="nil"/>
              <w:tr2bl w:val="nil"/>
            </w:tcBorders>
            <w:vAlign w:val="center"/>
          </w:tcPr>
          <w:p w14:paraId="39EE28F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7A81AC6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50D5E1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trPr>
        <w:tc>
          <w:tcPr>
            <w:tcW w:w="819" w:type="dxa"/>
            <w:vMerge w:val="continue"/>
            <w:tcBorders>
              <w:tl2br w:val="nil"/>
              <w:tr2bl w:val="nil"/>
            </w:tcBorders>
            <w:vAlign w:val="center"/>
          </w:tcPr>
          <w:p w14:paraId="186F58B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09E570F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生物群落</w:t>
            </w:r>
          </w:p>
        </w:tc>
        <w:tc>
          <w:tcPr>
            <w:tcW w:w="1757" w:type="dxa"/>
            <w:tcBorders>
              <w:tl2br w:val="nil"/>
              <w:tr2bl w:val="nil"/>
            </w:tcBorders>
            <w:vAlign w:val="center"/>
          </w:tcPr>
          <w:p w14:paraId="0B070B4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物种组成、群落结构等</w:t>
            </w:r>
          </w:p>
        </w:tc>
        <w:tc>
          <w:tcPr>
            <w:tcW w:w="3115" w:type="dxa"/>
            <w:tcBorders>
              <w:tl2br w:val="nil"/>
              <w:tr2bl w:val="nil"/>
            </w:tcBorders>
            <w:vAlign w:val="center"/>
          </w:tcPr>
          <w:p w14:paraId="351539C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进口段土方施工范围内植被造成影响，施工范围很小，对隧洞沿线物种组成、群落结构等基本无影响。</w:t>
            </w:r>
          </w:p>
        </w:tc>
        <w:tc>
          <w:tcPr>
            <w:tcW w:w="898" w:type="dxa"/>
            <w:tcBorders>
              <w:tl2br w:val="nil"/>
              <w:tr2bl w:val="nil"/>
            </w:tcBorders>
            <w:vAlign w:val="center"/>
          </w:tcPr>
          <w:p w14:paraId="756E5B4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2457B2C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弱</w:t>
            </w:r>
          </w:p>
        </w:tc>
      </w:tr>
      <w:tr w14:paraId="5B1A22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819" w:type="dxa"/>
            <w:vMerge w:val="continue"/>
            <w:tcBorders>
              <w:tl2br w:val="nil"/>
              <w:tr2bl w:val="nil"/>
            </w:tcBorders>
            <w:vAlign w:val="center"/>
          </w:tcPr>
          <w:p w14:paraId="5A517F1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55FA2703">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生态系统</w:t>
            </w:r>
          </w:p>
        </w:tc>
        <w:tc>
          <w:tcPr>
            <w:tcW w:w="1757" w:type="dxa"/>
            <w:tcBorders>
              <w:tl2br w:val="nil"/>
              <w:tr2bl w:val="nil"/>
            </w:tcBorders>
            <w:vAlign w:val="center"/>
          </w:tcPr>
          <w:p w14:paraId="528F3C6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植被覆盖度、生产</w:t>
            </w:r>
          </w:p>
          <w:p w14:paraId="24AA78A4">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力、生物量、生态</w:t>
            </w:r>
          </w:p>
          <w:p w14:paraId="47A629A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系统功能等</w:t>
            </w:r>
          </w:p>
        </w:tc>
        <w:tc>
          <w:tcPr>
            <w:tcW w:w="3115" w:type="dxa"/>
            <w:tcBorders>
              <w:tl2br w:val="nil"/>
              <w:tr2bl w:val="nil"/>
            </w:tcBorders>
            <w:vAlign w:val="center"/>
          </w:tcPr>
          <w:p w14:paraId="62294C2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进口段土方施工范围内植被造成影响，施工期结束后恢复绿化可恢复。</w:t>
            </w:r>
          </w:p>
        </w:tc>
        <w:tc>
          <w:tcPr>
            <w:tcW w:w="898" w:type="dxa"/>
            <w:tcBorders>
              <w:tl2br w:val="nil"/>
              <w:tr2bl w:val="nil"/>
            </w:tcBorders>
            <w:vAlign w:val="center"/>
          </w:tcPr>
          <w:p w14:paraId="14C17AC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6297A701">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弱</w:t>
            </w:r>
          </w:p>
        </w:tc>
      </w:tr>
      <w:tr w14:paraId="3AA746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trPr>
        <w:tc>
          <w:tcPr>
            <w:tcW w:w="819" w:type="dxa"/>
            <w:vMerge w:val="continue"/>
            <w:tcBorders>
              <w:tl2br w:val="nil"/>
              <w:tr2bl w:val="nil"/>
            </w:tcBorders>
            <w:vAlign w:val="center"/>
          </w:tcPr>
          <w:p w14:paraId="2B8E8168">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599ABF8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生物多样性</w:t>
            </w:r>
          </w:p>
        </w:tc>
        <w:tc>
          <w:tcPr>
            <w:tcW w:w="1757" w:type="dxa"/>
            <w:tcBorders>
              <w:tl2br w:val="nil"/>
              <w:tr2bl w:val="nil"/>
            </w:tcBorders>
            <w:vAlign w:val="center"/>
          </w:tcPr>
          <w:p w14:paraId="7474681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物种丰富度、均匀度、优势度</w:t>
            </w:r>
          </w:p>
        </w:tc>
        <w:tc>
          <w:tcPr>
            <w:tcW w:w="3115" w:type="dxa"/>
            <w:tcBorders>
              <w:tl2br w:val="nil"/>
              <w:tr2bl w:val="nil"/>
            </w:tcBorders>
            <w:vAlign w:val="center"/>
          </w:tcPr>
          <w:p w14:paraId="230D2E6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进口段土方施工范围内植被造成影响，施工范围很小，对生物多样性基本无影响。</w:t>
            </w:r>
          </w:p>
        </w:tc>
        <w:tc>
          <w:tcPr>
            <w:tcW w:w="898" w:type="dxa"/>
            <w:tcBorders>
              <w:tl2br w:val="nil"/>
              <w:tr2bl w:val="nil"/>
            </w:tcBorders>
            <w:vAlign w:val="center"/>
          </w:tcPr>
          <w:p w14:paraId="6C4C749F">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5C52FAC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45BA23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819" w:type="dxa"/>
            <w:vMerge w:val="continue"/>
            <w:tcBorders>
              <w:tl2br w:val="nil"/>
              <w:tr2bl w:val="nil"/>
            </w:tcBorders>
            <w:vAlign w:val="center"/>
          </w:tcPr>
          <w:p w14:paraId="3189F50D">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6A6F5BE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生态敏感区</w:t>
            </w:r>
          </w:p>
        </w:tc>
        <w:tc>
          <w:tcPr>
            <w:tcW w:w="1757" w:type="dxa"/>
            <w:tcBorders>
              <w:tl2br w:val="nil"/>
              <w:tr2bl w:val="nil"/>
            </w:tcBorders>
            <w:vAlign w:val="center"/>
          </w:tcPr>
          <w:p w14:paraId="3E10E05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主要保护对象、生态功能等</w:t>
            </w:r>
          </w:p>
        </w:tc>
        <w:tc>
          <w:tcPr>
            <w:tcW w:w="3115" w:type="dxa"/>
            <w:tcBorders>
              <w:tl2br w:val="nil"/>
              <w:tr2bl w:val="nil"/>
            </w:tcBorders>
            <w:vAlign w:val="center"/>
          </w:tcPr>
          <w:p w14:paraId="490F76D6">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进口段土方施工范围内植被造成影响，施工范围很小，对水库饮用水源保护区基本无影响</w:t>
            </w:r>
          </w:p>
        </w:tc>
        <w:tc>
          <w:tcPr>
            <w:tcW w:w="898" w:type="dxa"/>
            <w:tcBorders>
              <w:tl2br w:val="nil"/>
              <w:tr2bl w:val="nil"/>
            </w:tcBorders>
            <w:vAlign w:val="center"/>
          </w:tcPr>
          <w:p w14:paraId="21E82A9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701D220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64F64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819" w:type="dxa"/>
            <w:vMerge w:val="continue"/>
            <w:tcBorders>
              <w:tl2br w:val="nil"/>
              <w:tr2bl w:val="nil"/>
            </w:tcBorders>
            <w:vAlign w:val="center"/>
          </w:tcPr>
          <w:p w14:paraId="3B89958A">
            <w:pPr>
              <w:pStyle w:val="54"/>
              <w:jc w:val="center"/>
              <w:rPr>
                <w:rFonts w:hint="default" w:ascii="Times New Roman" w:hAnsi="Times New Roman" w:eastAsia="宋体" w:cs="Times New Roman"/>
                <w:color w:val="auto"/>
                <w:sz w:val="21"/>
                <w:szCs w:val="21"/>
                <w:u w:val="none" w:color="auto"/>
              </w:rPr>
            </w:pPr>
          </w:p>
        </w:tc>
        <w:tc>
          <w:tcPr>
            <w:tcW w:w="933" w:type="dxa"/>
            <w:tcBorders>
              <w:tl2br w:val="nil"/>
              <w:tr2bl w:val="nil"/>
            </w:tcBorders>
            <w:vAlign w:val="center"/>
          </w:tcPr>
          <w:p w14:paraId="01A2A43B">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自然景观</w:t>
            </w:r>
          </w:p>
        </w:tc>
        <w:tc>
          <w:tcPr>
            <w:tcW w:w="1757" w:type="dxa"/>
            <w:tcBorders>
              <w:tl2br w:val="nil"/>
              <w:tr2bl w:val="nil"/>
            </w:tcBorders>
            <w:vAlign w:val="center"/>
          </w:tcPr>
          <w:p w14:paraId="3D68A12E">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景观多样性、完整性</w:t>
            </w:r>
          </w:p>
        </w:tc>
        <w:tc>
          <w:tcPr>
            <w:tcW w:w="3115" w:type="dxa"/>
            <w:tcBorders>
              <w:tl2br w:val="nil"/>
              <w:tr2bl w:val="nil"/>
            </w:tcBorders>
            <w:vAlign w:val="center"/>
          </w:tcPr>
          <w:p w14:paraId="14E22A12">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临时占地、</w:t>
            </w:r>
            <w:r>
              <w:rPr>
                <w:rFonts w:hint="eastAsia" w:cs="Times New Roman"/>
                <w:color w:val="auto"/>
                <w:u w:val="none" w:color="auto"/>
                <w:lang w:val="en-US" w:eastAsia="zh-CN"/>
              </w:rPr>
              <w:t>隧洞</w:t>
            </w:r>
            <w:r>
              <w:rPr>
                <w:rFonts w:hint="default" w:ascii="Times New Roman" w:hAnsi="Times New Roman" w:eastAsia="宋体" w:cs="Times New Roman"/>
                <w:color w:val="auto"/>
                <w:sz w:val="21"/>
                <w:szCs w:val="21"/>
                <w:u w:val="none" w:color="auto"/>
              </w:rPr>
              <w:t>进口段土方施工范围内植被造成影响，施工范围很小，</w:t>
            </w:r>
            <w:r>
              <w:rPr>
                <w:rFonts w:hint="default" w:ascii="Times New Roman" w:hAnsi="Times New Roman" w:cs="Times New Roman"/>
                <w:color w:val="auto"/>
                <w:sz w:val="21"/>
                <w:szCs w:val="21"/>
                <w:u w:val="none" w:color="auto"/>
                <w:lang w:val="en-US" w:eastAsia="zh-CN"/>
              </w:rPr>
              <w:t>区域景观</w:t>
            </w:r>
            <w:r>
              <w:rPr>
                <w:rFonts w:hint="default" w:ascii="Times New Roman" w:hAnsi="Times New Roman" w:eastAsia="宋体" w:cs="Times New Roman"/>
                <w:color w:val="auto"/>
                <w:sz w:val="21"/>
                <w:szCs w:val="21"/>
                <w:u w:val="none" w:color="auto"/>
              </w:rPr>
              <w:t>未受到破坏</w:t>
            </w:r>
          </w:p>
        </w:tc>
        <w:tc>
          <w:tcPr>
            <w:tcW w:w="898" w:type="dxa"/>
            <w:tcBorders>
              <w:tl2br w:val="nil"/>
              <w:tr2bl w:val="nil"/>
            </w:tcBorders>
            <w:vAlign w:val="center"/>
          </w:tcPr>
          <w:p w14:paraId="6215EBAA">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短期、可逆</w:t>
            </w:r>
          </w:p>
        </w:tc>
        <w:tc>
          <w:tcPr>
            <w:tcW w:w="792" w:type="dxa"/>
            <w:tcBorders>
              <w:tl2br w:val="nil"/>
              <w:tr2bl w:val="nil"/>
            </w:tcBorders>
            <w:vAlign w:val="center"/>
          </w:tcPr>
          <w:p w14:paraId="02479A05">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r w14:paraId="048540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trPr>
        <w:tc>
          <w:tcPr>
            <w:tcW w:w="819" w:type="dxa"/>
            <w:tcBorders>
              <w:tl2br w:val="nil"/>
              <w:tr2bl w:val="nil"/>
            </w:tcBorders>
            <w:vAlign w:val="center"/>
          </w:tcPr>
          <w:p w14:paraId="4B86F7AD">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营运期</w:t>
            </w:r>
          </w:p>
        </w:tc>
        <w:tc>
          <w:tcPr>
            <w:tcW w:w="933" w:type="dxa"/>
            <w:tcBorders>
              <w:tl2br w:val="nil"/>
              <w:tr2bl w:val="nil"/>
            </w:tcBorders>
            <w:vAlign w:val="center"/>
          </w:tcPr>
          <w:p w14:paraId="0291CDA9">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自然景观</w:t>
            </w:r>
          </w:p>
        </w:tc>
        <w:tc>
          <w:tcPr>
            <w:tcW w:w="1757" w:type="dxa"/>
            <w:tcBorders>
              <w:tl2br w:val="nil"/>
              <w:tr2bl w:val="nil"/>
            </w:tcBorders>
            <w:vAlign w:val="center"/>
          </w:tcPr>
          <w:p w14:paraId="5B0CD7C0">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景观多样性、完整性</w:t>
            </w:r>
          </w:p>
        </w:tc>
        <w:tc>
          <w:tcPr>
            <w:tcW w:w="3115" w:type="dxa"/>
            <w:tcBorders>
              <w:tl2br w:val="nil"/>
              <w:tr2bl w:val="nil"/>
            </w:tcBorders>
            <w:vAlign w:val="center"/>
          </w:tcPr>
          <w:p w14:paraId="583F2701">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施工结束后即恢复植被，营运期对景观多样性、完整性无影响。</w:t>
            </w:r>
          </w:p>
        </w:tc>
        <w:tc>
          <w:tcPr>
            <w:tcW w:w="898" w:type="dxa"/>
            <w:tcBorders>
              <w:tl2br w:val="nil"/>
              <w:tr2bl w:val="nil"/>
            </w:tcBorders>
            <w:vAlign w:val="center"/>
          </w:tcPr>
          <w:p w14:paraId="4139BC1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c>
          <w:tcPr>
            <w:tcW w:w="792" w:type="dxa"/>
            <w:tcBorders>
              <w:tl2br w:val="nil"/>
              <w:tr2bl w:val="nil"/>
            </w:tcBorders>
            <w:vAlign w:val="center"/>
          </w:tcPr>
          <w:p w14:paraId="41252DEC">
            <w:pPr>
              <w:pStyle w:val="54"/>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w:t>
            </w:r>
          </w:p>
        </w:tc>
      </w:tr>
    </w:tbl>
    <w:p w14:paraId="1731D3C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由上表可知，项目施工期对区域空气环境、水环境和声环境质量、地表植被产生短期影响。项目营运期对环境</w:t>
      </w:r>
      <w:r>
        <w:rPr>
          <w:rFonts w:hint="default" w:ascii="Times New Roman" w:hAnsi="Times New Roman" w:cs="Times New Roman"/>
          <w:color w:val="auto"/>
          <w:u w:val="none" w:color="auto"/>
          <w:lang w:val="en-US" w:eastAsia="zh-CN"/>
        </w:rPr>
        <w:t>无负面影响</w:t>
      </w:r>
      <w:r>
        <w:rPr>
          <w:rFonts w:hint="default" w:ascii="Times New Roman" w:hAnsi="Times New Roman" w:cs="Times New Roman"/>
          <w:color w:val="auto"/>
          <w:u w:val="none" w:color="auto"/>
        </w:rPr>
        <w:t>。</w:t>
      </w:r>
    </w:p>
    <w:p w14:paraId="67253DFD">
      <w:pPr>
        <w:pStyle w:val="4"/>
        <w:rPr>
          <w:rFonts w:hint="default" w:ascii="Times New Roman" w:hAnsi="Times New Roman" w:cs="Times New Roman"/>
          <w:color w:val="auto"/>
          <w:u w:val="none" w:color="auto"/>
        </w:rPr>
      </w:pPr>
      <w:bookmarkStart w:id="68" w:name="_Toc450299757"/>
      <w:r>
        <w:rPr>
          <w:rFonts w:hint="default" w:ascii="Times New Roman" w:hAnsi="Times New Roman" w:cs="Times New Roman"/>
          <w:color w:val="auto"/>
          <w:u w:val="none" w:color="auto"/>
        </w:rPr>
        <w:t>评价因子筛选</w:t>
      </w:r>
      <w:bookmarkEnd w:id="68"/>
    </w:p>
    <w:p w14:paraId="02DBF3D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根据工程性质、污染物排放特点和环境特征，确定本项目评价因子，评价因子见表2.3-3。</w:t>
      </w:r>
    </w:p>
    <w:p w14:paraId="2EC58CD8">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表2.3-3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环境评价因子筛选</w:t>
      </w:r>
    </w:p>
    <w:tbl>
      <w:tblPr>
        <w:tblStyle w:val="37"/>
        <w:tblW w:w="836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57"/>
        <w:gridCol w:w="4414"/>
        <w:gridCol w:w="2493"/>
      </w:tblGrid>
      <w:tr w14:paraId="3DC860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vMerge w:val="restart"/>
            <w:tcMar>
              <w:left w:w="28" w:type="dxa"/>
              <w:right w:w="28" w:type="dxa"/>
            </w:tcMar>
            <w:vAlign w:val="center"/>
          </w:tcPr>
          <w:p w14:paraId="14B09AF5">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环境要素</w:t>
            </w:r>
          </w:p>
        </w:tc>
        <w:tc>
          <w:tcPr>
            <w:tcW w:w="6907" w:type="dxa"/>
            <w:gridSpan w:val="2"/>
            <w:tcMar>
              <w:left w:w="28" w:type="dxa"/>
              <w:right w:w="28" w:type="dxa"/>
            </w:tcMar>
            <w:vAlign w:val="center"/>
          </w:tcPr>
          <w:p w14:paraId="4623FE99">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评价因子</w:t>
            </w:r>
          </w:p>
        </w:tc>
      </w:tr>
      <w:tr w14:paraId="0EEE30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vMerge w:val="continue"/>
            <w:tcMar>
              <w:left w:w="28" w:type="dxa"/>
              <w:right w:w="28" w:type="dxa"/>
            </w:tcMar>
            <w:vAlign w:val="center"/>
          </w:tcPr>
          <w:p w14:paraId="0B97E6E5">
            <w:pPr>
              <w:pStyle w:val="54"/>
              <w:rPr>
                <w:rFonts w:hint="default" w:ascii="Times New Roman" w:hAnsi="Times New Roman" w:cs="Times New Roman"/>
                <w:color w:val="auto"/>
                <w:sz w:val="21"/>
                <w:szCs w:val="21"/>
                <w:u w:val="none" w:color="auto"/>
              </w:rPr>
            </w:pPr>
          </w:p>
        </w:tc>
        <w:tc>
          <w:tcPr>
            <w:tcW w:w="4414" w:type="dxa"/>
            <w:tcMar>
              <w:left w:w="28" w:type="dxa"/>
              <w:right w:w="28" w:type="dxa"/>
            </w:tcMar>
            <w:vAlign w:val="center"/>
          </w:tcPr>
          <w:p w14:paraId="72DA08D2">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现状评价因子</w:t>
            </w:r>
          </w:p>
        </w:tc>
        <w:tc>
          <w:tcPr>
            <w:tcW w:w="2493" w:type="dxa"/>
            <w:tcMar>
              <w:left w:w="28" w:type="dxa"/>
              <w:right w:w="28" w:type="dxa"/>
            </w:tcMar>
            <w:vAlign w:val="center"/>
          </w:tcPr>
          <w:p w14:paraId="4058EA09">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影响评价因子</w:t>
            </w:r>
          </w:p>
        </w:tc>
      </w:tr>
      <w:tr w14:paraId="4A7012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457" w:type="dxa"/>
            <w:tcMar>
              <w:left w:w="28" w:type="dxa"/>
              <w:right w:w="28" w:type="dxa"/>
            </w:tcMar>
            <w:vAlign w:val="center"/>
          </w:tcPr>
          <w:p w14:paraId="3F2E69BA">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环境空气</w:t>
            </w:r>
          </w:p>
        </w:tc>
        <w:tc>
          <w:tcPr>
            <w:tcW w:w="4414" w:type="dxa"/>
            <w:tcMar>
              <w:left w:w="28" w:type="dxa"/>
              <w:right w:w="28" w:type="dxa"/>
            </w:tcMar>
            <w:vAlign w:val="center"/>
          </w:tcPr>
          <w:p w14:paraId="27BC8A43">
            <w:pPr>
              <w:pStyle w:val="54"/>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r>
              <w:rPr>
                <w:rFonts w:hint="default" w:ascii="Times New Roman" w:hAnsi="Times New Roman" w:cs="Times New Roman"/>
                <w:color w:val="auto"/>
                <w:sz w:val="21"/>
                <w:szCs w:val="21"/>
                <w:u w:val="none" w:color="auto"/>
              </w:rPr>
              <w:t>、</w:t>
            </w: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r>
              <w:rPr>
                <w:rFonts w:hint="default" w:ascii="Times New Roman" w:hAnsi="Times New Roman" w:cs="Times New Roman"/>
                <w:color w:val="auto"/>
                <w:sz w:val="21"/>
                <w:szCs w:val="21"/>
                <w:u w:val="none" w:color="auto"/>
              </w:rPr>
              <w:t>、CO、O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rPr>
              <w:t>、颗粒物</w:t>
            </w:r>
          </w:p>
        </w:tc>
        <w:tc>
          <w:tcPr>
            <w:tcW w:w="2493" w:type="dxa"/>
            <w:tcMar>
              <w:left w:w="28" w:type="dxa"/>
              <w:right w:w="28" w:type="dxa"/>
            </w:tcMar>
            <w:vAlign w:val="center"/>
          </w:tcPr>
          <w:p w14:paraId="6E1CB28E">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颗粒物</w:t>
            </w:r>
          </w:p>
        </w:tc>
      </w:tr>
      <w:tr w14:paraId="5BE391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2A760078">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地表水环境</w:t>
            </w:r>
          </w:p>
        </w:tc>
        <w:tc>
          <w:tcPr>
            <w:tcW w:w="4414" w:type="dxa"/>
            <w:tcMar>
              <w:left w:w="28" w:type="dxa"/>
              <w:right w:w="28" w:type="dxa"/>
            </w:tcMar>
            <w:vAlign w:val="center"/>
          </w:tcPr>
          <w:p w14:paraId="05FC5F1E">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无量纲</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、溶解氧、高锰酸盐指数、化学需氧量、五日生化需氧量、氨氮、总氮</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、铜、锌、氟化物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以F-计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、硒、砷、汞、镉、</w:t>
            </w:r>
            <w:r>
              <w:rPr>
                <w:rFonts w:hint="eastAsia" w:cs="Times New Roman"/>
                <w:color w:val="auto"/>
                <w:sz w:val="21"/>
                <w:szCs w:val="21"/>
                <w:u w:val="none" w:color="auto"/>
                <w:lang w:eastAsia="zh-CN"/>
              </w:rPr>
              <w:t>铬(六价)</w:t>
            </w:r>
            <w:r>
              <w:rPr>
                <w:rFonts w:hint="default" w:ascii="Times New Roman" w:hAnsi="Times New Roman" w:cs="Times New Roman"/>
                <w:color w:val="auto"/>
                <w:sz w:val="21"/>
                <w:szCs w:val="21"/>
                <w:u w:val="none" w:color="auto"/>
              </w:rPr>
              <w:t>、铅、氰化物、挥发酚、石油类、阴离子表面活性剂、硫化物、粪大肠菌群</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个/L</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、硫酸盐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、氯化物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、铁、锰</w:t>
            </w:r>
          </w:p>
        </w:tc>
        <w:tc>
          <w:tcPr>
            <w:tcW w:w="2493" w:type="dxa"/>
            <w:tcMar>
              <w:left w:w="28" w:type="dxa"/>
              <w:right w:w="28" w:type="dxa"/>
            </w:tcMar>
            <w:vAlign w:val="center"/>
          </w:tcPr>
          <w:p w14:paraId="78E787BD">
            <w:pPr>
              <w:pStyle w:val="54"/>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rPr>
              <w:t>SS、</w:t>
            </w:r>
            <w:r>
              <w:rPr>
                <w:rFonts w:hint="eastAsia" w:cs="Times New Roman"/>
                <w:color w:val="auto"/>
                <w:sz w:val="21"/>
                <w:szCs w:val="21"/>
                <w:u w:val="none" w:color="auto"/>
                <w:lang w:val="en-US" w:eastAsia="zh-CN"/>
              </w:rPr>
              <w:t>水文情势</w:t>
            </w:r>
          </w:p>
        </w:tc>
      </w:tr>
      <w:tr w14:paraId="447822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636553D7">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地下水</w:t>
            </w:r>
          </w:p>
        </w:tc>
        <w:tc>
          <w:tcPr>
            <w:tcW w:w="4414" w:type="dxa"/>
            <w:tcMar>
              <w:left w:w="28" w:type="dxa"/>
              <w:right w:w="28" w:type="dxa"/>
            </w:tcMar>
            <w:vAlign w:val="center"/>
          </w:tcPr>
          <w:p w14:paraId="6A6764BB">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K</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、Na</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、Ca</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、Mg</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、CO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、HCO</w:t>
            </w:r>
            <w:r>
              <w:rPr>
                <w:rFonts w:hint="default" w:ascii="Times New Roman" w:hAnsi="Times New Roman" w:cs="Times New Roman"/>
                <w:color w:val="auto"/>
                <w:sz w:val="21"/>
                <w:szCs w:val="21"/>
                <w:u w:val="none" w:color="auto"/>
                <w:vertAlign w:val="subscript"/>
              </w:rPr>
              <w:t>3</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值、氨氮、耗氧量、总硬度、硝酸盐、亚硝酸盐、溶解性总固体、硫酸盐、总大肠菌群</w:t>
            </w:r>
          </w:p>
        </w:tc>
        <w:tc>
          <w:tcPr>
            <w:tcW w:w="2493" w:type="dxa"/>
            <w:tcMar>
              <w:left w:w="28" w:type="dxa"/>
              <w:right w:w="28" w:type="dxa"/>
            </w:tcMar>
            <w:vAlign w:val="center"/>
          </w:tcPr>
          <w:p w14:paraId="72E70B75">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定性分析</w:t>
            </w:r>
          </w:p>
        </w:tc>
      </w:tr>
      <w:tr w14:paraId="7FD463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73ED848F">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w:t>
            </w:r>
          </w:p>
        </w:tc>
        <w:tc>
          <w:tcPr>
            <w:tcW w:w="4414" w:type="dxa"/>
            <w:tcMar>
              <w:left w:w="28" w:type="dxa"/>
              <w:right w:w="28" w:type="dxa"/>
            </w:tcMar>
            <w:vAlign w:val="center"/>
          </w:tcPr>
          <w:p w14:paraId="7F6E8390">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等效连续A声级</w:t>
            </w:r>
          </w:p>
        </w:tc>
        <w:tc>
          <w:tcPr>
            <w:tcW w:w="2493" w:type="dxa"/>
            <w:tcMar>
              <w:left w:w="28" w:type="dxa"/>
              <w:right w:w="28" w:type="dxa"/>
            </w:tcMar>
            <w:vAlign w:val="center"/>
          </w:tcPr>
          <w:p w14:paraId="537B037C">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等效连续A声级</w:t>
            </w:r>
          </w:p>
        </w:tc>
      </w:tr>
      <w:tr w14:paraId="4F1D7C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255442D9">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土壤</w:t>
            </w:r>
          </w:p>
        </w:tc>
        <w:tc>
          <w:tcPr>
            <w:tcW w:w="4414" w:type="dxa"/>
            <w:tcMar>
              <w:left w:w="28" w:type="dxa"/>
              <w:right w:w="28" w:type="dxa"/>
            </w:tcMar>
            <w:vAlign w:val="center"/>
          </w:tcPr>
          <w:p w14:paraId="0A2E7645">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pH、锌、</w:t>
            </w:r>
            <w:r>
              <w:rPr>
                <w:rFonts w:hint="default" w:ascii="Times New Roman" w:hAnsi="Times New Roman" w:cs="Times New Roman"/>
                <w:color w:val="auto"/>
                <w:sz w:val="21"/>
                <w:szCs w:val="21"/>
                <w:u w:val="none" w:color="auto"/>
              </w:rPr>
              <w:t>砷、镉、</w:t>
            </w:r>
            <w:r>
              <w:rPr>
                <w:rFonts w:hint="eastAsia" w:cs="Times New Roman"/>
                <w:color w:val="auto"/>
                <w:sz w:val="21"/>
                <w:szCs w:val="21"/>
                <w:u w:val="none" w:color="auto"/>
                <w:lang w:eastAsia="zh-CN"/>
              </w:rPr>
              <w:t>铬(六价)</w:t>
            </w:r>
            <w:r>
              <w:rPr>
                <w:rFonts w:hint="default" w:ascii="Times New Roman" w:hAnsi="Times New Roman" w:cs="Times New Roman"/>
                <w:color w:val="auto"/>
                <w:sz w:val="21"/>
                <w:szCs w:val="21"/>
                <w:u w:val="none" w:color="auto"/>
              </w:rPr>
              <w:t>、铜、铅、汞、镍</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四氯化碳、氯仿、氯甲烷、1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1-二氯乙烷、1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1-二氯乙烯、顺-1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2-二氯乙烯、反</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2-二氯乙烯、二氯甲烷、1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2-四氯乙烷、1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2-四氯乙烷、四氯乙烯、1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1-三氯乙烷、1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2-三氯乙烷、三氯乙烯、1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3-三氯丙烷、氯乙烯、苯、氯苯、1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2-二氯苯、1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4-二氯苯、乙苯、甲苯、间二甲苯+对二甲苯、邻二甲苯、硝基苯、苯胺、2-氯酚、苯并[a]蒽、苯并[a]芘、苯并[b]荧蒽、苯并[k]荧蒽、䓛、二苯并</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a</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h</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蒽、茚并</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3-cd</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芘、萘</w:t>
            </w:r>
          </w:p>
        </w:tc>
        <w:tc>
          <w:tcPr>
            <w:tcW w:w="2493" w:type="dxa"/>
            <w:tcMar>
              <w:left w:w="28" w:type="dxa"/>
              <w:right w:w="28" w:type="dxa"/>
            </w:tcMar>
            <w:vAlign w:val="center"/>
          </w:tcPr>
          <w:p w14:paraId="3B184270">
            <w:pPr>
              <w:pStyle w:val="54"/>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定性分析</w:t>
            </w:r>
          </w:p>
        </w:tc>
      </w:tr>
      <w:tr w14:paraId="6F68B2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1CBD5CD0">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固体废物</w:t>
            </w:r>
          </w:p>
        </w:tc>
        <w:tc>
          <w:tcPr>
            <w:tcW w:w="4414" w:type="dxa"/>
            <w:tcBorders>
              <w:right w:val="single" w:color="auto" w:sz="4" w:space="0"/>
            </w:tcBorders>
            <w:tcMar>
              <w:left w:w="28" w:type="dxa"/>
              <w:right w:w="28" w:type="dxa"/>
            </w:tcMar>
            <w:vAlign w:val="center"/>
          </w:tcPr>
          <w:p w14:paraId="06C87E35">
            <w:pPr>
              <w:pStyle w:val="5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2493" w:type="dxa"/>
            <w:tcBorders>
              <w:left w:val="single" w:color="auto" w:sz="4" w:space="0"/>
            </w:tcBorders>
            <w:tcMar>
              <w:left w:w="28" w:type="dxa"/>
              <w:right w:w="28" w:type="dxa"/>
            </w:tcMar>
            <w:vAlign w:val="center"/>
          </w:tcPr>
          <w:p w14:paraId="2680ABBA">
            <w:pPr>
              <w:pStyle w:val="54"/>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生活垃圾、建筑垃圾</w:t>
            </w:r>
          </w:p>
        </w:tc>
      </w:tr>
      <w:tr w14:paraId="3CDD0A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57" w:type="dxa"/>
            <w:tcMar>
              <w:left w:w="28" w:type="dxa"/>
              <w:right w:w="28" w:type="dxa"/>
            </w:tcMar>
            <w:vAlign w:val="center"/>
          </w:tcPr>
          <w:p w14:paraId="6D08445F">
            <w:pPr>
              <w:pStyle w:val="5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生态环境</w:t>
            </w:r>
          </w:p>
        </w:tc>
        <w:tc>
          <w:tcPr>
            <w:tcW w:w="4414" w:type="dxa"/>
            <w:tcBorders>
              <w:right w:val="single" w:color="auto" w:sz="4" w:space="0"/>
            </w:tcBorders>
            <w:tcMar>
              <w:left w:w="28" w:type="dxa"/>
              <w:right w:w="28" w:type="dxa"/>
            </w:tcMar>
            <w:vAlign w:val="center"/>
          </w:tcPr>
          <w:p w14:paraId="5CB22D05">
            <w:pPr>
              <w:pStyle w:val="54"/>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陆生生态、水生生态</w:t>
            </w:r>
          </w:p>
        </w:tc>
        <w:tc>
          <w:tcPr>
            <w:tcW w:w="2493" w:type="dxa"/>
            <w:tcBorders>
              <w:left w:val="single" w:color="auto" w:sz="4" w:space="0"/>
            </w:tcBorders>
            <w:tcMar>
              <w:left w:w="28" w:type="dxa"/>
              <w:right w:w="28" w:type="dxa"/>
            </w:tcMar>
            <w:vAlign w:val="center"/>
          </w:tcPr>
          <w:p w14:paraId="6409F621">
            <w:pPr>
              <w:pStyle w:val="54"/>
              <w:rPr>
                <w:rFonts w:hint="eastAsia"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土地利用、陆生动植物、水生动植物、水土流失等</w:t>
            </w:r>
          </w:p>
        </w:tc>
      </w:tr>
    </w:tbl>
    <w:p w14:paraId="387D7583">
      <w:pPr>
        <w:pStyle w:val="3"/>
        <w:rPr>
          <w:rFonts w:hint="default" w:ascii="Times New Roman" w:hAnsi="Times New Roman" w:cs="Times New Roman"/>
          <w:color w:val="auto"/>
          <w:u w:val="none" w:color="auto"/>
        </w:rPr>
      </w:pPr>
      <w:bookmarkStart w:id="69" w:name="_Toc28392"/>
      <w:bookmarkStart w:id="70" w:name="_Toc2000"/>
      <w:bookmarkStart w:id="71" w:name="_Toc494049354"/>
      <w:bookmarkStart w:id="72" w:name="_Toc494233708"/>
      <w:bookmarkStart w:id="73" w:name="_Toc2030"/>
      <w:r>
        <w:rPr>
          <w:rFonts w:hint="default" w:ascii="Times New Roman" w:hAnsi="Times New Roman" w:cs="Times New Roman"/>
          <w:color w:val="auto"/>
          <w:u w:val="none" w:color="auto"/>
        </w:rPr>
        <w:t>环境功能区划及评价标准</w:t>
      </w:r>
      <w:bookmarkEnd w:id="69"/>
      <w:bookmarkEnd w:id="70"/>
      <w:bookmarkEnd w:id="71"/>
      <w:bookmarkEnd w:id="72"/>
      <w:bookmarkEnd w:id="73"/>
    </w:p>
    <w:p w14:paraId="41E99C9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根据项目区环境功能分类及污染物排放种类，本</w:t>
      </w:r>
      <w:r>
        <w:rPr>
          <w:rFonts w:hint="eastAsia" w:cs="Times New Roman"/>
          <w:color w:val="auto"/>
          <w:u w:val="none" w:color="auto"/>
          <w:lang w:val="en-US" w:eastAsia="zh-CN"/>
        </w:rPr>
        <w:t>工程</w:t>
      </w:r>
      <w:r>
        <w:rPr>
          <w:rFonts w:hint="default" w:ascii="Times New Roman" w:hAnsi="Times New Roman" w:cs="Times New Roman"/>
          <w:color w:val="auto"/>
          <w:u w:val="none" w:color="auto"/>
        </w:rPr>
        <w:t>环境影响评价执行标准</w:t>
      </w:r>
      <w:r>
        <w:rPr>
          <w:rFonts w:hint="eastAsia" w:cs="Times New Roman"/>
          <w:color w:val="auto"/>
          <w:u w:val="none" w:color="auto"/>
          <w:lang w:eastAsia="zh-CN"/>
        </w:rPr>
        <w:t>申请和复函</w:t>
      </w:r>
      <w:r>
        <w:rPr>
          <w:rFonts w:hint="default" w:ascii="Times New Roman" w:hAnsi="Times New Roman" w:cs="Times New Roman"/>
          <w:color w:val="auto"/>
          <w:u w:val="none" w:color="auto"/>
        </w:rPr>
        <w:t>如下</w:t>
      </w:r>
      <w:r>
        <w:rPr>
          <w:rFonts w:hint="eastAsia" w:cs="Times New Roman"/>
          <w:color w:val="auto"/>
          <w:u w:val="none" w:color="auto"/>
          <w:lang w:eastAsia="zh-CN"/>
        </w:rPr>
        <w:t>：</w:t>
      </w:r>
    </w:p>
    <w:p w14:paraId="1DBB65DB">
      <w:pPr>
        <w:pStyle w:val="4"/>
        <w:spacing w:after="120" w:afterLines="50"/>
        <w:rPr>
          <w:rFonts w:hint="default" w:ascii="Times New Roman" w:hAnsi="Times New Roman" w:cs="Times New Roman"/>
          <w:color w:val="auto"/>
          <w:u w:val="none" w:color="auto"/>
        </w:rPr>
      </w:pPr>
      <w:bookmarkStart w:id="74" w:name="_Toc494233709"/>
      <w:bookmarkStart w:id="75" w:name="_Toc12598"/>
      <w:bookmarkStart w:id="76" w:name="_Toc30636"/>
      <w:r>
        <w:rPr>
          <w:rFonts w:hint="default" w:ascii="Times New Roman" w:hAnsi="Times New Roman" w:cs="Times New Roman"/>
          <w:color w:val="auto"/>
          <w:u w:val="none" w:color="auto"/>
        </w:rPr>
        <w:t>区域环境功能区划</w:t>
      </w:r>
    </w:p>
    <w:p w14:paraId="0D8214B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环境空气质量功能区划</w:t>
      </w:r>
    </w:p>
    <w:p w14:paraId="3B70014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本项目为环境空气二类功能区。</w:t>
      </w:r>
    </w:p>
    <w:p w14:paraId="30EC8C9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地表水水环境功能区划</w:t>
      </w:r>
    </w:p>
    <w:p w14:paraId="7E84E5B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根据《湖南省主要水系地表水环境功能区划》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DB43/023-2005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中的规定，</w:t>
      </w:r>
      <w:r>
        <w:rPr>
          <w:rFonts w:hint="default" w:ascii="Times New Roman" w:hAnsi="Times New Roman" w:cs="Times New Roman"/>
          <w:color w:val="auto"/>
          <w:u w:val="none" w:color="auto"/>
          <w:lang w:val="en-US" w:eastAsia="zh-CN"/>
        </w:rPr>
        <w:t>宜阳河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紫云乡政府至县一水厂取水口上游1000米</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新屋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段全长</w:t>
      </w:r>
      <w:r>
        <w:rPr>
          <w:rFonts w:hint="default" w:ascii="Times New Roman" w:hAnsi="Times New Roman" w:cs="Times New Roman"/>
          <w:color w:val="auto"/>
          <w:u w:val="none" w:color="auto"/>
          <w:lang w:val="en-US" w:eastAsia="zh-CN"/>
        </w:rPr>
        <w:t>37.5</w:t>
      </w:r>
      <w:r>
        <w:rPr>
          <w:rFonts w:hint="default" w:ascii="Times New Roman" w:hAnsi="Times New Roman" w:cs="Times New Roman"/>
          <w:color w:val="auto"/>
          <w:u w:val="none" w:color="auto"/>
        </w:rPr>
        <w:t>km，属于</w:t>
      </w:r>
      <w:r>
        <w:rPr>
          <w:rFonts w:hint="default" w:ascii="Times New Roman" w:hAnsi="Times New Roman" w:cs="Times New Roman"/>
          <w:color w:val="auto"/>
          <w:u w:val="none" w:color="auto"/>
          <w:lang w:val="en-US" w:eastAsia="zh-CN"/>
        </w:rPr>
        <w:t>渔业用水区</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水功能区划为Ⅲ类水体。</w:t>
      </w:r>
    </w:p>
    <w:p w14:paraId="25810D3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根据《永州市道县梅花镇廊洞水库饮用水水源保护区划分方案》(湘环函[2019]231号)，永州市道县廊洞水库为饮用水水源保护区。饮用水源具体划分如下:</w:t>
      </w:r>
    </w:p>
    <w:p w14:paraId="734AF759">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表2.4-1 廊洞水库饮用水源划分方案</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687"/>
        <w:gridCol w:w="450"/>
        <w:gridCol w:w="519"/>
        <w:gridCol w:w="668"/>
        <w:gridCol w:w="695"/>
        <w:gridCol w:w="669"/>
        <w:gridCol w:w="640"/>
        <w:gridCol w:w="1732"/>
        <w:gridCol w:w="2048"/>
      </w:tblGrid>
      <w:tr w14:paraId="1C66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restart"/>
            <w:vAlign w:val="center"/>
          </w:tcPr>
          <w:p w14:paraId="648E4B6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序号</w:t>
            </w:r>
          </w:p>
        </w:tc>
        <w:tc>
          <w:tcPr>
            <w:tcW w:w="687" w:type="dxa"/>
            <w:vMerge w:val="restart"/>
            <w:vAlign w:val="center"/>
          </w:tcPr>
          <w:p w14:paraId="021F21E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保护区名称</w:t>
            </w:r>
          </w:p>
        </w:tc>
        <w:tc>
          <w:tcPr>
            <w:tcW w:w="450" w:type="dxa"/>
            <w:vMerge w:val="restart"/>
            <w:vAlign w:val="center"/>
          </w:tcPr>
          <w:p w14:paraId="1C331FF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所在市州</w:t>
            </w:r>
          </w:p>
        </w:tc>
        <w:tc>
          <w:tcPr>
            <w:tcW w:w="519" w:type="dxa"/>
            <w:vMerge w:val="restart"/>
            <w:vAlign w:val="center"/>
          </w:tcPr>
          <w:p w14:paraId="5B1CF4C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所在流域</w:t>
            </w:r>
          </w:p>
        </w:tc>
        <w:tc>
          <w:tcPr>
            <w:tcW w:w="668" w:type="dxa"/>
            <w:vMerge w:val="restart"/>
            <w:vAlign w:val="center"/>
          </w:tcPr>
          <w:p w14:paraId="369EA49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类型</w:t>
            </w:r>
          </w:p>
        </w:tc>
        <w:tc>
          <w:tcPr>
            <w:tcW w:w="695" w:type="dxa"/>
            <w:vMerge w:val="restart"/>
            <w:vAlign w:val="center"/>
          </w:tcPr>
          <w:p w14:paraId="2C41BE0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水源地现有水厂名称</w:t>
            </w:r>
          </w:p>
        </w:tc>
        <w:tc>
          <w:tcPr>
            <w:tcW w:w="669" w:type="dxa"/>
            <w:vMerge w:val="restart"/>
            <w:vAlign w:val="center"/>
          </w:tcPr>
          <w:p w14:paraId="78BF216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服务城镇</w:t>
            </w:r>
          </w:p>
        </w:tc>
        <w:tc>
          <w:tcPr>
            <w:tcW w:w="640" w:type="dxa"/>
            <w:vMerge w:val="restart"/>
            <w:vAlign w:val="center"/>
          </w:tcPr>
          <w:p w14:paraId="18F2BC2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保护级别</w:t>
            </w:r>
          </w:p>
        </w:tc>
        <w:tc>
          <w:tcPr>
            <w:tcW w:w="3780" w:type="dxa"/>
            <w:gridSpan w:val="2"/>
            <w:tcBorders>
              <w:bottom w:val="single" w:color="000000" w:sz="4" w:space="0"/>
            </w:tcBorders>
            <w:vAlign w:val="center"/>
          </w:tcPr>
          <w:p w14:paraId="056CF2E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保护范围</w:t>
            </w:r>
          </w:p>
        </w:tc>
      </w:tr>
      <w:tr w14:paraId="7338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continue"/>
            <w:vAlign w:val="center"/>
          </w:tcPr>
          <w:p w14:paraId="63DED0A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87" w:type="dxa"/>
            <w:vMerge w:val="continue"/>
            <w:vAlign w:val="center"/>
          </w:tcPr>
          <w:p w14:paraId="648BE76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450" w:type="dxa"/>
            <w:vMerge w:val="continue"/>
            <w:vAlign w:val="center"/>
          </w:tcPr>
          <w:p w14:paraId="65EEE0D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519" w:type="dxa"/>
            <w:vMerge w:val="continue"/>
            <w:vAlign w:val="center"/>
          </w:tcPr>
          <w:p w14:paraId="4E8DFC2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8" w:type="dxa"/>
            <w:vMerge w:val="continue"/>
            <w:vAlign w:val="center"/>
          </w:tcPr>
          <w:p w14:paraId="35F0D26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95" w:type="dxa"/>
            <w:vMerge w:val="continue"/>
            <w:vAlign w:val="center"/>
          </w:tcPr>
          <w:p w14:paraId="04EF61A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9" w:type="dxa"/>
            <w:vMerge w:val="continue"/>
            <w:vAlign w:val="center"/>
          </w:tcPr>
          <w:p w14:paraId="640494D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40" w:type="dxa"/>
            <w:vMerge w:val="continue"/>
            <w:vAlign w:val="center"/>
          </w:tcPr>
          <w:p w14:paraId="5116B9C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1732" w:type="dxa"/>
            <w:tcBorders>
              <w:top w:val="single" w:color="000000" w:sz="4" w:space="0"/>
              <w:right w:val="single" w:color="000000" w:sz="4" w:space="0"/>
            </w:tcBorders>
            <w:vAlign w:val="center"/>
          </w:tcPr>
          <w:p w14:paraId="3B47CB4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水域</w:t>
            </w:r>
          </w:p>
        </w:tc>
        <w:tc>
          <w:tcPr>
            <w:tcW w:w="2048" w:type="dxa"/>
            <w:tcBorders>
              <w:top w:val="single" w:color="000000" w:sz="4" w:space="0"/>
              <w:left w:val="single" w:color="000000" w:sz="4" w:space="0"/>
            </w:tcBorders>
            <w:vAlign w:val="center"/>
          </w:tcPr>
          <w:p w14:paraId="2103CF3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路域</w:t>
            </w:r>
          </w:p>
        </w:tc>
      </w:tr>
      <w:tr w14:paraId="3A526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restart"/>
            <w:vAlign w:val="center"/>
          </w:tcPr>
          <w:p w14:paraId="0AD7BB5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c>
          <w:tcPr>
            <w:tcW w:w="687" w:type="dxa"/>
            <w:vMerge w:val="restart"/>
            <w:vAlign w:val="center"/>
          </w:tcPr>
          <w:p w14:paraId="67A212D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永州市道县梅花镇廊洞水库饮用水水源保护区</w:t>
            </w:r>
          </w:p>
        </w:tc>
        <w:tc>
          <w:tcPr>
            <w:tcW w:w="450" w:type="dxa"/>
            <w:vMerge w:val="restart"/>
            <w:vAlign w:val="center"/>
          </w:tcPr>
          <w:p w14:paraId="32EBDA2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永州市</w:t>
            </w:r>
          </w:p>
        </w:tc>
        <w:tc>
          <w:tcPr>
            <w:tcW w:w="519" w:type="dxa"/>
            <w:vMerge w:val="restart"/>
            <w:vAlign w:val="center"/>
          </w:tcPr>
          <w:p w14:paraId="2F6A9AA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道县</w:t>
            </w:r>
          </w:p>
        </w:tc>
        <w:tc>
          <w:tcPr>
            <w:tcW w:w="668" w:type="dxa"/>
            <w:vMerge w:val="restart"/>
            <w:vAlign w:val="center"/>
          </w:tcPr>
          <w:p w14:paraId="24743F8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湖库型</w:t>
            </w:r>
          </w:p>
        </w:tc>
        <w:tc>
          <w:tcPr>
            <w:tcW w:w="695" w:type="dxa"/>
            <w:vMerge w:val="restart"/>
            <w:vAlign w:val="center"/>
          </w:tcPr>
          <w:p w14:paraId="79572D9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廊洞</w:t>
            </w:r>
            <w:r>
              <w:rPr>
                <w:rFonts w:hint="default" w:ascii="Times New Roman" w:hAnsi="Times New Roman" w:eastAsia="宋体" w:cs="Times New Roman"/>
                <w:color w:val="auto"/>
                <w:sz w:val="21"/>
                <w:szCs w:val="21"/>
                <w:u w:val="none" w:color="auto"/>
                <w:vertAlign w:val="baseline"/>
                <w:lang w:val="en-US" w:eastAsia="zh-CN"/>
              </w:rPr>
              <w:t>水厂</w:t>
            </w:r>
          </w:p>
        </w:tc>
        <w:tc>
          <w:tcPr>
            <w:tcW w:w="669" w:type="dxa"/>
            <w:vMerge w:val="restart"/>
            <w:vAlign w:val="center"/>
          </w:tcPr>
          <w:p w14:paraId="589B125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道县</w:t>
            </w:r>
          </w:p>
        </w:tc>
        <w:tc>
          <w:tcPr>
            <w:tcW w:w="640" w:type="dxa"/>
            <w:tcBorders>
              <w:bottom w:val="single" w:color="000000" w:sz="4" w:space="0"/>
            </w:tcBorders>
            <w:vAlign w:val="center"/>
          </w:tcPr>
          <w:p w14:paraId="25761FB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一级</w:t>
            </w:r>
          </w:p>
        </w:tc>
        <w:tc>
          <w:tcPr>
            <w:tcW w:w="1732" w:type="dxa"/>
            <w:tcBorders>
              <w:bottom w:val="single" w:color="000000" w:sz="4" w:space="0"/>
              <w:right w:val="single" w:color="000000" w:sz="4" w:space="0"/>
            </w:tcBorders>
            <w:vAlign w:val="center"/>
          </w:tcPr>
          <w:p w14:paraId="0A46C99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取水口半径300米范围内的水域。</w:t>
            </w:r>
          </w:p>
        </w:tc>
        <w:tc>
          <w:tcPr>
            <w:tcW w:w="2048" w:type="dxa"/>
            <w:tcBorders>
              <w:left w:val="single" w:color="000000" w:sz="4" w:space="0"/>
              <w:bottom w:val="single" w:color="000000" w:sz="4" w:space="0"/>
            </w:tcBorders>
            <w:vAlign w:val="center"/>
          </w:tcPr>
          <w:p w14:paraId="5257612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取水口侧正常水位线以上200米范围内的陆域，遇水库大坝以大坝为界。</w:t>
            </w:r>
          </w:p>
        </w:tc>
      </w:tr>
      <w:tr w14:paraId="493CA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9" w:type="dxa"/>
            <w:vMerge w:val="continue"/>
            <w:vAlign w:val="center"/>
          </w:tcPr>
          <w:p w14:paraId="085ADE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87" w:type="dxa"/>
            <w:vMerge w:val="continue"/>
            <w:vAlign w:val="center"/>
          </w:tcPr>
          <w:p w14:paraId="3C90FD5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450" w:type="dxa"/>
            <w:vMerge w:val="continue"/>
            <w:vAlign w:val="center"/>
          </w:tcPr>
          <w:p w14:paraId="00126CC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519" w:type="dxa"/>
            <w:vMerge w:val="continue"/>
            <w:vAlign w:val="center"/>
          </w:tcPr>
          <w:p w14:paraId="7917D39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8" w:type="dxa"/>
            <w:vMerge w:val="continue"/>
            <w:vAlign w:val="center"/>
          </w:tcPr>
          <w:p w14:paraId="0F131FF6">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95" w:type="dxa"/>
            <w:vMerge w:val="continue"/>
            <w:vAlign w:val="center"/>
          </w:tcPr>
          <w:p w14:paraId="1CFA79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69" w:type="dxa"/>
            <w:vMerge w:val="continue"/>
            <w:vAlign w:val="center"/>
          </w:tcPr>
          <w:p w14:paraId="5381A2F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p>
        </w:tc>
        <w:tc>
          <w:tcPr>
            <w:tcW w:w="640" w:type="dxa"/>
            <w:tcBorders>
              <w:top w:val="single" w:color="000000" w:sz="4" w:space="0"/>
            </w:tcBorders>
            <w:vAlign w:val="center"/>
          </w:tcPr>
          <w:p w14:paraId="01F25F1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二级</w:t>
            </w:r>
          </w:p>
        </w:tc>
        <w:tc>
          <w:tcPr>
            <w:tcW w:w="1732" w:type="dxa"/>
            <w:tcBorders>
              <w:top w:val="single" w:color="000000" w:sz="4" w:space="0"/>
              <w:right w:val="single" w:color="000000" w:sz="4" w:space="0"/>
            </w:tcBorders>
            <w:vAlign w:val="center"/>
          </w:tcPr>
          <w:p w14:paraId="5C6C043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一级保护区边界以外的全部水库水域，二级保护区陆域范围内的全部水体。</w:t>
            </w:r>
          </w:p>
        </w:tc>
        <w:tc>
          <w:tcPr>
            <w:tcW w:w="2048" w:type="dxa"/>
            <w:tcBorders>
              <w:top w:val="single" w:color="000000" w:sz="4" w:space="0"/>
              <w:left w:val="single" w:color="000000" w:sz="4" w:space="0"/>
            </w:tcBorders>
            <w:vAlign w:val="center"/>
          </w:tcPr>
          <w:p w14:paraId="272D073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cs="Times New Roman"/>
                <w:color w:val="auto"/>
                <w:sz w:val="21"/>
                <w:szCs w:val="21"/>
                <w:u w:val="none" w:color="auto"/>
                <w:vertAlign w:val="baseline"/>
                <w:lang w:val="en-US" w:eastAsia="zh-CN"/>
              </w:rPr>
              <w:t>廊洞水库</w:t>
            </w:r>
            <w:r>
              <w:rPr>
                <w:rFonts w:hint="default" w:ascii="Times New Roman" w:hAnsi="Times New Roman" w:eastAsia="宋体" w:cs="Times New Roman"/>
                <w:color w:val="auto"/>
                <w:sz w:val="21"/>
                <w:szCs w:val="21"/>
                <w:u w:val="none" w:color="auto"/>
                <w:vertAlign w:val="baseline"/>
                <w:lang w:val="en-US" w:eastAsia="zh-CN"/>
              </w:rPr>
              <w:t>周边山脊线以内</w:t>
            </w:r>
            <w:r>
              <w:rPr>
                <w:rFonts w:hint="default" w:ascii="Times New Roman" w:hAnsi="Times New Roman" w:cs="Times New Roman"/>
                <w:color w:val="auto"/>
                <w:sz w:val="21"/>
                <w:szCs w:val="21"/>
                <w:highlight w:val="none"/>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一级保护区以外</w:t>
            </w:r>
            <w:r>
              <w:rPr>
                <w:rFonts w:hint="default" w:ascii="Times New Roman" w:hAnsi="Times New Roman" w:cs="Times New Roman"/>
                <w:color w:val="auto"/>
                <w:sz w:val="21"/>
                <w:szCs w:val="21"/>
                <w:highlight w:val="none"/>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及入库河流上溯3000米的汇水区域。</w:t>
            </w:r>
          </w:p>
        </w:tc>
      </w:tr>
    </w:tbl>
    <w:p w14:paraId="6C1D505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评价范围内无国控监测断面与省控断面。永州市道县廊洞水库为饮用水水源保护区执行《地表水环境质量标准》(GB3838-2002)Ⅱ类标准，大坝下游宜阳河执行《地表水环境质量标准》(GB3838-2002)Ⅲ类标准。</w:t>
      </w:r>
    </w:p>
    <w:p w14:paraId="613164EF">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地下水环境功能区划</w:t>
      </w:r>
    </w:p>
    <w:p w14:paraId="752595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根据现状调查，区域地下水</w:t>
      </w:r>
      <w:r>
        <w:rPr>
          <w:rFonts w:hint="default" w:ascii="Times New Roman" w:hAnsi="Times New Roman" w:cs="Times New Roman"/>
          <w:color w:val="auto"/>
          <w:u w:val="none" w:color="auto"/>
          <w:lang w:val="en-US" w:eastAsia="zh-CN"/>
        </w:rPr>
        <w:t>未划定功能区，</w:t>
      </w:r>
      <w:r>
        <w:rPr>
          <w:rFonts w:hint="default" w:ascii="Times New Roman" w:hAnsi="Times New Roman" w:cs="Times New Roman"/>
          <w:color w:val="auto"/>
          <w:u w:val="none" w:color="auto"/>
        </w:rPr>
        <w:t>根据《地下水质量标准》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中地下水质量分类规定，水功能区划</w:t>
      </w:r>
      <w:r>
        <w:rPr>
          <w:rFonts w:hint="default" w:ascii="Times New Roman" w:hAnsi="Times New Roman" w:cs="Times New Roman"/>
          <w:color w:val="auto"/>
          <w:u w:val="none" w:color="auto"/>
          <w:lang w:val="en-US" w:eastAsia="zh-CN"/>
        </w:rPr>
        <w:t>定</w:t>
      </w:r>
      <w:r>
        <w:rPr>
          <w:rFonts w:hint="default" w:ascii="Times New Roman" w:hAnsi="Times New Roman" w:cs="Times New Roman"/>
          <w:color w:val="auto"/>
          <w:u w:val="none" w:color="auto"/>
        </w:rPr>
        <w:t>为Ⅲ类水体。</w:t>
      </w:r>
    </w:p>
    <w:p w14:paraId="1AAF898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声环境功能区划</w:t>
      </w:r>
    </w:p>
    <w:p w14:paraId="2F4E786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位于梅花镇廊洞村，因所在区域无声环境功能区划，参照《声环境质量标准》（GB3096-2008）及《声环境功能区划分技术规范》（GB/T15190-2014），项目所在区域属于2类声环境功能区，执行《声环境质量标准》（GB3096-2008）2类标准。</w:t>
      </w:r>
    </w:p>
    <w:p w14:paraId="6F391F3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生态环境功能区划</w:t>
      </w:r>
    </w:p>
    <w:p w14:paraId="6B61CC6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根据《全国生态功能区划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修编版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(环境保护部</w:t>
      </w:r>
      <w:r>
        <w:rPr>
          <w:rFonts w:hint="default" w:ascii="Times New Roman" w:hAnsi="Times New Roman" w:cs="Times New Roman"/>
          <w:color w:val="auto"/>
          <w:u w:val="none" w:color="auto"/>
          <w:lang w:eastAsia="zh-CN"/>
        </w:rPr>
        <w:t>公告2015年第61号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，湖南省永州市的定位为南岭山地水源涵养与生物多样性保护重要区。</w:t>
      </w:r>
    </w:p>
    <w:p w14:paraId="6C10AD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w:t>
      </w:r>
      <w:r>
        <w:rPr>
          <w:rFonts w:hint="default" w:ascii="Times New Roman" w:hAnsi="Times New Roman" w:cs="Times New Roman"/>
          <w:color w:val="auto"/>
          <w:u w:val="none" w:color="auto"/>
          <w:lang w:eastAsia="zh-CN"/>
        </w:rPr>
        <w:t>湖南省</w:t>
      </w:r>
      <w:r>
        <w:rPr>
          <w:rFonts w:hint="default" w:ascii="Times New Roman" w:hAnsi="Times New Roman" w:cs="Times New Roman"/>
          <w:color w:val="auto"/>
          <w:u w:val="none" w:color="auto"/>
        </w:rPr>
        <w:t>生态功能区划》，</w:t>
      </w:r>
      <w:r>
        <w:rPr>
          <w:rFonts w:hint="default" w:ascii="Times New Roman" w:hAnsi="Times New Roman" w:cs="Times New Roman"/>
          <w:color w:val="auto"/>
          <w:u w:val="none" w:color="auto"/>
          <w:lang w:eastAsia="zh-CN"/>
        </w:rPr>
        <w:t>湖南省</w:t>
      </w:r>
      <w:r>
        <w:rPr>
          <w:rFonts w:hint="default" w:ascii="Times New Roman" w:hAnsi="Times New Roman" w:cs="Times New Roman"/>
          <w:color w:val="auto"/>
          <w:u w:val="none" w:color="auto"/>
        </w:rPr>
        <w:t>生态功能区划为</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个生态功能区，1</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u w:val="none" w:color="auto"/>
        </w:rPr>
        <w:t>个生态亚区，</w:t>
      </w:r>
      <w:r>
        <w:rPr>
          <w:rFonts w:hint="default" w:ascii="Times New Roman" w:hAnsi="Times New Roman" w:cs="Times New Roman"/>
          <w:color w:val="auto"/>
          <w:u w:val="none" w:color="auto"/>
          <w:lang w:val="en-US" w:eastAsia="zh-CN"/>
        </w:rPr>
        <w:t>永州市</w:t>
      </w:r>
      <w:r>
        <w:rPr>
          <w:rFonts w:hint="default" w:ascii="Times New Roman" w:hAnsi="Times New Roman" w:cs="Times New Roman"/>
          <w:color w:val="auto"/>
          <w:u w:val="none" w:color="auto"/>
        </w:rPr>
        <w:t>位于湘中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湘南低山丘陵</w:t>
      </w:r>
      <w:r>
        <w:rPr>
          <w:rFonts w:hint="default" w:ascii="Times New Roman" w:hAnsi="Times New Roman" w:cs="Times New Roman"/>
          <w:color w:val="auto"/>
          <w:u w:val="none" w:color="auto"/>
          <w:lang w:eastAsia="zh-CN"/>
        </w:rPr>
        <w:t>水土保持</w:t>
      </w:r>
      <w:r>
        <w:rPr>
          <w:rFonts w:hint="default" w:ascii="Times New Roman" w:hAnsi="Times New Roman" w:cs="Times New Roman"/>
          <w:color w:val="auto"/>
          <w:u w:val="none" w:color="auto"/>
        </w:rPr>
        <w:t>与生态文化生态功能区中的退化生态治理恢复亚区。</w:t>
      </w:r>
    </w:p>
    <w:p w14:paraId="33E04BFB">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根据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湖南省永州市主体功能区规划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rPr>
        <w:t>2020年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，永州市</w:t>
      </w:r>
      <w:r>
        <w:rPr>
          <w:rFonts w:hint="default" w:ascii="Times New Roman" w:hAnsi="Times New Roman" w:cs="Times New Roman"/>
          <w:color w:val="auto"/>
          <w:u w:val="none" w:color="auto"/>
          <w:lang w:val="en-US" w:eastAsia="zh-CN"/>
        </w:rPr>
        <w:t>道县梅花镇</w:t>
      </w:r>
      <w:r>
        <w:rPr>
          <w:rFonts w:hint="default" w:ascii="Times New Roman" w:hAnsi="Times New Roman" w:cs="Times New Roman"/>
          <w:color w:val="auto"/>
          <w:u w:val="none" w:color="auto"/>
        </w:rPr>
        <w:t>为农产品主产区</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详见附图</w:t>
      </w:r>
      <w:r>
        <w:rPr>
          <w:rFonts w:hint="eastAsia" w:cs="Times New Roman"/>
          <w:color w:val="auto"/>
          <w:u w:val="none" w:color="auto"/>
          <w:lang w:val="en-US" w:eastAsia="zh-CN"/>
        </w:rPr>
        <w:t>10</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p>
    <w:p w14:paraId="3F3475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本项目所在区域环境功能区划详见</w:t>
      </w:r>
      <w:r>
        <w:rPr>
          <w:rFonts w:hint="default" w:ascii="Times New Roman" w:hAnsi="Times New Roman" w:cs="Times New Roman"/>
          <w:color w:val="auto"/>
          <w:u w:val="none" w:color="auto"/>
          <w:lang w:val="en-US" w:eastAsia="zh-CN"/>
        </w:rPr>
        <w:t>下</w:t>
      </w:r>
      <w:r>
        <w:rPr>
          <w:rFonts w:hint="default" w:ascii="Times New Roman" w:hAnsi="Times New Roman" w:cs="Times New Roman"/>
          <w:color w:val="auto"/>
          <w:u w:val="none" w:color="auto"/>
        </w:rPr>
        <w:t>表。</w:t>
      </w:r>
    </w:p>
    <w:p w14:paraId="5DBDCDBE">
      <w:pPr>
        <w:pStyle w:val="118"/>
        <w:bidi w:val="0"/>
        <w:rPr>
          <w:rFonts w:hint="default"/>
        </w:rPr>
      </w:pPr>
      <w:r>
        <w:rPr>
          <w:rFonts w:hint="default"/>
        </w:rPr>
        <w:t>表2.4-</w:t>
      </w:r>
      <w:r>
        <w:rPr>
          <w:rFonts w:hint="default"/>
          <w:lang w:val="en-US" w:eastAsia="zh-CN"/>
        </w:rPr>
        <w:t xml:space="preserve">2  </w:t>
      </w:r>
      <w:r>
        <w:rPr>
          <w:rFonts w:hint="default"/>
        </w:rPr>
        <w:t>建设项目所属环境功能区一览表</w:t>
      </w:r>
    </w:p>
    <w:tbl>
      <w:tblPr>
        <w:tblStyle w:val="37"/>
        <w:tblW w:w="852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20"/>
        <w:gridCol w:w="2744"/>
        <w:gridCol w:w="5063"/>
      </w:tblGrid>
      <w:tr w14:paraId="6DE415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E9CC66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编号</w:t>
            </w:r>
          </w:p>
        </w:tc>
        <w:tc>
          <w:tcPr>
            <w:tcW w:w="2744" w:type="dxa"/>
            <w:tcBorders>
              <w:tl2br w:val="nil"/>
              <w:tr2bl w:val="nil"/>
            </w:tcBorders>
            <w:vAlign w:val="center"/>
          </w:tcPr>
          <w:p w14:paraId="5C0018A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项目</w:t>
            </w:r>
          </w:p>
        </w:tc>
        <w:tc>
          <w:tcPr>
            <w:tcW w:w="5063" w:type="dxa"/>
            <w:tcBorders>
              <w:tl2br w:val="nil"/>
              <w:tr2bl w:val="nil"/>
            </w:tcBorders>
            <w:vAlign w:val="center"/>
          </w:tcPr>
          <w:p w14:paraId="31C2D71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功能属性及执行标准</w:t>
            </w:r>
          </w:p>
        </w:tc>
      </w:tr>
      <w:tr w14:paraId="7C2251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79A874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w:t>
            </w:r>
          </w:p>
        </w:tc>
        <w:tc>
          <w:tcPr>
            <w:tcW w:w="2744" w:type="dxa"/>
            <w:tcBorders>
              <w:tl2br w:val="nil"/>
              <w:tr2bl w:val="nil"/>
            </w:tcBorders>
            <w:vAlign w:val="center"/>
          </w:tcPr>
          <w:p w14:paraId="4D29B39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水环境功能区</w:t>
            </w:r>
          </w:p>
        </w:tc>
        <w:tc>
          <w:tcPr>
            <w:tcW w:w="5063" w:type="dxa"/>
            <w:tcBorders>
              <w:tl2br w:val="nil"/>
              <w:tr2bl w:val="nil"/>
            </w:tcBorders>
            <w:vAlign w:val="center"/>
          </w:tcPr>
          <w:p w14:paraId="0C08EC4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GB3838-2002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Ⅲ类</w:t>
            </w:r>
            <w:r>
              <w:rPr>
                <w:rFonts w:hint="default" w:ascii="Times New Roman" w:hAnsi="Times New Roman" w:eastAsia="宋体" w:cs="Times New Roman"/>
                <w:color w:val="auto"/>
                <w:sz w:val="21"/>
                <w:szCs w:val="21"/>
                <w:u w:val="none" w:color="auto"/>
              </w:rPr>
              <w:t>标准</w:t>
            </w:r>
          </w:p>
        </w:tc>
      </w:tr>
      <w:tr w14:paraId="0ED22B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4C4E4D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w:t>
            </w:r>
          </w:p>
        </w:tc>
        <w:tc>
          <w:tcPr>
            <w:tcW w:w="2744" w:type="dxa"/>
            <w:tcBorders>
              <w:tl2br w:val="nil"/>
              <w:tr2bl w:val="nil"/>
            </w:tcBorders>
            <w:vAlign w:val="center"/>
          </w:tcPr>
          <w:p w14:paraId="5C4B881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环境空气质量功能区</w:t>
            </w:r>
          </w:p>
        </w:tc>
        <w:tc>
          <w:tcPr>
            <w:tcW w:w="5063" w:type="dxa"/>
            <w:tcBorders>
              <w:tl2br w:val="nil"/>
              <w:tr2bl w:val="nil"/>
            </w:tcBorders>
            <w:vAlign w:val="center"/>
          </w:tcPr>
          <w:p w14:paraId="33EC0B7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二类区，环境空气质量执行《环境空气质量标准》</w:t>
            </w:r>
          </w:p>
          <w:p w14:paraId="0CA5A12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GB3095-2012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中的二级标准</w:t>
            </w:r>
          </w:p>
        </w:tc>
      </w:tr>
      <w:tr w14:paraId="6577CF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BA3DBC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c>
          <w:tcPr>
            <w:tcW w:w="2744" w:type="dxa"/>
            <w:tcBorders>
              <w:tl2br w:val="nil"/>
              <w:tr2bl w:val="nil"/>
            </w:tcBorders>
            <w:vAlign w:val="center"/>
          </w:tcPr>
          <w:p w14:paraId="2ADBC63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声环境功能区</w:t>
            </w:r>
          </w:p>
        </w:tc>
        <w:tc>
          <w:tcPr>
            <w:tcW w:w="5063" w:type="dxa"/>
            <w:tcBorders>
              <w:tl2br w:val="nil"/>
              <w:tr2bl w:val="nil"/>
            </w:tcBorders>
            <w:vAlign w:val="center"/>
          </w:tcPr>
          <w:p w14:paraId="2F4491F2">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项目工程区未划定声功能区，区域声环境现状执行</w:t>
            </w:r>
            <w:r>
              <w:rPr>
                <w:rFonts w:hint="default" w:ascii="Times New Roman" w:hAnsi="Times New Roman" w:eastAsia="宋体" w:cs="Times New Roman"/>
                <w:color w:val="auto"/>
                <w:sz w:val="21"/>
                <w:szCs w:val="21"/>
                <w:u w:val="none" w:color="auto"/>
              </w:rPr>
              <w:t>《声环境质量标准》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GB3096-2008</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2类标准</w:t>
            </w:r>
          </w:p>
        </w:tc>
      </w:tr>
      <w:tr w14:paraId="02DB03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9B8DB0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2744" w:type="dxa"/>
            <w:tcBorders>
              <w:tl2br w:val="nil"/>
              <w:tr2bl w:val="nil"/>
            </w:tcBorders>
            <w:vAlign w:val="center"/>
          </w:tcPr>
          <w:p w14:paraId="6629C4B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是否基本农田保护区</w:t>
            </w:r>
          </w:p>
        </w:tc>
        <w:tc>
          <w:tcPr>
            <w:tcW w:w="5063" w:type="dxa"/>
            <w:tcBorders>
              <w:tl2br w:val="nil"/>
              <w:tr2bl w:val="nil"/>
            </w:tcBorders>
            <w:vAlign w:val="center"/>
          </w:tcPr>
          <w:p w14:paraId="6417706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3F8937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669551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2744" w:type="dxa"/>
            <w:tcBorders>
              <w:tl2br w:val="nil"/>
              <w:tr2bl w:val="nil"/>
            </w:tcBorders>
            <w:vAlign w:val="center"/>
          </w:tcPr>
          <w:p w14:paraId="7D36DAC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是否森林公园</w:t>
            </w:r>
          </w:p>
        </w:tc>
        <w:tc>
          <w:tcPr>
            <w:tcW w:w="5063" w:type="dxa"/>
            <w:tcBorders>
              <w:tl2br w:val="nil"/>
              <w:tr2bl w:val="nil"/>
            </w:tcBorders>
            <w:vAlign w:val="center"/>
          </w:tcPr>
          <w:p w14:paraId="22270F2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4115E9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166829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c>
          <w:tcPr>
            <w:tcW w:w="2744" w:type="dxa"/>
            <w:tcBorders>
              <w:tl2br w:val="nil"/>
              <w:tr2bl w:val="nil"/>
            </w:tcBorders>
            <w:vAlign w:val="center"/>
          </w:tcPr>
          <w:p w14:paraId="3FBE355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w:t>
            </w:r>
            <w:r>
              <w:rPr>
                <w:rFonts w:hint="default" w:ascii="Times New Roman" w:hAnsi="Times New Roman" w:cs="Times New Roman"/>
                <w:color w:val="auto"/>
                <w:sz w:val="21"/>
                <w:szCs w:val="21"/>
                <w:u w:val="none" w:color="auto"/>
                <w:lang w:val="en-US" w:eastAsia="zh-CN"/>
              </w:rPr>
              <w:t>自然保护区</w:t>
            </w:r>
            <w:r>
              <w:rPr>
                <w:rFonts w:hint="default" w:ascii="Times New Roman" w:hAnsi="Times New Roman" w:cs="Times New Roman"/>
                <w:color w:val="auto"/>
                <w:sz w:val="21"/>
                <w:szCs w:val="21"/>
                <w:u w:val="none" w:color="auto"/>
              </w:rPr>
              <w:t>区</w:t>
            </w:r>
          </w:p>
        </w:tc>
        <w:tc>
          <w:tcPr>
            <w:tcW w:w="5063" w:type="dxa"/>
            <w:tcBorders>
              <w:tl2br w:val="nil"/>
              <w:tr2bl w:val="nil"/>
            </w:tcBorders>
            <w:vAlign w:val="center"/>
          </w:tcPr>
          <w:p w14:paraId="0AC1C0C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2E9D2B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74CBB9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w:t>
            </w:r>
          </w:p>
        </w:tc>
        <w:tc>
          <w:tcPr>
            <w:tcW w:w="2744" w:type="dxa"/>
            <w:tcBorders>
              <w:tl2br w:val="nil"/>
              <w:tr2bl w:val="nil"/>
            </w:tcBorders>
            <w:vAlign w:val="center"/>
          </w:tcPr>
          <w:p w14:paraId="14A2206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是否</w:t>
            </w:r>
            <w:r>
              <w:rPr>
                <w:rFonts w:hint="default" w:ascii="Times New Roman" w:hAnsi="Times New Roman" w:cs="Times New Roman"/>
                <w:color w:val="auto"/>
                <w:sz w:val="21"/>
                <w:szCs w:val="21"/>
                <w:u w:val="none" w:color="auto"/>
              </w:rPr>
              <w:t>水土流失重点防治区</w:t>
            </w:r>
          </w:p>
        </w:tc>
        <w:tc>
          <w:tcPr>
            <w:tcW w:w="5063" w:type="dxa"/>
            <w:tcBorders>
              <w:tl2br w:val="nil"/>
              <w:tr2bl w:val="nil"/>
            </w:tcBorders>
            <w:vAlign w:val="center"/>
          </w:tcPr>
          <w:p w14:paraId="04DD18D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399854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3B11354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w:t>
            </w:r>
          </w:p>
        </w:tc>
        <w:tc>
          <w:tcPr>
            <w:tcW w:w="2744" w:type="dxa"/>
            <w:tcBorders>
              <w:tl2br w:val="nil"/>
              <w:tr2bl w:val="nil"/>
            </w:tcBorders>
            <w:vAlign w:val="center"/>
          </w:tcPr>
          <w:p w14:paraId="654B21D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是否人口密集区</w:t>
            </w:r>
          </w:p>
        </w:tc>
        <w:tc>
          <w:tcPr>
            <w:tcW w:w="5063" w:type="dxa"/>
            <w:tcBorders>
              <w:tl2br w:val="nil"/>
              <w:tr2bl w:val="nil"/>
            </w:tcBorders>
            <w:vAlign w:val="center"/>
          </w:tcPr>
          <w:p w14:paraId="5D6B885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54D7C1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29C4A9C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9</w:t>
            </w:r>
          </w:p>
        </w:tc>
        <w:tc>
          <w:tcPr>
            <w:tcW w:w="2744" w:type="dxa"/>
            <w:tcBorders>
              <w:tl2br w:val="nil"/>
              <w:tr2bl w:val="nil"/>
            </w:tcBorders>
            <w:vAlign w:val="center"/>
          </w:tcPr>
          <w:p w14:paraId="01925DB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是否</w:t>
            </w:r>
            <w:r>
              <w:rPr>
                <w:rFonts w:hint="default" w:ascii="Times New Roman" w:hAnsi="Times New Roman" w:cs="Times New Roman"/>
                <w:color w:val="auto"/>
                <w:sz w:val="21"/>
                <w:szCs w:val="21"/>
                <w:u w:val="none" w:color="auto"/>
              </w:rPr>
              <w:t>重点文物保护单位</w:t>
            </w:r>
          </w:p>
        </w:tc>
        <w:tc>
          <w:tcPr>
            <w:tcW w:w="5063" w:type="dxa"/>
            <w:tcBorders>
              <w:tl2br w:val="nil"/>
              <w:tr2bl w:val="nil"/>
            </w:tcBorders>
            <w:vAlign w:val="center"/>
          </w:tcPr>
          <w:p w14:paraId="3A668CAC">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否</w:t>
            </w:r>
          </w:p>
        </w:tc>
      </w:tr>
      <w:tr w14:paraId="7E4F81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50281AD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2744" w:type="dxa"/>
            <w:tcBorders>
              <w:tl2br w:val="nil"/>
              <w:tr2bl w:val="nil"/>
            </w:tcBorders>
            <w:vAlign w:val="center"/>
          </w:tcPr>
          <w:p w14:paraId="77CBC07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是否三河、三湖、两控区</w:t>
            </w:r>
          </w:p>
        </w:tc>
        <w:tc>
          <w:tcPr>
            <w:tcW w:w="5063" w:type="dxa"/>
            <w:tcBorders>
              <w:tl2br w:val="nil"/>
              <w:tr2bl w:val="nil"/>
            </w:tcBorders>
            <w:vAlign w:val="center"/>
          </w:tcPr>
          <w:p w14:paraId="061109BF">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否</w:t>
            </w:r>
          </w:p>
        </w:tc>
      </w:tr>
      <w:tr w14:paraId="21906F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B3CBB7B">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w:t>
            </w:r>
          </w:p>
        </w:tc>
        <w:tc>
          <w:tcPr>
            <w:tcW w:w="2744" w:type="dxa"/>
            <w:tcBorders>
              <w:tl2br w:val="nil"/>
              <w:tr2bl w:val="nil"/>
            </w:tcBorders>
            <w:vAlign w:val="center"/>
          </w:tcPr>
          <w:p w14:paraId="3D15735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是否水库库区</w:t>
            </w:r>
          </w:p>
        </w:tc>
        <w:tc>
          <w:tcPr>
            <w:tcW w:w="5063" w:type="dxa"/>
            <w:tcBorders>
              <w:tl2br w:val="nil"/>
              <w:tr2bl w:val="nil"/>
            </w:tcBorders>
            <w:vAlign w:val="center"/>
          </w:tcPr>
          <w:p w14:paraId="64EC18C3">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是</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lang w:val="en-US" w:eastAsia="zh-CN"/>
              </w:rPr>
              <w:t>按照廊洞水库保护相关要求执行</w:t>
            </w:r>
          </w:p>
        </w:tc>
      </w:tr>
      <w:tr w14:paraId="34F252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10C7EFD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w:t>
            </w:r>
          </w:p>
        </w:tc>
        <w:tc>
          <w:tcPr>
            <w:tcW w:w="2744" w:type="dxa"/>
            <w:tcBorders>
              <w:tl2br w:val="nil"/>
              <w:tr2bl w:val="nil"/>
            </w:tcBorders>
            <w:vAlign w:val="center"/>
          </w:tcPr>
          <w:p w14:paraId="2F9A211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是否污水处理厂集水范围</w:t>
            </w:r>
          </w:p>
        </w:tc>
        <w:tc>
          <w:tcPr>
            <w:tcW w:w="5063" w:type="dxa"/>
            <w:tcBorders>
              <w:tl2br w:val="nil"/>
              <w:tr2bl w:val="nil"/>
            </w:tcBorders>
            <w:vAlign w:val="center"/>
          </w:tcPr>
          <w:p w14:paraId="72ADD4DD">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否</w:t>
            </w:r>
          </w:p>
        </w:tc>
      </w:tr>
      <w:tr w14:paraId="3E72EF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006D185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13</w:t>
            </w:r>
          </w:p>
        </w:tc>
        <w:tc>
          <w:tcPr>
            <w:tcW w:w="2744" w:type="dxa"/>
            <w:tcBorders>
              <w:tl2br w:val="nil"/>
              <w:tr2bl w:val="nil"/>
            </w:tcBorders>
            <w:vAlign w:val="center"/>
          </w:tcPr>
          <w:p w14:paraId="45EA1A5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是否生态功能保护区</w:t>
            </w:r>
          </w:p>
        </w:tc>
        <w:tc>
          <w:tcPr>
            <w:tcW w:w="5063" w:type="dxa"/>
            <w:tcBorders>
              <w:tl2br w:val="nil"/>
              <w:tr2bl w:val="nil"/>
            </w:tcBorders>
            <w:vAlign w:val="center"/>
          </w:tcPr>
          <w:p w14:paraId="63C7457B">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否</w:t>
            </w:r>
          </w:p>
        </w:tc>
      </w:tr>
      <w:tr w14:paraId="015A49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0" w:type="dxa"/>
            <w:tcBorders>
              <w:tl2br w:val="nil"/>
              <w:tr2bl w:val="nil"/>
            </w:tcBorders>
            <w:vAlign w:val="center"/>
          </w:tcPr>
          <w:p w14:paraId="4A0FB5E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w:t>
            </w:r>
          </w:p>
        </w:tc>
        <w:tc>
          <w:tcPr>
            <w:tcW w:w="2744" w:type="dxa"/>
            <w:tcBorders>
              <w:tl2br w:val="nil"/>
              <w:tr2bl w:val="nil"/>
            </w:tcBorders>
            <w:vAlign w:val="center"/>
          </w:tcPr>
          <w:p w14:paraId="4511C4A3">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是否属于饮用水源保护区</w:t>
            </w:r>
          </w:p>
        </w:tc>
        <w:tc>
          <w:tcPr>
            <w:tcW w:w="5063" w:type="dxa"/>
            <w:tcBorders>
              <w:tl2br w:val="nil"/>
              <w:tr2bl w:val="nil"/>
            </w:tcBorders>
            <w:vAlign w:val="center"/>
          </w:tcPr>
          <w:p w14:paraId="6E291F9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是，永州市道县廊洞水库饮用水水源保护区</w:t>
            </w:r>
          </w:p>
        </w:tc>
      </w:tr>
    </w:tbl>
    <w:p w14:paraId="34AE3F4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评价标准</w:t>
      </w:r>
      <w:bookmarkEnd w:id="74"/>
      <w:bookmarkEnd w:id="75"/>
      <w:bookmarkEnd w:id="76"/>
    </w:p>
    <w:p w14:paraId="14D7F9E0">
      <w:pPr>
        <w:pStyle w:val="5"/>
        <w:bidi w:val="0"/>
        <w:rPr>
          <w:rFonts w:hint="default" w:ascii="Times New Roman" w:hAnsi="Times New Roman" w:cs="Times New Roman"/>
          <w:color w:val="auto"/>
          <w:u w:val="none" w:color="auto"/>
        </w:rPr>
      </w:pPr>
      <w:r>
        <w:rPr>
          <w:rFonts w:hint="default"/>
        </w:rPr>
        <w:t>环境质量标准</w:t>
      </w:r>
    </w:p>
    <w:p w14:paraId="7D83A24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w:t>
      </w:r>
    </w:p>
    <w:p w14:paraId="0096AC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根据评价区域的环境功能区划，环境空气执行《环境空气质量标准》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及其修改单</w:t>
      </w:r>
      <w:r>
        <w:rPr>
          <w:rFonts w:hint="default" w:ascii="Times New Roman" w:hAnsi="Times New Roman" w:cs="Times New Roman"/>
          <w:color w:val="auto"/>
          <w:u w:val="none" w:color="auto"/>
        </w:rPr>
        <w:t>中</w:t>
      </w:r>
      <w:r>
        <w:rPr>
          <w:rFonts w:hint="default" w:ascii="Times New Roman" w:hAnsi="Times New Roman" w:cs="Times New Roman"/>
          <w:color w:val="auto"/>
          <w:highlight w:val="none"/>
          <w:u w:val="none" w:color="auto"/>
        </w:rPr>
        <w:t>二级标准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具体详</w:t>
      </w:r>
      <w:r>
        <w:rPr>
          <w:rFonts w:hint="default" w:ascii="Times New Roman" w:hAnsi="Times New Roman" w:cs="Times New Roman"/>
          <w:color w:val="auto"/>
          <w:u w:val="none" w:color="auto"/>
        </w:rPr>
        <w:t>见表2.4-</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32318086">
      <w:pPr>
        <w:spacing w:line="240" w:lineRule="auto"/>
        <w:ind w:firstLine="306" w:firstLineChars="145"/>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表2.4-</w:t>
      </w:r>
      <w:r>
        <w:rPr>
          <w:rFonts w:hint="default" w:ascii="Times New Roman" w:hAnsi="Times New Roman" w:cs="Times New Roman"/>
          <w:b/>
          <w:color w:val="auto"/>
          <w:sz w:val="21"/>
          <w:u w:val="none" w:color="auto"/>
          <w:lang w:val="en-US" w:eastAsia="zh-CN"/>
        </w:rPr>
        <w:t xml:space="preserve">3  </w:t>
      </w:r>
      <w:r>
        <w:rPr>
          <w:rFonts w:hint="default" w:ascii="Times New Roman" w:hAnsi="Times New Roman" w:cs="Times New Roman"/>
          <w:b/>
          <w:color w:val="auto"/>
          <w:sz w:val="21"/>
          <w:u w:val="none" w:color="auto"/>
        </w:rPr>
        <w:t>环境空气质量评价指标限值</w:t>
      </w:r>
    </w:p>
    <w:tbl>
      <w:tblPr>
        <w:tblStyle w:val="37"/>
        <w:tblW w:w="852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96"/>
        <w:gridCol w:w="2526"/>
        <w:gridCol w:w="1349"/>
        <w:gridCol w:w="1170"/>
        <w:gridCol w:w="2183"/>
      </w:tblGrid>
      <w:tr w14:paraId="335A73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Align w:val="center"/>
          </w:tcPr>
          <w:p w14:paraId="19D3843E">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污染物</w:t>
            </w:r>
          </w:p>
        </w:tc>
        <w:tc>
          <w:tcPr>
            <w:tcW w:w="2526" w:type="dxa"/>
            <w:vAlign w:val="center"/>
          </w:tcPr>
          <w:p w14:paraId="704E0574">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平均时间</w:t>
            </w:r>
          </w:p>
        </w:tc>
        <w:tc>
          <w:tcPr>
            <w:tcW w:w="1349" w:type="dxa"/>
            <w:vAlign w:val="center"/>
          </w:tcPr>
          <w:p w14:paraId="40319C7F">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浓度限值</w:t>
            </w:r>
          </w:p>
        </w:tc>
        <w:tc>
          <w:tcPr>
            <w:tcW w:w="1170" w:type="dxa"/>
            <w:vAlign w:val="center"/>
          </w:tcPr>
          <w:p w14:paraId="7599370F">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单位</w:t>
            </w:r>
          </w:p>
        </w:tc>
        <w:tc>
          <w:tcPr>
            <w:tcW w:w="2183" w:type="dxa"/>
            <w:vAlign w:val="center"/>
          </w:tcPr>
          <w:p w14:paraId="7CC5040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标准来源</w:t>
            </w:r>
          </w:p>
        </w:tc>
      </w:tr>
      <w:tr w14:paraId="1BF6D9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0E98195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p>
        </w:tc>
        <w:tc>
          <w:tcPr>
            <w:tcW w:w="2526" w:type="dxa"/>
            <w:tcBorders>
              <w:bottom w:val="single" w:color="000000" w:sz="6" w:space="0"/>
            </w:tcBorders>
            <w:vAlign w:val="center"/>
          </w:tcPr>
          <w:p w14:paraId="7B04010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1999372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60</w:t>
            </w:r>
          </w:p>
        </w:tc>
        <w:tc>
          <w:tcPr>
            <w:tcW w:w="1170" w:type="dxa"/>
            <w:vMerge w:val="restart"/>
            <w:vAlign w:val="center"/>
          </w:tcPr>
          <w:p w14:paraId="450A279A">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µg/</w:t>
            </w:r>
            <w:r>
              <w:rPr>
                <w:rFonts w:hint="default" w:ascii="Times New Roman" w:hAnsi="Times New Roman" w:cs="Times New Roman"/>
                <w:color w:val="auto"/>
                <w:sz w:val="21"/>
                <w:szCs w:val="21"/>
                <w:u w:val="none" w:color="auto"/>
                <w:lang w:eastAsia="zh-CN"/>
              </w:rPr>
              <w:t>m³</w:t>
            </w:r>
          </w:p>
        </w:tc>
        <w:tc>
          <w:tcPr>
            <w:tcW w:w="2183" w:type="dxa"/>
            <w:vMerge w:val="restart"/>
            <w:vAlign w:val="center"/>
          </w:tcPr>
          <w:p w14:paraId="466E176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《环境空气质量标准》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GB3095-2012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及其修改单</w:t>
            </w:r>
          </w:p>
        </w:tc>
      </w:tr>
      <w:tr w14:paraId="03089D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6D38F9D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4EC8381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000000" w:sz="6" w:space="0"/>
            </w:tcBorders>
            <w:vAlign w:val="center"/>
          </w:tcPr>
          <w:p w14:paraId="092BC6F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150</w:t>
            </w:r>
          </w:p>
        </w:tc>
        <w:tc>
          <w:tcPr>
            <w:tcW w:w="1170" w:type="dxa"/>
            <w:vMerge w:val="continue"/>
            <w:vAlign w:val="center"/>
          </w:tcPr>
          <w:p w14:paraId="587E1A2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7DFF0470">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7CAD2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74CFB36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2B61E31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tcBorders>
            <w:vAlign w:val="center"/>
          </w:tcPr>
          <w:p w14:paraId="56BA0AE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500</w:t>
            </w:r>
          </w:p>
        </w:tc>
        <w:tc>
          <w:tcPr>
            <w:tcW w:w="1170" w:type="dxa"/>
            <w:vMerge w:val="continue"/>
            <w:vAlign w:val="center"/>
          </w:tcPr>
          <w:p w14:paraId="5244B3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9172723">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08F88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769A148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p>
        </w:tc>
        <w:tc>
          <w:tcPr>
            <w:tcW w:w="2526" w:type="dxa"/>
            <w:tcBorders>
              <w:bottom w:val="single" w:color="000000" w:sz="6" w:space="0"/>
            </w:tcBorders>
            <w:vAlign w:val="center"/>
          </w:tcPr>
          <w:p w14:paraId="7A5D7D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7836B4F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40</w:t>
            </w:r>
          </w:p>
        </w:tc>
        <w:tc>
          <w:tcPr>
            <w:tcW w:w="1170" w:type="dxa"/>
            <w:vMerge w:val="continue"/>
            <w:vAlign w:val="center"/>
          </w:tcPr>
          <w:p w14:paraId="780CBAA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7B9B3A4">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211554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1F4F98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2C75D65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000000" w:sz="6" w:space="0"/>
            </w:tcBorders>
            <w:vAlign w:val="center"/>
          </w:tcPr>
          <w:p w14:paraId="55DA7EB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80</w:t>
            </w:r>
          </w:p>
        </w:tc>
        <w:tc>
          <w:tcPr>
            <w:tcW w:w="1170" w:type="dxa"/>
            <w:vMerge w:val="continue"/>
            <w:vAlign w:val="center"/>
          </w:tcPr>
          <w:p w14:paraId="4B3A736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6ECD24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3269A7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4740D97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586344B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tcBorders>
            <w:vAlign w:val="center"/>
          </w:tcPr>
          <w:p w14:paraId="1E4CC0B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continue"/>
            <w:vAlign w:val="center"/>
          </w:tcPr>
          <w:p w14:paraId="33B0D04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623528F1">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7C3F55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53CFE0D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p>
        </w:tc>
        <w:tc>
          <w:tcPr>
            <w:tcW w:w="2526" w:type="dxa"/>
            <w:tcBorders>
              <w:bottom w:val="single" w:color="000000" w:sz="6" w:space="0"/>
            </w:tcBorders>
            <w:vAlign w:val="center"/>
          </w:tcPr>
          <w:p w14:paraId="580733D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55F4E75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70</w:t>
            </w:r>
          </w:p>
        </w:tc>
        <w:tc>
          <w:tcPr>
            <w:tcW w:w="1170" w:type="dxa"/>
            <w:vMerge w:val="continue"/>
            <w:vAlign w:val="center"/>
          </w:tcPr>
          <w:p w14:paraId="1BDA313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09012D4D">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562250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72B4C81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tcBorders>
            <w:vAlign w:val="center"/>
          </w:tcPr>
          <w:p w14:paraId="20E2861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tcBorders>
            <w:vAlign w:val="center"/>
          </w:tcPr>
          <w:p w14:paraId="4EC253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150</w:t>
            </w:r>
          </w:p>
        </w:tc>
        <w:tc>
          <w:tcPr>
            <w:tcW w:w="1170" w:type="dxa"/>
            <w:vMerge w:val="continue"/>
            <w:vAlign w:val="center"/>
          </w:tcPr>
          <w:p w14:paraId="4E7D93B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057B882D">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381DD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3D97DCF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p>
        </w:tc>
        <w:tc>
          <w:tcPr>
            <w:tcW w:w="2526" w:type="dxa"/>
            <w:tcBorders>
              <w:bottom w:val="single" w:color="000000" w:sz="6" w:space="0"/>
            </w:tcBorders>
            <w:vAlign w:val="center"/>
          </w:tcPr>
          <w:p w14:paraId="50991E4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bottom w:val="single" w:color="000000" w:sz="6" w:space="0"/>
            </w:tcBorders>
            <w:vAlign w:val="center"/>
          </w:tcPr>
          <w:p w14:paraId="1B06CD4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35</w:t>
            </w:r>
          </w:p>
        </w:tc>
        <w:tc>
          <w:tcPr>
            <w:tcW w:w="1170" w:type="dxa"/>
            <w:vMerge w:val="continue"/>
            <w:vAlign w:val="center"/>
          </w:tcPr>
          <w:p w14:paraId="073E7C7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B8CB7BA">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035C20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717B8A1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auto" w:sz="4" w:space="0"/>
            </w:tcBorders>
            <w:vAlign w:val="center"/>
          </w:tcPr>
          <w:p w14:paraId="34339CF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auto" w:sz="4" w:space="0"/>
            </w:tcBorders>
            <w:vAlign w:val="center"/>
          </w:tcPr>
          <w:p w14:paraId="708A079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75</w:t>
            </w:r>
          </w:p>
        </w:tc>
        <w:tc>
          <w:tcPr>
            <w:tcW w:w="1170" w:type="dxa"/>
            <w:vMerge w:val="continue"/>
            <w:tcBorders>
              <w:bottom w:val="single" w:color="000000" w:sz="6" w:space="0"/>
            </w:tcBorders>
            <w:vAlign w:val="center"/>
          </w:tcPr>
          <w:p w14:paraId="3C6FEEC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2FA136B9">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E0E75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tcBorders>
              <w:top w:val="single" w:color="auto" w:sz="4" w:space="0"/>
            </w:tcBorders>
            <w:vAlign w:val="center"/>
          </w:tcPr>
          <w:p w14:paraId="2593B3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O</w:t>
            </w:r>
            <w:r>
              <w:rPr>
                <w:rFonts w:hint="default" w:ascii="Times New Roman" w:hAnsi="Times New Roman" w:cs="Times New Roman"/>
                <w:color w:val="auto"/>
                <w:sz w:val="21"/>
                <w:szCs w:val="21"/>
                <w:u w:val="none" w:color="auto"/>
                <w:vertAlign w:val="subscript"/>
              </w:rPr>
              <w:t>3</w:t>
            </w:r>
          </w:p>
        </w:tc>
        <w:tc>
          <w:tcPr>
            <w:tcW w:w="2526" w:type="dxa"/>
            <w:tcBorders>
              <w:top w:val="single" w:color="auto" w:sz="4" w:space="0"/>
            </w:tcBorders>
            <w:vAlign w:val="center"/>
          </w:tcPr>
          <w:p w14:paraId="3D51074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auto" w:sz="4" w:space="0"/>
              <w:bottom w:val="single" w:color="000000" w:sz="6" w:space="0"/>
            </w:tcBorders>
            <w:vAlign w:val="center"/>
          </w:tcPr>
          <w:p w14:paraId="6BCDD36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160</w:t>
            </w:r>
          </w:p>
        </w:tc>
        <w:tc>
          <w:tcPr>
            <w:tcW w:w="1170" w:type="dxa"/>
            <w:vMerge w:val="continue"/>
            <w:tcBorders>
              <w:bottom w:val="single" w:color="000000" w:sz="6" w:space="0"/>
            </w:tcBorders>
            <w:vAlign w:val="center"/>
          </w:tcPr>
          <w:p w14:paraId="02C219F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47662C0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19D1BB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vAlign w:val="center"/>
          </w:tcPr>
          <w:p w14:paraId="681404C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000000" w:sz="6" w:space="0"/>
              <w:bottom w:val="single" w:color="000000" w:sz="6" w:space="0"/>
            </w:tcBorders>
            <w:vAlign w:val="center"/>
          </w:tcPr>
          <w:p w14:paraId="27D7646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000000" w:sz="6" w:space="0"/>
              <w:bottom w:val="single" w:color="000000" w:sz="6" w:space="0"/>
            </w:tcBorders>
            <w:vAlign w:val="center"/>
          </w:tcPr>
          <w:p w14:paraId="661B5C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continue"/>
            <w:tcBorders>
              <w:bottom w:val="single" w:color="000000" w:sz="6" w:space="0"/>
            </w:tcBorders>
            <w:vAlign w:val="center"/>
          </w:tcPr>
          <w:p w14:paraId="2525AC3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vAlign w:val="center"/>
          </w:tcPr>
          <w:p w14:paraId="1472B3C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2C128F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vAlign w:val="center"/>
          </w:tcPr>
          <w:p w14:paraId="6D49551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CO</w:t>
            </w:r>
          </w:p>
        </w:tc>
        <w:tc>
          <w:tcPr>
            <w:tcW w:w="2526" w:type="dxa"/>
            <w:tcBorders>
              <w:top w:val="single" w:color="000000" w:sz="6" w:space="0"/>
              <w:bottom w:val="single" w:color="auto" w:sz="4" w:space="0"/>
            </w:tcBorders>
            <w:vAlign w:val="center"/>
          </w:tcPr>
          <w:p w14:paraId="23CA9DE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000000" w:sz="6" w:space="0"/>
              <w:bottom w:val="single" w:color="auto" w:sz="4" w:space="0"/>
            </w:tcBorders>
            <w:vAlign w:val="center"/>
          </w:tcPr>
          <w:p w14:paraId="1E13226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1170" w:type="dxa"/>
            <w:vMerge w:val="restart"/>
            <w:tcBorders>
              <w:top w:val="single" w:color="000000" w:sz="6" w:space="0"/>
            </w:tcBorders>
            <w:vAlign w:val="center"/>
          </w:tcPr>
          <w:p w14:paraId="528D099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mg/</w:t>
            </w:r>
            <w:r>
              <w:rPr>
                <w:rFonts w:hint="default" w:ascii="Times New Roman" w:hAnsi="Times New Roman" w:cs="Times New Roman"/>
                <w:color w:val="auto"/>
                <w:sz w:val="21"/>
                <w:szCs w:val="21"/>
                <w:u w:val="none" w:color="auto"/>
                <w:lang w:eastAsia="zh-CN"/>
              </w:rPr>
              <w:t>m³</w:t>
            </w:r>
          </w:p>
        </w:tc>
        <w:tc>
          <w:tcPr>
            <w:tcW w:w="2183" w:type="dxa"/>
            <w:vMerge w:val="continue"/>
            <w:vAlign w:val="center"/>
          </w:tcPr>
          <w:p w14:paraId="19A13D8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D1257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2401C4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auto" w:sz="4" w:space="0"/>
              <w:bottom w:val="single" w:color="auto" w:sz="4" w:space="0"/>
            </w:tcBorders>
            <w:vAlign w:val="center"/>
          </w:tcPr>
          <w:p w14:paraId="298C36A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1小时平均</w:t>
            </w:r>
          </w:p>
        </w:tc>
        <w:tc>
          <w:tcPr>
            <w:tcW w:w="1349" w:type="dxa"/>
            <w:tcBorders>
              <w:top w:val="single" w:color="auto" w:sz="4" w:space="0"/>
              <w:bottom w:val="single" w:color="auto" w:sz="4" w:space="0"/>
            </w:tcBorders>
            <w:vAlign w:val="center"/>
          </w:tcPr>
          <w:p w14:paraId="6E3D883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1170" w:type="dxa"/>
            <w:vMerge w:val="continue"/>
            <w:tcBorders>
              <w:bottom w:val="single" w:color="auto" w:sz="4" w:space="0"/>
            </w:tcBorders>
            <w:vAlign w:val="center"/>
          </w:tcPr>
          <w:p w14:paraId="1E8006F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tcBorders>
              <w:bottom w:val="single" w:color="auto" w:sz="4" w:space="0"/>
            </w:tcBorders>
            <w:vAlign w:val="center"/>
          </w:tcPr>
          <w:p w14:paraId="55E2888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6C086D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restart"/>
            <w:tcBorders>
              <w:top w:val="single" w:color="auto" w:sz="4" w:space="0"/>
            </w:tcBorders>
            <w:vAlign w:val="center"/>
          </w:tcPr>
          <w:p w14:paraId="2FA36E8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TSP</w:t>
            </w:r>
          </w:p>
        </w:tc>
        <w:tc>
          <w:tcPr>
            <w:tcW w:w="2526" w:type="dxa"/>
            <w:tcBorders>
              <w:top w:val="single" w:color="auto" w:sz="4" w:space="0"/>
              <w:bottom w:val="single" w:color="auto" w:sz="4" w:space="0"/>
            </w:tcBorders>
            <w:vAlign w:val="center"/>
          </w:tcPr>
          <w:p w14:paraId="15CD785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年平均</w:t>
            </w:r>
          </w:p>
        </w:tc>
        <w:tc>
          <w:tcPr>
            <w:tcW w:w="1349" w:type="dxa"/>
            <w:tcBorders>
              <w:top w:val="single" w:color="auto" w:sz="4" w:space="0"/>
              <w:bottom w:val="single" w:color="auto" w:sz="4" w:space="0"/>
            </w:tcBorders>
            <w:vAlign w:val="center"/>
          </w:tcPr>
          <w:p w14:paraId="5AF02F8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c>
          <w:tcPr>
            <w:tcW w:w="1170" w:type="dxa"/>
            <w:vMerge w:val="restart"/>
            <w:tcBorders>
              <w:top w:val="single" w:color="auto" w:sz="4" w:space="0"/>
            </w:tcBorders>
            <w:vAlign w:val="center"/>
          </w:tcPr>
          <w:p w14:paraId="3E2B63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µg/</w:t>
            </w:r>
            <w:r>
              <w:rPr>
                <w:rFonts w:hint="default" w:ascii="Times New Roman" w:hAnsi="Times New Roman" w:cs="Times New Roman"/>
                <w:color w:val="auto"/>
                <w:sz w:val="21"/>
                <w:szCs w:val="21"/>
                <w:u w:val="none" w:color="auto"/>
                <w:lang w:eastAsia="zh-CN"/>
              </w:rPr>
              <w:t>m³</w:t>
            </w:r>
          </w:p>
        </w:tc>
        <w:tc>
          <w:tcPr>
            <w:tcW w:w="2183" w:type="dxa"/>
            <w:vMerge w:val="continue"/>
            <w:tcBorders>
              <w:bottom w:val="single" w:color="auto" w:sz="4" w:space="0"/>
            </w:tcBorders>
            <w:vAlign w:val="center"/>
          </w:tcPr>
          <w:p w14:paraId="53F4CCD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r w14:paraId="31745A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296" w:type="dxa"/>
            <w:vMerge w:val="continue"/>
            <w:tcBorders>
              <w:bottom w:val="single" w:color="auto" w:sz="4" w:space="0"/>
            </w:tcBorders>
            <w:vAlign w:val="center"/>
          </w:tcPr>
          <w:p w14:paraId="336C539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526" w:type="dxa"/>
            <w:tcBorders>
              <w:top w:val="single" w:color="auto" w:sz="4" w:space="0"/>
              <w:bottom w:val="single" w:color="auto" w:sz="4" w:space="0"/>
            </w:tcBorders>
            <w:vAlign w:val="center"/>
          </w:tcPr>
          <w:p w14:paraId="7B802EF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24小时平均</w:t>
            </w:r>
          </w:p>
        </w:tc>
        <w:tc>
          <w:tcPr>
            <w:tcW w:w="1349" w:type="dxa"/>
            <w:tcBorders>
              <w:top w:val="single" w:color="auto" w:sz="4" w:space="0"/>
              <w:bottom w:val="single" w:color="auto" w:sz="4" w:space="0"/>
            </w:tcBorders>
            <w:vAlign w:val="center"/>
          </w:tcPr>
          <w:p w14:paraId="304888B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300</w:t>
            </w:r>
          </w:p>
        </w:tc>
        <w:tc>
          <w:tcPr>
            <w:tcW w:w="1170" w:type="dxa"/>
            <w:vMerge w:val="continue"/>
            <w:tcBorders>
              <w:bottom w:val="single" w:color="auto" w:sz="4" w:space="0"/>
            </w:tcBorders>
            <w:vAlign w:val="center"/>
          </w:tcPr>
          <w:p w14:paraId="0FC1531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2183" w:type="dxa"/>
            <w:vMerge w:val="continue"/>
            <w:tcBorders>
              <w:bottom w:val="single" w:color="auto" w:sz="4" w:space="0"/>
            </w:tcBorders>
            <w:vAlign w:val="center"/>
          </w:tcPr>
          <w:p w14:paraId="5E5D5DBE">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r>
    </w:tbl>
    <w:p w14:paraId="4D705DB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地表水环境</w:t>
      </w:r>
    </w:p>
    <w:p w14:paraId="50B8075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廊洞水库</w:t>
      </w:r>
      <w:r>
        <w:rPr>
          <w:rFonts w:hint="eastAsia" w:cs="Times New Roman"/>
          <w:color w:val="auto"/>
          <w:u w:val="none" w:color="auto"/>
          <w:lang w:val="en-US" w:eastAsia="zh-CN"/>
        </w:rPr>
        <w:t>一级</w:t>
      </w:r>
      <w:r>
        <w:rPr>
          <w:rFonts w:hint="default" w:ascii="Times New Roman" w:hAnsi="Times New Roman" w:cs="Times New Roman"/>
          <w:color w:val="auto"/>
          <w:u w:val="none" w:color="auto"/>
          <w:lang w:val="en-US" w:eastAsia="zh-CN"/>
        </w:rPr>
        <w:t>饮用水源保护区执行</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eastAsia="宋体" w:cs="Times New Roman"/>
          <w:color w:val="auto"/>
          <w:u w:val="none" w:color="auto"/>
          <w:lang w:val="en-US" w:eastAsia="zh-CN"/>
        </w:rPr>
        <w:t>Ⅱ</w:t>
      </w:r>
      <w:r>
        <w:rPr>
          <w:rFonts w:hint="default" w:ascii="Times New Roman" w:hAnsi="Times New Roman" w:cs="Times New Roman"/>
          <w:color w:val="auto"/>
          <w:u w:val="none" w:color="auto"/>
        </w:rPr>
        <w:t>标准</w:t>
      </w:r>
      <w:r>
        <w:rPr>
          <w:rFonts w:hint="eastAsia"/>
          <w:lang w:eastAsia="zh-CN"/>
        </w:rPr>
        <w:t>，</w:t>
      </w:r>
      <w:r>
        <w:rPr>
          <w:rFonts w:hint="eastAsia"/>
          <w:lang w:val="en-US" w:eastAsia="zh-CN"/>
        </w:rPr>
        <w:t>二级饮用水源保护区</w:t>
      </w:r>
      <w:r>
        <w:rPr>
          <w:rFonts w:hint="default" w:ascii="Times New Roman" w:hAnsi="Times New Roman" w:cs="Times New Roman"/>
          <w:color w:val="auto"/>
          <w:u w:val="none" w:color="auto"/>
          <w:lang w:val="en-US" w:eastAsia="zh-CN"/>
        </w:rPr>
        <w:t>执行</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eastAsia" w:cs="Times New Roman"/>
          <w:color w:val="auto"/>
          <w:u w:val="none" w:color="auto"/>
          <w:lang w:val="en-US" w:eastAsia="zh-CN"/>
        </w:rPr>
        <w:t>Ⅲ</w:t>
      </w:r>
      <w:r>
        <w:rPr>
          <w:rFonts w:hint="default" w:ascii="Times New Roman" w:hAnsi="Times New Roman" w:cs="Times New Roman"/>
          <w:color w:val="auto"/>
          <w:u w:val="none" w:color="auto"/>
        </w:rPr>
        <w:t>标准</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大坝下游宜阳河</w:t>
      </w:r>
      <w:r>
        <w:rPr>
          <w:rFonts w:hint="default" w:ascii="Times New Roman" w:hAnsi="Times New Roman" w:cs="Times New Roman"/>
          <w:color w:val="auto"/>
          <w:u w:val="none" w:color="auto"/>
        </w:rPr>
        <w:t>执行《地表水环境质量标准》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eastAsia="宋体" w:cs="Times New Roman"/>
          <w:color w:val="auto"/>
          <w:u w:val="none" w:color="auto"/>
          <w:lang w:val="en-US" w:eastAsia="zh-CN"/>
        </w:rPr>
        <w:t>Ⅲ</w:t>
      </w:r>
      <w:r>
        <w:rPr>
          <w:rFonts w:hint="default" w:ascii="Times New Roman" w:hAnsi="Times New Roman" w:cs="Times New Roman"/>
          <w:color w:val="auto"/>
          <w:u w:val="none" w:color="auto"/>
        </w:rPr>
        <w:t>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污染因子标准限值详见表2.4-</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w:t>
      </w:r>
    </w:p>
    <w:p w14:paraId="729F66B5">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地表水环境质量标准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摘录</w:t>
      </w:r>
      <w:r>
        <w:rPr>
          <w:rFonts w:hint="eastAsia" w:cs="Times New Roman"/>
          <w:color w:val="auto"/>
          <w:u w:val="none" w:color="auto"/>
          <w:lang w:eastAsia="zh-CN"/>
        </w:rPr>
        <w:t>部分</w:t>
      </w:r>
      <w:r>
        <w:rPr>
          <w:rFonts w:hint="default" w:ascii="Times New Roman" w:hAnsi="Times New Roman" w:cs="Times New Roman"/>
          <w:color w:val="auto"/>
          <w:highlight w:val="none"/>
          <w:u w:val="none" w:color="auto"/>
          <w:lang w:eastAsia="zh-CN"/>
        </w:rPr>
        <w:t>)</w:t>
      </w:r>
    </w:p>
    <w:tbl>
      <w:tblPr>
        <w:tblStyle w:val="37"/>
        <w:tblW w:w="4950"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58"/>
        <w:gridCol w:w="2357"/>
        <w:gridCol w:w="1893"/>
        <w:gridCol w:w="3534"/>
      </w:tblGrid>
      <w:tr w14:paraId="545EEC1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83F583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2357" w:type="dxa"/>
            <w:tcBorders>
              <w:tl2br w:val="nil"/>
              <w:tr2bl w:val="nil"/>
            </w:tcBorders>
            <w:vAlign w:val="center"/>
          </w:tcPr>
          <w:p w14:paraId="3EDAB0D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检测项目</w:t>
            </w:r>
          </w:p>
        </w:tc>
        <w:tc>
          <w:tcPr>
            <w:tcW w:w="1893" w:type="dxa"/>
            <w:tcBorders>
              <w:tl2br w:val="nil"/>
              <w:tr2bl w:val="nil"/>
            </w:tcBorders>
            <w:vAlign w:val="center"/>
          </w:tcPr>
          <w:p w14:paraId="3774ED3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US" w:eastAsia="zh-CN"/>
              </w:rPr>
              <w:t>Ⅱ</w:t>
            </w:r>
            <w:r>
              <w:rPr>
                <w:rFonts w:hint="default" w:ascii="Times New Roman" w:hAnsi="Times New Roman" w:cs="Times New Roman"/>
                <w:color w:val="auto"/>
                <w:u w:val="none" w:color="auto"/>
              </w:rPr>
              <w:t>标准</w:t>
            </w:r>
          </w:p>
        </w:tc>
        <w:tc>
          <w:tcPr>
            <w:tcW w:w="3534" w:type="dxa"/>
            <w:tcBorders>
              <w:tl2br w:val="nil"/>
              <w:tr2bl w:val="nil"/>
            </w:tcBorders>
            <w:vAlign w:val="center"/>
          </w:tcPr>
          <w:p w14:paraId="68BEAB80">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GB3838-2002表1中</w:t>
            </w:r>
            <w:r>
              <w:rPr>
                <w:rFonts w:hint="default" w:ascii="Times New Roman" w:hAnsi="Times New Roman" w:cs="Times New Roman"/>
                <w:color w:val="auto"/>
                <w:sz w:val="21"/>
                <w:szCs w:val="21"/>
                <w:u w:val="none" w:color="auto"/>
              </w:rPr>
              <w:fldChar w:fldCharType="begin"/>
            </w:r>
            <w:r>
              <w:rPr>
                <w:rFonts w:hint="default" w:ascii="Times New Roman" w:hAnsi="Times New Roman" w:cs="Times New Roman"/>
                <w:color w:val="auto"/>
                <w:sz w:val="21"/>
                <w:szCs w:val="21"/>
                <w:u w:val="none" w:color="auto"/>
              </w:rPr>
              <w:instrText xml:space="preserve"> = 3 \* ROMAN \* MERGEFORMAT </w:instrText>
            </w:r>
            <w:r>
              <w:rPr>
                <w:rFonts w:hint="default" w:ascii="Times New Roman" w:hAnsi="Times New Roman" w:cs="Times New Roman"/>
                <w:color w:val="auto"/>
                <w:sz w:val="21"/>
                <w:szCs w:val="21"/>
                <w:u w:val="none" w:color="auto"/>
              </w:rPr>
              <w:fldChar w:fldCharType="separate"/>
            </w:r>
            <w:r>
              <w:rPr>
                <w:rFonts w:hint="default" w:ascii="Times New Roman" w:hAnsi="Times New Roman" w:cs="Times New Roman"/>
                <w:color w:val="auto"/>
                <w:sz w:val="21"/>
                <w:szCs w:val="21"/>
                <w:u w:val="none" w:color="auto"/>
              </w:rPr>
              <w:t>III</w:t>
            </w:r>
            <w:r>
              <w:rPr>
                <w:rFonts w:hint="default" w:ascii="Times New Roman" w:hAnsi="Times New Roman" w:cs="Times New Roman"/>
                <w:color w:val="auto"/>
                <w:sz w:val="21"/>
                <w:szCs w:val="21"/>
                <w:u w:val="none" w:color="auto"/>
              </w:rPr>
              <w:fldChar w:fldCharType="end"/>
            </w:r>
            <w:r>
              <w:rPr>
                <w:rFonts w:hint="default" w:ascii="Times New Roman" w:hAnsi="Times New Roman" w:cs="Times New Roman"/>
                <w:color w:val="auto"/>
                <w:sz w:val="21"/>
                <w:szCs w:val="21"/>
                <w:u w:val="none" w:color="auto"/>
              </w:rPr>
              <w:t>类标准</w:t>
            </w:r>
          </w:p>
        </w:tc>
      </w:tr>
      <w:tr w14:paraId="76005E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2944B0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w:t>
            </w:r>
          </w:p>
        </w:tc>
        <w:tc>
          <w:tcPr>
            <w:tcW w:w="2357" w:type="dxa"/>
            <w:tcBorders>
              <w:tl2br w:val="nil"/>
              <w:tr2bl w:val="nil"/>
            </w:tcBorders>
            <w:vAlign w:val="center"/>
          </w:tcPr>
          <w:p w14:paraId="543ABF5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水温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highlight w:val="none"/>
                <w:u w:val="none" w:color="auto"/>
                <w:lang w:eastAsia="zh-CN"/>
              </w:rPr>
              <w:t>)</w:t>
            </w:r>
          </w:p>
        </w:tc>
        <w:tc>
          <w:tcPr>
            <w:tcW w:w="5427" w:type="dxa"/>
            <w:gridSpan w:val="2"/>
            <w:tcBorders>
              <w:tl2br w:val="nil"/>
              <w:tr2bl w:val="nil"/>
            </w:tcBorders>
            <w:vAlign w:val="center"/>
          </w:tcPr>
          <w:p w14:paraId="2ED081F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人为造成的环境水温变化应限制在</w:t>
            </w:r>
            <w:r>
              <w:rPr>
                <w:rFonts w:hint="eastAsia" w:cs="Times New Roman"/>
                <w:color w:val="auto"/>
                <w:sz w:val="21"/>
                <w:szCs w:val="21"/>
                <w:u w:val="none" w:color="auto"/>
                <w:lang w:eastAsia="zh-CN"/>
              </w:rPr>
              <w:t>：</w:t>
            </w:r>
          </w:p>
          <w:p w14:paraId="520A217F">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周平均最大温升≤1、周平均最大温降≤2</w:t>
            </w:r>
          </w:p>
        </w:tc>
      </w:tr>
      <w:tr w14:paraId="5191C1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7BDFEE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w:t>
            </w:r>
          </w:p>
        </w:tc>
        <w:tc>
          <w:tcPr>
            <w:tcW w:w="2357" w:type="dxa"/>
            <w:tcBorders>
              <w:tl2br w:val="nil"/>
              <w:tr2bl w:val="nil"/>
            </w:tcBorders>
            <w:vAlign w:val="center"/>
          </w:tcPr>
          <w:p w14:paraId="3C4A71A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pH</w:t>
            </w:r>
            <w:r>
              <w:rPr>
                <w:rFonts w:hint="default" w:ascii="Times New Roman" w:hAnsi="Times New Roman" w:cs="Times New Roman"/>
                <w:color w:val="auto"/>
                <w:sz w:val="21"/>
                <w:szCs w:val="21"/>
                <w:u w:val="none" w:color="auto"/>
              </w:rPr>
              <w:t>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无量纲</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63B9581E">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6~9</w:t>
            </w:r>
          </w:p>
        </w:tc>
        <w:tc>
          <w:tcPr>
            <w:tcW w:w="3534" w:type="dxa"/>
            <w:tcBorders>
              <w:tl2br w:val="nil"/>
              <w:tr2bl w:val="nil"/>
            </w:tcBorders>
            <w:vAlign w:val="center"/>
          </w:tcPr>
          <w:p w14:paraId="07F8FF85">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6~9</w:t>
            </w:r>
          </w:p>
        </w:tc>
      </w:tr>
      <w:tr w14:paraId="54081FE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1E24D3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c>
          <w:tcPr>
            <w:tcW w:w="2357" w:type="dxa"/>
            <w:tcBorders>
              <w:tl2br w:val="nil"/>
              <w:tr2bl w:val="nil"/>
            </w:tcBorders>
            <w:vAlign w:val="center"/>
          </w:tcPr>
          <w:p w14:paraId="26DED11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溶解氧</w:t>
            </w:r>
          </w:p>
        </w:tc>
        <w:tc>
          <w:tcPr>
            <w:tcW w:w="1893" w:type="dxa"/>
            <w:tcBorders>
              <w:tl2br w:val="nil"/>
              <w:tr2bl w:val="nil"/>
            </w:tcBorders>
            <w:vAlign w:val="center"/>
          </w:tcPr>
          <w:p w14:paraId="1C0A2E8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6</w:t>
            </w:r>
          </w:p>
        </w:tc>
        <w:tc>
          <w:tcPr>
            <w:tcW w:w="3534" w:type="dxa"/>
            <w:tcBorders>
              <w:tl2br w:val="nil"/>
              <w:tr2bl w:val="nil"/>
            </w:tcBorders>
            <w:vAlign w:val="center"/>
          </w:tcPr>
          <w:p w14:paraId="1F583E1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r>
      <w:tr w14:paraId="3DA6B9B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2ADE87B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c>
          <w:tcPr>
            <w:tcW w:w="2357" w:type="dxa"/>
            <w:tcBorders>
              <w:tl2br w:val="nil"/>
              <w:tr2bl w:val="nil"/>
            </w:tcBorders>
            <w:vAlign w:val="center"/>
          </w:tcPr>
          <w:p w14:paraId="7220AC6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高锰酸盐指数</w:t>
            </w:r>
          </w:p>
        </w:tc>
        <w:tc>
          <w:tcPr>
            <w:tcW w:w="1893" w:type="dxa"/>
            <w:tcBorders>
              <w:tl2br w:val="nil"/>
              <w:tr2bl w:val="nil"/>
            </w:tcBorders>
            <w:vAlign w:val="center"/>
          </w:tcPr>
          <w:p w14:paraId="125D550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4</w:t>
            </w:r>
          </w:p>
        </w:tc>
        <w:tc>
          <w:tcPr>
            <w:tcW w:w="3534" w:type="dxa"/>
            <w:tcBorders>
              <w:tl2br w:val="nil"/>
              <w:tr2bl w:val="nil"/>
            </w:tcBorders>
            <w:vAlign w:val="center"/>
          </w:tcPr>
          <w:p w14:paraId="727AA127">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r>
      <w:tr w14:paraId="15A5406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F893C7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2357" w:type="dxa"/>
            <w:tcBorders>
              <w:tl2br w:val="nil"/>
              <w:tr2bl w:val="nil"/>
            </w:tcBorders>
            <w:vAlign w:val="center"/>
          </w:tcPr>
          <w:p w14:paraId="37AF15BD">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化学需氧量</w:t>
            </w:r>
          </w:p>
        </w:tc>
        <w:tc>
          <w:tcPr>
            <w:tcW w:w="1893" w:type="dxa"/>
            <w:tcBorders>
              <w:tl2br w:val="nil"/>
              <w:tr2bl w:val="nil"/>
            </w:tcBorders>
            <w:vAlign w:val="center"/>
          </w:tcPr>
          <w:p w14:paraId="21DD65C6">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15</w:t>
            </w:r>
          </w:p>
        </w:tc>
        <w:tc>
          <w:tcPr>
            <w:tcW w:w="3534" w:type="dxa"/>
            <w:tcBorders>
              <w:tl2br w:val="nil"/>
              <w:tr2bl w:val="nil"/>
            </w:tcBorders>
            <w:vAlign w:val="center"/>
          </w:tcPr>
          <w:p w14:paraId="3784176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r>
      <w:tr w14:paraId="1D18B7D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04C4B7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w:t>
            </w:r>
          </w:p>
        </w:tc>
        <w:tc>
          <w:tcPr>
            <w:tcW w:w="2357" w:type="dxa"/>
            <w:tcBorders>
              <w:tl2br w:val="nil"/>
              <w:tr2bl w:val="nil"/>
            </w:tcBorders>
            <w:vAlign w:val="center"/>
          </w:tcPr>
          <w:p w14:paraId="7326CE2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五日生化需氧量</w:t>
            </w:r>
          </w:p>
        </w:tc>
        <w:tc>
          <w:tcPr>
            <w:tcW w:w="1893" w:type="dxa"/>
            <w:tcBorders>
              <w:tl2br w:val="nil"/>
              <w:tr2bl w:val="nil"/>
            </w:tcBorders>
            <w:vAlign w:val="center"/>
          </w:tcPr>
          <w:p w14:paraId="6FD4F905">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3</w:t>
            </w:r>
          </w:p>
        </w:tc>
        <w:tc>
          <w:tcPr>
            <w:tcW w:w="3534" w:type="dxa"/>
            <w:tcBorders>
              <w:tl2br w:val="nil"/>
              <w:tr2bl w:val="nil"/>
            </w:tcBorders>
            <w:vAlign w:val="center"/>
          </w:tcPr>
          <w:p w14:paraId="6F40360D">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w:t>
            </w:r>
          </w:p>
        </w:tc>
      </w:tr>
      <w:tr w14:paraId="4773C29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8889CF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7</w:t>
            </w:r>
          </w:p>
        </w:tc>
        <w:tc>
          <w:tcPr>
            <w:tcW w:w="2357" w:type="dxa"/>
            <w:tcBorders>
              <w:tl2br w:val="nil"/>
              <w:tr2bl w:val="nil"/>
            </w:tcBorders>
            <w:vAlign w:val="center"/>
          </w:tcPr>
          <w:p w14:paraId="4C5658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氨氮</w:t>
            </w:r>
          </w:p>
        </w:tc>
        <w:tc>
          <w:tcPr>
            <w:tcW w:w="1893" w:type="dxa"/>
            <w:tcBorders>
              <w:tl2br w:val="nil"/>
              <w:tr2bl w:val="nil"/>
            </w:tcBorders>
            <w:vAlign w:val="center"/>
          </w:tcPr>
          <w:p w14:paraId="271FC1BD">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0.5</w:t>
            </w:r>
          </w:p>
        </w:tc>
        <w:tc>
          <w:tcPr>
            <w:tcW w:w="3534" w:type="dxa"/>
            <w:tcBorders>
              <w:tl2br w:val="nil"/>
              <w:tr2bl w:val="nil"/>
            </w:tcBorders>
            <w:vAlign w:val="center"/>
          </w:tcPr>
          <w:p w14:paraId="351EA2CC">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3FF26C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789A45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8</w:t>
            </w:r>
          </w:p>
        </w:tc>
        <w:tc>
          <w:tcPr>
            <w:tcW w:w="2357" w:type="dxa"/>
            <w:tcBorders>
              <w:tl2br w:val="nil"/>
              <w:tr2bl w:val="nil"/>
            </w:tcBorders>
            <w:vAlign w:val="center"/>
          </w:tcPr>
          <w:p w14:paraId="4B193EB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总磷</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以P计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2F80DD0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湖、库0.025</w:t>
            </w:r>
            <w:r>
              <w:rPr>
                <w:rFonts w:hint="default" w:ascii="Times New Roman" w:hAnsi="Times New Roman" w:cs="Times New Roman"/>
                <w:color w:val="auto"/>
                <w:sz w:val="21"/>
                <w:szCs w:val="21"/>
                <w:highlight w:val="none"/>
                <w:u w:val="none" w:color="auto"/>
                <w:lang w:eastAsia="zh-CN"/>
              </w:rPr>
              <w:t>)</w:t>
            </w:r>
          </w:p>
        </w:tc>
        <w:tc>
          <w:tcPr>
            <w:tcW w:w="3534" w:type="dxa"/>
            <w:tcBorders>
              <w:tl2br w:val="nil"/>
              <w:tr2bl w:val="nil"/>
            </w:tcBorders>
            <w:vAlign w:val="center"/>
          </w:tcPr>
          <w:p w14:paraId="73DF3FA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≤0.2</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val="en-US" w:eastAsia="zh-CN"/>
              </w:rPr>
              <w:t>湖、库0.05</w:t>
            </w:r>
            <w:r>
              <w:rPr>
                <w:rFonts w:hint="default" w:ascii="Times New Roman" w:hAnsi="Times New Roman" w:cs="Times New Roman"/>
                <w:color w:val="auto"/>
                <w:sz w:val="21"/>
                <w:szCs w:val="21"/>
                <w:highlight w:val="none"/>
                <w:u w:val="none" w:color="auto"/>
                <w:lang w:eastAsia="zh-CN"/>
              </w:rPr>
              <w:t>)</w:t>
            </w:r>
          </w:p>
        </w:tc>
      </w:tr>
      <w:tr w14:paraId="77B4F9C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ABDEFD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9</w:t>
            </w:r>
          </w:p>
        </w:tc>
        <w:tc>
          <w:tcPr>
            <w:tcW w:w="2357" w:type="dxa"/>
            <w:tcBorders>
              <w:tl2br w:val="nil"/>
              <w:tr2bl w:val="nil"/>
            </w:tcBorders>
            <w:vAlign w:val="center"/>
          </w:tcPr>
          <w:p w14:paraId="5259FCF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总氮</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5BB77E3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0.5</w:t>
            </w:r>
          </w:p>
        </w:tc>
        <w:tc>
          <w:tcPr>
            <w:tcW w:w="3534" w:type="dxa"/>
            <w:tcBorders>
              <w:tl2br w:val="nil"/>
              <w:tr2bl w:val="nil"/>
            </w:tcBorders>
            <w:vAlign w:val="center"/>
          </w:tcPr>
          <w:p w14:paraId="03B0EC6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03476AC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DF8131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2357" w:type="dxa"/>
            <w:tcBorders>
              <w:tl2br w:val="nil"/>
              <w:tr2bl w:val="nil"/>
            </w:tcBorders>
            <w:vAlign w:val="center"/>
          </w:tcPr>
          <w:p w14:paraId="37CBFFC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铜</w:t>
            </w:r>
          </w:p>
        </w:tc>
        <w:tc>
          <w:tcPr>
            <w:tcW w:w="1893" w:type="dxa"/>
            <w:tcBorders>
              <w:tl2br w:val="nil"/>
              <w:tr2bl w:val="nil"/>
            </w:tcBorders>
            <w:vAlign w:val="center"/>
          </w:tcPr>
          <w:p w14:paraId="5C9B0F3F">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4D19B3B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EF32B8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FC3A68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w:t>
            </w:r>
          </w:p>
        </w:tc>
        <w:tc>
          <w:tcPr>
            <w:tcW w:w="2357" w:type="dxa"/>
            <w:tcBorders>
              <w:tl2br w:val="nil"/>
              <w:tr2bl w:val="nil"/>
            </w:tcBorders>
            <w:vAlign w:val="center"/>
          </w:tcPr>
          <w:p w14:paraId="2A9CCD4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锌</w:t>
            </w:r>
          </w:p>
        </w:tc>
        <w:tc>
          <w:tcPr>
            <w:tcW w:w="1893" w:type="dxa"/>
            <w:tcBorders>
              <w:tl2br w:val="nil"/>
              <w:tr2bl w:val="nil"/>
            </w:tcBorders>
            <w:vAlign w:val="center"/>
          </w:tcPr>
          <w:p w14:paraId="2CE3CF1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4109075F">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4BAE30B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B239C7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w:t>
            </w:r>
          </w:p>
        </w:tc>
        <w:tc>
          <w:tcPr>
            <w:tcW w:w="2357" w:type="dxa"/>
            <w:tcBorders>
              <w:tl2br w:val="nil"/>
              <w:tr2bl w:val="nil"/>
            </w:tcBorders>
            <w:vAlign w:val="center"/>
          </w:tcPr>
          <w:p w14:paraId="65EDEB0C">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氟化物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以F</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4BEB04F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1.0</w:t>
            </w:r>
          </w:p>
        </w:tc>
        <w:tc>
          <w:tcPr>
            <w:tcW w:w="3534" w:type="dxa"/>
            <w:tcBorders>
              <w:tl2br w:val="nil"/>
              <w:tr2bl w:val="nil"/>
            </w:tcBorders>
            <w:vAlign w:val="center"/>
          </w:tcPr>
          <w:p w14:paraId="7684A7D0">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66482FD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13B7215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13</w:t>
            </w:r>
          </w:p>
        </w:tc>
        <w:tc>
          <w:tcPr>
            <w:tcW w:w="2357" w:type="dxa"/>
            <w:tcBorders>
              <w:tl2br w:val="nil"/>
              <w:tr2bl w:val="nil"/>
            </w:tcBorders>
            <w:vAlign w:val="center"/>
          </w:tcPr>
          <w:p w14:paraId="67C2A343">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硒</w:t>
            </w:r>
          </w:p>
        </w:tc>
        <w:tc>
          <w:tcPr>
            <w:tcW w:w="1893" w:type="dxa"/>
            <w:tcBorders>
              <w:tl2br w:val="nil"/>
              <w:tr2bl w:val="nil"/>
            </w:tcBorders>
            <w:vAlign w:val="center"/>
          </w:tcPr>
          <w:p w14:paraId="5A4DE25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c>
          <w:tcPr>
            <w:tcW w:w="3534" w:type="dxa"/>
            <w:tcBorders>
              <w:tl2br w:val="nil"/>
              <w:tr2bl w:val="nil"/>
            </w:tcBorders>
            <w:vAlign w:val="center"/>
          </w:tcPr>
          <w:p w14:paraId="56763217">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≤0.01</w:t>
            </w:r>
          </w:p>
        </w:tc>
      </w:tr>
      <w:tr w14:paraId="5D9E147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296061D0">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w:t>
            </w:r>
          </w:p>
        </w:tc>
        <w:tc>
          <w:tcPr>
            <w:tcW w:w="2357" w:type="dxa"/>
            <w:tcBorders>
              <w:tl2br w:val="nil"/>
              <w:tr2bl w:val="nil"/>
            </w:tcBorders>
            <w:vAlign w:val="center"/>
          </w:tcPr>
          <w:p w14:paraId="2A142A9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砷</w:t>
            </w:r>
          </w:p>
        </w:tc>
        <w:tc>
          <w:tcPr>
            <w:tcW w:w="1893" w:type="dxa"/>
            <w:tcBorders>
              <w:tl2br w:val="nil"/>
              <w:tr2bl w:val="nil"/>
            </w:tcBorders>
            <w:vAlign w:val="center"/>
          </w:tcPr>
          <w:p w14:paraId="0BF6815A">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0949E44E">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2855F3A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6328CB1">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w:t>
            </w:r>
          </w:p>
        </w:tc>
        <w:tc>
          <w:tcPr>
            <w:tcW w:w="2357" w:type="dxa"/>
            <w:tcBorders>
              <w:tl2br w:val="nil"/>
              <w:tr2bl w:val="nil"/>
            </w:tcBorders>
            <w:vAlign w:val="center"/>
          </w:tcPr>
          <w:p w14:paraId="533EA0F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汞</w:t>
            </w:r>
          </w:p>
        </w:tc>
        <w:tc>
          <w:tcPr>
            <w:tcW w:w="1893" w:type="dxa"/>
            <w:tcBorders>
              <w:tl2br w:val="nil"/>
              <w:tr2bl w:val="nil"/>
            </w:tcBorders>
            <w:vAlign w:val="center"/>
          </w:tcPr>
          <w:p w14:paraId="4129D92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0.00005</w:t>
            </w:r>
          </w:p>
        </w:tc>
        <w:tc>
          <w:tcPr>
            <w:tcW w:w="3534" w:type="dxa"/>
            <w:tcBorders>
              <w:tl2br w:val="nil"/>
              <w:tr2bl w:val="nil"/>
            </w:tcBorders>
            <w:vAlign w:val="center"/>
          </w:tcPr>
          <w:p w14:paraId="425E8BA1">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≤0.0001</w:t>
            </w:r>
          </w:p>
        </w:tc>
      </w:tr>
      <w:tr w14:paraId="226003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321869F4">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16</w:t>
            </w:r>
          </w:p>
        </w:tc>
        <w:tc>
          <w:tcPr>
            <w:tcW w:w="2357" w:type="dxa"/>
            <w:tcBorders>
              <w:tl2br w:val="nil"/>
              <w:tr2bl w:val="nil"/>
            </w:tcBorders>
            <w:vAlign w:val="center"/>
          </w:tcPr>
          <w:p w14:paraId="0829462A">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镉</w:t>
            </w:r>
          </w:p>
        </w:tc>
        <w:tc>
          <w:tcPr>
            <w:tcW w:w="1893" w:type="dxa"/>
            <w:tcBorders>
              <w:tl2br w:val="nil"/>
              <w:tr2bl w:val="nil"/>
            </w:tcBorders>
            <w:vAlign w:val="center"/>
          </w:tcPr>
          <w:p w14:paraId="538F5B5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0.005</w:t>
            </w:r>
          </w:p>
        </w:tc>
        <w:tc>
          <w:tcPr>
            <w:tcW w:w="3534" w:type="dxa"/>
            <w:tcBorders>
              <w:tl2br w:val="nil"/>
              <w:tr2bl w:val="nil"/>
            </w:tcBorders>
            <w:vAlign w:val="center"/>
          </w:tcPr>
          <w:p w14:paraId="0A74D0F9">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≤0.005</w:t>
            </w:r>
          </w:p>
        </w:tc>
      </w:tr>
      <w:tr w14:paraId="3DA18D4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C12DDD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17</w:t>
            </w:r>
          </w:p>
        </w:tc>
        <w:tc>
          <w:tcPr>
            <w:tcW w:w="2357" w:type="dxa"/>
            <w:tcBorders>
              <w:tl2br w:val="nil"/>
              <w:tr2bl w:val="nil"/>
            </w:tcBorders>
            <w:vAlign w:val="center"/>
          </w:tcPr>
          <w:p w14:paraId="4055FBAD">
            <w:pPr>
              <w:pStyle w:val="85"/>
              <w:keepNext w:val="0"/>
              <w:keepLines w:val="0"/>
              <w:pageBreakBefore w:val="0"/>
              <w:widowControl w:val="0"/>
              <w:kinsoku/>
              <w:wordWrap/>
              <w:overflowPunct/>
              <w:topLinePunct w:val="0"/>
              <w:autoSpaceDE/>
              <w:autoSpaceDN/>
              <w:bidi w:val="0"/>
              <w:adjustRightInd/>
              <w:spacing w:line="240" w:lineRule="auto"/>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铬(六价)</w:t>
            </w:r>
          </w:p>
        </w:tc>
        <w:tc>
          <w:tcPr>
            <w:tcW w:w="1893" w:type="dxa"/>
            <w:tcBorders>
              <w:tl2br w:val="nil"/>
              <w:tr2bl w:val="nil"/>
            </w:tcBorders>
            <w:vAlign w:val="center"/>
          </w:tcPr>
          <w:p w14:paraId="7D7CB4E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7E2C6AC8">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295BCF6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F2575B9">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18</w:t>
            </w:r>
          </w:p>
        </w:tc>
        <w:tc>
          <w:tcPr>
            <w:tcW w:w="2357" w:type="dxa"/>
            <w:tcBorders>
              <w:tl2br w:val="nil"/>
              <w:tr2bl w:val="nil"/>
            </w:tcBorders>
            <w:vAlign w:val="center"/>
          </w:tcPr>
          <w:p w14:paraId="2F05852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铅</w:t>
            </w:r>
          </w:p>
        </w:tc>
        <w:tc>
          <w:tcPr>
            <w:tcW w:w="1893" w:type="dxa"/>
            <w:tcBorders>
              <w:tl2br w:val="nil"/>
              <w:tr2bl w:val="nil"/>
            </w:tcBorders>
            <w:vAlign w:val="center"/>
          </w:tcPr>
          <w:p w14:paraId="33E1FB5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c>
          <w:tcPr>
            <w:tcW w:w="3534" w:type="dxa"/>
            <w:tcBorders>
              <w:tl2br w:val="nil"/>
              <w:tr2bl w:val="nil"/>
            </w:tcBorders>
            <w:vAlign w:val="center"/>
          </w:tcPr>
          <w:p w14:paraId="56FF04DC">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656701D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F51D7DA">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19</w:t>
            </w:r>
          </w:p>
        </w:tc>
        <w:tc>
          <w:tcPr>
            <w:tcW w:w="2357" w:type="dxa"/>
            <w:tcBorders>
              <w:tl2br w:val="nil"/>
              <w:tr2bl w:val="nil"/>
            </w:tcBorders>
            <w:vAlign w:val="center"/>
          </w:tcPr>
          <w:p w14:paraId="6FFC4997">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氰化物</w:t>
            </w:r>
          </w:p>
        </w:tc>
        <w:tc>
          <w:tcPr>
            <w:tcW w:w="1893" w:type="dxa"/>
            <w:tcBorders>
              <w:tl2br w:val="nil"/>
              <w:tr2bl w:val="nil"/>
            </w:tcBorders>
            <w:vAlign w:val="center"/>
          </w:tcPr>
          <w:p w14:paraId="0E1E636A">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30071B35">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567563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01E13C1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c>
          <w:tcPr>
            <w:tcW w:w="2357" w:type="dxa"/>
            <w:tcBorders>
              <w:tl2br w:val="nil"/>
              <w:tr2bl w:val="nil"/>
            </w:tcBorders>
            <w:vAlign w:val="center"/>
          </w:tcPr>
          <w:p w14:paraId="19FD93C6">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挥发酚</w:t>
            </w:r>
          </w:p>
        </w:tc>
        <w:tc>
          <w:tcPr>
            <w:tcW w:w="1893" w:type="dxa"/>
            <w:tcBorders>
              <w:tl2br w:val="nil"/>
              <w:tr2bl w:val="nil"/>
            </w:tcBorders>
            <w:vAlign w:val="center"/>
          </w:tcPr>
          <w:p w14:paraId="736420B1">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0.002</w:t>
            </w:r>
          </w:p>
        </w:tc>
        <w:tc>
          <w:tcPr>
            <w:tcW w:w="3534" w:type="dxa"/>
            <w:tcBorders>
              <w:tl2br w:val="nil"/>
              <w:tr2bl w:val="nil"/>
            </w:tcBorders>
            <w:vAlign w:val="center"/>
          </w:tcPr>
          <w:p w14:paraId="0E4052A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≤0.005</w:t>
            </w:r>
          </w:p>
        </w:tc>
      </w:tr>
      <w:tr w14:paraId="7648452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463F53E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21</w:t>
            </w:r>
          </w:p>
        </w:tc>
        <w:tc>
          <w:tcPr>
            <w:tcW w:w="2357" w:type="dxa"/>
            <w:tcBorders>
              <w:tl2br w:val="nil"/>
              <w:tr2bl w:val="nil"/>
            </w:tcBorders>
            <w:vAlign w:val="center"/>
          </w:tcPr>
          <w:p w14:paraId="312047D5">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石油类</w:t>
            </w:r>
          </w:p>
        </w:tc>
        <w:tc>
          <w:tcPr>
            <w:tcW w:w="1893" w:type="dxa"/>
            <w:tcBorders>
              <w:tl2br w:val="nil"/>
              <w:tr2bl w:val="nil"/>
            </w:tcBorders>
            <w:vAlign w:val="center"/>
          </w:tcPr>
          <w:p w14:paraId="3021B5E3">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c>
          <w:tcPr>
            <w:tcW w:w="3534" w:type="dxa"/>
            <w:tcBorders>
              <w:tl2br w:val="nil"/>
              <w:tr2bl w:val="nil"/>
            </w:tcBorders>
            <w:vAlign w:val="center"/>
          </w:tcPr>
          <w:p w14:paraId="21113834">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w:t>
            </w:r>
          </w:p>
        </w:tc>
      </w:tr>
      <w:tr w14:paraId="7F13F07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7D8C6C9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22</w:t>
            </w:r>
          </w:p>
        </w:tc>
        <w:tc>
          <w:tcPr>
            <w:tcW w:w="2357" w:type="dxa"/>
            <w:tcBorders>
              <w:tl2br w:val="nil"/>
              <w:tr2bl w:val="nil"/>
            </w:tcBorders>
            <w:vAlign w:val="center"/>
          </w:tcPr>
          <w:p w14:paraId="228FA22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阴离子表面活性剂</w:t>
            </w:r>
          </w:p>
        </w:tc>
        <w:tc>
          <w:tcPr>
            <w:tcW w:w="1893" w:type="dxa"/>
            <w:tcBorders>
              <w:tl2br w:val="nil"/>
              <w:tr2bl w:val="nil"/>
            </w:tcBorders>
            <w:vAlign w:val="center"/>
          </w:tcPr>
          <w:p w14:paraId="362C7E69">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0.2</w:t>
            </w:r>
          </w:p>
        </w:tc>
        <w:tc>
          <w:tcPr>
            <w:tcW w:w="3534" w:type="dxa"/>
            <w:tcBorders>
              <w:tl2br w:val="nil"/>
              <w:tr2bl w:val="nil"/>
            </w:tcBorders>
            <w:vAlign w:val="center"/>
          </w:tcPr>
          <w:p w14:paraId="0735537B">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6A69107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8" w:type="dxa"/>
            <w:tcBorders>
              <w:tl2br w:val="nil"/>
              <w:tr2bl w:val="nil"/>
            </w:tcBorders>
            <w:vAlign w:val="center"/>
          </w:tcPr>
          <w:p w14:paraId="7EF0AA7F">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23</w:t>
            </w:r>
          </w:p>
        </w:tc>
        <w:tc>
          <w:tcPr>
            <w:tcW w:w="2357" w:type="dxa"/>
            <w:tcBorders>
              <w:tl2br w:val="nil"/>
              <w:tr2bl w:val="nil"/>
            </w:tcBorders>
            <w:vAlign w:val="center"/>
          </w:tcPr>
          <w:p w14:paraId="3052B5A8">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硫化物</w:t>
            </w:r>
          </w:p>
        </w:tc>
        <w:tc>
          <w:tcPr>
            <w:tcW w:w="1893" w:type="dxa"/>
            <w:tcBorders>
              <w:tl2br w:val="nil"/>
              <w:tr2bl w:val="nil"/>
            </w:tcBorders>
            <w:vAlign w:val="center"/>
          </w:tcPr>
          <w:p w14:paraId="24632962">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p>
        </w:tc>
        <w:tc>
          <w:tcPr>
            <w:tcW w:w="3534" w:type="dxa"/>
            <w:tcBorders>
              <w:tl2br w:val="nil"/>
              <w:tr2bl w:val="nil"/>
            </w:tcBorders>
            <w:vAlign w:val="center"/>
          </w:tcPr>
          <w:p w14:paraId="610516D3">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r>
      <w:tr w14:paraId="08084A4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vAlign w:val="center"/>
          </w:tcPr>
          <w:p w14:paraId="665229BB">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24</w:t>
            </w:r>
          </w:p>
        </w:tc>
        <w:tc>
          <w:tcPr>
            <w:tcW w:w="2357" w:type="dxa"/>
            <w:tcBorders>
              <w:tl2br w:val="nil"/>
              <w:tr2bl w:val="nil"/>
            </w:tcBorders>
            <w:vAlign w:val="center"/>
          </w:tcPr>
          <w:p w14:paraId="4509689E">
            <w:pPr>
              <w:pStyle w:val="85"/>
              <w:keepNext w:val="0"/>
              <w:keepLines w:val="0"/>
              <w:pageBreakBefore w:val="0"/>
              <w:widowControl w:val="0"/>
              <w:kinsoku/>
              <w:wordWrap/>
              <w:overflowPunct/>
              <w:topLinePunct w:val="0"/>
              <w:autoSpaceDE/>
              <w:autoSpaceDN/>
              <w:bidi w:val="0"/>
              <w:adjustRightIn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粪大肠菌群</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个/L</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vAlign w:val="center"/>
          </w:tcPr>
          <w:p w14:paraId="275495EE">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2000</w:t>
            </w:r>
          </w:p>
        </w:tc>
        <w:tc>
          <w:tcPr>
            <w:tcW w:w="3534" w:type="dxa"/>
            <w:tcBorders>
              <w:tl2br w:val="nil"/>
              <w:tr2bl w:val="nil"/>
            </w:tcBorders>
            <w:vAlign w:val="center"/>
          </w:tcPr>
          <w:p w14:paraId="5CEF0209">
            <w:pPr>
              <w:pStyle w:val="85"/>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≤10000</w:t>
            </w:r>
          </w:p>
        </w:tc>
      </w:tr>
      <w:tr w14:paraId="27BAE79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56FF057">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25</w:t>
            </w:r>
          </w:p>
        </w:tc>
        <w:tc>
          <w:tcPr>
            <w:tcW w:w="2357" w:type="dxa"/>
            <w:tcBorders>
              <w:tl2br w:val="nil"/>
              <w:tr2bl w:val="nil"/>
            </w:tcBorders>
            <w:shd w:val="clear" w:color="auto" w:fill="auto"/>
            <w:vAlign w:val="center"/>
          </w:tcPr>
          <w:p w14:paraId="7EB0FD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硫酸盐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以SO</w:t>
            </w:r>
            <w:r>
              <w:rPr>
                <w:rFonts w:hint="default" w:ascii="Times New Roman" w:hAnsi="Times New Roman" w:cs="Times New Roman"/>
                <w:color w:val="auto"/>
                <w:sz w:val="21"/>
                <w:szCs w:val="21"/>
                <w:u w:val="none" w:color="auto"/>
                <w:vertAlign w:val="subscript"/>
              </w:rPr>
              <w:t>4</w:t>
            </w:r>
            <w:r>
              <w:rPr>
                <w:rFonts w:hint="default" w:ascii="Times New Roman" w:hAnsi="Times New Roman" w:cs="Times New Roman"/>
                <w:color w:val="auto"/>
                <w:sz w:val="21"/>
                <w:szCs w:val="21"/>
                <w:u w:val="none" w:color="auto"/>
                <w:vertAlign w:val="superscript"/>
              </w:rPr>
              <w:t>2-</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631466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250</w:t>
            </w:r>
          </w:p>
        </w:tc>
        <w:tc>
          <w:tcPr>
            <w:tcW w:w="3534" w:type="dxa"/>
            <w:tcBorders>
              <w:tl2br w:val="nil"/>
              <w:tr2bl w:val="nil"/>
            </w:tcBorders>
            <w:vAlign w:val="center"/>
          </w:tcPr>
          <w:p w14:paraId="609D75A9">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250</w:t>
            </w:r>
          </w:p>
        </w:tc>
      </w:tr>
      <w:tr w14:paraId="406D311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58" w:type="dxa"/>
            <w:tcBorders>
              <w:tl2br w:val="nil"/>
              <w:tr2bl w:val="nil"/>
            </w:tcBorders>
            <w:shd w:val="clear" w:color="auto" w:fill="auto"/>
            <w:vAlign w:val="center"/>
          </w:tcPr>
          <w:p w14:paraId="49025C25">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26</w:t>
            </w:r>
          </w:p>
        </w:tc>
        <w:tc>
          <w:tcPr>
            <w:tcW w:w="2357" w:type="dxa"/>
            <w:tcBorders>
              <w:tl2br w:val="nil"/>
              <w:tr2bl w:val="nil"/>
            </w:tcBorders>
            <w:shd w:val="clear" w:color="auto" w:fill="auto"/>
            <w:vAlign w:val="center"/>
          </w:tcPr>
          <w:p w14:paraId="056812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氯化物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以Cl</w:t>
            </w:r>
            <w:r>
              <w:rPr>
                <w:rFonts w:hint="default" w:ascii="Times New Roman" w:hAnsi="Times New Roman" w:cs="Times New Roman"/>
                <w:color w:val="auto"/>
                <w:sz w:val="21"/>
                <w:szCs w:val="21"/>
                <w:u w:val="none" w:color="auto"/>
                <w:vertAlign w:val="superscript"/>
              </w:rPr>
              <w:t>-</w:t>
            </w:r>
            <w:r>
              <w:rPr>
                <w:rFonts w:hint="default" w:ascii="Times New Roman" w:hAnsi="Times New Roman" w:cs="Times New Roman"/>
                <w:color w:val="auto"/>
                <w:sz w:val="21"/>
                <w:szCs w:val="21"/>
                <w:u w:val="none" w:color="auto"/>
              </w:rPr>
              <w:t>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15D7A6F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250</w:t>
            </w:r>
          </w:p>
        </w:tc>
        <w:tc>
          <w:tcPr>
            <w:tcW w:w="3534" w:type="dxa"/>
            <w:tcBorders>
              <w:tl2br w:val="nil"/>
              <w:tr2bl w:val="nil"/>
            </w:tcBorders>
            <w:vAlign w:val="center"/>
          </w:tcPr>
          <w:p w14:paraId="5265FF17">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250</w:t>
            </w:r>
          </w:p>
        </w:tc>
      </w:tr>
      <w:tr w14:paraId="4AA38B0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7BF27D5F">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27</w:t>
            </w:r>
          </w:p>
        </w:tc>
        <w:tc>
          <w:tcPr>
            <w:tcW w:w="2357" w:type="dxa"/>
            <w:tcBorders>
              <w:tl2br w:val="nil"/>
              <w:tr2bl w:val="nil"/>
            </w:tcBorders>
            <w:shd w:val="clear" w:color="auto" w:fill="auto"/>
            <w:vAlign w:val="center"/>
          </w:tcPr>
          <w:p w14:paraId="6E6560D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93" w:type="dxa"/>
            <w:tcBorders>
              <w:tl2br w:val="nil"/>
              <w:tr2bl w:val="nil"/>
            </w:tcBorders>
            <w:shd w:val="clear" w:color="auto" w:fill="auto"/>
            <w:vAlign w:val="center"/>
          </w:tcPr>
          <w:p w14:paraId="69ACA16B">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10</w:t>
            </w:r>
          </w:p>
        </w:tc>
        <w:tc>
          <w:tcPr>
            <w:tcW w:w="3534" w:type="dxa"/>
            <w:tcBorders>
              <w:tl2br w:val="nil"/>
              <w:tr2bl w:val="nil"/>
            </w:tcBorders>
            <w:vAlign w:val="center"/>
          </w:tcPr>
          <w:p w14:paraId="4604F57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10</w:t>
            </w:r>
          </w:p>
        </w:tc>
      </w:tr>
      <w:tr w14:paraId="00D349E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1A2A248">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28</w:t>
            </w:r>
          </w:p>
        </w:tc>
        <w:tc>
          <w:tcPr>
            <w:tcW w:w="2357" w:type="dxa"/>
            <w:tcBorders>
              <w:tl2br w:val="nil"/>
              <w:tr2bl w:val="nil"/>
            </w:tcBorders>
            <w:shd w:val="clear" w:color="auto" w:fill="auto"/>
            <w:vAlign w:val="center"/>
          </w:tcPr>
          <w:p w14:paraId="379EE0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铁</w:t>
            </w:r>
          </w:p>
        </w:tc>
        <w:tc>
          <w:tcPr>
            <w:tcW w:w="1893" w:type="dxa"/>
            <w:tcBorders>
              <w:tl2br w:val="nil"/>
              <w:tr2bl w:val="nil"/>
            </w:tcBorders>
            <w:shd w:val="clear" w:color="auto" w:fill="auto"/>
            <w:vAlign w:val="center"/>
          </w:tcPr>
          <w:p w14:paraId="27430B7C">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0.3</w:t>
            </w:r>
          </w:p>
        </w:tc>
        <w:tc>
          <w:tcPr>
            <w:tcW w:w="3534" w:type="dxa"/>
            <w:tcBorders>
              <w:tl2br w:val="nil"/>
              <w:tr2bl w:val="nil"/>
            </w:tcBorders>
            <w:vAlign w:val="center"/>
          </w:tcPr>
          <w:p w14:paraId="67EB1C00">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0.3</w:t>
            </w:r>
          </w:p>
        </w:tc>
      </w:tr>
      <w:tr w14:paraId="7B387C5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dxa"/>
            <w:tcBorders>
              <w:tl2br w:val="nil"/>
              <w:tr2bl w:val="nil"/>
            </w:tcBorders>
            <w:shd w:val="clear" w:color="auto" w:fill="auto"/>
            <w:vAlign w:val="center"/>
          </w:tcPr>
          <w:p w14:paraId="1823ED35">
            <w:pPr>
              <w:pStyle w:val="85"/>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29</w:t>
            </w:r>
          </w:p>
        </w:tc>
        <w:tc>
          <w:tcPr>
            <w:tcW w:w="2357" w:type="dxa"/>
            <w:tcBorders>
              <w:tl2br w:val="nil"/>
              <w:tr2bl w:val="nil"/>
            </w:tcBorders>
            <w:shd w:val="clear" w:color="auto" w:fill="auto"/>
            <w:vAlign w:val="center"/>
          </w:tcPr>
          <w:p w14:paraId="526DE0B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pacing w:val="2"/>
                <w:kern w:val="2"/>
                <w:sz w:val="21"/>
                <w:szCs w:val="21"/>
                <w:u w:val="none" w:color="auto"/>
                <w:lang w:val="en-US" w:eastAsia="zh-CN" w:bidi="ar-SA"/>
              </w:rPr>
            </w:pPr>
            <w:r>
              <w:rPr>
                <w:rFonts w:hint="default" w:ascii="Times New Roman" w:hAnsi="Times New Roman" w:cs="Times New Roman"/>
                <w:color w:val="auto"/>
                <w:sz w:val="21"/>
                <w:szCs w:val="21"/>
                <w:u w:val="none" w:color="auto"/>
              </w:rPr>
              <w:t>锰</w:t>
            </w:r>
          </w:p>
        </w:tc>
        <w:tc>
          <w:tcPr>
            <w:tcW w:w="1893" w:type="dxa"/>
            <w:tcBorders>
              <w:tl2br w:val="nil"/>
              <w:tr2bl w:val="nil"/>
            </w:tcBorders>
            <w:shd w:val="clear" w:color="auto" w:fill="auto"/>
            <w:vAlign w:val="center"/>
          </w:tcPr>
          <w:p w14:paraId="6CE07788">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rPr>
              <w:t>0.1</w:t>
            </w:r>
          </w:p>
        </w:tc>
        <w:tc>
          <w:tcPr>
            <w:tcW w:w="3534" w:type="dxa"/>
            <w:tcBorders>
              <w:tl2br w:val="nil"/>
              <w:tr2bl w:val="nil"/>
            </w:tcBorders>
            <w:vAlign w:val="center"/>
          </w:tcPr>
          <w:p w14:paraId="69201CA2">
            <w:pPr>
              <w:keepNext w:val="0"/>
              <w:keepLines w:val="0"/>
              <w:pageBreakBefore w:val="0"/>
              <w:widowControl w:val="0"/>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rPr>
              <w:t>0.1</w:t>
            </w:r>
          </w:p>
        </w:tc>
      </w:tr>
    </w:tbl>
    <w:p w14:paraId="6FBC340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w:t>
      </w:r>
    </w:p>
    <w:p w14:paraId="6ADE0DF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项目附近地下水执行《地下水质量标准》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类标准，摘录部分因子标准限值详见表2.4-</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w:t>
      </w:r>
    </w:p>
    <w:p w14:paraId="3D8F9B5F">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5</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地下水质量标准</w:t>
      </w:r>
      <w:r>
        <w:rPr>
          <w:rFonts w:hint="default" w:ascii="Times New Roman" w:hAnsi="Times New Roman" w:cs="Times New Roman"/>
          <w:color w:val="auto"/>
          <w:highlight w:val="none"/>
          <w:u w:val="none" w:color="auto"/>
          <w:lang w:val="en-US" w:eastAsia="zh-CN"/>
        </w:rPr>
        <w:t xml:space="preserve"> (摘录部分)</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4"/>
        <w:gridCol w:w="1802"/>
        <w:gridCol w:w="3311"/>
      </w:tblGrid>
      <w:tr w14:paraId="3C1CB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54DD001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指标</w:t>
            </w:r>
          </w:p>
        </w:tc>
        <w:tc>
          <w:tcPr>
            <w:tcW w:w="1801" w:type="dxa"/>
            <w:vAlign w:val="center"/>
          </w:tcPr>
          <w:p w14:paraId="7663801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单位</w:t>
            </w:r>
          </w:p>
        </w:tc>
        <w:tc>
          <w:tcPr>
            <w:tcW w:w="3310" w:type="dxa"/>
            <w:vAlign w:val="center"/>
          </w:tcPr>
          <w:p w14:paraId="4E32021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r>
      <w:tr w14:paraId="2A872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2543B3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pH</w:t>
            </w:r>
          </w:p>
        </w:tc>
        <w:tc>
          <w:tcPr>
            <w:tcW w:w="1801" w:type="dxa"/>
            <w:vAlign w:val="center"/>
          </w:tcPr>
          <w:p w14:paraId="16F80C0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无量纲</w:t>
            </w:r>
          </w:p>
        </w:tc>
        <w:tc>
          <w:tcPr>
            <w:tcW w:w="3310" w:type="dxa"/>
            <w:vAlign w:val="center"/>
          </w:tcPr>
          <w:p w14:paraId="505DB38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6.5~8.5</w:t>
            </w:r>
          </w:p>
        </w:tc>
      </w:tr>
      <w:tr w14:paraId="6EB30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0B16A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钾</w:t>
            </w:r>
          </w:p>
        </w:tc>
        <w:tc>
          <w:tcPr>
            <w:tcW w:w="1801" w:type="dxa"/>
            <w:vAlign w:val="center"/>
          </w:tcPr>
          <w:p w14:paraId="2C3F0FC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27A69B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eastAsia"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14:paraId="14C28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1FBEC5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钠</w:t>
            </w:r>
          </w:p>
        </w:tc>
        <w:tc>
          <w:tcPr>
            <w:tcW w:w="1801" w:type="dxa"/>
            <w:vAlign w:val="center"/>
          </w:tcPr>
          <w:p w14:paraId="034F7A3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383A9668">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200</w:t>
            </w:r>
          </w:p>
        </w:tc>
      </w:tr>
      <w:tr w14:paraId="057C5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3968BB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钙</w:t>
            </w:r>
          </w:p>
        </w:tc>
        <w:tc>
          <w:tcPr>
            <w:tcW w:w="1801" w:type="dxa"/>
            <w:vAlign w:val="center"/>
          </w:tcPr>
          <w:p w14:paraId="62AD7C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30E73CB7">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40040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ABC46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镁</w:t>
            </w:r>
          </w:p>
        </w:tc>
        <w:tc>
          <w:tcPr>
            <w:tcW w:w="1801" w:type="dxa"/>
            <w:vAlign w:val="center"/>
          </w:tcPr>
          <w:p w14:paraId="1314209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45E6CA5B">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762D6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3A9F2E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碳酸根</w:t>
            </w:r>
          </w:p>
        </w:tc>
        <w:tc>
          <w:tcPr>
            <w:tcW w:w="1801" w:type="dxa"/>
            <w:vAlign w:val="center"/>
          </w:tcPr>
          <w:p w14:paraId="301E8ED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240CC90">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7E725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733C20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碳酸氢根</w:t>
            </w:r>
          </w:p>
        </w:tc>
        <w:tc>
          <w:tcPr>
            <w:tcW w:w="1801" w:type="dxa"/>
            <w:vAlign w:val="center"/>
          </w:tcPr>
          <w:p w14:paraId="1E5E34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71F05720">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w:t>
            </w:r>
          </w:p>
        </w:tc>
      </w:tr>
      <w:tr w14:paraId="07B64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473C90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801" w:type="dxa"/>
            <w:vAlign w:val="center"/>
          </w:tcPr>
          <w:p w14:paraId="2B49588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0DAC6DAE">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≤250.0</w:t>
            </w:r>
          </w:p>
        </w:tc>
      </w:tr>
      <w:tr w14:paraId="6833B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2D56A7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硫酸盐</w:t>
            </w:r>
          </w:p>
        </w:tc>
        <w:tc>
          <w:tcPr>
            <w:tcW w:w="1801" w:type="dxa"/>
            <w:shd w:val="clear" w:color="auto" w:fill="auto"/>
            <w:vAlign w:val="center"/>
          </w:tcPr>
          <w:p w14:paraId="39877C4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mg/L</w:t>
            </w:r>
          </w:p>
        </w:tc>
        <w:tc>
          <w:tcPr>
            <w:tcW w:w="3310" w:type="dxa"/>
            <w:shd w:val="clear" w:color="auto" w:fill="auto"/>
            <w:vAlign w:val="center"/>
          </w:tcPr>
          <w:p w14:paraId="148A6AD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≤250.0</w:t>
            </w:r>
          </w:p>
        </w:tc>
      </w:tr>
      <w:tr w14:paraId="5FE1A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3AECE93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氨氮</w:t>
            </w:r>
          </w:p>
        </w:tc>
        <w:tc>
          <w:tcPr>
            <w:tcW w:w="1801" w:type="dxa"/>
            <w:vAlign w:val="center"/>
          </w:tcPr>
          <w:p w14:paraId="0FC758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211AB1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≤0.50</w:t>
            </w:r>
          </w:p>
        </w:tc>
      </w:tr>
      <w:tr w14:paraId="7BE3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1C37CEF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耗氧量</w:t>
            </w:r>
          </w:p>
        </w:tc>
        <w:tc>
          <w:tcPr>
            <w:tcW w:w="1801" w:type="dxa"/>
            <w:vAlign w:val="center"/>
          </w:tcPr>
          <w:p w14:paraId="2B43503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B71040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p>
        </w:tc>
      </w:tr>
      <w:tr w14:paraId="32519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6A195E0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总硬度</w:t>
            </w:r>
          </w:p>
        </w:tc>
        <w:tc>
          <w:tcPr>
            <w:tcW w:w="1801" w:type="dxa"/>
            <w:vAlign w:val="center"/>
          </w:tcPr>
          <w:p w14:paraId="001619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B3F37F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≤450</w:t>
            </w:r>
          </w:p>
        </w:tc>
      </w:tr>
      <w:tr w14:paraId="7E8E6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4993F2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01" w:type="dxa"/>
            <w:vAlign w:val="center"/>
          </w:tcPr>
          <w:p w14:paraId="4FC922D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832952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r>
      <w:tr w14:paraId="7CAC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1120D58">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亚硝酸盐</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以N计</w:t>
            </w:r>
            <w:r>
              <w:rPr>
                <w:rFonts w:hint="default" w:ascii="Times New Roman" w:hAnsi="Times New Roman" w:cs="Times New Roman"/>
                <w:color w:val="auto"/>
                <w:sz w:val="21"/>
                <w:szCs w:val="21"/>
                <w:highlight w:val="none"/>
                <w:u w:val="none" w:color="auto"/>
                <w:lang w:eastAsia="zh-CN"/>
              </w:rPr>
              <w:t>)</w:t>
            </w:r>
          </w:p>
        </w:tc>
        <w:tc>
          <w:tcPr>
            <w:tcW w:w="1801" w:type="dxa"/>
            <w:vAlign w:val="center"/>
          </w:tcPr>
          <w:p w14:paraId="7D7A8FD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B8CB86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r>
      <w:tr w14:paraId="5BA5E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149EED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801" w:type="dxa"/>
            <w:vAlign w:val="center"/>
          </w:tcPr>
          <w:p w14:paraId="4345AA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6EA5C81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0.001</w:t>
            </w:r>
          </w:p>
        </w:tc>
      </w:tr>
      <w:tr w14:paraId="24D95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A014B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六价铬</w:t>
            </w:r>
          </w:p>
        </w:tc>
        <w:tc>
          <w:tcPr>
            <w:tcW w:w="1801" w:type="dxa"/>
            <w:vAlign w:val="center"/>
          </w:tcPr>
          <w:p w14:paraId="576D98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06790ED3">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0.05</w:t>
            </w:r>
          </w:p>
        </w:tc>
      </w:tr>
      <w:tr w14:paraId="7AF27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4C7059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801" w:type="dxa"/>
            <w:vAlign w:val="center"/>
          </w:tcPr>
          <w:p w14:paraId="2762937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7669FC9F">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0.01</w:t>
            </w:r>
          </w:p>
        </w:tc>
      </w:tr>
      <w:tr w14:paraId="03B7B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7A6CE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801" w:type="dxa"/>
            <w:vAlign w:val="center"/>
          </w:tcPr>
          <w:p w14:paraId="512C75D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29171A3C">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0.3</w:t>
            </w:r>
          </w:p>
        </w:tc>
      </w:tr>
      <w:tr w14:paraId="2A8E9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611F53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801" w:type="dxa"/>
            <w:vAlign w:val="center"/>
          </w:tcPr>
          <w:p w14:paraId="4EADCA0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40DE0093">
            <w:pPr>
              <w:keepNext w:val="0"/>
              <w:keepLines w:val="0"/>
              <w:pageBreakBefore w:val="0"/>
              <w:kinsoku/>
              <w:wordWrap/>
              <w:overflowPunct/>
              <w:topLinePunct w:val="0"/>
              <w:autoSpaceDE w:val="0"/>
              <w:autoSpaceDN w:val="0"/>
              <w:bidi w:val="0"/>
              <w:adjustRightInd w:val="0"/>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w:t>
            </w:r>
            <w:r>
              <w:rPr>
                <w:rFonts w:hint="eastAsia" w:ascii="Times New Roman" w:hAnsi="Times New Roman" w:cs="Times New Roman"/>
                <w:color w:val="auto"/>
                <w:sz w:val="21"/>
                <w:szCs w:val="21"/>
                <w:u w:val="none" w:color="auto"/>
                <w:lang w:val="en-US" w:eastAsia="zh-CN"/>
              </w:rPr>
              <w:t>0.1</w:t>
            </w:r>
          </w:p>
        </w:tc>
      </w:tr>
      <w:tr w14:paraId="38F7E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shd w:val="clear" w:color="auto" w:fill="auto"/>
            <w:vAlign w:val="center"/>
          </w:tcPr>
          <w:p w14:paraId="054D565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溶解性总固体</w:t>
            </w:r>
          </w:p>
        </w:tc>
        <w:tc>
          <w:tcPr>
            <w:tcW w:w="1801" w:type="dxa"/>
            <w:shd w:val="clear" w:color="auto" w:fill="auto"/>
            <w:vAlign w:val="center"/>
          </w:tcPr>
          <w:p w14:paraId="7DF3F1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mg/L</w:t>
            </w:r>
          </w:p>
        </w:tc>
        <w:tc>
          <w:tcPr>
            <w:tcW w:w="3310" w:type="dxa"/>
            <w:shd w:val="clear" w:color="auto" w:fill="auto"/>
            <w:vAlign w:val="center"/>
          </w:tcPr>
          <w:p w14:paraId="7A898A2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≤1000</w:t>
            </w:r>
          </w:p>
        </w:tc>
      </w:tr>
      <w:tr w14:paraId="6C68C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5AB6711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总大肠菌群</w:t>
            </w:r>
          </w:p>
        </w:tc>
        <w:tc>
          <w:tcPr>
            <w:tcW w:w="1801" w:type="dxa"/>
            <w:vAlign w:val="center"/>
          </w:tcPr>
          <w:p w14:paraId="4F41C3B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MPN/ 100mL</w:t>
            </w:r>
          </w:p>
        </w:tc>
        <w:tc>
          <w:tcPr>
            <w:tcW w:w="3310" w:type="dxa"/>
            <w:vAlign w:val="center"/>
          </w:tcPr>
          <w:p w14:paraId="6953281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p>
        </w:tc>
      </w:tr>
      <w:tr w14:paraId="47006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13" w:type="dxa"/>
            <w:vAlign w:val="center"/>
          </w:tcPr>
          <w:p w14:paraId="2F39B73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钠</w:t>
            </w:r>
          </w:p>
        </w:tc>
        <w:tc>
          <w:tcPr>
            <w:tcW w:w="1801" w:type="dxa"/>
            <w:vAlign w:val="center"/>
          </w:tcPr>
          <w:p w14:paraId="633117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mg/L</w:t>
            </w:r>
          </w:p>
        </w:tc>
        <w:tc>
          <w:tcPr>
            <w:tcW w:w="3310" w:type="dxa"/>
            <w:vAlign w:val="center"/>
          </w:tcPr>
          <w:p w14:paraId="5B63B83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≤200</w:t>
            </w:r>
          </w:p>
        </w:tc>
      </w:tr>
    </w:tbl>
    <w:p w14:paraId="00C6767A">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声环境</w:t>
      </w:r>
    </w:p>
    <w:p w14:paraId="7D972FDC">
      <w:pPr>
        <w:bidi w:val="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lang w:val="en-US" w:eastAsia="zh-CN"/>
        </w:rPr>
        <w:t>项目所在区域声环境执行《声环境质量标准》（GB3096-2008）中的2类标准</w:t>
      </w:r>
      <w:r>
        <w:rPr>
          <w:rFonts w:hint="default" w:ascii="Times New Roman" w:hAnsi="Times New Roman" w:cs="Times New Roman"/>
          <w:color w:val="auto"/>
          <w:highlight w:val="none"/>
          <w:u w:val="none" w:color="auto"/>
        </w:rPr>
        <w:t>，昼夜间标准限值详见表2.4-</w:t>
      </w:r>
      <w:r>
        <w:rPr>
          <w:rFonts w:hint="default" w:ascii="Times New Roman" w:hAnsi="Times New Roman" w:cs="Times New Roman"/>
          <w:color w:val="auto"/>
          <w:highlight w:val="none"/>
          <w:u w:val="none" w:color="auto"/>
          <w:lang w:val="en-US" w:eastAsia="zh-CN"/>
        </w:rPr>
        <w:t>6</w:t>
      </w:r>
      <w:r>
        <w:rPr>
          <w:rFonts w:hint="default" w:ascii="Times New Roman" w:hAnsi="Times New Roman" w:cs="Times New Roman"/>
          <w:color w:val="auto"/>
          <w:highlight w:val="none"/>
          <w:u w:val="none" w:color="auto"/>
        </w:rPr>
        <w:t>。</w:t>
      </w:r>
    </w:p>
    <w:p w14:paraId="711B1E5E">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default" w:ascii="Times New Roman" w:hAnsi="Times New Roman" w:cs="Times New Roman"/>
          <w:color w:val="auto"/>
          <w:u w:val="none" w:color="auto"/>
          <w:lang w:val="en-US" w:eastAsia="zh-CN"/>
        </w:rPr>
        <w:t>6</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声环境标准限值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摘录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单位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p>
    <w:tbl>
      <w:tblPr>
        <w:tblStyle w:val="37"/>
        <w:tblW w:w="8521"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810"/>
        <w:gridCol w:w="1411"/>
        <w:gridCol w:w="2583"/>
        <w:gridCol w:w="2717"/>
      </w:tblGrid>
      <w:tr w14:paraId="5F7964B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21" w:type="dxa"/>
            <w:gridSpan w:val="2"/>
            <w:tcBorders>
              <w:top w:val="single" w:color="auto" w:sz="8" w:space="0"/>
            </w:tcBorders>
            <w:vAlign w:val="center"/>
          </w:tcPr>
          <w:p w14:paraId="3753C52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执行标准</w:t>
            </w:r>
          </w:p>
        </w:tc>
        <w:tc>
          <w:tcPr>
            <w:tcW w:w="2583" w:type="dxa"/>
            <w:tcBorders>
              <w:top w:val="single" w:color="auto" w:sz="8" w:space="0"/>
            </w:tcBorders>
            <w:vAlign w:val="center"/>
          </w:tcPr>
          <w:p w14:paraId="77470FB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昼间</w:t>
            </w:r>
          </w:p>
        </w:tc>
        <w:tc>
          <w:tcPr>
            <w:tcW w:w="2717" w:type="dxa"/>
            <w:tcBorders>
              <w:top w:val="single" w:color="auto" w:sz="8" w:space="0"/>
            </w:tcBorders>
            <w:vAlign w:val="center"/>
          </w:tcPr>
          <w:p w14:paraId="6F4EAB4F">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夜间</w:t>
            </w:r>
          </w:p>
        </w:tc>
      </w:tr>
      <w:tr w14:paraId="6E90E73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0" w:type="dxa"/>
            <w:tcBorders>
              <w:right w:val="single" w:color="000000" w:sz="4" w:space="0"/>
            </w:tcBorders>
            <w:vAlign w:val="center"/>
          </w:tcPr>
          <w:p w14:paraId="521D9711">
            <w:pPr>
              <w:widowControl/>
              <w:spacing w:line="240" w:lineRule="auto"/>
              <w:ind w:firstLine="0" w:firstLineChars="0"/>
              <w:jc w:val="center"/>
              <w:rPr>
                <w:rFonts w:hint="default" w:ascii="Times New Roman" w:hAnsi="Times New Roman" w:cs="Times New Roman"/>
                <w:color w:val="auto"/>
                <w:kern w:val="0"/>
                <w:sz w:val="21"/>
                <w:szCs w:val="21"/>
                <w:u w:val="none" w:color="auto"/>
                <w:lang w:eastAsia="zh-CN"/>
              </w:rPr>
            </w:pPr>
            <w:bookmarkStart w:id="77" w:name="_Toc494233710"/>
            <w:bookmarkStart w:id="78" w:name="_Toc5989"/>
            <w:bookmarkStart w:id="79" w:name="_Toc13934"/>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GB3096</w:t>
            </w:r>
            <w:r>
              <w:rPr>
                <w:rFonts w:hint="default" w:ascii="Times New Roman" w:hAnsi="Times New Roman"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2008</w:t>
            </w:r>
            <w:r>
              <w:rPr>
                <w:rFonts w:hint="default" w:ascii="Times New Roman" w:hAnsi="Times New Roman" w:cs="Times New Roman"/>
                <w:color w:val="auto"/>
                <w:kern w:val="0"/>
                <w:sz w:val="21"/>
                <w:szCs w:val="21"/>
                <w:u w:val="none" w:color="auto"/>
                <w:lang w:eastAsia="zh-CN"/>
              </w:rPr>
              <w:t>)</w:t>
            </w:r>
          </w:p>
        </w:tc>
        <w:tc>
          <w:tcPr>
            <w:tcW w:w="1411" w:type="dxa"/>
            <w:tcBorders>
              <w:left w:val="single" w:color="000000" w:sz="4" w:space="0"/>
            </w:tcBorders>
            <w:vAlign w:val="center"/>
          </w:tcPr>
          <w:p w14:paraId="4FD03155">
            <w:pPr>
              <w:widowControl/>
              <w:spacing w:line="240" w:lineRule="auto"/>
              <w:ind w:firstLine="0" w:firstLineChars="0"/>
              <w:jc w:val="center"/>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2</w:t>
            </w:r>
            <w:r>
              <w:rPr>
                <w:rFonts w:hint="default" w:ascii="Times New Roman" w:hAnsi="Times New Roman" w:cs="Times New Roman"/>
                <w:color w:val="auto"/>
                <w:kern w:val="0"/>
                <w:sz w:val="21"/>
                <w:szCs w:val="21"/>
                <w:u w:val="none" w:color="auto"/>
              </w:rPr>
              <w:t>类</w:t>
            </w:r>
          </w:p>
        </w:tc>
        <w:tc>
          <w:tcPr>
            <w:tcW w:w="2583" w:type="dxa"/>
            <w:vAlign w:val="center"/>
          </w:tcPr>
          <w:p w14:paraId="56F1AA57">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60</w:t>
            </w:r>
          </w:p>
        </w:tc>
        <w:tc>
          <w:tcPr>
            <w:tcW w:w="2717" w:type="dxa"/>
            <w:vAlign w:val="center"/>
          </w:tcPr>
          <w:p w14:paraId="5A2041A6">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50</w:t>
            </w:r>
          </w:p>
        </w:tc>
      </w:tr>
    </w:tbl>
    <w:p w14:paraId="6742E572">
      <w:pPr>
        <w:bidi w:val="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5）土壤环境</w:t>
      </w:r>
    </w:p>
    <w:p w14:paraId="0560AAB6">
      <w:pPr>
        <w:bidi w:val="0"/>
        <w:rPr>
          <w:rFonts w:hint="default" w:cs="Times New Roman"/>
          <w:color w:val="auto"/>
          <w:u w:val="none" w:color="auto"/>
          <w:lang w:val="en-US" w:eastAsia="zh-CN"/>
        </w:rPr>
      </w:pPr>
      <w:r>
        <w:rPr>
          <w:rFonts w:hint="default" w:cs="Times New Roman"/>
          <w:color w:val="auto"/>
          <w:u w:val="none" w:color="auto"/>
          <w:lang w:val="en-US" w:eastAsia="zh-CN"/>
        </w:rPr>
        <w:t>本项目评价区域内</w:t>
      </w:r>
      <w:r>
        <w:rPr>
          <w:rFonts w:hint="eastAsia" w:cs="Times New Roman"/>
          <w:color w:val="auto"/>
          <w:u w:val="none" w:color="auto"/>
          <w:lang w:val="en-US" w:eastAsia="zh-CN"/>
        </w:rPr>
        <w:t>建设用地土壤环境质量执行《土壤环境质量建设用地土壤污染风险管控标准（试行）》（GB36600-2018）表1中筛选值第二类用地标准限值，</w:t>
      </w:r>
      <w:r>
        <w:rPr>
          <w:rFonts w:hint="default" w:cs="Times New Roman"/>
          <w:color w:val="auto"/>
          <w:u w:val="none" w:color="auto"/>
          <w:lang w:val="en-US" w:eastAsia="zh-CN"/>
        </w:rPr>
        <w:t>农用地土壤环境质量执行《土壤环境质量标准 农用地土壤污染风险管控标准（试行）》（GB15618-2018）农用地土壤风险筛选值。</w:t>
      </w:r>
    </w:p>
    <w:p w14:paraId="6AEF82BE">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w:t>
      </w:r>
      <w:r>
        <w:rPr>
          <w:rFonts w:hint="eastAsia" w:ascii="Times New Roman" w:hAnsi="Times New Roman" w:cs="Times New Roman"/>
          <w:color w:val="auto"/>
          <w:u w:val="none" w:color="auto"/>
          <w:lang w:val="en-US" w:eastAsia="zh-CN"/>
        </w:rPr>
        <w:t xml:space="preserve">4-7  </w:t>
      </w:r>
      <w:r>
        <w:rPr>
          <w:rFonts w:hint="default" w:ascii="Times New Roman" w:hAnsi="Times New Roman" w:cs="Times New Roman"/>
          <w:color w:val="auto"/>
          <w:u w:val="none" w:color="auto"/>
        </w:rPr>
        <w:t>建设用地土壤污染风险筛选值单位：mg/kg</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1678"/>
        <w:gridCol w:w="1196"/>
        <w:gridCol w:w="1277"/>
        <w:gridCol w:w="1293"/>
        <w:gridCol w:w="1225"/>
        <w:gridCol w:w="1307"/>
      </w:tblGrid>
      <w:tr w14:paraId="76E0D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tcBorders>
              <w:tl2br w:val="nil"/>
              <w:tr2bl w:val="nil"/>
            </w:tcBorders>
            <w:vAlign w:val="center"/>
          </w:tcPr>
          <w:p w14:paraId="06D95A5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986" w:type="pct"/>
            <w:vMerge w:val="restart"/>
            <w:tcBorders>
              <w:tl2br w:val="nil"/>
              <w:tr2bl w:val="nil"/>
            </w:tcBorders>
            <w:vAlign w:val="center"/>
          </w:tcPr>
          <w:p w14:paraId="4A35E9A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污染物项目</w:t>
            </w:r>
          </w:p>
        </w:tc>
        <w:tc>
          <w:tcPr>
            <w:tcW w:w="692" w:type="pct"/>
            <w:vMerge w:val="restart"/>
            <w:tcBorders>
              <w:tl2br w:val="nil"/>
              <w:tr2bl w:val="nil"/>
            </w:tcBorders>
            <w:vAlign w:val="center"/>
          </w:tcPr>
          <w:p w14:paraId="3A4F79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CAS编号</w:t>
            </w:r>
          </w:p>
        </w:tc>
        <w:tc>
          <w:tcPr>
            <w:tcW w:w="1511" w:type="pct"/>
            <w:gridSpan w:val="2"/>
            <w:tcBorders>
              <w:tl2br w:val="nil"/>
              <w:tr2bl w:val="nil"/>
            </w:tcBorders>
            <w:vAlign w:val="center"/>
          </w:tcPr>
          <w:p w14:paraId="0954B6F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筛选值</w:t>
            </w:r>
          </w:p>
        </w:tc>
        <w:tc>
          <w:tcPr>
            <w:tcW w:w="1486" w:type="pct"/>
            <w:gridSpan w:val="2"/>
            <w:tcBorders>
              <w:tl2br w:val="nil"/>
              <w:tr2bl w:val="nil"/>
            </w:tcBorders>
            <w:vAlign w:val="center"/>
          </w:tcPr>
          <w:p w14:paraId="2513194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管制值</w:t>
            </w:r>
          </w:p>
        </w:tc>
      </w:tr>
      <w:tr w14:paraId="5D53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tcBorders>
              <w:tl2br w:val="nil"/>
              <w:tr2bl w:val="nil"/>
            </w:tcBorders>
            <w:vAlign w:val="center"/>
          </w:tcPr>
          <w:p w14:paraId="18181494">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986" w:type="pct"/>
            <w:vMerge w:val="continue"/>
            <w:tcBorders>
              <w:tl2br w:val="nil"/>
              <w:tr2bl w:val="nil"/>
            </w:tcBorders>
            <w:vAlign w:val="center"/>
          </w:tcPr>
          <w:p w14:paraId="0C6C69CF">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692" w:type="pct"/>
            <w:vMerge w:val="continue"/>
            <w:tcBorders>
              <w:tl2br w:val="nil"/>
              <w:tr2bl w:val="nil"/>
            </w:tcBorders>
            <w:vAlign w:val="center"/>
          </w:tcPr>
          <w:p w14:paraId="7DDEFC2F">
            <w:pPr>
              <w:widowControl/>
              <w:snapToGrid w:val="0"/>
              <w:spacing w:line="240" w:lineRule="auto"/>
              <w:ind w:firstLine="0" w:firstLineChars="0"/>
              <w:jc w:val="center"/>
              <w:rPr>
                <w:rFonts w:ascii="Times New Roman" w:hAnsi="Times New Roman"/>
                <w:color w:val="auto"/>
                <w:kern w:val="0"/>
                <w:sz w:val="21"/>
                <w:szCs w:val="21"/>
                <w:highlight w:val="none"/>
              </w:rPr>
            </w:pPr>
          </w:p>
        </w:tc>
        <w:tc>
          <w:tcPr>
            <w:tcW w:w="751" w:type="pct"/>
            <w:tcBorders>
              <w:tl2br w:val="nil"/>
              <w:tr2bl w:val="nil"/>
            </w:tcBorders>
            <w:vAlign w:val="center"/>
          </w:tcPr>
          <w:p w14:paraId="00F00C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第一类用地</w:t>
            </w:r>
          </w:p>
        </w:tc>
        <w:tc>
          <w:tcPr>
            <w:tcW w:w="759" w:type="pct"/>
            <w:tcBorders>
              <w:tl2br w:val="nil"/>
              <w:tr2bl w:val="nil"/>
            </w:tcBorders>
            <w:vAlign w:val="center"/>
          </w:tcPr>
          <w:p w14:paraId="589FB74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第二类用地</w:t>
            </w:r>
          </w:p>
        </w:tc>
        <w:tc>
          <w:tcPr>
            <w:tcW w:w="720" w:type="pct"/>
            <w:tcBorders>
              <w:tl2br w:val="nil"/>
              <w:tr2bl w:val="nil"/>
            </w:tcBorders>
            <w:vAlign w:val="center"/>
          </w:tcPr>
          <w:p w14:paraId="6FE716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第一类用地</w:t>
            </w:r>
          </w:p>
        </w:tc>
        <w:tc>
          <w:tcPr>
            <w:tcW w:w="765" w:type="pct"/>
            <w:tcBorders>
              <w:tl2br w:val="nil"/>
              <w:tr2bl w:val="nil"/>
            </w:tcBorders>
            <w:vAlign w:val="center"/>
          </w:tcPr>
          <w:p w14:paraId="064B63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第二类用地</w:t>
            </w:r>
          </w:p>
        </w:tc>
      </w:tr>
      <w:tr w14:paraId="1677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4681687A">
            <w:pPr>
              <w:widowControl/>
              <w:snapToGrid w:val="0"/>
              <w:spacing w:line="240" w:lineRule="auto"/>
              <w:ind w:firstLine="0" w:firstLineChars="0"/>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重金属和无机物</w:t>
            </w:r>
          </w:p>
        </w:tc>
      </w:tr>
      <w:tr w14:paraId="59A7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323" w:type="pct"/>
            <w:tcBorders>
              <w:tl2br w:val="nil"/>
              <w:tr2bl w:val="nil"/>
            </w:tcBorders>
            <w:vAlign w:val="center"/>
          </w:tcPr>
          <w:p w14:paraId="36EF1CE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986" w:type="pct"/>
            <w:tcBorders>
              <w:tl2br w:val="nil"/>
              <w:tr2bl w:val="nil"/>
            </w:tcBorders>
            <w:vAlign w:val="center"/>
          </w:tcPr>
          <w:p w14:paraId="449FA74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砷</w:t>
            </w:r>
          </w:p>
        </w:tc>
        <w:tc>
          <w:tcPr>
            <w:tcW w:w="692" w:type="pct"/>
            <w:tcBorders>
              <w:tl2br w:val="nil"/>
              <w:tr2bl w:val="nil"/>
            </w:tcBorders>
            <w:vAlign w:val="center"/>
          </w:tcPr>
          <w:p w14:paraId="5DD389A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7440-38-2</w:t>
            </w:r>
          </w:p>
        </w:tc>
        <w:tc>
          <w:tcPr>
            <w:tcW w:w="751" w:type="pct"/>
            <w:tcBorders>
              <w:tl2br w:val="nil"/>
              <w:tr2bl w:val="nil"/>
            </w:tcBorders>
            <w:vAlign w:val="center"/>
          </w:tcPr>
          <w:p w14:paraId="4DD837E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59" w:type="pct"/>
            <w:tcBorders>
              <w:tl2br w:val="nil"/>
              <w:tr2bl w:val="nil"/>
            </w:tcBorders>
            <w:vAlign w:val="center"/>
          </w:tcPr>
          <w:p w14:paraId="79A3CCA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60</w:t>
            </w:r>
          </w:p>
        </w:tc>
        <w:tc>
          <w:tcPr>
            <w:tcW w:w="720" w:type="pct"/>
            <w:tcBorders>
              <w:tl2br w:val="nil"/>
              <w:tr2bl w:val="nil"/>
            </w:tcBorders>
            <w:vAlign w:val="center"/>
          </w:tcPr>
          <w:p w14:paraId="73E34CB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w:t>
            </w:r>
          </w:p>
        </w:tc>
        <w:tc>
          <w:tcPr>
            <w:tcW w:w="765" w:type="pct"/>
            <w:tcBorders>
              <w:tl2br w:val="nil"/>
              <w:tr2bl w:val="nil"/>
            </w:tcBorders>
            <w:vAlign w:val="center"/>
          </w:tcPr>
          <w:p w14:paraId="76596C3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140</w:t>
            </w:r>
          </w:p>
        </w:tc>
      </w:tr>
      <w:tr w14:paraId="74F48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6F8DC17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w:t>
            </w:r>
          </w:p>
        </w:tc>
        <w:tc>
          <w:tcPr>
            <w:tcW w:w="986" w:type="pct"/>
            <w:tcBorders>
              <w:tl2br w:val="nil"/>
              <w:tr2bl w:val="nil"/>
            </w:tcBorders>
            <w:vAlign w:val="center"/>
          </w:tcPr>
          <w:p w14:paraId="6693E01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镉</w:t>
            </w:r>
          </w:p>
        </w:tc>
        <w:tc>
          <w:tcPr>
            <w:tcW w:w="692" w:type="pct"/>
            <w:tcBorders>
              <w:tl2br w:val="nil"/>
              <w:tr2bl w:val="nil"/>
            </w:tcBorders>
            <w:vAlign w:val="center"/>
          </w:tcPr>
          <w:p w14:paraId="6CE891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7440-43-9</w:t>
            </w:r>
          </w:p>
        </w:tc>
        <w:tc>
          <w:tcPr>
            <w:tcW w:w="751" w:type="pct"/>
            <w:tcBorders>
              <w:tl2br w:val="nil"/>
              <w:tr2bl w:val="nil"/>
            </w:tcBorders>
            <w:vAlign w:val="center"/>
          </w:tcPr>
          <w:p w14:paraId="6E0FD2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59" w:type="pct"/>
            <w:tcBorders>
              <w:tl2br w:val="nil"/>
              <w:tr2bl w:val="nil"/>
            </w:tcBorders>
            <w:vAlign w:val="center"/>
          </w:tcPr>
          <w:p w14:paraId="5D53428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65</w:t>
            </w:r>
          </w:p>
        </w:tc>
        <w:tc>
          <w:tcPr>
            <w:tcW w:w="720" w:type="pct"/>
            <w:tcBorders>
              <w:tl2br w:val="nil"/>
              <w:tr2bl w:val="nil"/>
            </w:tcBorders>
            <w:vAlign w:val="center"/>
          </w:tcPr>
          <w:p w14:paraId="3BE013F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47</w:t>
            </w:r>
          </w:p>
        </w:tc>
        <w:tc>
          <w:tcPr>
            <w:tcW w:w="765" w:type="pct"/>
            <w:tcBorders>
              <w:tl2br w:val="nil"/>
              <w:tr2bl w:val="nil"/>
            </w:tcBorders>
            <w:vAlign w:val="center"/>
          </w:tcPr>
          <w:p w14:paraId="10432F2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172</w:t>
            </w:r>
          </w:p>
        </w:tc>
      </w:tr>
      <w:tr w14:paraId="6F44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C44876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986" w:type="pct"/>
            <w:tcBorders>
              <w:tl2br w:val="nil"/>
              <w:tr2bl w:val="nil"/>
            </w:tcBorders>
            <w:vAlign w:val="center"/>
          </w:tcPr>
          <w:p w14:paraId="147EC2E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铬（六价）</w:t>
            </w:r>
          </w:p>
        </w:tc>
        <w:tc>
          <w:tcPr>
            <w:tcW w:w="692" w:type="pct"/>
            <w:tcBorders>
              <w:tl2br w:val="nil"/>
              <w:tr2bl w:val="nil"/>
            </w:tcBorders>
            <w:vAlign w:val="center"/>
          </w:tcPr>
          <w:p w14:paraId="25E1CA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18540-29-9</w:t>
            </w:r>
          </w:p>
        </w:tc>
        <w:tc>
          <w:tcPr>
            <w:tcW w:w="751" w:type="pct"/>
            <w:tcBorders>
              <w:tl2br w:val="nil"/>
              <w:tr2bl w:val="nil"/>
            </w:tcBorders>
            <w:vAlign w:val="center"/>
          </w:tcPr>
          <w:p w14:paraId="1F7855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759" w:type="pct"/>
            <w:tcBorders>
              <w:tl2br w:val="nil"/>
              <w:tr2bl w:val="nil"/>
            </w:tcBorders>
            <w:vAlign w:val="center"/>
          </w:tcPr>
          <w:p w14:paraId="5A76758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w:t>
            </w:r>
          </w:p>
        </w:tc>
        <w:tc>
          <w:tcPr>
            <w:tcW w:w="720" w:type="pct"/>
            <w:tcBorders>
              <w:tl2br w:val="nil"/>
              <w:tr2bl w:val="nil"/>
            </w:tcBorders>
            <w:vAlign w:val="center"/>
          </w:tcPr>
          <w:p w14:paraId="354A588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765" w:type="pct"/>
            <w:tcBorders>
              <w:tl2br w:val="nil"/>
              <w:tr2bl w:val="nil"/>
            </w:tcBorders>
            <w:vAlign w:val="center"/>
          </w:tcPr>
          <w:p w14:paraId="5C0DEC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78</w:t>
            </w:r>
          </w:p>
        </w:tc>
      </w:tr>
      <w:tr w14:paraId="7A85B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4E0DF3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986" w:type="pct"/>
            <w:tcBorders>
              <w:tl2br w:val="nil"/>
              <w:tr2bl w:val="nil"/>
            </w:tcBorders>
            <w:vAlign w:val="center"/>
          </w:tcPr>
          <w:p w14:paraId="702AD6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铜</w:t>
            </w:r>
          </w:p>
        </w:tc>
        <w:tc>
          <w:tcPr>
            <w:tcW w:w="692" w:type="pct"/>
            <w:tcBorders>
              <w:tl2br w:val="nil"/>
              <w:tr2bl w:val="nil"/>
            </w:tcBorders>
            <w:vAlign w:val="center"/>
          </w:tcPr>
          <w:p w14:paraId="5118031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7440-50-8</w:t>
            </w:r>
          </w:p>
        </w:tc>
        <w:tc>
          <w:tcPr>
            <w:tcW w:w="751" w:type="pct"/>
            <w:tcBorders>
              <w:tl2br w:val="nil"/>
              <w:tr2bl w:val="nil"/>
            </w:tcBorders>
            <w:vAlign w:val="center"/>
          </w:tcPr>
          <w:p w14:paraId="7383EB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c>
          <w:tcPr>
            <w:tcW w:w="759" w:type="pct"/>
            <w:tcBorders>
              <w:tl2br w:val="nil"/>
              <w:tr2bl w:val="nil"/>
            </w:tcBorders>
            <w:vAlign w:val="center"/>
          </w:tcPr>
          <w:p w14:paraId="1144CE1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18000</w:t>
            </w:r>
          </w:p>
        </w:tc>
        <w:tc>
          <w:tcPr>
            <w:tcW w:w="720" w:type="pct"/>
            <w:tcBorders>
              <w:tl2br w:val="nil"/>
              <w:tr2bl w:val="nil"/>
            </w:tcBorders>
            <w:vAlign w:val="center"/>
          </w:tcPr>
          <w:p w14:paraId="3B8703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8000</w:t>
            </w:r>
          </w:p>
        </w:tc>
        <w:tc>
          <w:tcPr>
            <w:tcW w:w="765" w:type="pct"/>
            <w:tcBorders>
              <w:tl2br w:val="nil"/>
              <w:tr2bl w:val="nil"/>
            </w:tcBorders>
            <w:vAlign w:val="center"/>
          </w:tcPr>
          <w:p w14:paraId="26B026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36000</w:t>
            </w:r>
          </w:p>
        </w:tc>
      </w:tr>
      <w:tr w14:paraId="5880C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B3B1E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986" w:type="pct"/>
            <w:tcBorders>
              <w:tl2br w:val="nil"/>
              <w:tr2bl w:val="nil"/>
            </w:tcBorders>
            <w:vAlign w:val="center"/>
          </w:tcPr>
          <w:p w14:paraId="0E9FB3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铅</w:t>
            </w:r>
          </w:p>
        </w:tc>
        <w:tc>
          <w:tcPr>
            <w:tcW w:w="692" w:type="pct"/>
            <w:tcBorders>
              <w:tl2br w:val="nil"/>
              <w:tr2bl w:val="nil"/>
            </w:tcBorders>
            <w:vAlign w:val="center"/>
          </w:tcPr>
          <w:p w14:paraId="490EE7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7439-92-1</w:t>
            </w:r>
          </w:p>
        </w:tc>
        <w:tc>
          <w:tcPr>
            <w:tcW w:w="751" w:type="pct"/>
            <w:tcBorders>
              <w:tl2br w:val="nil"/>
              <w:tr2bl w:val="nil"/>
            </w:tcBorders>
            <w:vAlign w:val="center"/>
          </w:tcPr>
          <w:p w14:paraId="2502B1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400</w:t>
            </w:r>
          </w:p>
        </w:tc>
        <w:tc>
          <w:tcPr>
            <w:tcW w:w="759" w:type="pct"/>
            <w:tcBorders>
              <w:tl2br w:val="nil"/>
              <w:tr2bl w:val="nil"/>
            </w:tcBorders>
            <w:vAlign w:val="center"/>
          </w:tcPr>
          <w:p w14:paraId="5D10365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w:t>
            </w:r>
          </w:p>
        </w:tc>
        <w:tc>
          <w:tcPr>
            <w:tcW w:w="720" w:type="pct"/>
            <w:tcBorders>
              <w:tl2br w:val="nil"/>
              <w:tr2bl w:val="nil"/>
            </w:tcBorders>
            <w:vAlign w:val="center"/>
          </w:tcPr>
          <w:p w14:paraId="1E1049C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800</w:t>
            </w:r>
          </w:p>
        </w:tc>
        <w:tc>
          <w:tcPr>
            <w:tcW w:w="765" w:type="pct"/>
            <w:tcBorders>
              <w:tl2br w:val="nil"/>
              <w:tr2bl w:val="nil"/>
            </w:tcBorders>
            <w:vAlign w:val="center"/>
          </w:tcPr>
          <w:p w14:paraId="558DB16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2500</w:t>
            </w:r>
          </w:p>
        </w:tc>
      </w:tr>
      <w:tr w14:paraId="60720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3A90D2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w:t>
            </w:r>
          </w:p>
        </w:tc>
        <w:tc>
          <w:tcPr>
            <w:tcW w:w="986" w:type="pct"/>
            <w:tcBorders>
              <w:tl2br w:val="nil"/>
              <w:tr2bl w:val="nil"/>
            </w:tcBorders>
            <w:vAlign w:val="center"/>
          </w:tcPr>
          <w:p w14:paraId="0DDC938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汞</w:t>
            </w:r>
          </w:p>
        </w:tc>
        <w:tc>
          <w:tcPr>
            <w:tcW w:w="692" w:type="pct"/>
            <w:tcBorders>
              <w:tl2br w:val="nil"/>
              <w:tr2bl w:val="nil"/>
            </w:tcBorders>
            <w:vAlign w:val="center"/>
          </w:tcPr>
          <w:p w14:paraId="3241AA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7439-97-6</w:t>
            </w:r>
          </w:p>
        </w:tc>
        <w:tc>
          <w:tcPr>
            <w:tcW w:w="751" w:type="pct"/>
            <w:tcBorders>
              <w:tl2br w:val="nil"/>
              <w:tr2bl w:val="nil"/>
            </w:tcBorders>
            <w:vAlign w:val="center"/>
          </w:tcPr>
          <w:p w14:paraId="3E83EC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w:t>
            </w:r>
          </w:p>
        </w:tc>
        <w:tc>
          <w:tcPr>
            <w:tcW w:w="759" w:type="pct"/>
            <w:tcBorders>
              <w:tl2br w:val="nil"/>
              <w:tr2bl w:val="nil"/>
            </w:tcBorders>
            <w:vAlign w:val="center"/>
          </w:tcPr>
          <w:p w14:paraId="0045071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38</w:t>
            </w:r>
          </w:p>
        </w:tc>
        <w:tc>
          <w:tcPr>
            <w:tcW w:w="720" w:type="pct"/>
            <w:tcBorders>
              <w:tl2br w:val="nil"/>
              <w:tr2bl w:val="nil"/>
            </w:tcBorders>
            <w:vAlign w:val="center"/>
          </w:tcPr>
          <w:p w14:paraId="79CFA1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33</w:t>
            </w:r>
          </w:p>
        </w:tc>
        <w:tc>
          <w:tcPr>
            <w:tcW w:w="765" w:type="pct"/>
            <w:tcBorders>
              <w:tl2br w:val="nil"/>
              <w:tr2bl w:val="nil"/>
            </w:tcBorders>
            <w:vAlign w:val="center"/>
          </w:tcPr>
          <w:p w14:paraId="1682BFB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82</w:t>
            </w:r>
          </w:p>
        </w:tc>
      </w:tr>
      <w:tr w14:paraId="7C79A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0434C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w:t>
            </w:r>
          </w:p>
        </w:tc>
        <w:tc>
          <w:tcPr>
            <w:tcW w:w="986" w:type="pct"/>
            <w:tcBorders>
              <w:tl2br w:val="nil"/>
              <w:tr2bl w:val="nil"/>
            </w:tcBorders>
            <w:vAlign w:val="center"/>
          </w:tcPr>
          <w:p w14:paraId="460EDB4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镍</w:t>
            </w:r>
          </w:p>
        </w:tc>
        <w:tc>
          <w:tcPr>
            <w:tcW w:w="692" w:type="pct"/>
            <w:tcBorders>
              <w:tl2br w:val="nil"/>
              <w:tr2bl w:val="nil"/>
            </w:tcBorders>
            <w:vAlign w:val="center"/>
          </w:tcPr>
          <w:p w14:paraId="7CE0ED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7440-02-0</w:t>
            </w:r>
          </w:p>
        </w:tc>
        <w:tc>
          <w:tcPr>
            <w:tcW w:w="751" w:type="pct"/>
            <w:tcBorders>
              <w:tl2br w:val="nil"/>
              <w:tr2bl w:val="nil"/>
            </w:tcBorders>
            <w:vAlign w:val="center"/>
          </w:tcPr>
          <w:p w14:paraId="6C922C5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150</w:t>
            </w:r>
          </w:p>
        </w:tc>
        <w:tc>
          <w:tcPr>
            <w:tcW w:w="759" w:type="pct"/>
            <w:tcBorders>
              <w:tl2br w:val="nil"/>
              <w:tr2bl w:val="nil"/>
            </w:tcBorders>
            <w:vAlign w:val="center"/>
          </w:tcPr>
          <w:p w14:paraId="0F71920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900</w:t>
            </w:r>
          </w:p>
        </w:tc>
        <w:tc>
          <w:tcPr>
            <w:tcW w:w="720" w:type="pct"/>
            <w:tcBorders>
              <w:tl2br w:val="nil"/>
              <w:tr2bl w:val="nil"/>
            </w:tcBorders>
            <w:vAlign w:val="center"/>
          </w:tcPr>
          <w:p w14:paraId="452FCB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600</w:t>
            </w:r>
          </w:p>
        </w:tc>
        <w:tc>
          <w:tcPr>
            <w:tcW w:w="765" w:type="pct"/>
            <w:tcBorders>
              <w:tl2br w:val="nil"/>
              <w:tr2bl w:val="nil"/>
            </w:tcBorders>
            <w:vAlign w:val="center"/>
          </w:tcPr>
          <w:p w14:paraId="734B367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3D15E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2F26C3F2">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挥发性有机物</w:t>
            </w:r>
          </w:p>
        </w:tc>
      </w:tr>
      <w:tr w14:paraId="48367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0FDD7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w:t>
            </w:r>
          </w:p>
        </w:tc>
        <w:tc>
          <w:tcPr>
            <w:tcW w:w="986" w:type="pct"/>
            <w:tcBorders>
              <w:tl2br w:val="nil"/>
              <w:tr2bl w:val="nil"/>
            </w:tcBorders>
            <w:vAlign w:val="center"/>
          </w:tcPr>
          <w:p w14:paraId="1768882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四氯化碳</w:t>
            </w:r>
          </w:p>
        </w:tc>
        <w:tc>
          <w:tcPr>
            <w:tcW w:w="692" w:type="pct"/>
            <w:tcBorders>
              <w:tl2br w:val="nil"/>
              <w:tr2bl w:val="nil"/>
            </w:tcBorders>
            <w:vAlign w:val="center"/>
          </w:tcPr>
          <w:p w14:paraId="112018D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56-23-5</w:t>
            </w:r>
          </w:p>
        </w:tc>
        <w:tc>
          <w:tcPr>
            <w:tcW w:w="751" w:type="pct"/>
            <w:tcBorders>
              <w:tl2br w:val="nil"/>
              <w:tr2bl w:val="nil"/>
            </w:tcBorders>
            <w:vAlign w:val="center"/>
          </w:tcPr>
          <w:p w14:paraId="4D5001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0.9</w:t>
            </w:r>
          </w:p>
        </w:tc>
        <w:tc>
          <w:tcPr>
            <w:tcW w:w="759" w:type="pct"/>
            <w:tcBorders>
              <w:tl2br w:val="nil"/>
              <w:tr2bl w:val="nil"/>
            </w:tcBorders>
            <w:vAlign w:val="center"/>
          </w:tcPr>
          <w:p w14:paraId="03837E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301E74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765" w:type="pct"/>
            <w:tcBorders>
              <w:tl2br w:val="nil"/>
              <w:tr2bl w:val="nil"/>
            </w:tcBorders>
            <w:vAlign w:val="center"/>
          </w:tcPr>
          <w:p w14:paraId="033AD89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w:t>
            </w:r>
          </w:p>
        </w:tc>
      </w:tr>
      <w:tr w14:paraId="2790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5CF26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986" w:type="pct"/>
            <w:tcBorders>
              <w:tl2br w:val="nil"/>
              <w:tr2bl w:val="nil"/>
            </w:tcBorders>
            <w:vAlign w:val="center"/>
          </w:tcPr>
          <w:p w14:paraId="2CC459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氯仿</w:t>
            </w:r>
          </w:p>
        </w:tc>
        <w:tc>
          <w:tcPr>
            <w:tcW w:w="692" w:type="pct"/>
            <w:tcBorders>
              <w:tl2br w:val="nil"/>
              <w:tr2bl w:val="nil"/>
            </w:tcBorders>
            <w:vAlign w:val="center"/>
          </w:tcPr>
          <w:p w14:paraId="200DE52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67-66-3</w:t>
            </w:r>
          </w:p>
        </w:tc>
        <w:tc>
          <w:tcPr>
            <w:tcW w:w="751" w:type="pct"/>
            <w:tcBorders>
              <w:tl2br w:val="nil"/>
              <w:tr2bl w:val="nil"/>
            </w:tcBorders>
            <w:vAlign w:val="center"/>
          </w:tcPr>
          <w:p w14:paraId="53989D7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0.3</w:t>
            </w:r>
          </w:p>
        </w:tc>
        <w:tc>
          <w:tcPr>
            <w:tcW w:w="759" w:type="pct"/>
            <w:tcBorders>
              <w:tl2br w:val="nil"/>
              <w:tr2bl w:val="nil"/>
            </w:tcBorders>
            <w:vAlign w:val="center"/>
          </w:tcPr>
          <w:p w14:paraId="4B0223F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0.9</w:t>
            </w:r>
          </w:p>
        </w:tc>
        <w:tc>
          <w:tcPr>
            <w:tcW w:w="720" w:type="pct"/>
            <w:tcBorders>
              <w:tl2br w:val="nil"/>
              <w:tr2bl w:val="nil"/>
            </w:tcBorders>
            <w:vAlign w:val="center"/>
          </w:tcPr>
          <w:p w14:paraId="7EF3D60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29F970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r>
      <w:tr w14:paraId="75A2A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18B7A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986" w:type="pct"/>
            <w:tcBorders>
              <w:tl2br w:val="nil"/>
              <w:tr2bl w:val="nil"/>
            </w:tcBorders>
            <w:vAlign w:val="center"/>
          </w:tcPr>
          <w:p w14:paraId="09D6E5A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氯甲烷</w:t>
            </w:r>
          </w:p>
        </w:tc>
        <w:tc>
          <w:tcPr>
            <w:tcW w:w="692" w:type="pct"/>
            <w:tcBorders>
              <w:tl2br w:val="nil"/>
              <w:tr2bl w:val="nil"/>
            </w:tcBorders>
            <w:vAlign w:val="center"/>
          </w:tcPr>
          <w:p w14:paraId="110999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74-87-3</w:t>
            </w:r>
          </w:p>
        </w:tc>
        <w:tc>
          <w:tcPr>
            <w:tcW w:w="751" w:type="pct"/>
            <w:tcBorders>
              <w:tl2br w:val="nil"/>
              <w:tr2bl w:val="nil"/>
            </w:tcBorders>
            <w:vAlign w:val="center"/>
          </w:tcPr>
          <w:p w14:paraId="5F346A2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59" w:type="pct"/>
            <w:tcBorders>
              <w:tl2br w:val="nil"/>
              <w:tr2bl w:val="nil"/>
            </w:tcBorders>
            <w:vAlign w:val="center"/>
          </w:tcPr>
          <w:p w14:paraId="3ECD145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37</w:t>
            </w:r>
          </w:p>
        </w:tc>
        <w:tc>
          <w:tcPr>
            <w:tcW w:w="720" w:type="pct"/>
            <w:tcBorders>
              <w:tl2br w:val="nil"/>
              <w:tr2bl w:val="nil"/>
            </w:tcBorders>
            <w:vAlign w:val="center"/>
          </w:tcPr>
          <w:p w14:paraId="21311F3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c>
          <w:tcPr>
            <w:tcW w:w="765" w:type="pct"/>
            <w:tcBorders>
              <w:tl2br w:val="nil"/>
              <w:tr2bl w:val="nil"/>
            </w:tcBorders>
            <w:vAlign w:val="center"/>
          </w:tcPr>
          <w:p w14:paraId="111C18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w:t>
            </w:r>
          </w:p>
        </w:tc>
      </w:tr>
      <w:tr w14:paraId="0450A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6219A4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w:t>
            </w:r>
          </w:p>
        </w:tc>
        <w:tc>
          <w:tcPr>
            <w:tcW w:w="986" w:type="pct"/>
            <w:tcBorders>
              <w:tl2br w:val="nil"/>
              <w:tr2bl w:val="nil"/>
            </w:tcBorders>
            <w:vAlign w:val="center"/>
          </w:tcPr>
          <w:p w14:paraId="0283EEF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1,1-二氯乙烷</w:t>
            </w:r>
          </w:p>
        </w:tc>
        <w:tc>
          <w:tcPr>
            <w:tcW w:w="692" w:type="pct"/>
            <w:tcBorders>
              <w:tl2br w:val="nil"/>
              <w:tr2bl w:val="nil"/>
            </w:tcBorders>
            <w:vAlign w:val="center"/>
          </w:tcPr>
          <w:p w14:paraId="132FDD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75-34-3</w:t>
            </w:r>
          </w:p>
        </w:tc>
        <w:tc>
          <w:tcPr>
            <w:tcW w:w="751" w:type="pct"/>
            <w:tcBorders>
              <w:tl2br w:val="nil"/>
              <w:tr2bl w:val="nil"/>
            </w:tcBorders>
            <w:vAlign w:val="center"/>
          </w:tcPr>
          <w:p w14:paraId="334A873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759" w:type="pct"/>
            <w:tcBorders>
              <w:tl2br w:val="nil"/>
              <w:tr2bl w:val="nil"/>
            </w:tcBorders>
            <w:vAlign w:val="center"/>
          </w:tcPr>
          <w:p w14:paraId="340A9BE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w:t>
            </w:r>
          </w:p>
        </w:tc>
        <w:tc>
          <w:tcPr>
            <w:tcW w:w="720" w:type="pct"/>
            <w:tcBorders>
              <w:tl2br w:val="nil"/>
              <w:tr2bl w:val="nil"/>
            </w:tcBorders>
            <w:vAlign w:val="center"/>
          </w:tcPr>
          <w:p w14:paraId="4C2FC8C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65" w:type="pct"/>
            <w:tcBorders>
              <w:tl2br w:val="nil"/>
              <w:tr2bl w:val="nil"/>
            </w:tcBorders>
            <w:vAlign w:val="center"/>
          </w:tcPr>
          <w:p w14:paraId="61FA00D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w:t>
            </w:r>
          </w:p>
        </w:tc>
      </w:tr>
      <w:tr w14:paraId="390DB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D656C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986" w:type="pct"/>
            <w:tcBorders>
              <w:tl2br w:val="nil"/>
              <w:tr2bl w:val="nil"/>
            </w:tcBorders>
            <w:vAlign w:val="center"/>
          </w:tcPr>
          <w:p w14:paraId="06CD8BA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1,2-二氯乙烷</w:t>
            </w:r>
          </w:p>
        </w:tc>
        <w:tc>
          <w:tcPr>
            <w:tcW w:w="692" w:type="pct"/>
            <w:tcBorders>
              <w:tl2br w:val="nil"/>
              <w:tr2bl w:val="nil"/>
            </w:tcBorders>
            <w:vAlign w:val="center"/>
          </w:tcPr>
          <w:p w14:paraId="537CD51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107-06-2</w:t>
            </w:r>
          </w:p>
        </w:tc>
        <w:tc>
          <w:tcPr>
            <w:tcW w:w="751" w:type="pct"/>
            <w:tcBorders>
              <w:tl2br w:val="nil"/>
              <w:tr2bl w:val="nil"/>
            </w:tcBorders>
            <w:vAlign w:val="center"/>
          </w:tcPr>
          <w:p w14:paraId="15057AB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0.52</w:t>
            </w:r>
          </w:p>
        </w:tc>
        <w:tc>
          <w:tcPr>
            <w:tcW w:w="759" w:type="pct"/>
            <w:tcBorders>
              <w:tl2br w:val="nil"/>
              <w:tr2bl w:val="nil"/>
            </w:tcBorders>
            <w:vAlign w:val="center"/>
          </w:tcPr>
          <w:p w14:paraId="3FA84C4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20" w:type="pct"/>
            <w:tcBorders>
              <w:tl2br w:val="nil"/>
              <w:tr2bl w:val="nil"/>
            </w:tcBorders>
            <w:vAlign w:val="center"/>
          </w:tcPr>
          <w:p w14:paraId="4541A0E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w:t>
            </w:r>
          </w:p>
        </w:tc>
        <w:tc>
          <w:tcPr>
            <w:tcW w:w="765" w:type="pct"/>
            <w:tcBorders>
              <w:tl2br w:val="nil"/>
              <w:tr2bl w:val="nil"/>
            </w:tcBorders>
            <w:vAlign w:val="center"/>
          </w:tcPr>
          <w:p w14:paraId="448B0B7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r>
      <w:tr w14:paraId="7224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181F63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13</w:t>
            </w:r>
          </w:p>
        </w:tc>
        <w:tc>
          <w:tcPr>
            <w:tcW w:w="986" w:type="pct"/>
            <w:tcBorders>
              <w:tl2br w:val="nil"/>
              <w:tr2bl w:val="nil"/>
            </w:tcBorders>
            <w:vAlign w:val="center"/>
          </w:tcPr>
          <w:p w14:paraId="4D1B13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1，1-二氯乙烯</w:t>
            </w:r>
          </w:p>
        </w:tc>
        <w:tc>
          <w:tcPr>
            <w:tcW w:w="692" w:type="pct"/>
            <w:tcBorders>
              <w:tl2br w:val="nil"/>
              <w:tr2bl w:val="nil"/>
            </w:tcBorders>
            <w:vAlign w:val="center"/>
          </w:tcPr>
          <w:p w14:paraId="64D6B7A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75-35-4</w:t>
            </w:r>
          </w:p>
        </w:tc>
        <w:tc>
          <w:tcPr>
            <w:tcW w:w="751" w:type="pct"/>
            <w:tcBorders>
              <w:tl2br w:val="nil"/>
              <w:tr2bl w:val="nil"/>
            </w:tcBorders>
            <w:vAlign w:val="center"/>
          </w:tcPr>
          <w:p w14:paraId="47145F6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59" w:type="pct"/>
            <w:tcBorders>
              <w:tl2br w:val="nil"/>
              <w:tr2bl w:val="nil"/>
            </w:tcBorders>
            <w:vAlign w:val="center"/>
          </w:tcPr>
          <w:p w14:paraId="4F4B700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w:t>
            </w:r>
          </w:p>
        </w:tc>
        <w:tc>
          <w:tcPr>
            <w:tcW w:w="720" w:type="pct"/>
            <w:tcBorders>
              <w:tl2br w:val="nil"/>
              <w:tr2bl w:val="nil"/>
            </w:tcBorders>
            <w:vAlign w:val="center"/>
          </w:tcPr>
          <w:p w14:paraId="554D737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c>
          <w:tcPr>
            <w:tcW w:w="765" w:type="pct"/>
            <w:tcBorders>
              <w:tl2br w:val="nil"/>
              <w:tr2bl w:val="nil"/>
            </w:tcBorders>
            <w:vAlign w:val="center"/>
          </w:tcPr>
          <w:p w14:paraId="460AC4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r>
      <w:tr w14:paraId="7DF9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79CA0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w:t>
            </w:r>
          </w:p>
        </w:tc>
        <w:tc>
          <w:tcPr>
            <w:tcW w:w="986" w:type="pct"/>
            <w:tcBorders>
              <w:tl2br w:val="nil"/>
              <w:tr2bl w:val="nil"/>
            </w:tcBorders>
            <w:vAlign w:val="center"/>
          </w:tcPr>
          <w:p w14:paraId="5AE7E9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顺-1，2-二氯乙烯</w:t>
            </w:r>
          </w:p>
        </w:tc>
        <w:tc>
          <w:tcPr>
            <w:tcW w:w="692" w:type="pct"/>
            <w:tcBorders>
              <w:tl2br w:val="nil"/>
              <w:tr2bl w:val="nil"/>
            </w:tcBorders>
            <w:vAlign w:val="center"/>
          </w:tcPr>
          <w:p w14:paraId="2F53683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156-59-2</w:t>
            </w:r>
          </w:p>
        </w:tc>
        <w:tc>
          <w:tcPr>
            <w:tcW w:w="751" w:type="pct"/>
            <w:tcBorders>
              <w:tl2br w:val="nil"/>
              <w:tr2bl w:val="nil"/>
            </w:tcBorders>
            <w:vAlign w:val="center"/>
          </w:tcPr>
          <w:p w14:paraId="76B09F4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w:t>
            </w:r>
          </w:p>
        </w:tc>
        <w:tc>
          <w:tcPr>
            <w:tcW w:w="759" w:type="pct"/>
            <w:tcBorders>
              <w:tl2br w:val="nil"/>
              <w:tr2bl w:val="nil"/>
            </w:tcBorders>
            <w:vAlign w:val="center"/>
          </w:tcPr>
          <w:p w14:paraId="42D6B74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596</w:t>
            </w:r>
          </w:p>
        </w:tc>
        <w:tc>
          <w:tcPr>
            <w:tcW w:w="720" w:type="pct"/>
            <w:tcBorders>
              <w:tl2br w:val="nil"/>
              <w:tr2bl w:val="nil"/>
            </w:tcBorders>
            <w:vAlign w:val="center"/>
          </w:tcPr>
          <w:p w14:paraId="769ABC7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c>
          <w:tcPr>
            <w:tcW w:w="765" w:type="pct"/>
            <w:tcBorders>
              <w:tl2br w:val="nil"/>
              <w:tr2bl w:val="nil"/>
            </w:tcBorders>
            <w:vAlign w:val="center"/>
          </w:tcPr>
          <w:p w14:paraId="543E007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506D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67601C9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986" w:type="pct"/>
            <w:tcBorders>
              <w:tl2br w:val="nil"/>
              <w:tr2bl w:val="nil"/>
            </w:tcBorders>
            <w:vAlign w:val="center"/>
          </w:tcPr>
          <w:p w14:paraId="49D1902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反-1，2-二氯乙烯</w:t>
            </w:r>
          </w:p>
        </w:tc>
        <w:tc>
          <w:tcPr>
            <w:tcW w:w="692" w:type="pct"/>
            <w:tcBorders>
              <w:tl2br w:val="nil"/>
              <w:tr2bl w:val="nil"/>
            </w:tcBorders>
            <w:vAlign w:val="center"/>
          </w:tcPr>
          <w:p w14:paraId="1121714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156-60-5</w:t>
            </w:r>
          </w:p>
        </w:tc>
        <w:tc>
          <w:tcPr>
            <w:tcW w:w="751" w:type="pct"/>
            <w:tcBorders>
              <w:tl2br w:val="nil"/>
              <w:tr2bl w:val="nil"/>
            </w:tcBorders>
            <w:vAlign w:val="center"/>
          </w:tcPr>
          <w:p w14:paraId="0C6A5CE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59" w:type="pct"/>
            <w:tcBorders>
              <w:tl2br w:val="nil"/>
              <w:tr2bl w:val="nil"/>
            </w:tcBorders>
            <w:vAlign w:val="center"/>
          </w:tcPr>
          <w:p w14:paraId="20713F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54</w:t>
            </w:r>
          </w:p>
        </w:tc>
        <w:tc>
          <w:tcPr>
            <w:tcW w:w="720" w:type="pct"/>
            <w:tcBorders>
              <w:tl2br w:val="nil"/>
              <w:tr2bl w:val="nil"/>
            </w:tcBorders>
            <w:vAlign w:val="center"/>
          </w:tcPr>
          <w:p w14:paraId="1B2ADE5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31</w:t>
            </w:r>
          </w:p>
        </w:tc>
        <w:tc>
          <w:tcPr>
            <w:tcW w:w="765" w:type="pct"/>
            <w:tcBorders>
              <w:tl2br w:val="nil"/>
              <w:tr2bl w:val="nil"/>
            </w:tcBorders>
            <w:vAlign w:val="center"/>
          </w:tcPr>
          <w:p w14:paraId="575B975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163</w:t>
            </w:r>
          </w:p>
        </w:tc>
      </w:tr>
      <w:tr w14:paraId="4FF95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6E36E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w:t>
            </w:r>
          </w:p>
        </w:tc>
        <w:tc>
          <w:tcPr>
            <w:tcW w:w="986" w:type="pct"/>
            <w:tcBorders>
              <w:tl2br w:val="nil"/>
              <w:tr2bl w:val="nil"/>
            </w:tcBorders>
            <w:vAlign w:val="center"/>
          </w:tcPr>
          <w:p w14:paraId="042CB5F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二氯甲烷</w:t>
            </w:r>
          </w:p>
        </w:tc>
        <w:tc>
          <w:tcPr>
            <w:tcW w:w="692" w:type="pct"/>
            <w:tcBorders>
              <w:tl2br w:val="nil"/>
              <w:tr2bl w:val="nil"/>
            </w:tcBorders>
            <w:vAlign w:val="center"/>
          </w:tcPr>
          <w:p w14:paraId="5CBFE22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75-09-2</w:t>
            </w:r>
          </w:p>
        </w:tc>
        <w:tc>
          <w:tcPr>
            <w:tcW w:w="751" w:type="pct"/>
            <w:tcBorders>
              <w:tl2br w:val="nil"/>
              <w:tr2bl w:val="nil"/>
            </w:tcBorders>
            <w:vAlign w:val="center"/>
          </w:tcPr>
          <w:p w14:paraId="75319D6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94</w:t>
            </w:r>
          </w:p>
        </w:tc>
        <w:tc>
          <w:tcPr>
            <w:tcW w:w="759" w:type="pct"/>
            <w:tcBorders>
              <w:tl2br w:val="nil"/>
              <w:tr2bl w:val="nil"/>
            </w:tcBorders>
            <w:vAlign w:val="center"/>
          </w:tcPr>
          <w:p w14:paraId="6A05438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616</w:t>
            </w:r>
          </w:p>
        </w:tc>
        <w:tc>
          <w:tcPr>
            <w:tcW w:w="720" w:type="pct"/>
            <w:tcBorders>
              <w:tl2br w:val="nil"/>
              <w:tr2bl w:val="nil"/>
            </w:tcBorders>
            <w:vAlign w:val="center"/>
          </w:tcPr>
          <w:p w14:paraId="0AAD36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300</w:t>
            </w:r>
          </w:p>
        </w:tc>
        <w:tc>
          <w:tcPr>
            <w:tcW w:w="765" w:type="pct"/>
            <w:tcBorders>
              <w:tl2br w:val="nil"/>
              <w:tr2bl w:val="nil"/>
            </w:tcBorders>
            <w:vAlign w:val="center"/>
          </w:tcPr>
          <w:p w14:paraId="2DEC15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2000</w:t>
            </w:r>
          </w:p>
        </w:tc>
      </w:tr>
      <w:tr w14:paraId="08EA3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BEC38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17</w:t>
            </w:r>
          </w:p>
        </w:tc>
        <w:tc>
          <w:tcPr>
            <w:tcW w:w="986" w:type="pct"/>
            <w:tcBorders>
              <w:tl2br w:val="nil"/>
              <w:tr2bl w:val="nil"/>
            </w:tcBorders>
            <w:vAlign w:val="center"/>
          </w:tcPr>
          <w:p w14:paraId="4ED7223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1,2-二氯丙烷</w:t>
            </w:r>
          </w:p>
        </w:tc>
        <w:tc>
          <w:tcPr>
            <w:tcW w:w="692" w:type="pct"/>
            <w:tcBorders>
              <w:tl2br w:val="nil"/>
              <w:tr2bl w:val="nil"/>
            </w:tcBorders>
            <w:vAlign w:val="center"/>
          </w:tcPr>
          <w:p w14:paraId="765084B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78-87-5</w:t>
            </w:r>
          </w:p>
        </w:tc>
        <w:tc>
          <w:tcPr>
            <w:tcW w:w="751" w:type="pct"/>
            <w:tcBorders>
              <w:tl2br w:val="nil"/>
              <w:tr2bl w:val="nil"/>
            </w:tcBorders>
            <w:vAlign w:val="center"/>
          </w:tcPr>
          <w:p w14:paraId="28B7E1D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759" w:type="pct"/>
            <w:tcBorders>
              <w:tl2br w:val="nil"/>
              <w:tr2bl w:val="nil"/>
            </w:tcBorders>
            <w:vAlign w:val="center"/>
          </w:tcPr>
          <w:p w14:paraId="62E4609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20" w:type="pct"/>
            <w:tcBorders>
              <w:tl2br w:val="nil"/>
              <w:tr2bl w:val="nil"/>
            </w:tcBorders>
            <w:vAlign w:val="center"/>
          </w:tcPr>
          <w:p w14:paraId="39FAEA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3669AC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47</w:t>
            </w:r>
          </w:p>
        </w:tc>
      </w:tr>
      <w:tr w14:paraId="37AD8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23E53A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w:t>
            </w:r>
          </w:p>
        </w:tc>
        <w:tc>
          <w:tcPr>
            <w:tcW w:w="986" w:type="pct"/>
            <w:tcBorders>
              <w:tl2br w:val="nil"/>
              <w:tr2bl w:val="nil"/>
            </w:tcBorders>
            <w:vAlign w:val="center"/>
          </w:tcPr>
          <w:p w14:paraId="7F208C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1,1,1,2-四氯乙烷</w:t>
            </w:r>
          </w:p>
        </w:tc>
        <w:tc>
          <w:tcPr>
            <w:tcW w:w="692" w:type="pct"/>
            <w:tcBorders>
              <w:tl2br w:val="nil"/>
              <w:tr2bl w:val="nil"/>
            </w:tcBorders>
            <w:vAlign w:val="center"/>
          </w:tcPr>
          <w:p w14:paraId="5911E86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630-20-6</w:t>
            </w:r>
          </w:p>
        </w:tc>
        <w:tc>
          <w:tcPr>
            <w:tcW w:w="751" w:type="pct"/>
            <w:tcBorders>
              <w:tl2br w:val="nil"/>
              <w:tr2bl w:val="nil"/>
            </w:tcBorders>
            <w:vAlign w:val="center"/>
          </w:tcPr>
          <w:p w14:paraId="6422F02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759" w:type="pct"/>
            <w:tcBorders>
              <w:tl2br w:val="nil"/>
              <w:tr2bl w:val="nil"/>
            </w:tcBorders>
            <w:vAlign w:val="center"/>
          </w:tcPr>
          <w:p w14:paraId="111CB2C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20" w:type="pct"/>
            <w:tcBorders>
              <w:tl2br w:val="nil"/>
              <w:tr2bl w:val="nil"/>
            </w:tcBorders>
            <w:vAlign w:val="center"/>
          </w:tcPr>
          <w:p w14:paraId="5F7E99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765" w:type="pct"/>
            <w:tcBorders>
              <w:tl2br w:val="nil"/>
              <w:tr2bl w:val="nil"/>
            </w:tcBorders>
            <w:vAlign w:val="center"/>
          </w:tcPr>
          <w:p w14:paraId="323947C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w:t>
            </w:r>
          </w:p>
        </w:tc>
      </w:tr>
      <w:tr w14:paraId="577D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BADF5C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w:t>
            </w:r>
          </w:p>
        </w:tc>
        <w:tc>
          <w:tcPr>
            <w:tcW w:w="986" w:type="pct"/>
            <w:tcBorders>
              <w:tl2br w:val="nil"/>
              <w:tr2bl w:val="nil"/>
            </w:tcBorders>
            <w:vAlign w:val="center"/>
          </w:tcPr>
          <w:p w14:paraId="112BEE0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1,1,2,2-四氯乙烷</w:t>
            </w:r>
          </w:p>
        </w:tc>
        <w:tc>
          <w:tcPr>
            <w:tcW w:w="692" w:type="pct"/>
            <w:tcBorders>
              <w:tl2br w:val="nil"/>
              <w:tr2bl w:val="nil"/>
            </w:tcBorders>
            <w:vAlign w:val="center"/>
          </w:tcPr>
          <w:p w14:paraId="49E6FE1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79-34-5</w:t>
            </w:r>
          </w:p>
        </w:tc>
        <w:tc>
          <w:tcPr>
            <w:tcW w:w="751" w:type="pct"/>
            <w:tcBorders>
              <w:tl2br w:val="nil"/>
              <w:tr2bl w:val="nil"/>
            </w:tcBorders>
            <w:vAlign w:val="center"/>
          </w:tcPr>
          <w:p w14:paraId="6328638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w:t>
            </w:r>
          </w:p>
        </w:tc>
        <w:tc>
          <w:tcPr>
            <w:tcW w:w="759" w:type="pct"/>
            <w:tcBorders>
              <w:tl2br w:val="nil"/>
              <w:tr2bl w:val="nil"/>
            </w:tcBorders>
            <w:vAlign w:val="center"/>
          </w:tcPr>
          <w:p w14:paraId="25A7DE6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6.8</w:t>
            </w:r>
          </w:p>
        </w:tc>
        <w:tc>
          <w:tcPr>
            <w:tcW w:w="720" w:type="pct"/>
            <w:tcBorders>
              <w:tl2br w:val="nil"/>
              <w:tr2bl w:val="nil"/>
            </w:tcBorders>
            <w:vAlign w:val="center"/>
          </w:tcPr>
          <w:p w14:paraId="4E32AD6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w:t>
            </w:r>
          </w:p>
        </w:tc>
        <w:tc>
          <w:tcPr>
            <w:tcW w:w="765" w:type="pct"/>
            <w:tcBorders>
              <w:tl2br w:val="nil"/>
              <w:tr2bl w:val="nil"/>
            </w:tcBorders>
            <w:vAlign w:val="center"/>
          </w:tcPr>
          <w:p w14:paraId="3C90BEA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w:t>
            </w:r>
          </w:p>
        </w:tc>
      </w:tr>
      <w:tr w14:paraId="7AFAD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C5BB9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986" w:type="pct"/>
            <w:tcBorders>
              <w:tl2br w:val="nil"/>
              <w:tr2bl w:val="nil"/>
            </w:tcBorders>
            <w:vAlign w:val="center"/>
          </w:tcPr>
          <w:p w14:paraId="78425A4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四氯乙烯</w:t>
            </w:r>
          </w:p>
        </w:tc>
        <w:tc>
          <w:tcPr>
            <w:tcW w:w="692" w:type="pct"/>
            <w:tcBorders>
              <w:tl2br w:val="nil"/>
              <w:tr2bl w:val="nil"/>
            </w:tcBorders>
            <w:vAlign w:val="center"/>
          </w:tcPr>
          <w:p w14:paraId="40B6F5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127-18-4</w:t>
            </w:r>
          </w:p>
        </w:tc>
        <w:tc>
          <w:tcPr>
            <w:tcW w:w="751" w:type="pct"/>
            <w:tcBorders>
              <w:tl2br w:val="nil"/>
              <w:tr2bl w:val="nil"/>
            </w:tcBorders>
            <w:vAlign w:val="center"/>
          </w:tcPr>
          <w:p w14:paraId="6C71BD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w:t>
            </w:r>
          </w:p>
        </w:tc>
        <w:tc>
          <w:tcPr>
            <w:tcW w:w="759" w:type="pct"/>
            <w:tcBorders>
              <w:tl2br w:val="nil"/>
              <w:tr2bl w:val="nil"/>
            </w:tcBorders>
            <w:vAlign w:val="center"/>
          </w:tcPr>
          <w:p w14:paraId="5EFDA36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53</w:t>
            </w:r>
          </w:p>
        </w:tc>
        <w:tc>
          <w:tcPr>
            <w:tcW w:w="720" w:type="pct"/>
            <w:tcBorders>
              <w:tl2br w:val="nil"/>
              <w:tr2bl w:val="nil"/>
            </w:tcBorders>
            <w:vAlign w:val="center"/>
          </w:tcPr>
          <w:p w14:paraId="008CD30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765" w:type="pct"/>
            <w:tcBorders>
              <w:tl2br w:val="nil"/>
              <w:tr2bl w:val="nil"/>
            </w:tcBorders>
            <w:vAlign w:val="center"/>
          </w:tcPr>
          <w:p w14:paraId="749CF9D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183</w:t>
            </w:r>
          </w:p>
        </w:tc>
      </w:tr>
      <w:tr w14:paraId="7CD4A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A097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w:t>
            </w:r>
          </w:p>
        </w:tc>
        <w:tc>
          <w:tcPr>
            <w:tcW w:w="986" w:type="pct"/>
            <w:tcBorders>
              <w:tl2br w:val="nil"/>
              <w:tr2bl w:val="nil"/>
            </w:tcBorders>
            <w:vAlign w:val="center"/>
          </w:tcPr>
          <w:p w14:paraId="02D8699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1,1,1-三氯乙烷</w:t>
            </w:r>
          </w:p>
        </w:tc>
        <w:tc>
          <w:tcPr>
            <w:tcW w:w="692" w:type="pct"/>
            <w:tcBorders>
              <w:tl2br w:val="nil"/>
              <w:tr2bl w:val="nil"/>
            </w:tcBorders>
            <w:vAlign w:val="center"/>
          </w:tcPr>
          <w:p w14:paraId="6BBAE7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71-55-6</w:t>
            </w:r>
          </w:p>
        </w:tc>
        <w:tc>
          <w:tcPr>
            <w:tcW w:w="751" w:type="pct"/>
            <w:tcBorders>
              <w:tl2br w:val="nil"/>
              <w:tr2bl w:val="nil"/>
            </w:tcBorders>
            <w:vAlign w:val="center"/>
          </w:tcPr>
          <w:p w14:paraId="219AB4A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701</w:t>
            </w:r>
          </w:p>
        </w:tc>
        <w:tc>
          <w:tcPr>
            <w:tcW w:w="759" w:type="pct"/>
            <w:tcBorders>
              <w:tl2br w:val="nil"/>
              <w:tr2bl w:val="nil"/>
            </w:tcBorders>
            <w:vAlign w:val="center"/>
          </w:tcPr>
          <w:p w14:paraId="14B7F90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c>
          <w:tcPr>
            <w:tcW w:w="720" w:type="pct"/>
            <w:tcBorders>
              <w:tl2br w:val="nil"/>
              <w:tr2bl w:val="nil"/>
            </w:tcBorders>
            <w:vAlign w:val="center"/>
          </w:tcPr>
          <w:p w14:paraId="01FBDBB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c>
          <w:tcPr>
            <w:tcW w:w="765" w:type="pct"/>
            <w:tcBorders>
              <w:tl2br w:val="nil"/>
              <w:tr2bl w:val="nil"/>
            </w:tcBorders>
            <w:vAlign w:val="center"/>
          </w:tcPr>
          <w:p w14:paraId="007360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840</w:t>
            </w:r>
          </w:p>
        </w:tc>
      </w:tr>
      <w:tr w14:paraId="610E8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A07E94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22</w:t>
            </w:r>
          </w:p>
        </w:tc>
        <w:tc>
          <w:tcPr>
            <w:tcW w:w="986" w:type="pct"/>
            <w:tcBorders>
              <w:tl2br w:val="nil"/>
              <w:tr2bl w:val="nil"/>
            </w:tcBorders>
            <w:vAlign w:val="center"/>
          </w:tcPr>
          <w:p w14:paraId="3504FCD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1,1,2-三氯乙烷</w:t>
            </w:r>
          </w:p>
        </w:tc>
        <w:tc>
          <w:tcPr>
            <w:tcW w:w="692" w:type="pct"/>
            <w:tcBorders>
              <w:tl2br w:val="nil"/>
              <w:tr2bl w:val="nil"/>
            </w:tcBorders>
            <w:vAlign w:val="center"/>
          </w:tcPr>
          <w:p w14:paraId="3BB48F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79-00-5</w:t>
            </w:r>
          </w:p>
        </w:tc>
        <w:tc>
          <w:tcPr>
            <w:tcW w:w="751" w:type="pct"/>
            <w:tcBorders>
              <w:tl2br w:val="nil"/>
              <w:tr2bl w:val="nil"/>
            </w:tcBorders>
            <w:vAlign w:val="center"/>
          </w:tcPr>
          <w:p w14:paraId="628E5F5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0.6</w:t>
            </w:r>
          </w:p>
        </w:tc>
        <w:tc>
          <w:tcPr>
            <w:tcW w:w="759" w:type="pct"/>
            <w:tcBorders>
              <w:tl2br w:val="nil"/>
              <w:tr2bl w:val="nil"/>
            </w:tcBorders>
            <w:vAlign w:val="center"/>
          </w:tcPr>
          <w:p w14:paraId="6EA30B8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1C3684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c>
          <w:tcPr>
            <w:tcW w:w="765" w:type="pct"/>
            <w:tcBorders>
              <w:tl2br w:val="nil"/>
              <w:tr2bl w:val="nil"/>
            </w:tcBorders>
            <w:vAlign w:val="center"/>
          </w:tcPr>
          <w:p w14:paraId="5EFFF0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4A3B6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B8738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23</w:t>
            </w:r>
          </w:p>
        </w:tc>
        <w:tc>
          <w:tcPr>
            <w:tcW w:w="986" w:type="pct"/>
            <w:tcBorders>
              <w:tl2br w:val="nil"/>
              <w:tr2bl w:val="nil"/>
            </w:tcBorders>
            <w:vAlign w:val="center"/>
          </w:tcPr>
          <w:p w14:paraId="2A84F65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三氯乙烯</w:t>
            </w:r>
          </w:p>
        </w:tc>
        <w:tc>
          <w:tcPr>
            <w:tcW w:w="692" w:type="pct"/>
            <w:tcBorders>
              <w:tl2br w:val="nil"/>
              <w:tr2bl w:val="nil"/>
            </w:tcBorders>
            <w:vAlign w:val="center"/>
          </w:tcPr>
          <w:p w14:paraId="2D38D48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79-01-6</w:t>
            </w:r>
          </w:p>
        </w:tc>
        <w:tc>
          <w:tcPr>
            <w:tcW w:w="751" w:type="pct"/>
            <w:tcBorders>
              <w:tl2br w:val="nil"/>
              <w:tr2bl w:val="nil"/>
            </w:tcBorders>
            <w:vAlign w:val="center"/>
          </w:tcPr>
          <w:p w14:paraId="40D54D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0.7</w:t>
            </w:r>
          </w:p>
        </w:tc>
        <w:tc>
          <w:tcPr>
            <w:tcW w:w="759" w:type="pct"/>
            <w:tcBorders>
              <w:tl2br w:val="nil"/>
              <w:tr2bl w:val="nil"/>
            </w:tcBorders>
            <w:vAlign w:val="center"/>
          </w:tcPr>
          <w:p w14:paraId="705B3EC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32377DF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w:t>
            </w:r>
          </w:p>
        </w:tc>
        <w:tc>
          <w:tcPr>
            <w:tcW w:w="765" w:type="pct"/>
            <w:tcBorders>
              <w:tl2br w:val="nil"/>
              <w:tr2bl w:val="nil"/>
            </w:tcBorders>
            <w:vAlign w:val="center"/>
          </w:tcPr>
          <w:p w14:paraId="4BBDBA8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r>
      <w:tr w14:paraId="0DFE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93840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24</w:t>
            </w:r>
          </w:p>
        </w:tc>
        <w:tc>
          <w:tcPr>
            <w:tcW w:w="986" w:type="pct"/>
            <w:tcBorders>
              <w:tl2br w:val="nil"/>
              <w:tr2bl w:val="nil"/>
            </w:tcBorders>
            <w:vAlign w:val="center"/>
          </w:tcPr>
          <w:p w14:paraId="1845F27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1,2,3-三氯丙烷</w:t>
            </w:r>
          </w:p>
        </w:tc>
        <w:tc>
          <w:tcPr>
            <w:tcW w:w="692" w:type="pct"/>
            <w:tcBorders>
              <w:tl2br w:val="nil"/>
              <w:tr2bl w:val="nil"/>
            </w:tcBorders>
            <w:vAlign w:val="center"/>
          </w:tcPr>
          <w:p w14:paraId="71FD4E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96-18-4</w:t>
            </w:r>
          </w:p>
        </w:tc>
        <w:tc>
          <w:tcPr>
            <w:tcW w:w="751" w:type="pct"/>
            <w:tcBorders>
              <w:tl2br w:val="nil"/>
              <w:tr2bl w:val="nil"/>
            </w:tcBorders>
            <w:vAlign w:val="center"/>
          </w:tcPr>
          <w:p w14:paraId="180DEBF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0.05</w:t>
            </w:r>
          </w:p>
        </w:tc>
        <w:tc>
          <w:tcPr>
            <w:tcW w:w="759" w:type="pct"/>
            <w:tcBorders>
              <w:tl2br w:val="nil"/>
              <w:tr2bl w:val="nil"/>
            </w:tcBorders>
            <w:vAlign w:val="center"/>
          </w:tcPr>
          <w:p w14:paraId="74AD36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w:t>
            </w:r>
          </w:p>
        </w:tc>
        <w:tc>
          <w:tcPr>
            <w:tcW w:w="720" w:type="pct"/>
            <w:tcBorders>
              <w:tl2br w:val="nil"/>
              <w:tr2bl w:val="nil"/>
            </w:tcBorders>
            <w:vAlign w:val="center"/>
          </w:tcPr>
          <w:p w14:paraId="28AD73D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w:t>
            </w:r>
          </w:p>
        </w:tc>
        <w:tc>
          <w:tcPr>
            <w:tcW w:w="765" w:type="pct"/>
            <w:tcBorders>
              <w:tl2br w:val="nil"/>
              <w:tr2bl w:val="nil"/>
            </w:tcBorders>
            <w:vAlign w:val="center"/>
          </w:tcPr>
          <w:p w14:paraId="1B7D57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w:t>
            </w:r>
          </w:p>
        </w:tc>
      </w:tr>
      <w:tr w14:paraId="7A813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20A70B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w:t>
            </w:r>
          </w:p>
        </w:tc>
        <w:tc>
          <w:tcPr>
            <w:tcW w:w="986" w:type="pct"/>
            <w:tcBorders>
              <w:tl2br w:val="nil"/>
              <w:tr2bl w:val="nil"/>
            </w:tcBorders>
            <w:vAlign w:val="center"/>
          </w:tcPr>
          <w:p w14:paraId="32DAC1E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氯乙烯</w:t>
            </w:r>
          </w:p>
        </w:tc>
        <w:tc>
          <w:tcPr>
            <w:tcW w:w="692" w:type="pct"/>
            <w:tcBorders>
              <w:tl2br w:val="nil"/>
              <w:tr2bl w:val="nil"/>
            </w:tcBorders>
            <w:vAlign w:val="center"/>
          </w:tcPr>
          <w:p w14:paraId="4F04080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75-01-4</w:t>
            </w:r>
          </w:p>
        </w:tc>
        <w:tc>
          <w:tcPr>
            <w:tcW w:w="751" w:type="pct"/>
            <w:tcBorders>
              <w:tl2br w:val="nil"/>
              <w:tr2bl w:val="nil"/>
            </w:tcBorders>
            <w:vAlign w:val="center"/>
          </w:tcPr>
          <w:p w14:paraId="303970E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0.12</w:t>
            </w:r>
          </w:p>
        </w:tc>
        <w:tc>
          <w:tcPr>
            <w:tcW w:w="759" w:type="pct"/>
            <w:tcBorders>
              <w:tl2br w:val="nil"/>
              <w:tr2bl w:val="nil"/>
            </w:tcBorders>
            <w:vAlign w:val="center"/>
          </w:tcPr>
          <w:p w14:paraId="6402F5F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0.43</w:t>
            </w:r>
          </w:p>
        </w:tc>
        <w:tc>
          <w:tcPr>
            <w:tcW w:w="720" w:type="pct"/>
            <w:tcBorders>
              <w:tl2br w:val="nil"/>
              <w:tr2bl w:val="nil"/>
            </w:tcBorders>
            <w:vAlign w:val="center"/>
          </w:tcPr>
          <w:p w14:paraId="6D0D915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w:t>
            </w:r>
          </w:p>
        </w:tc>
        <w:tc>
          <w:tcPr>
            <w:tcW w:w="765" w:type="pct"/>
            <w:tcBorders>
              <w:tl2br w:val="nil"/>
              <w:tr2bl w:val="nil"/>
            </w:tcBorders>
            <w:vAlign w:val="center"/>
          </w:tcPr>
          <w:p w14:paraId="591D56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4.3</w:t>
            </w:r>
          </w:p>
        </w:tc>
      </w:tr>
      <w:tr w14:paraId="44AA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EB9CD2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w:t>
            </w:r>
          </w:p>
        </w:tc>
        <w:tc>
          <w:tcPr>
            <w:tcW w:w="986" w:type="pct"/>
            <w:tcBorders>
              <w:tl2br w:val="nil"/>
              <w:tr2bl w:val="nil"/>
            </w:tcBorders>
            <w:vAlign w:val="center"/>
          </w:tcPr>
          <w:p w14:paraId="452820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w:t>
            </w:r>
          </w:p>
        </w:tc>
        <w:tc>
          <w:tcPr>
            <w:tcW w:w="692" w:type="pct"/>
            <w:tcBorders>
              <w:tl2br w:val="nil"/>
              <w:tr2bl w:val="nil"/>
            </w:tcBorders>
            <w:vAlign w:val="center"/>
          </w:tcPr>
          <w:p w14:paraId="399156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71-43-2</w:t>
            </w:r>
          </w:p>
        </w:tc>
        <w:tc>
          <w:tcPr>
            <w:tcW w:w="751" w:type="pct"/>
            <w:tcBorders>
              <w:tl2br w:val="nil"/>
              <w:tr2bl w:val="nil"/>
            </w:tcBorders>
            <w:vAlign w:val="center"/>
          </w:tcPr>
          <w:p w14:paraId="760C9FF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759" w:type="pct"/>
            <w:tcBorders>
              <w:tl2br w:val="nil"/>
              <w:tr2bl w:val="nil"/>
            </w:tcBorders>
            <w:vAlign w:val="center"/>
          </w:tcPr>
          <w:p w14:paraId="643B15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720" w:type="pct"/>
            <w:tcBorders>
              <w:tl2br w:val="nil"/>
              <w:tr2bl w:val="nil"/>
            </w:tcBorders>
            <w:vAlign w:val="center"/>
          </w:tcPr>
          <w:p w14:paraId="244F77D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w:t>
            </w:r>
          </w:p>
        </w:tc>
        <w:tc>
          <w:tcPr>
            <w:tcW w:w="765" w:type="pct"/>
            <w:tcBorders>
              <w:tl2br w:val="nil"/>
              <w:tr2bl w:val="nil"/>
            </w:tcBorders>
            <w:vAlign w:val="center"/>
          </w:tcPr>
          <w:p w14:paraId="6318F6C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r>
      <w:tr w14:paraId="15053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F3FACC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27</w:t>
            </w:r>
          </w:p>
        </w:tc>
        <w:tc>
          <w:tcPr>
            <w:tcW w:w="986" w:type="pct"/>
            <w:tcBorders>
              <w:tl2br w:val="nil"/>
              <w:tr2bl w:val="nil"/>
            </w:tcBorders>
            <w:vAlign w:val="center"/>
          </w:tcPr>
          <w:p w14:paraId="058223A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氯苯</w:t>
            </w:r>
          </w:p>
        </w:tc>
        <w:tc>
          <w:tcPr>
            <w:tcW w:w="692" w:type="pct"/>
            <w:tcBorders>
              <w:tl2br w:val="nil"/>
              <w:tr2bl w:val="nil"/>
            </w:tcBorders>
            <w:vAlign w:val="center"/>
          </w:tcPr>
          <w:p w14:paraId="51D39E9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108-90-7</w:t>
            </w:r>
          </w:p>
        </w:tc>
        <w:tc>
          <w:tcPr>
            <w:tcW w:w="751" w:type="pct"/>
            <w:tcBorders>
              <w:tl2br w:val="nil"/>
              <w:tr2bl w:val="nil"/>
            </w:tcBorders>
            <w:vAlign w:val="center"/>
          </w:tcPr>
          <w:p w14:paraId="78E0E0A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68</w:t>
            </w:r>
          </w:p>
        </w:tc>
        <w:tc>
          <w:tcPr>
            <w:tcW w:w="759" w:type="pct"/>
            <w:tcBorders>
              <w:tl2br w:val="nil"/>
              <w:tr2bl w:val="nil"/>
            </w:tcBorders>
            <w:vAlign w:val="center"/>
          </w:tcPr>
          <w:p w14:paraId="7F50EAD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270</w:t>
            </w:r>
          </w:p>
        </w:tc>
        <w:tc>
          <w:tcPr>
            <w:tcW w:w="720" w:type="pct"/>
            <w:tcBorders>
              <w:tl2br w:val="nil"/>
              <w:tr2bl w:val="nil"/>
            </w:tcBorders>
            <w:vAlign w:val="center"/>
          </w:tcPr>
          <w:p w14:paraId="67DB59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c>
          <w:tcPr>
            <w:tcW w:w="765" w:type="pct"/>
            <w:tcBorders>
              <w:tl2br w:val="nil"/>
              <w:tr2bl w:val="nil"/>
            </w:tcBorders>
            <w:vAlign w:val="center"/>
          </w:tcPr>
          <w:p w14:paraId="07508EC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1000</w:t>
            </w:r>
          </w:p>
        </w:tc>
      </w:tr>
      <w:tr w14:paraId="66A6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5AC228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986" w:type="pct"/>
            <w:tcBorders>
              <w:tl2br w:val="nil"/>
              <w:tr2bl w:val="nil"/>
            </w:tcBorders>
            <w:vAlign w:val="center"/>
          </w:tcPr>
          <w:p w14:paraId="06D6EAD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1,2-二氯苯</w:t>
            </w:r>
          </w:p>
        </w:tc>
        <w:tc>
          <w:tcPr>
            <w:tcW w:w="692" w:type="pct"/>
            <w:tcBorders>
              <w:tl2br w:val="nil"/>
              <w:tr2bl w:val="nil"/>
            </w:tcBorders>
            <w:vAlign w:val="center"/>
          </w:tcPr>
          <w:p w14:paraId="073A612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95-50-1</w:t>
            </w:r>
          </w:p>
        </w:tc>
        <w:tc>
          <w:tcPr>
            <w:tcW w:w="751" w:type="pct"/>
            <w:tcBorders>
              <w:tl2br w:val="nil"/>
              <w:tr2bl w:val="nil"/>
            </w:tcBorders>
            <w:vAlign w:val="center"/>
          </w:tcPr>
          <w:p w14:paraId="47F5539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59" w:type="pct"/>
            <w:tcBorders>
              <w:tl2br w:val="nil"/>
              <w:tr2bl w:val="nil"/>
            </w:tcBorders>
            <w:vAlign w:val="center"/>
          </w:tcPr>
          <w:p w14:paraId="2931BD9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20" w:type="pct"/>
            <w:tcBorders>
              <w:tl2br w:val="nil"/>
              <w:tr2bl w:val="nil"/>
            </w:tcBorders>
            <w:vAlign w:val="center"/>
          </w:tcPr>
          <w:p w14:paraId="7C3C845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c>
          <w:tcPr>
            <w:tcW w:w="765" w:type="pct"/>
            <w:tcBorders>
              <w:tl2br w:val="nil"/>
              <w:tr2bl w:val="nil"/>
            </w:tcBorders>
            <w:vAlign w:val="center"/>
          </w:tcPr>
          <w:p w14:paraId="7102D269">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560</w:t>
            </w:r>
          </w:p>
        </w:tc>
      </w:tr>
      <w:tr w14:paraId="0193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55FB4F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29</w:t>
            </w:r>
          </w:p>
        </w:tc>
        <w:tc>
          <w:tcPr>
            <w:tcW w:w="986" w:type="pct"/>
            <w:tcBorders>
              <w:tl2br w:val="nil"/>
              <w:tr2bl w:val="nil"/>
            </w:tcBorders>
            <w:vAlign w:val="center"/>
          </w:tcPr>
          <w:p w14:paraId="7743D6E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1,4-二氯苯</w:t>
            </w:r>
          </w:p>
        </w:tc>
        <w:tc>
          <w:tcPr>
            <w:tcW w:w="692" w:type="pct"/>
            <w:tcBorders>
              <w:tl2br w:val="nil"/>
              <w:tr2bl w:val="nil"/>
            </w:tcBorders>
            <w:vAlign w:val="center"/>
          </w:tcPr>
          <w:p w14:paraId="3BF4B8F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106-46-7</w:t>
            </w:r>
          </w:p>
        </w:tc>
        <w:tc>
          <w:tcPr>
            <w:tcW w:w="751" w:type="pct"/>
            <w:tcBorders>
              <w:tl2br w:val="nil"/>
              <w:tr2bl w:val="nil"/>
            </w:tcBorders>
            <w:vAlign w:val="center"/>
          </w:tcPr>
          <w:p w14:paraId="55393E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w:t>
            </w:r>
          </w:p>
        </w:tc>
        <w:tc>
          <w:tcPr>
            <w:tcW w:w="759" w:type="pct"/>
            <w:tcBorders>
              <w:tl2br w:val="nil"/>
              <w:tr2bl w:val="nil"/>
            </w:tcBorders>
            <w:vAlign w:val="center"/>
          </w:tcPr>
          <w:p w14:paraId="5AE3956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w:t>
            </w:r>
          </w:p>
        </w:tc>
        <w:tc>
          <w:tcPr>
            <w:tcW w:w="720" w:type="pct"/>
            <w:tcBorders>
              <w:tl2br w:val="nil"/>
              <w:tr2bl w:val="nil"/>
            </w:tcBorders>
            <w:vAlign w:val="center"/>
          </w:tcPr>
          <w:p w14:paraId="4DFA552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w:t>
            </w:r>
          </w:p>
        </w:tc>
        <w:tc>
          <w:tcPr>
            <w:tcW w:w="765" w:type="pct"/>
            <w:tcBorders>
              <w:tl2br w:val="nil"/>
              <w:tr2bl w:val="nil"/>
            </w:tcBorders>
            <w:vAlign w:val="center"/>
          </w:tcPr>
          <w:p w14:paraId="44DC6B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200</w:t>
            </w:r>
          </w:p>
        </w:tc>
      </w:tr>
      <w:tr w14:paraId="4861C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5C063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30</w:t>
            </w:r>
          </w:p>
        </w:tc>
        <w:tc>
          <w:tcPr>
            <w:tcW w:w="986" w:type="pct"/>
            <w:tcBorders>
              <w:tl2br w:val="nil"/>
              <w:tr2bl w:val="nil"/>
            </w:tcBorders>
            <w:vAlign w:val="center"/>
          </w:tcPr>
          <w:p w14:paraId="6A3CCC3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乙苯</w:t>
            </w:r>
          </w:p>
        </w:tc>
        <w:tc>
          <w:tcPr>
            <w:tcW w:w="692" w:type="pct"/>
            <w:tcBorders>
              <w:tl2br w:val="nil"/>
              <w:tr2bl w:val="nil"/>
            </w:tcBorders>
            <w:vAlign w:val="center"/>
          </w:tcPr>
          <w:p w14:paraId="44C301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100-41-4</w:t>
            </w:r>
          </w:p>
        </w:tc>
        <w:tc>
          <w:tcPr>
            <w:tcW w:w="751" w:type="pct"/>
            <w:tcBorders>
              <w:tl2br w:val="nil"/>
              <w:tr2bl w:val="nil"/>
            </w:tcBorders>
            <w:vAlign w:val="center"/>
          </w:tcPr>
          <w:p w14:paraId="3B58096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7.2</w:t>
            </w:r>
          </w:p>
        </w:tc>
        <w:tc>
          <w:tcPr>
            <w:tcW w:w="759" w:type="pct"/>
            <w:tcBorders>
              <w:tl2br w:val="nil"/>
              <w:tr2bl w:val="nil"/>
            </w:tcBorders>
            <w:vAlign w:val="center"/>
          </w:tcPr>
          <w:p w14:paraId="79D6DC8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w:t>
            </w:r>
          </w:p>
        </w:tc>
        <w:tc>
          <w:tcPr>
            <w:tcW w:w="720" w:type="pct"/>
            <w:tcBorders>
              <w:tl2br w:val="nil"/>
              <w:tr2bl w:val="nil"/>
            </w:tcBorders>
            <w:vAlign w:val="center"/>
          </w:tcPr>
          <w:p w14:paraId="74A99B8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72</w:t>
            </w:r>
          </w:p>
        </w:tc>
        <w:tc>
          <w:tcPr>
            <w:tcW w:w="765" w:type="pct"/>
            <w:tcBorders>
              <w:tl2br w:val="nil"/>
              <w:tr2bl w:val="nil"/>
            </w:tcBorders>
            <w:vAlign w:val="center"/>
          </w:tcPr>
          <w:p w14:paraId="2DD26CE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280</w:t>
            </w:r>
          </w:p>
        </w:tc>
      </w:tr>
      <w:tr w14:paraId="58B2C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ACBB69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31</w:t>
            </w:r>
          </w:p>
        </w:tc>
        <w:tc>
          <w:tcPr>
            <w:tcW w:w="986" w:type="pct"/>
            <w:tcBorders>
              <w:tl2br w:val="nil"/>
              <w:tr2bl w:val="nil"/>
            </w:tcBorders>
            <w:vAlign w:val="center"/>
          </w:tcPr>
          <w:p w14:paraId="7D8E11B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苯乙烯</w:t>
            </w:r>
          </w:p>
        </w:tc>
        <w:tc>
          <w:tcPr>
            <w:tcW w:w="692" w:type="pct"/>
            <w:tcBorders>
              <w:tl2br w:val="nil"/>
              <w:tr2bl w:val="nil"/>
            </w:tcBorders>
            <w:vAlign w:val="center"/>
          </w:tcPr>
          <w:p w14:paraId="6335880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100-42-5</w:t>
            </w:r>
          </w:p>
        </w:tc>
        <w:tc>
          <w:tcPr>
            <w:tcW w:w="751" w:type="pct"/>
            <w:tcBorders>
              <w:tl2br w:val="nil"/>
              <w:tr2bl w:val="nil"/>
            </w:tcBorders>
            <w:vAlign w:val="center"/>
          </w:tcPr>
          <w:p w14:paraId="21AA343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59" w:type="pct"/>
            <w:tcBorders>
              <w:tl2br w:val="nil"/>
              <w:tr2bl w:val="nil"/>
            </w:tcBorders>
            <w:vAlign w:val="center"/>
          </w:tcPr>
          <w:p w14:paraId="0BBBBC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20" w:type="pct"/>
            <w:tcBorders>
              <w:tl2br w:val="nil"/>
              <w:tr2bl w:val="nil"/>
            </w:tcBorders>
            <w:vAlign w:val="center"/>
          </w:tcPr>
          <w:p w14:paraId="685EDB6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c>
          <w:tcPr>
            <w:tcW w:w="765" w:type="pct"/>
            <w:tcBorders>
              <w:tl2br w:val="nil"/>
              <w:tr2bl w:val="nil"/>
            </w:tcBorders>
            <w:vAlign w:val="center"/>
          </w:tcPr>
          <w:p w14:paraId="04DCD31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w:t>
            </w:r>
          </w:p>
        </w:tc>
      </w:tr>
      <w:tr w14:paraId="02B19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4CFAB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32</w:t>
            </w:r>
          </w:p>
        </w:tc>
        <w:tc>
          <w:tcPr>
            <w:tcW w:w="986" w:type="pct"/>
            <w:tcBorders>
              <w:tl2br w:val="nil"/>
              <w:tr2bl w:val="nil"/>
            </w:tcBorders>
            <w:vAlign w:val="center"/>
          </w:tcPr>
          <w:p w14:paraId="50502C7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甲苯</w:t>
            </w:r>
          </w:p>
        </w:tc>
        <w:tc>
          <w:tcPr>
            <w:tcW w:w="692" w:type="pct"/>
            <w:tcBorders>
              <w:tl2br w:val="nil"/>
              <w:tr2bl w:val="nil"/>
            </w:tcBorders>
            <w:vAlign w:val="center"/>
          </w:tcPr>
          <w:p w14:paraId="4BEE6E3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108-88-3</w:t>
            </w:r>
          </w:p>
        </w:tc>
        <w:tc>
          <w:tcPr>
            <w:tcW w:w="751" w:type="pct"/>
            <w:tcBorders>
              <w:tl2br w:val="nil"/>
              <w:tr2bl w:val="nil"/>
            </w:tcBorders>
            <w:vAlign w:val="center"/>
          </w:tcPr>
          <w:p w14:paraId="03AFF99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59" w:type="pct"/>
            <w:tcBorders>
              <w:tl2br w:val="nil"/>
              <w:tr2bl w:val="nil"/>
            </w:tcBorders>
            <w:vAlign w:val="center"/>
          </w:tcPr>
          <w:p w14:paraId="2CAF02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20" w:type="pct"/>
            <w:tcBorders>
              <w:tl2br w:val="nil"/>
              <w:tr2bl w:val="nil"/>
            </w:tcBorders>
            <w:vAlign w:val="center"/>
          </w:tcPr>
          <w:p w14:paraId="166CD16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c>
          <w:tcPr>
            <w:tcW w:w="765" w:type="pct"/>
            <w:tcBorders>
              <w:tl2br w:val="nil"/>
              <w:tr2bl w:val="nil"/>
            </w:tcBorders>
            <w:vAlign w:val="center"/>
          </w:tcPr>
          <w:p w14:paraId="5CE259F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1200</w:t>
            </w:r>
          </w:p>
        </w:tc>
      </w:tr>
      <w:tr w14:paraId="6223A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DE1B8E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33</w:t>
            </w:r>
          </w:p>
        </w:tc>
        <w:tc>
          <w:tcPr>
            <w:tcW w:w="986" w:type="pct"/>
            <w:tcBorders>
              <w:tl2br w:val="nil"/>
              <w:tr2bl w:val="nil"/>
            </w:tcBorders>
            <w:vAlign w:val="center"/>
          </w:tcPr>
          <w:p w14:paraId="515C59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间二甲苯+对二甲苯</w:t>
            </w:r>
          </w:p>
        </w:tc>
        <w:tc>
          <w:tcPr>
            <w:tcW w:w="692" w:type="pct"/>
            <w:tcBorders>
              <w:tl2br w:val="nil"/>
              <w:tr2bl w:val="nil"/>
            </w:tcBorders>
            <w:vAlign w:val="center"/>
          </w:tcPr>
          <w:p w14:paraId="37423DE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108-38-3，106-42-3</w:t>
            </w:r>
          </w:p>
        </w:tc>
        <w:tc>
          <w:tcPr>
            <w:tcW w:w="751" w:type="pct"/>
            <w:tcBorders>
              <w:tl2br w:val="nil"/>
              <w:tr2bl w:val="nil"/>
            </w:tcBorders>
            <w:vAlign w:val="center"/>
          </w:tcPr>
          <w:p w14:paraId="6FCA361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163</w:t>
            </w:r>
          </w:p>
        </w:tc>
        <w:tc>
          <w:tcPr>
            <w:tcW w:w="759" w:type="pct"/>
            <w:tcBorders>
              <w:tl2br w:val="nil"/>
              <w:tr2bl w:val="nil"/>
            </w:tcBorders>
            <w:vAlign w:val="center"/>
          </w:tcPr>
          <w:p w14:paraId="70AA54E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570</w:t>
            </w:r>
          </w:p>
        </w:tc>
        <w:tc>
          <w:tcPr>
            <w:tcW w:w="720" w:type="pct"/>
            <w:tcBorders>
              <w:tl2br w:val="nil"/>
              <w:tr2bl w:val="nil"/>
            </w:tcBorders>
            <w:vAlign w:val="center"/>
          </w:tcPr>
          <w:p w14:paraId="62B3F3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500</w:t>
            </w:r>
          </w:p>
        </w:tc>
        <w:tc>
          <w:tcPr>
            <w:tcW w:w="765" w:type="pct"/>
            <w:tcBorders>
              <w:tl2br w:val="nil"/>
              <w:tr2bl w:val="nil"/>
            </w:tcBorders>
            <w:vAlign w:val="center"/>
          </w:tcPr>
          <w:p w14:paraId="2220C1F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570</w:t>
            </w:r>
          </w:p>
        </w:tc>
      </w:tr>
      <w:tr w14:paraId="5698B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59F23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986" w:type="pct"/>
            <w:tcBorders>
              <w:tl2br w:val="nil"/>
              <w:tr2bl w:val="nil"/>
            </w:tcBorders>
            <w:vAlign w:val="center"/>
          </w:tcPr>
          <w:p w14:paraId="5944C2A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邻二甲苯</w:t>
            </w:r>
          </w:p>
        </w:tc>
        <w:tc>
          <w:tcPr>
            <w:tcW w:w="692" w:type="pct"/>
            <w:tcBorders>
              <w:tl2br w:val="nil"/>
              <w:tr2bl w:val="nil"/>
            </w:tcBorders>
            <w:vAlign w:val="center"/>
          </w:tcPr>
          <w:p w14:paraId="0F17FF3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95-47-6</w:t>
            </w:r>
          </w:p>
        </w:tc>
        <w:tc>
          <w:tcPr>
            <w:tcW w:w="751" w:type="pct"/>
            <w:tcBorders>
              <w:tl2br w:val="nil"/>
              <w:tr2bl w:val="nil"/>
            </w:tcBorders>
            <w:vAlign w:val="center"/>
          </w:tcPr>
          <w:p w14:paraId="1ACE517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222</w:t>
            </w:r>
          </w:p>
        </w:tc>
        <w:tc>
          <w:tcPr>
            <w:tcW w:w="759" w:type="pct"/>
            <w:tcBorders>
              <w:tl2br w:val="nil"/>
              <w:tr2bl w:val="nil"/>
            </w:tcBorders>
            <w:vAlign w:val="center"/>
          </w:tcPr>
          <w:p w14:paraId="6604D63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c>
          <w:tcPr>
            <w:tcW w:w="720" w:type="pct"/>
            <w:tcBorders>
              <w:tl2br w:val="nil"/>
              <w:tr2bl w:val="nil"/>
            </w:tcBorders>
            <w:vAlign w:val="center"/>
          </w:tcPr>
          <w:p w14:paraId="5D2C050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c>
          <w:tcPr>
            <w:tcW w:w="765" w:type="pct"/>
            <w:tcBorders>
              <w:tl2br w:val="nil"/>
              <w:tr2bl w:val="nil"/>
            </w:tcBorders>
            <w:vAlign w:val="center"/>
          </w:tcPr>
          <w:p w14:paraId="2C6B64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640</w:t>
            </w:r>
          </w:p>
        </w:tc>
      </w:tr>
      <w:tr w14:paraId="43E5C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11A537C6">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半挥发性有机物</w:t>
            </w:r>
          </w:p>
        </w:tc>
      </w:tr>
      <w:tr w14:paraId="624C1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EFC9CF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35</w:t>
            </w:r>
          </w:p>
        </w:tc>
        <w:tc>
          <w:tcPr>
            <w:tcW w:w="986" w:type="pct"/>
            <w:tcBorders>
              <w:tl2br w:val="nil"/>
              <w:tr2bl w:val="nil"/>
            </w:tcBorders>
            <w:vAlign w:val="center"/>
          </w:tcPr>
          <w:p w14:paraId="770F29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硝基苯</w:t>
            </w:r>
          </w:p>
        </w:tc>
        <w:tc>
          <w:tcPr>
            <w:tcW w:w="692" w:type="pct"/>
            <w:tcBorders>
              <w:tl2br w:val="nil"/>
              <w:tr2bl w:val="nil"/>
            </w:tcBorders>
            <w:vAlign w:val="center"/>
          </w:tcPr>
          <w:p w14:paraId="2786559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98-95-3</w:t>
            </w:r>
          </w:p>
        </w:tc>
        <w:tc>
          <w:tcPr>
            <w:tcW w:w="751" w:type="pct"/>
            <w:tcBorders>
              <w:tl2br w:val="nil"/>
              <w:tr2bl w:val="nil"/>
            </w:tcBorders>
            <w:vAlign w:val="center"/>
          </w:tcPr>
          <w:p w14:paraId="73BBAA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34</w:t>
            </w:r>
          </w:p>
        </w:tc>
        <w:tc>
          <w:tcPr>
            <w:tcW w:w="759" w:type="pct"/>
            <w:tcBorders>
              <w:tl2br w:val="nil"/>
              <w:tr2bl w:val="nil"/>
            </w:tcBorders>
            <w:vAlign w:val="center"/>
          </w:tcPr>
          <w:p w14:paraId="1E9E410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76</w:t>
            </w:r>
          </w:p>
        </w:tc>
        <w:tc>
          <w:tcPr>
            <w:tcW w:w="720" w:type="pct"/>
            <w:tcBorders>
              <w:tl2br w:val="nil"/>
              <w:tr2bl w:val="nil"/>
            </w:tcBorders>
            <w:vAlign w:val="center"/>
          </w:tcPr>
          <w:p w14:paraId="3569B14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190</w:t>
            </w:r>
          </w:p>
        </w:tc>
        <w:tc>
          <w:tcPr>
            <w:tcW w:w="765" w:type="pct"/>
            <w:tcBorders>
              <w:tl2br w:val="nil"/>
              <w:tr2bl w:val="nil"/>
            </w:tcBorders>
            <w:vAlign w:val="center"/>
          </w:tcPr>
          <w:p w14:paraId="56AE7D1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760</w:t>
            </w:r>
          </w:p>
        </w:tc>
      </w:tr>
      <w:tr w14:paraId="7EA16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7BF43F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36</w:t>
            </w:r>
          </w:p>
        </w:tc>
        <w:tc>
          <w:tcPr>
            <w:tcW w:w="986" w:type="pct"/>
            <w:tcBorders>
              <w:tl2br w:val="nil"/>
              <w:tr2bl w:val="nil"/>
            </w:tcBorders>
            <w:vAlign w:val="center"/>
          </w:tcPr>
          <w:p w14:paraId="336C877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苯胺</w:t>
            </w:r>
          </w:p>
        </w:tc>
        <w:tc>
          <w:tcPr>
            <w:tcW w:w="692" w:type="pct"/>
            <w:tcBorders>
              <w:tl2br w:val="nil"/>
              <w:tr2bl w:val="nil"/>
            </w:tcBorders>
            <w:vAlign w:val="center"/>
          </w:tcPr>
          <w:p w14:paraId="520F113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62-53-3</w:t>
            </w:r>
          </w:p>
        </w:tc>
        <w:tc>
          <w:tcPr>
            <w:tcW w:w="751" w:type="pct"/>
            <w:tcBorders>
              <w:tl2br w:val="nil"/>
              <w:tr2bl w:val="nil"/>
            </w:tcBorders>
            <w:vAlign w:val="center"/>
          </w:tcPr>
          <w:p w14:paraId="3F1E8A0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92</w:t>
            </w:r>
          </w:p>
        </w:tc>
        <w:tc>
          <w:tcPr>
            <w:tcW w:w="759" w:type="pct"/>
            <w:tcBorders>
              <w:tl2br w:val="nil"/>
              <w:tr2bl w:val="nil"/>
            </w:tcBorders>
            <w:vAlign w:val="center"/>
          </w:tcPr>
          <w:p w14:paraId="5390996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260</w:t>
            </w:r>
          </w:p>
        </w:tc>
        <w:tc>
          <w:tcPr>
            <w:tcW w:w="720" w:type="pct"/>
            <w:tcBorders>
              <w:tl2br w:val="nil"/>
              <w:tr2bl w:val="nil"/>
            </w:tcBorders>
            <w:vAlign w:val="center"/>
          </w:tcPr>
          <w:p w14:paraId="38672FE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211</w:t>
            </w:r>
          </w:p>
        </w:tc>
        <w:tc>
          <w:tcPr>
            <w:tcW w:w="765" w:type="pct"/>
            <w:tcBorders>
              <w:tl2br w:val="nil"/>
              <w:tr2bl w:val="nil"/>
            </w:tcBorders>
            <w:vAlign w:val="center"/>
          </w:tcPr>
          <w:p w14:paraId="1CC75EC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663</w:t>
            </w:r>
          </w:p>
        </w:tc>
      </w:tr>
      <w:tr w14:paraId="54B2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66D86D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37</w:t>
            </w:r>
          </w:p>
        </w:tc>
        <w:tc>
          <w:tcPr>
            <w:tcW w:w="986" w:type="pct"/>
            <w:tcBorders>
              <w:tl2br w:val="nil"/>
              <w:tr2bl w:val="nil"/>
            </w:tcBorders>
            <w:vAlign w:val="center"/>
          </w:tcPr>
          <w:p w14:paraId="28D2992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2-氯酚</w:t>
            </w:r>
          </w:p>
        </w:tc>
        <w:tc>
          <w:tcPr>
            <w:tcW w:w="692" w:type="pct"/>
            <w:tcBorders>
              <w:tl2br w:val="nil"/>
              <w:tr2bl w:val="nil"/>
            </w:tcBorders>
            <w:vAlign w:val="center"/>
          </w:tcPr>
          <w:p w14:paraId="5A2981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95-57-8</w:t>
            </w:r>
          </w:p>
        </w:tc>
        <w:tc>
          <w:tcPr>
            <w:tcW w:w="751" w:type="pct"/>
            <w:tcBorders>
              <w:tl2br w:val="nil"/>
              <w:tr2bl w:val="nil"/>
            </w:tcBorders>
            <w:vAlign w:val="center"/>
          </w:tcPr>
          <w:p w14:paraId="4FC0EE6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250</w:t>
            </w:r>
          </w:p>
        </w:tc>
        <w:tc>
          <w:tcPr>
            <w:tcW w:w="759" w:type="pct"/>
            <w:tcBorders>
              <w:tl2br w:val="nil"/>
              <w:tr2bl w:val="nil"/>
            </w:tcBorders>
            <w:vAlign w:val="center"/>
          </w:tcPr>
          <w:p w14:paraId="1FC1861F">
            <w:pPr>
              <w:widowControl/>
              <w:snapToGrid w:val="0"/>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2256</w:t>
            </w:r>
          </w:p>
        </w:tc>
        <w:tc>
          <w:tcPr>
            <w:tcW w:w="720" w:type="pct"/>
            <w:tcBorders>
              <w:tl2br w:val="nil"/>
              <w:tr2bl w:val="nil"/>
            </w:tcBorders>
            <w:vAlign w:val="center"/>
          </w:tcPr>
          <w:p w14:paraId="2B78572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500</w:t>
            </w:r>
          </w:p>
        </w:tc>
        <w:tc>
          <w:tcPr>
            <w:tcW w:w="765" w:type="pct"/>
            <w:tcBorders>
              <w:tl2br w:val="nil"/>
              <w:tr2bl w:val="nil"/>
            </w:tcBorders>
            <w:vAlign w:val="center"/>
          </w:tcPr>
          <w:p w14:paraId="2E625E8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4500</w:t>
            </w:r>
          </w:p>
        </w:tc>
      </w:tr>
      <w:tr w14:paraId="7ACD0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2751E5A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38</w:t>
            </w:r>
          </w:p>
        </w:tc>
        <w:tc>
          <w:tcPr>
            <w:tcW w:w="986" w:type="pct"/>
            <w:tcBorders>
              <w:tl2br w:val="nil"/>
              <w:tr2bl w:val="nil"/>
            </w:tcBorders>
            <w:vAlign w:val="center"/>
          </w:tcPr>
          <w:p w14:paraId="4B35197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苯并[a]蒽</w:t>
            </w:r>
          </w:p>
        </w:tc>
        <w:tc>
          <w:tcPr>
            <w:tcW w:w="692" w:type="pct"/>
            <w:tcBorders>
              <w:tl2br w:val="nil"/>
              <w:tr2bl w:val="nil"/>
            </w:tcBorders>
            <w:vAlign w:val="center"/>
          </w:tcPr>
          <w:p w14:paraId="5D0A95F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56-55-3</w:t>
            </w:r>
          </w:p>
        </w:tc>
        <w:tc>
          <w:tcPr>
            <w:tcW w:w="751" w:type="pct"/>
            <w:tcBorders>
              <w:tl2br w:val="nil"/>
              <w:tr2bl w:val="nil"/>
            </w:tcBorders>
            <w:vAlign w:val="center"/>
          </w:tcPr>
          <w:p w14:paraId="5FE9F962">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223BBD1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694347F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449910C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0FB87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1D48E97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39</w:t>
            </w:r>
          </w:p>
        </w:tc>
        <w:tc>
          <w:tcPr>
            <w:tcW w:w="986" w:type="pct"/>
            <w:tcBorders>
              <w:tl2br w:val="nil"/>
              <w:tr2bl w:val="nil"/>
            </w:tcBorders>
            <w:vAlign w:val="center"/>
          </w:tcPr>
          <w:p w14:paraId="6A47CE2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苯并[a]芘</w:t>
            </w:r>
          </w:p>
        </w:tc>
        <w:tc>
          <w:tcPr>
            <w:tcW w:w="692" w:type="pct"/>
            <w:tcBorders>
              <w:tl2br w:val="nil"/>
              <w:tr2bl w:val="nil"/>
            </w:tcBorders>
            <w:vAlign w:val="center"/>
          </w:tcPr>
          <w:p w14:paraId="0B7A4D2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50-32-8</w:t>
            </w:r>
          </w:p>
        </w:tc>
        <w:tc>
          <w:tcPr>
            <w:tcW w:w="751" w:type="pct"/>
            <w:tcBorders>
              <w:tl2br w:val="nil"/>
              <w:tr2bl w:val="nil"/>
            </w:tcBorders>
            <w:vAlign w:val="center"/>
          </w:tcPr>
          <w:p w14:paraId="2E652C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0.55</w:t>
            </w:r>
          </w:p>
        </w:tc>
        <w:tc>
          <w:tcPr>
            <w:tcW w:w="759" w:type="pct"/>
            <w:tcBorders>
              <w:tl2br w:val="nil"/>
              <w:tr2bl w:val="nil"/>
            </w:tcBorders>
            <w:vAlign w:val="center"/>
          </w:tcPr>
          <w:p w14:paraId="38118DA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2AFC4125">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06BC70E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5113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443C0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40</w:t>
            </w:r>
          </w:p>
        </w:tc>
        <w:tc>
          <w:tcPr>
            <w:tcW w:w="986" w:type="pct"/>
            <w:tcBorders>
              <w:tl2br w:val="nil"/>
              <w:tr2bl w:val="nil"/>
            </w:tcBorders>
            <w:vAlign w:val="center"/>
          </w:tcPr>
          <w:p w14:paraId="7529C54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苯并[b]荧蒽</w:t>
            </w:r>
          </w:p>
        </w:tc>
        <w:tc>
          <w:tcPr>
            <w:tcW w:w="692" w:type="pct"/>
            <w:tcBorders>
              <w:tl2br w:val="nil"/>
              <w:tr2bl w:val="nil"/>
            </w:tcBorders>
            <w:vAlign w:val="center"/>
          </w:tcPr>
          <w:p w14:paraId="0123955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205-99-2</w:t>
            </w:r>
          </w:p>
        </w:tc>
        <w:tc>
          <w:tcPr>
            <w:tcW w:w="751" w:type="pct"/>
            <w:tcBorders>
              <w:tl2br w:val="nil"/>
              <w:tr2bl w:val="nil"/>
            </w:tcBorders>
            <w:vAlign w:val="center"/>
          </w:tcPr>
          <w:p w14:paraId="4CCF4DA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5EC0964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623177F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3EB29C3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0999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41AD82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41</w:t>
            </w:r>
          </w:p>
        </w:tc>
        <w:tc>
          <w:tcPr>
            <w:tcW w:w="986" w:type="pct"/>
            <w:tcBorders>
              <w:tl2br w:val="nil"/>
              <w:tr2bl w:val="nil"/>
            </w:tcBorders>
            <w:vAlign w:val="center"/>
          </w:tcPr>
          <w:p w14:paraId="4EFD312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苯并[k]荧蒽</w:t>
            </w:r>
          </w:p>
        </w:tc>
        <w:tc>
          <w:tcPr>
            <w:tcW w:w="692" w:type="pct"/>
            <w:tcBorders>
              <w:tl2br w:val="nil"/>
              <w:tr2bl w:val="nil"/>
            </w:tcBorders>
            <w:vAlign w:val="center"/>
          </w:tcPr>
          <w:p w14:paraId="4855325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207-08-9</w:t>
            </w:r>
          </w:p>
        </w:tc>
        <w:tc>
          <w:tcPr>
            <w:tcW w:w="751" w:type="pct"/>
            <w:tcBorders>
              <w:tl2br w:val="nil"/>
              <w:tr2bl w:val="nil"/>
            </w:tcBorders>
            <w:vAlign w:val="center"/>
          </w:tcPr>
          <w:p w14:paraId="4E0BA4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1B3CB33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c>
          <w:tcPr>
            <w:tcW w:w="720" w:type="pct"/>
            <w:tcBorders>
              <w:tl2br w:val="nil"/>
              <w:tr2bl w:val="nil"/>
            </w:tcBorders>
            <w:vAlign w:val="center"/>
          </w:tcPr>
          <w:p w14:paraId="07CAE5DA">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550</w:t>
            </w:r>
          </w:p>
        </w:tc>
        <w:tc>
          <w:tcPr>
            <w:tcW w:w="765" w:type="pct"/>
            <w:tcBorders>
              <w:tl2br w:val="nil"/>
              <w:tr2bl w:val="nil"/>
            </w:tcBorders>
            <w:vAlign w:val="center"/>
          </w:tcPr>
          <w:p w14:paraId="6AC0BD4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1500</w:t>
            </w:r>
          </w:p>
        </w:tc>
      </w:tr>
      <w:tr w14:paraId="1263B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5449A81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42</w:t>
            </w:r>
          </w:p>
        </w:tc>
        <w:tc>
          <w:tcPr>
            <w:tcW w:w="986" w:type="pct"/>
            <w:tcBorders>
              <w:tl2br w:val="nil"/>
              <w:tr2bl w:val="nil"/>
            </w:tcBorders>
            <w:vAlign w:val="center"/>
          </w:tcPr>
          <w:p w14:paraId="54E52F4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䓛</w:t>
            </w:r>
          </w:p>
        </w:tc>
        <w:tc>
          <w:tcPr>
            <w:tcW w:w="692" w:type="pct"/>
            <w:tcBorders>
              <w:tl2br w:val="nil"/>
              <w:tr2bl w:val="nil"/>
            </w:tcBorders>
            <w:vAlign w:val="center"/>
          </w:tcPr>
          <w:p w14:paraId="23CA69D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218-01-9</w:t>
            </w:r>
          </w:p>
        </w:tc>
        <w:tc>
          <w:tcPr>
            <w:tcW w:w="751" w:type="pct"/>
            <w:tcBorders>
              <w:tl2br w:val="nil"/>
              <w:tr2bl w:val="nil"/>
            </w:tcBorders>
            <w:vAlign w:val="center"/>
          </w:tcPr>
          <w:p w14:paraId="295BF4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490</w:t>
            </w:r>
          </w:p>
        </w:tc>
        <w:tc>
          <w:tcPr>
            <w:tcW w:w="759" w:type="pct"/>
            <w:tcBorders>
              <w:tl2br w:val="nil"/>
              <w:tr2bl w:val="nil"/>
            </w:tcBorders>
            <w:vAlign w:val="center"/>
          </w:tcPr>
          <w:p w14:paraId="543BA1E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1293</w:t>
            </w:r>
          </w:p>
        </w:tc>
        <w:tc>
          <w:tcPr>
            <w:tcW w:w="720" w:type="pct"/>
            <w:tcBorders>
              <w:tl2br w:val="nil"/>
              <w:tr2bl w:val="nil"/>
            </w:tcBorders>
            <w:vAlign w:val="center"/>
          </w:tcPr>
          <w:p w14:paraId="424EB113">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4900</w:t>
            </w:r>
          </w:p>
        </w:tc>
        <w:tc>
          <w:tcPr>
            <w:tcW w:w="765" w:type="pct"/>
            <w:tcBorders>
              <w:tl2br w:val="nil"/>
              <w:tr2bl w:val="nil"/>
            </w:tcBorders>
            <w:vAlign w:val="center"/>
          </w:tcPr>
          <w:p w14:paraId="48F694E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12900</w:t>
            </w:r>
          </w:p>
        </w:tc>
      </w:tr>
      <w:tr w14:paraId="050CB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74239781">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43</w:t>
            </w:r>
          </w:p>
        </w:tc>
        <w:tc>
          <w:tcPr>
            <w:tcW w:w="986" w:type="pct"/>
            <w:tcBorders>
              <w:tl2br w:val="nil"/>
              <w:tr2bl w:val="nil"/>
            </w:tcBorders>
            <w:vAlign w:val="center"/>
          </w:tcPr>
          <w:p w14:paraId="3A90C2E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二苯并[a,h]蒽</w:t>
            </w:r>
          </w:p>
        </w:tc>
        <w:tc>
          <w:tcPr>
            <w:tcW w:w="692" w:type="pct"/>
            <w:tcBorders>
              <w:tl2br w:val="nil"/>
              <w:tr2bl w:val="nil"/>
            </w:tcBorders>
            <w:vAlign w:val="center"/>
          </w:tcPr>
          <w:p w14:paraId="04C8C13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53-70-3</w:t>
            </w:r>
          </w:p>
        </w:tc>
        <w:tc>
          <w:tcPr>
            <w:tcW w:w="751" w:type="pct"/>
            <w:tcBorders>
              <w:tl2br w:val="nil"/>
              <w:tr2bl w:val="nil"/>
            </w:tcBorders>
            <w:vAlign w:val="center"/>
          </w:tcPr>
          <w:p w14:paraId="27F52B1C">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0.55</w:t>
            </w:r>
          </w:p>
        </w:tc>
        <w:tc>
          <w:tcPr>
            <w:tcW w:w="759" w:type="pct"/>
            <w:tcBorders>
              <w:tl2br w:val="nil"/>
              <w:tr2bl w:val="nil"/>
            </w:tcBorders>
            <w:vAlign w:val="center"/>
          </w:tcPr>
          <w:p w14:paraId="5C2607C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7F82037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63F24536">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r>
      <w:tr w14:paraId="3637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3B0443C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44</w:t>
            </w:r>
          </w:p>
        </w:tc>
        <w:tc>
          <w:tcPr>
            <w:tcW w:w="986" w:type="pct"/>
            <w:tcBorders>
              <w:tl2br w:val="nil"/>
              <w:tr2bl w:val="nil"/>
            </w:tcBorders>
            <w:vAlign w:val="center"/>
          </w:tcPr>
          <w:p w14:paraId="0F338D8E">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茚并[1,2,3-cd]芘</w:t>
            </w:r>
          </w:p>
        </w:tc>
        <w:tc>
          <w:tcPr>
            <w:tcW w:w="692" w:type="pct"/>
            <w:tcBorders>
              <w:tl2br w:val="nil"/>
              <w:tr2bl w:val="nil"/>
            </w:tcBorders>
            <w:vAlign w:val="center"/>
          </w:tcPr>
          <w:p w14:paraId="53CBF91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193-39-5</w:t>
            </w:r>
          </w:p>
        </w:tc>
        <w:tc>
          <w:tcPr>
            <w:tcW w:w="751" w:type="pct"/>
            <w:tcBorders>
              <w:tl2br w:val="nil"/>
              <w:tr2bl w:val="nil"/>
            </w:tcBorders>
            <w:vAlign w:val="center"/>
          </w:tcPr>
          <w:p w14:paraId="577C871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59" w:type="pct"/>
            <w:tcBorders>
              <w:tl2br w:val="nil"/>
              <w:tr2bl w:val="nil"/>
            </w:tcBorders>
            <w:vAlign w:val="center"/>
          </w:tcPr>
          <w:p w14:paraId="00EB93C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w:t>
            </w:r>
          </w:p>
        </w:tc>
        <w:tc>
          <w:tcPr>
            <w:tcW w:w="720" w:type="pct"/>
            <w:tcBorders>
              <w:tl2br w:val="nil"/>
              <w:tr2bl w:val="nil"/>
            </w:tcBorders>
            <w:vAlign w:val="center"/>
          </w:tcPr>
          <w:p w14:paraId="2F7D334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55</w:t>
            </w:r>
          </w:p>
        </w:tc>
        <w:tc>
          <w:tcPr>
            <w:tcW w:w="765" w:type="pct"/>
            <w:tcBorders>
              <w:tl2br w:val="nil"/>
              <w:tr2bl w:val="nil"/>
            </w:tcBorders>
            <w:vAlign w:val="center"/>
          </w:tcPr>
          <w:p w14:paraId="0DB7AB87">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151</w:t>
            </w:r>
          </w:p>
        </w:tc>
      </w:tr>
      <w:tr w14:paraId="6B82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B544BA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45</w:t>
            </w:r>
          </w:p>
        </w:tc>
        <w:tc>
          <w:tcPr>
            <w:tcW w:w="986" w:type="pct"/>
            <w:tcBorders>
              <w:tl2br w:val="nil"/>
              <w:tr2bl w:val="nil"/>
            </w:tcBorders>
            <w:vAlign w:val="center"/>
          </w:tcPr>
          <w:p w14:paraId="5AB3C2A0">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萘</w:t>
            </w:r>
          </w:p>
        </w:tc>
        <w:tc>
          <w:tcPr>
            <w:tcW w:w="692" w:type="pct"/>
            <w:tcBorders>
              <w:tl2br w:val="nil"/>
              <w:tr2bl w:val="nil"/>
            </w:tcBorders>
            <w:vAlign w:val="center"/>
          </w:tcPr>
          <w:p w14:paraId="1377273B">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91-20-3</w:t>
            </w:r>
          </w:p>
        </w:tc>
        <w:tc>
          <w:tcPr>
            <w:tcW w:w="751" w:type="pct"/>
            <w:tcBorders>
              <w:tl2br w:val="nil"/>
              <w:tr2bl w:val="nil"/>
            </w:tcBorders>
            <w:vAlign w:val="center"/>
          </w:tcPr>
          <w:p w14:paraId="60075704">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w:t>
            </w:r>
          </w:p>
        </w:tc>
        <w:tc>
          <w:tcPr>
            <w:tcW w:w="759" w:type="pct"/>
            <w:tcBorders>
              <w:tl2br w:val="nil"/>
              <w:tr2bl w:val="nil"/>
            </w:tcBorders>
            <w:vAlign w:val="center"/>
          </w:tcPr>
          <w:p w14:paraId="50B277FF">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w:t>
            </w:r>
          </w:p>
        </w:tc>
        <w:tc>
          <w:tcPr>
            <w:tcW w:w="720" w:type="pct"/>
            <w:tcBorders>
              <w:tl2br w:val="nil"/>
              <w:tr2bl w:val="nil"/>
            </w:tcBorders>
            <w:vAlign w:val="center"/>
          </w:tcPr>
          <w:p w14:paraId="774D1D8D">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255</w:t>
            </w:r>
          </w:p>
        </w:tc>
        <w:tc>
          <w:tcPr>
            <w:tcW w:w="765" w:type="pct"/>
            <w:tcBorders>
              <w:tl2br w:val="nil"/>
              <w:tr2bl w:val="nil"/>
            </w:tcBorders>
            <w:vAlign w:val="center"/>
          </w:tcPr>
          <w:p w14:paraId="53EFAFA8">
            <w:pPr>
              <w:widowControl/>
              <w:snapToGrid w:val="0"/>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700</w:t>
            </w:r>
          </w:p>
        </w:tc>
      </w:tr>
      <w:tr w14:paraId="5BF9C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l2br w:val="nil"/>
              <w:tr2bl w:val="nil"/>
            </w:tcBorders>
            <w:vAlign w:val="center"/>
          </w:tcPr>
          <w:p w14:paraId="01806B8A">
            <w:pPr>
              <w:widowControl/>
              <w:snapToGrid w:val="0"/>
              <w:spacing w:line="240" w:lineRule="auto"/>
              <w:ind w:firstLine="0" w:firstLineChars="0"/>
              <w:jc w:val="left"/>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注：①具体地块土壤中污染物检测含量超过筛选值，但等于或者低于土壤环境背景值（见3.6）水平的，不纳入污染地块管理。土壤环境背景值可参见附录A。</w:t>
            </w:r>
          </w:p>
        </w:tc>
      </w:tr>
    </w:tbl>
    <w:p w14:paraId="1AF7C153">
      <w:pPr>
        <w:spacing w:before="155" w:line="212" w:lineRule="auto"/>
        <w:ind w:firstLine="0" w:firstLineChars="0"/>
        <w:jc w:val="center"/>
        <w:rPr>
          <w:rFonts w:eastAsia="Times New Roman"/>
          <w:b/>
          <w:bCs/>
        </w:rPr>
      </w:pPr>
      <w:r>
        <w:rPr>
          <w:b/>
          <w:bCs/>
        </w:rPr>
        <w:t>表2.</w:t>
      </w:r>
      <w:r>
        <w:rPr>
          <w:rFonts w:hint="eastAsia"/>
          <w:b/>
          <w:bCs/>
          <w:lang w:val="en-US" w:eastAsia="zh-CN"/>
        </w:rPr>
        <w:t>4</w:t>
      </w:r>
      <w:r>
        <w:rPr>
          <w:b/>
          <w:bCs/>
        </w:rPr>
        <w:t>-</w:t>
      </w:r>
      <w:r>
        <w:rPr>
          <w:rFonts w:hint="eastAsia"/>
          <w:b/>
          <w:bCs/>
          <w:lang w:val="en-US" w:eastAsia="zh-CN"/>
        </w:rPr>
        <w:t>8</w:t>
      </w:r>
      <w:r>
        <w:rPr>
          <w:b/>
          <w:bCs/>
        </w:rPr>
        <w:t xml:space="preserve">   农用地土壤污染风险筛选值一览表单位：</w:t>
      </w:r>
      <w:r>
        <w:rPr>
          <w:rFonts w:eastAsia="Times New Roman"/>
          <w:b/>
          <w:bCs/>
        </w:rPr>
        <w:t>mg/kg</w:t>
      </w:r>
    </w:p>
    <w:tbl>
      <w:tblPr>
        <w:tblStyle w:val="37"/>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3"/>
        <w:gridCol w:w="488"/>
        <w:gridCol w:w="729"/>
        <w:gridCol w:w="1319"/>
        <w:gridCol w:w="1968"/>
        <w:gridCol w:w="1968"/>
        <w:gridCol w:w="1119"/>
      </w:tblGrid>
      <w:tr w14:paraId="0E9BF7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732" w:type="dxa"/>
            <w:vMerge w:val="restart"/>
            <w:noWrap w:val="0"/>
            <w:vAlign w:val="center"/>
          </w:tcPr>
          <w:p w14:paraId="2E399F79">
            <w:pPr>
              <w:spacing w:line="240" w:lineRule="auto"/>
              <w:ind w:firstLine="0" w:firstLineChars="0"/>
              <w:jc w:val="center"/>
              <w:rPr>
                <w:sz w:val="21"/>
                <w:szCs w:val="21"/>
              </w:rPr>
            </w:pPr>
            <w:r>
              <w:rPr>
                <w:sz w:val="21"/>
                <w:szCs w:val="21"/>
              </w:rPr>
              <w:t>序号</w:t>
            </w:r>
          </w:p>
        </w:tc>
        <w:tc>
          <w:tcPr>
            <w:tcW w:w="1217" w:type="dxa"/>
            <w:gridSpan w:val="2"/>
            <w:vMerge w:val="restart"/>
            <w:noWrap w:val="0"/>
            <w:vAlign w:val="center"/>
          </w:tcPr>
          <w:p w14:paraId="7E79E8D0">
            <w:pPr>
              <w:spacing w:line="240" w:lineRule="auto"/>
              <w:ind w:firstLine="0" w:firstLineChars="0"/>
              <w:jc w:val="center"/>
              <w:rPr>
                <w:sz w:val="21"/>
                <w:szCs w:val="21"/>
              </w:rPr>
            </w:pPr>
            <w:r>
              <w:rPr>
                <w:sz w:val="21"/>
                <w:szCs w:val="21"/>
              </w:rPr>
              <w:t>项目</w:t>
            </w:r>
          </w:p>
        </w:tc>
        <w:tc>
          <w:tcPr>
            <w:tcW w:w="6370" w:type="dxa"/>
            <w:gridSpan w:val="4"/>
            <w:noWrap w:val="0"/>
            <w:vAlign w:val="center"/>
          </w:tcPr>
          <w:p w14:paraId="5318E06B">
            <w:pPr>
              <w:spacing w:line="240" w:lineRule="auto"/>
              <w:ind w:firstLine="0" w:firstLineChars="0"/>
              <w:jc w:val="center"/>
              <w:rPr>
                <w:sz w:val="21"/>
                <w:szCs w:val="21"/>
              </w:rPr>
            </w:pPr>
            <w:r>
              <w:rPr>
                <w:sz w:val="21"/>
                <w:szCs w:val="21"/>
              </w:rPr>
              <w:t>《土壤环境质量农用地土壤污染风险管控标准（试行）》（GB15618-2018）风险筛选值</w:t>
            </w:r>
          </w:p>
        </w:tc>
      </w:tr>
      <w:tr w14:paraId="77D34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730488FC">
            <w:pPr>
              <w:spacing w:line="240" w:lineRule="auto"/>
              <w:ind w:firstLine="0" w:firstLineChars="0"/>
              <w:jc w:val="center"/>
              <w:rPr>
                <w:sz w:val="21"/>
                <w:szCs w:val="21"/>
              </w:rPr>
            </w:pPr>
          </w:p>
        </w:tc>
        <w:tc>
          <w:tcPr>
            <w:tcW w:w="1217" w:type="dxa"/>
            <w:gridSpan w:val="2"/>
            <w:vMerge w:val="continue"/>
            <w:noWrap w:val="0"/>
            <w:vAlign w:val="center"/>
          </w:tcPr>
          <w:p w14:paraId="379B3AE2">
            <w:pPr>
              <w:spacing w:line="240" w:lineRule="auto"/>
              <w:ind w:firstLine="0" w:firstLineChars="0"/>
              <w:jc w:val="center"/>
              <w:rPr>
                <w:sz w:val="21"/>
                <w:szCs w:val="21"/>
              </w:rPr>
            </w:pPr>
          </w:p>
        </w:tc>
        <w:tc>
          <w:tcPr>
            <w:tcW w:w="1318" w:type="dxa"/>
            <w:noWrap w:val="0"/>
            <w:vAlign w:val="center"/>
          </w:tcPr>
          <w:p w14:paraId="70D7B5F3">
            <w:pPr>
              <w:spacing w:line="240" w:lineRule="auto"/>
              <w:ind w:firstLine="0" w:firstLineChars="0"/>
              <w:jc w:val="center"/>
              <w:rPr>
                <w:sz w:val="21"/>
                <w:szCs w:val="21"/>
              </w:rPr>
            </w:pPr>
            <w:r>
              <w:rPr>
                <w:sz w:val="21"/>
                <w:szCs w:val="21"/>
              </w:rPr>
              <w:t>pH≤5.5</w:t>
            </w:r>
          </w:p>
        </w:tc>
        <w:tc>
          <w:tcPr>
            <w:tcW w:w="1967" w:type="dxa"/>
            <w:noWrap w:val="0"/>
            <w:vAlign w:val="center"/>
          </w:tcPr>
          <w:p w14:paraId="48CD8168">
            <w:pPr>
              <w:spacing w:line="240" w:lineRule="auto"/>
              <w:ind w:firstLine="0" w:firstLineChars="0"/>
              <w:jc w:val="center"/>
              <w:rPr>
                <w:sz w:val="21"/>
                <w:szCs w:val="21"/>
              </w:rPr>
            </w:pPr>
            <w:r>
              <w:rPr>
                <w:sz w:val="21"/>
                <w:szCs w:val="21"/>
              </w:rPr>
              <w:t>5.5＜pH≤6.5</w:t>
            </w:r>
          </w:p>
        </w:tc>
        <w:tc>
          <w:tcPr>
            <w:tcW w:w="1967" w:type="dxa"/>
            <w:noWrap w:val="0"/>
            <w:vAlign w:val="center"/>
          </w:tcPr>
          <w:p w14:paraId="414DEB98">
            <w:pPr>
              <w:spacing w:line="240" w:lineRule="auto"/>
              <w:ind w:firstLine="0" w:firstLineChars="0"/>
              <w:jc w:val="center"/>
              <w:rPr>
                <w:sz w:val="21"/>
                <w:szCs w:val="21"/>
              </w:rPr>
            </w:pPr>
            <w:r>
              <w:rPr>
                <w:sz w:val="21"/>
                <w:szCs w:val="21"/>
              </w:rPr>
              <w:t>6.5＜pH≤7.5</w:t>
            </w:r>
          </w:p>
        </w:tc>
        <w:tc>
          <w:tcPr>
            <w:tcW w:w="1118" w:type="dxa"/>
            <w:noWrap w:val="0"/>
            <w:vAlign w:val="center"/>
          </w:tcPr>
          <w:p w14:paraId="4589AC06">
            <w:pPr>
              <w:spacing w:line="240" w:lineRule="auto"/>
              <w:ind w:firstLine="0" w:firstLineChars="0"/>
              <w:jc w:val="center"/>
              <w:rPr>
                <w:sz w:val="21"/>
                <w:szCs w:val="21"/>
              </w:rPr>
            </w:pPr>
            <w:r>
              <w:rPr>
                <w:sz w:val="21"/>
                <w:szCs w:val="21"/>
              </w:rPr>
              <w:t>pH＞7.5</w:t>
            </w:r>
          </w:p>
        </w:tc>
      </w:tr>
      <w:tr w14:paraId="705AD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5953A509">
            <w:pPr>
              <w:spacing w:line="240" w:lineRule="auto"/>
              <w:ind w:firstLine="0" w:firstLineChars="0"/>
              <w:jc w:val="center"/>
              <w:rPr>
                <w:sz w:val="21"/>
                <w:szCs w:val="21"/>
              </w:rPr>
            </w:pPr>
            <w:r>
              <w:rPr>
                <w:sz w:val="21"/>
                <w:szCs w:val="21"/>
              </w:rPr>
              <w:t>1</w:t>
            </w:r>
          </w:p>
        </w:tc>
        <w:tc>
          <w:tcPr>
            <w:tcW w:w="488" w:type="dxa"/>
            <w:vMerge w:val="restart"/>
            <w:noWrap w:val="0"/>
            <w:vAlign w:val="center"/>
          </w:tcPr>
          <w:p w14:paraId="167DDDC9">
            <w:pPr>
              <w:spacing w:line="240" w:lineRule="auto"/>
              <w:ind w:firstLine="0" w:firstLineChars="0"/>
              <w:jc w:val="center"/>
              <w:rPr>
                <w:sz w:val="21"/>
                <w:szCs w:val="21"/>
              </w:rPr>
            </w:pPr>
            <w:r>
              <w:rPr>
                <w:sz w:val="21"/>
                <w:szCs w:val="21"/>
              </w:rPr>
              <w:t>镉</w:t>
            </w:r>
          </w:p>
        </w:tc>
        <w:tc>
          <w:tcPr>
            <w:tcW w:w="729" w:type="dxa"/>
            <w:noWrap w:val="0"/>
            <w:vAlign w:val="center"/>
          </w:tcPr>
          <w:p w14:paraId="33460BDB">
            <w:pPr>
              <w:spacing w:line="240" w:lineRule="auto"/>
              <w:ind w:firstLine="0" w:firstLineChars="0"/>
              <w:jc w:val="center"/>
              <w:rPr>
                <w:sz w:val="21"/>
                <w:szCs w:val="21"/>
              </w:rPr>
            </w:pPr>
            <w:r>
              <w:rPr>
                <w:sz w:val="21"/>
                <w:szCs w:val="21"/>
              </w:rPr>
              <w:t>水田</w:t>
            </w:r>
          </w:p>
        </w:tc>
        <w:tc>
          <w:tcPr>
            <w:tcW w:w="1318" w:type="dxa"/>
            <w:noWrap w:val="0"/>
            <w:vAlign w:val="center"/>
          </w:tcPr>
          <w:p w14:paraId="65F5BF99">
            <w:pPr>
              <w:spacing w:line="240" w:lineRule="auto"/>
              <w:ind w:firstLine="0" w:firstLineChars="0"/>
              <w:jc w:val="center"/>
              <w:rPr>
                <w:sz w:val="21"/>
                <w:szCs w:val="21"/>
              </w:rPr>
            </w:pPr>
            <w:r>
              <w:rPr>
                <w:sz w:val="21"/>
                <w:szCs w:val="21"/>
              </w:rPr>
              <w:t>0.3</w:t>
            </w:r>
          </w:p>
        </w:tc>
        <w:tc>
          <w:tcPr>
            <w:tcW w:w="1967" w:type="dxa"/>
            <w:noWrap w:val="0"/>
            <w:vAlign w:val="center"/>
          </w:tcPr>
          <w:p w14:paraId="41966AF4">
            <w:pPr>
              <w:spacing w:line="240" w:lineRule="auto"/>
              <w:ind w:firstLine="0" w:firstLineChars="0"/>
              <w:jc w:val="center"/>
              <w:rPr>
                <w:sz w:val="21"/>
                <w:szCs w:val="21"/>
              </w:rPr>
            </w:pPr>
            <w:r>
              <w:rPr>
                <w:sz w:val="21"/>
                <w:szCs w:val="21"/>
              </w:rPr>
              <w:t>0.4</w:t>
            </w:r>
          </w:p>
        </w:tc>
        <w:tc>
          <w:tcPr>
            <w:tcW w:w="1967" w:type="dxa"/>
            <w:noWrap w:val="0"/>
            <w:vAlign w:val="center"/>
          </w:tcPr>
          <w:p w14:paraId="42266ACF">
            <w:pPr>
              <w:spacing w:line="240" w:lineRule="auto"/>
              <w:ind w:firstLine="0" w:firstLineChars="0"/>
              <w:jc w:val="center"/>
              <w:rPr>
                <w:sz w:val="21"/>
                <w:szCs w:val="21"/>
              </w:rPr>
            </w:pPr>
            <w:r>
              <w:rPr>
                <w:sz w:val="21"/>
                <w:szCs w:val="21"/>
              </w:rPr>
              <w:t>0.6</w:t>
            </w:r>
          </w:p>
        </w:tc>
        <w:tc>
          <w:tcPr>
            <w:tcW w:w="1118" w:type="dxa"/>
            <w:noWrap w:val="0"/>
            <w:vAlign w:val="center"/>
          </w:tcPr>
          <w:p w14:paraId="3F37440F">
            <w:pPr>
              <w:spacing w:line="240" w:lineRule="auto"/>
              <w:ind w:firstLine="0" w:firstLineChars="0"/>
              <w:jc w:val="center"/>
              <w:rPr>
                <w:sz w:val="21"/>
                <w:szCs w:val="21"/>
              </w:rPr>
            </w:pPr>
            <w:r>
              <w:rPr>
                <w:sz w:val="21"/>
                <w:szCs w:val="21"/>
              </w:rPr>
              <w:t>0.8</w:t>
            </w:r>
          </w:p>
        </w:tc>
      </w:tr>
      <w:tr w14:paraId="0FC439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6C13D61A">
            <w:pPr>
              <w:spacing w:line="240" w:lineRule="auto"/>
              <w:ind w:firstLine="0" w:firstLineChars="0"/>
              <w:jc w:val="center"/>
              <w:rPr>
                <w:sz w:val="21"/>
                <w:szCs w:val="21"/>
              </w:rPr>
            </w:pPr>
          </w:p>
        </w:tc>
        <w:tc>
          <w:tcPr>
            <w:tcW w:w="488" w:type="dxa"/>
            <w:vMerge w:val="continue"/>
            <w:noWrap w:val="0"/>
            <w:vAlign w:val="center"/>
          </w:tcPr>
          <w:p w14:paraId="7C6A8C13">
            <w:pPr>
              <w:spacing w:line="240" w:lineRule="auto"/>
              <w:ind w:firstLine="0" w:firstLineChars="0"/>
              <w:jc w:val="center"/>
              <w:rPr>
                <w:sz w:val="21"/>
                <w:szCs w:val="21"/>
              </w:rPr>
            </w:pPr>
          </w:p>
        </w:tc>
        <w:tc>
          <w:tcPr>
            <w:tcW w:w="729" w:type="dxa"/>
            <w:noWrap w:val="0"/>
            <w:vAlign w:val="center"/>
          </w:tcPr>
          <w:p w14:paraId="3CF56DE6">
            <w:pPr>
              <w:spacing w:line="240" w:lineRule="auto"/>
              <w:ind w:firstLine="0" w:firstLineChars="0"/>
              <w:jc w:val="center"/>
              <w:rPr>
                <w:sz w:val="21"/>
                <w:szCs w:val="21"/>
              </w:rPr>
            </w:pPr>
            <w:r>
              <w:rPr>
                <w:sz w:val="21"/>
                <w:szCs w:val="21"/>
              </w:rPr>
              <w:t>其他</w:t>
            </w:r>
          </w:p>
        </w:tc>
        <w:tc>
          <w:tcPr>
            <w:tcW w:w="1318" w:type="dxa"/>
            <w:noWrap w:val="0"/>
            <w:vAlign w:val="center"/>
          </w:tcPr>
          <w:p w14:paraId="55214CFD">
            <w:pPr>
              <w:spacing w:line="240" w:lineRule="auto"/>
              <w:ind w:firstLine="0" w:firstLineChars="0"/>
              <w:jc w:val="center"/>
              <w:rPr>
                <w:sz w:val="21"/>
                <w:szCs w:val="21"/>
              </w:rPr>
            </w:pPr>
            <w:r>
              <w:rPr>
                <w:sz w:val="21"/>
                <w:szCs w:val="21"/>
              </w:rPr>
              <w:t>0.3</w:t>
            </w:r>
          </w:p>
        </w:tc>
        <w:tc>
          <w:tcPr>
            <w:tcW w:w="1967" w:type="dxa"/>
            <w:noWrap w:val="0"/>
            <w:vAlign w:val="center"/>
          </w:tcPr>
          <w:p w14:paraId="089CD6C8">
            <w:pPr>
              <w:spacing w:line="240" w:lineRule="auto"/>
              <w:ind w:firstLine="0" w:firstLineChars="0"/>
              <w:jc w:val="center"/>
              <w:rPr>
                <w:sz w:val="21"/>
                <w:szCs w:val="21"/>
              </w:rPr>
            </w:pPr>
            <w:r>
              <w:rPr>
                <w:sz w:val="21"/>
                <w:szCs w:val="21"/>
              </w:rPr>
              <w:t>0.3</w:t>
            </w:r>
          </w:p>
        </w:tc>
        <w:tc>
          <w:tcPr>
            <w:tcW w:w="1967" w:type="dxa"/>
            <w:noWrap w:val="0"/>
            <w:vAlign w:val="center"/>
          </w:tcPr>
          <w:p w14:paraId="04154FF4">
            <w:pPr>
              <w:spacing w:line="240" w:lineRule="auto"/>
              <w:ind w:firstLine="0" w:firstLineChars="0"/>
              <w:jc w:val="center"/>
              <w:rPr>
                <w:sz w:val="21"/>
                <w:szCs w:val="21"/>
              </w:rPr>
            </w:pPr>
            <w:r>
              <w:rPr>
                <w:sz w:val="21"/>
                <w:szCs w:val="21"/>
              </w:rPr>
              <w:t>0.3</w:t>
            </w:r>
          </w:p>
        </w:tc>
        <w:tc>
          <w:tcPr>
            <w:tcW w:w="1118" w:type="dxa"/>
            <w:noWrap w:val="0"/>
            <w:vAlign w:val="center"/>
          </w:tcPr>
          <w:p w14:paraId="61BFA682">
            <w:pPr>
              <w:spacing w:line="240" w:lineRule="auto"/>
              <w:ind w:firstLine="0" w:firstLineChars="0"/>
              <w:jc w:val="center"/>
              <w:rPr>
                <w:sz w:val="21"/>
                <w:szCs w:val="21"/>
              </w:rPr>
            </w:pPr>
            <w:r>
              <w:rPr>
                <w:sz w:val="21"/>
                <w:szCs w:val="21"/>
              </w:rPr>
              <w:t>0.6</w:t>
            </w:r>
          </w:p>
        </w:tc>
      </w:tr>
      <w:tr w14:paraId="6586E2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7DBE0422">
            <w:pPr>
              <w:spacing w:line="240" w:lineRule="auto"/>
              <w:ind w:firstLine="0" w:firstLineChars="0"/>
              <w:jc w:val="center"/>
              <w:rPr>
                <w:sz w:val="21"/>
                <w:szCs w:val="21"/>
              </w:rPr>
            </w:pPr>
            <w:r>
              <w:rPr>
                <w:sz w:val="21"/>
                <w:szCs w:val="21"/>
              </w:rPr>
              <w:t>2</w:t>
            </w:r>
          </w:p>
        </w:tc>
        <w:tc>
          <w:tcPr>
            <w:tcW w:w="488" w:type="dxa"/>
            <w:vMerge w:val="restart"/>
            <w:noWrap w:val="0"/>
            <w:vAlign w:val="center"/>
          </w:tcPr>
          <w:p w14:paraId="64639918">
            <w:pPr>
              <w:spacing w:line="240" w:lineRule="auto"/>
              <w:ind w:firstLine="0" w:firstLineChars="0"/>
              <w:jc w:val="center"/>
              <w:rPr>
                <w:sz w:val="21"/>
                <w:szCs w:val="21"/>
              </w:rPr>
            </w:pPr>
            <w:r>
              <w:rPr>
                <w:sz w:val="21"/>
                <w:szCs w:val="21"/>
              </w:rPr>
              <w:t>汞</w:t>
            </w:r>
          </w:p>
        </w:tc>
        <w:tc>
          <w:tcPr>
            <w:tcW w:w="729" w:type="dxa"/>
            <w:noWrap w:val="0"/>
            <w:vAlign w:val="center"/>
          </w:tcPr>
          <w:p w14:paraId="44E32644">
            <w:pPr>
              <w:spacing w:line="240" w:lineRule="auto"/>
              <w:ind w:firstLine="0" w:firstLineChars="0"/>
              <w:jc w:val="center"/>
              <w:rPr>
                <w:sz w:val="21"/>
                <w:szCs w:val="21"/>
              </w:rPr>
            </w:pPr>
            <w:r>
              <w:rPr>
                <w:sz w:val="21"/>
                <w:szCs w:val="21"/>
              </w:rPr>
              <w:t>水田</w:t>
            </w:r>
          </w:p>
        </w:tc>
        <w:tc>
          <w:tcPr>
            <w:tcW w:w="1318" w:type="dxa"/>
            <w:noWrap w:val="0"/>
            <w:vAlign w:val="center"/>
          </w:tcPr>
          <w:p w14:paraId="67966282">
            <w:pPr>
              <w:spacing w:line="240" w:lineRule="auto"/>
              <w:ind w:firstLine="0" w:firstLineChars="0"/>
              <w:jc w:val="center"/>
              <w:rPr>
                <w:sz w:val="21"/>
                <w:szCs w:val="21"/>
              </w:rPr>
            </w:pPr>
            <w:r>
              <w:rPr>
                <w:sz w:val="21"/>
                <w:szCs w:val="21"/>
              </w:rPr>
              <w:t>0.5</w:t>
            </w:r>
          </w:p>
        </w:tc>
        <w:tc>
          <w:tcPr>
            <w:tcW w:w="1967" w:type="dxa"/>
            <w:noWrap w:val="0"/>
            <w:vAlign w:val="center"/>
          </w:tcPr>
          <w:p w14:paraId="2E9C4F15">
            <w:pPr>
              <w:spacing w:line="240" w:lineRule="auto"/>
              <w:ind w:firstLine="0" w:firstLineChars="0"/>
              <w:jc w:val="center"/>
              <w:rPr>
                <w:sz w:val="21"/>
                <w:szCs w:val="21"/>
              </w:rPr>
            </w:pPr>
            <w:r>
              <w:rPr>
                <w:sz w:val="21"/>
                <w:szCs w:val="21"/>
              </w:rPr>
              <w:t>0.5</w:t>
            </w:r>
          </w:p>
        </w:tc>
        <w:tc>
          <w:tcPr>
            <w:tcW w:w="1967" w:type="dxa"/>
            <w:noWrap w:val="0"/>
            <w:vAlign w:val="center"/>
          </w:tcPr>
          <w:p w14:paraId="319A58DC">
            <w:pPr>
              <w:spacing w:line="240" w:lineRule="auto"/>
              <w:ind w:firstLine="0" w:firstLineChars="0"/>
              <w:jc w:val="center"/>
              <w:rPr>
                <w:sz w:val="21"/>
                <w:szCs w:val="21"/>
              </w:rPr>
            </w:pPr>
            <w:r>
              <w:rPr>
                <w:sz w:val="21"/>
                <w:szCs w:val="21"/>
              </w:rPr>
              <w:t>0.6</w:t>
            </w:r>
          </w:p>
        </w:tc>
        <w:tc>
          <w:tcPr>
            <w:tcW w:w="1118" w:type="dxa"/>
            <w:noWrap w:val="0"/>
            <w:vAlign w:val="center"/>
          </w:tcPr>
          <w:p w14:paraId="573720C3">
            <w:pPr>
              <w:spacing w:line="240" w:lineRule="auto"/>
              <w:ind w:firstLine="0" w:firstLineChars="0"/>
              <w:jc w:val="center"/>
              <w:rPr>
                <w:sz w:val="21"/>
                <w:szCs w:val="21"/>
              </w:rPr>
            </w:pPr>
            <w:r>
              <w:rPr>
                <w:sz w:val="21"/>
                <w:szCs w:val="21"/>
              </w:rPr>
              <w:t>1.0</w:t>
            </w:r>
          </w:p>
        </w:tc>
      </w:tr>
      <w:tr w14:paraId="10A86F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658EAC14">
            <w:pPr>
              <w:spacing w:line="240" w:lineRule="auto"/>
              <w:ind w:firstLine="0" w:firstLineChars="0"/>
              <w:jc w:val="center"/>
              <w:rPr>
                <w:sz w:val="21"/>
                <w:szCs w:val="21"/>
              </w:rPr>
            </w:pPr>
          </w:p>
        </w:tc>
        <w:tc>
          <w:tcPr>
            <w:tcW w:w="488" w:type="dxa"/>
            <w:vMerge w:val="continue"/>
            <w:noWrap w:val="0"/>
            <w:vAlign w:val="center"/>
          </w:tcPr>
          <w:p w14:paraId="7CD883AF">
            <w:pPr>
              <w:spacing w:line="240" w:lineRule="auto"/>
              <w:ind w:firstLine="0" w:firstLineChars="0"/>
              <w:jc w:val="center"/>
              <w:rPr>
                <w:sz w:val="21"/>
                <w:szCs w:val="21"/>
              </w:rPr>
            </w:pPr>
          </w:p>
        </w:tc>
        <w:tc>
          <w:tcPr>
            <w:tcW w:w="729" w:type="dxa"/>
            <w:noWrap w:val="0"/>
            <w:vAlign w:val="center"/>
          </w:tcPr>
          <w:p w14:paraId="6DBE7CD6">
            <w:pPr>
              <w:spacing w:line="240" w:lineRule="auto"/>
              <w:ind w:firstLine="0" w:firstLineChars="0"/>
              <w:jc w:val="center"/>
              <w:rPr>
                <w:sz w:val="21"/>
                <w:szCs w:val="21"/>
              </w:rPr>
            </w:pPr>
            <w:r>
              <w:rPr>
                <w:sz w:val="21"/>
                <w:szCs w:val="21"/>
              </w:rPr>
              <w:t>其他</w:t>
            </w:r>
          </w:p>
        </w:tc>
        <w:tc>
          <w:tcPr>
            <w:tcW w:w="1318" w:type="dxa"/>
            <w:noWrap w:val="0"/>
            <w:vAlign w:val="center"/>
          </w:tcPr>
          <w:p w14:paraId="152FC35A">
            <w:pPr>
              <w:spacing w:line="240" w:lineRule="auto"/>
              <w:ind w:firstLine="0" w:firstLineChars="0"/>
              <w:jc w:val="center"/>
              <w:rPr>
                <w:sz w:val="21"/>
                <w:szCs w:val="21"/>
              </w:rPr>
            </w:pPr>
            <w:r>
              <w:rPr>
                <w:sz w:val="21"/>
                <w:szCs w:val="21"/>
              </w:rPr>
              <w:t>1.3</w:t>
            </w:r>
          </w:p>
        </w:tc>
        <w:tc>
          <w:tcPr>
            <w:tcW w:w="1967" w:type="dxa"/>
            <w:noWrap w:val="0"/>
            <w:vAlign w:val="center"/>
          </w:tcPr>
          <w:p w14:paraId="56B265A1">
            <w:pPr>
              <w:spacing w:line="240" w:lineRule="auto"/>
              <w:ind w:firstLine="0" w:firstLineChars="0"/>
              <w:jc w:val="center"/>
              <w:rPr>
                <w:sz w:val="21"/>
                <w:szCs w:val="21"/>
              </w:rPr>
            </w:pPr>
            <w:r>
              <w:rPr>
                <w:sz w:val="21"/>
                <w:szCs w:val="21"/>
              </w:rPr>
              <w:t>1.8</w:t>
            </w:r>
          </w:p>
        </w:tc>
        <w:tc>
          <w:tcPr>
            <w:tcW w:w="1967" w:type="dxa"/>
            <w:noWrap w:val="0"/>
            <w:vAlign w:val="center"/>
          </w:tcPr>
          <w:p w14:paraId="4F7FDCB0">
            <w:pPr>
              <w:spacing w:line="240" w:lineRule="auto"/>
              <w:ind w:firstLine="0" w:firstLineChars="0"/>
              <w:jc w:val="center"/>
              <w:rPr>
                <w:sz w:val="21"/>
                <w:szCs w:val="21"/>
              </w:rPr>
            </w:pPr>
            <w:r>
              <w:rPr>
                <w:sz w:val="21"/>
                <w:szCs w:val="21"/>
              </w:rPr>
              <w:t>2.4</w:t>
            </w:r>
          </w:p>
        </w:tc>
        <w:tc>
          <w:tcPr>
            <w:tcW w:w="1118" w:type="dxa"/>
            <w:noWrap w:val="0"/>
            <w:vAlign w:val="center"/>
          </w:tcPr>
          <w:p w14:paraId="2354C49D">
            <w:pPr>
              <w:spacing w:line="240" w:lineRule="auto"/>
              <w:ind w:firstLine="0" w:firstLineChars="0"/>
              <w:jc w:val="center"/>
              <w:rPr>
                <w:sz w:val="21"/>
                <w:szCs w:val="21"/>
              </w:rPr>
            </w:pPr>
            <w:r>
              <w:rPr>
                <w:sz w:val="21"/>
                <w:szCs w:val="21"/>
              </w:rPr>
              <w:t>3.4</w:t>
            </w:r>
          </w:p>
        </w:tc>
      </w:tr>
      <w:tr w14:paraId="0A2762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48A2E07E">
            <w:pPr>
              <w:spacing w:line="240" w:lineRule="auto"/>
              <w:ind w:firstLine="0" w:firstLineChars="0"/>
              <w:jc w:val="center"/>
              <w:rPr>
                <w:sz w:val="21"/>
                <w:szCs w:val="21"/>
              </w:rPr>
            </w:pPr>
            <w:r>
              <w:rPr>
                <w:sz w:val="21"/>
                <w:szCs w:val="21"/>
              </w:rPr>
              <w:t>3</w:t>
            </w:r>
          </w:p>
        </w:tc>
        <w:tc>
          <w:tcPr>
            <w:tcW w:w="488" w:type="dxa"/>
            <w:vMerge w:val="restart"/>
            <w:noWrap w:val="0"/>
            <w:vAlign w:val="center"/>
          </w:tcPr>
          <w:p w14:paraId="465865E2">
            <w:pPr>
              <w:spacing w:line="240" w:lineRule="auto"/>
              <w:ind w:firstLine="0" w:firstLineChars="0"/>
              <w:jc w:val="center"/>
              <w:rPr>
                <w:sz w:val="21"/>
                <w:szCs w:val="21"/>
              </w:rPr>
            </w:pPr>
            <w:r>
              <w:rPr>
                <w:sz w:val="21"/>
                <w:szCs w:val="21"/>
              </w:rPr>
              <w:t>砷</w:t>
            </w:r>
          </w:p>
        </w:tc>
        <w:tc>
          <w:tcPr>
            <w:tcW w:w="729" w:type="dxa"/>
            <w:noWrap w:val="0"/>
            <w:vAlign w:val="center"/>
          </w:tcPr>
          <w:p w14:paraId="3316B731">
            <w:pPr>
              <w:spacing w:line="240" w:lineRule="auto"/>
              <w:ind w:firstLine="0" w:firstLineChars="0"/>
              <w:jc w:val="center"/>
              <w:rPr>
                <w:sz w:val="21"/>
                <w:szCs w:val="21"/>
              </w:rPr>
            </w:pPr>
            <w:r>
              <w:rPr>
                <w:sz w:val="21"/>
                <w:szCs w:val="21"/>
              </w:rPr>
              <w:t>水田</w:t>
            </w:r>
          </w:p>
        </w:tc>
        <w:tc>
          <w:tcPr>
            <w:tcW w:w="1318" w:type="dxa"/>
            <w:noWrap w:val="0"/>
            <w:vAlign w:val="center"/>
          </w:tcPr>
          <w:p w14:paraId="35228B2A">
            <w:pPr>
              <w:spacing w:line="240" w:lineRule="auto"/>
              <w:ind w:firstLine="0" w:firstLineChars="0"/>
              <w:jc w:val="center"/>
              <w:rPr>
                <w:sz w:val="21"/>
                <w:szCs w:val="21"/>
              </w:rPr>
            </w:pPr>
            <w:r>
              <w:rPr>
                <w:sz w:val="21"/>
                <w:szCs w:val="21"/>
              </w:rPr>
              <w:t>30</w:t>
            </w:r>
          </w:p>
        </w:tc>
        <w:tc>
          <w:tcPr>
            <w:tcW w:w="1967" w:type="dxa"/>
            <w:noWrap w:val="0"/>
            <w:vAlign w:val="center"/>
          </w:tcPr>
          <w:p w14:paraId="28866BEB">
            <w:pPr>
              <w:spacing w:line="240" w:lineRule="auto"/>
              <w:ind w:firstLine="0" w:firstLineChars="0"/>
              <w:jc w:val="center"/>
              <w:rPr>
                <w:sz w:val="21"/>
                <w:szCs w:val="21"/>
              </w:rPr>
            </w:pPr>
            <w:r>
              <w:rPr>
                <w:sz w:val="21"/>
                <w:szCs w:val="21"/>
              </w:rPr>
              <w:t>30</w:t>
            </w:r>
          </w:p>
        </w:tc>
        <w:tc>
          <w:tcPr>
            <w:tcW w:w="1967" w:type="dxa"/>
            <w:noWrap w:val="0"/>
            <w:vAlign w:val="center"/>
          </w:tcPr>
          <w:p w14:paraId="1F647482">
            <w:pPr>
              <w:spacing w:line="240" w:lineRule="auto"/>
              <w:ind w:firstLine="0" w:firstLineChars="0"/>
              <w:jc w:val="center"/>
              <w:rPr>
                <w:sz w:val="21"/>
                <w:szCs w:val="21"/>
              </w:rPr>
            </w:pPr>
            <w:r>
              <w:rPr>
                <w:sz w:val="21"/>
                <w:szCs w:val="21"/>
              </w:rPr>
              <w:t>25</w:t>
            </w:r>
          </w:p>
        </w:tc>
        <w:tc>
          <w:tcPr>
            <w:tcW w:w="1118" w:type="dxa"/>
            <w:noWrap w:val="0"/>
            <w:vAlign w:val="center"/>
          </w:tcPr>
          <w:p w14:paraId="03150471">
            <w:pPr>
              <w:spacing w:line="240" w:lineRule="auto"/>
              <w:ind w:firstLine="0" w:firstLineChars="0"/>
              <w:jc w:val="center"/>
              <w:rPr>
                <w:sz w:val="21"/>
                <w:szCs w:val="21"/>
              </w:rPr>
            </w:pPr>
            <w:r>
              <w:rPr>
                <w:sz w:val="21"/>
                <w:szCs w:val="21"/>
              </w:rPr>
              <w:t>20</w:t>
            </w:r>
          </w:p>
        </w:tc>
      </w:tr>
      <w:tr w14:paraId="5C1E1D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25924010">
            <w:pPr>
              <w:spacing w:line="240" w:lineRule="auto"/>
              <w:ind w:firstLine="0" w:firstLineChars="0"/>
              <w:jc w:val="center"/>
              <w:rPr>
                <w:sz w:val="21"/>
                <w:szCs w:val="21"/>
              </w:rPr>
            </w:pPr>
          </w:p>
        </w:tc>
        <w:tc>
          <w:tcPr>
            <w:tcW w:w="488" w:type="dxa"/>
            <w:vMerge w:val="continue"/>
            <w:noWrap w:val="0"/>
            <w:vAlign w:val="center"/>
          </w:tcPr>
          <w:p w14:paraId="70DB4E04">
            <w:pPr>
              <w:spacing w:line="240" w:lineRule="auto"/>
              <w:ind w:firstLine="0" w:firstLineChars="0"/>
              <w:jc w:val="center"/>
              <w:rPr>
                <w:sz w:val="21"/>
                <w:szCs w:val="21"/>
              </w:rPr>
            </w:pPr>
          </w:p>
        </w:tc>
        <w:tc>
          <w:tcPr>
            <w:tcW w:w="729" w:type="dxa"/>
            <w:noWrap w:val="0"/>
            <w:vAlign w:val="center"/>
          </w:tcPr>
          <w:p w14:paraId="7F3491BA">
            <w:pPr>
              <w:spacing w:line="240" w:lineRule="auto"/>
              <w:ind w:firstLine="0" w:firstLineChars="0"/>
              <w:jc w:val="center"/>
              <w:rPr>
                <w:sz w:val="21"/>
                <w:szCs w:val="21"/>
              </w:rPr>
            </w:pPr>
            <w:r>
              <w:rPr>
                <w:sz w:val="21"/>
                <w:szCs w:val="21"/>
              </w:rPr>
              <w:t>其他</w:t>
            </w:r>
          </w:p>
        </w:tc>
        <w:tc>
          <w:tcPr>
            <w:tcW w:w="1318" w:type="dxa"/>
            <w:noWrap w:val="0"/>
            <w:vAlign w:val="center"/>
          </w:tcPr>
          <w:p w14:paraId="3123260F">
            <w:pPr>
              <w:spacing w:line="240" w:lineRule="auto"/>
              <w:ind w:firstLine="0" w:firstLineChars="0"/>
              <w:jc w:val="center"/>
              <w:rPr>
                <w:sz w:val="21"/>
                <w:szCs w:val="21"/>
              </w:rPr>
            </w:pPr>
            <w:r>
              <w:rPr>
                <w:sz w:val="21"/>
                <w:szCs w:val="21"/>
              </w:rPr>
              <w:t>40</w:t>
            </w:r>
          </w:p>
        </w:tc>
        <w:tc>
          <w:tcPr>
            <w:tcW w:w="1967" w:type="dxa"/>
            <w:noWrap w:val="0"/>
            <w:vAlign w:val="center"/>
          </w:tcPr>
          <w:p w14:paraId="76FAA5D4">
            <w:pPr>
              <w:spacing w:line="240" w:lineRule="auto"/>
              <w:ind w:firstLine="0" w:firstLineChars="0"/>
              <w:jc w:val="center"/>
              <w:rPr>
                <w:sz w:val="21"/>
                <w:szCs w:val="21"/>
              </w:rPr>
            </w:pPr>
            <w:r>
              <w:rPr>
                <w:sz w:val="21"/>
                <w:szCs w:val="21"/>
              </w:rPr>
              <w:t>40</w:t>
            </w:r>
          </w:p>
        </w:tc>
        <w:tc>
          <w:tcPr>
            <w:tcW w:w="1967" w:type="dxa"/>
            <w:noWrap w:val="0"/>
            <w:vAlign w:val="center"/>
          </w:tcPr>
          <w:p w14:paraId="0A4E0420">
            <w:pPr>
              <w:spacing w:line="240" w:lineRule="auto"/>
              <w:ind w:firstLine="0" w:firstLineChars="0"/>
              <w:jc w:val="center"/>
              <w:rPr>
                <w:sz w:val="21"/>
                <w:szCs w:val="21"/>
              </w:rPr>
            </w:pPr>
            <w:r>
              <w:rPr>
                <w:sz w:val="21"/>
                <w:szCs w:val="21"/>
              </w:rPr>
              <w:t>30</w:t>
            </w:r>
          </w:p>
        </w:tc>
        <w:tc>
          <w:tcPr>
            <w:tcW w:w="1118" w:type="dxa"/>
            <w:noWrap w:val="0"/>
            <w:vAlign w:val="center"/>
          </w:tcPr>
          <w:p w14:paraId="1A525787">
            <w:pPr>
              <w:spacing w:line="240" w:lineRule="auto"/>
              <w:ind w:firstLine="0" w:firstLineChars="0"/>
              <w:jc w:val="center"/>
              <w:rPr>
                <w:sz w:val="21"/>
                <w:szCs w:val="21"/>
              </w:rPr>
            </w:pPr>
            <w:r>
              <w:rPr>
                <w:sz w:val="21"/>
                <w:szCs w:val="21"/>
              </w:rPr>
              <w:t>25</w:t>
            </w:r>
          </w:p>
        </w:tc>
      </w:tr>
      <w:tr w14:paraId="0146AF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282AF1FF">
            <w:pPr>
              <w:spacing w:line="240" w:lineRule="auto"/>
              <w:ind w:firstLine="0" w:firstLineChars="0"/>
              <w:jc w:val="center"/>
              <w:rPr>
                <w:sz w:val="21"/>
                <w:szCs w:val="21"/>
              </w:rPr>
            </w:pPr>
            <w:r>
              <w:rPr>
                <w:sz w:val="21"/>
                <w:szCs w:val="21"/>
              </w:rPr>
              <w:t>4</w:t>
            </w:r>
          </w:p>
        </w:tc>
        <w:tc>
          <w:tcPr>
            <w:tcW w:w="488" w:type="dxa"/>
            <w:vMerge w:val="restart"/>
            <w:noWrap w:val="0"/>
            <w:vAlign w:val="center"/>
          </w:tcPr>
          <w:p w14:paraId="5A3422F5">
            <w:pPr>
              <w:spacing w:line="240" w:lineRule="auto"/>
              <w:ind w:firstLine="0" w:firstLineChars="0"/>
              <w:jc w:val="center"/>
              <w:rPr>
                <w:sz w:val="21"/>
                <w:szCs w:val="21"/>
              </w:rPr>
            </w:pPr>
            <w:r>
              <w:rPr>
                <w:sz w:val="21"/>
                <w:szCs w:val="21"/>
              </w:rPr>
              <w:t>铅</w:t>
            </w:r>
          </w:p>
        </w:tc>
        <w:tc>
          <w:tcPr>
            <w:tcW w:w="729" w:type="dxa"/>
            <w:noWrap w:val="0"/>
            <w:vAlign w:val="center"/>
          </w:tcPr>
          <w:p w14:paraId="11B7C396">
            <w:pPr>
              <w:spacing w:line="240" w:lineRule="auto"/>
              <w:ind w:firstLine="0" w:firstLineChars="0"/>
              <w:jc w:val="center"/>
              <w:rPr>
                <w:sz w:val="21"/>
                <w:szCs w:val="21"/>
              </w:rPr>
            </w:pPr>
            <w:r>
              <w:rPr>
                <w:sz w:val="21"/>
                <w:szCs w:val="21"/>
              </w:rPr>
              <w:t>水田</w:t>
            </w:r>
          </w:p>
        </w:tc>
        <w:tc>
          <w:tcPr>
            <w:tcW w:w="1318" w:type="dxa"/>
            <w:noWrap w:val="0"/>
            <w:vAlign w:val="center"/>
          </w:tcPr>
          <w:p w14:paraId="76266639">
            <w:pPr>
              <w:spacing w:line="240" w:lineRule="auto"/>
              <w:ind w:firstLine="0" w:firstLineChars="0"/>
              <w:jc w:val="center"/>
              <w:rPr>
                <w:sz w:val="21"/>
                <w:szCs w:val="21"/>
              </w:rPr>
            </w:pPr>
            <w:r>
              <w:rPr>
                <w:sz w:val="21"/>
                <w:szCs w:val="21"/>
              </w:rPr>
              <w:t>80</w:t>
            </w:r>
          </w:p>
        </w:tc>
        <w:tc>
          <w:tcPr>
            <w:tcW w:w="1967" w:type="dxa"/>
            <w:noWrap w:val="0"/>
            <w:vAlign w:val="center"/>
          </w:tcPr>
          <w:p w14:paraId="5A6F1F48">
            <w:pPr>
              <w:spacing w:line="240" w:lineRule="auto"/>
              <w:ind w:firstLine="0" w:firstLineChars="0"/>
              <w:jc w:val="center"/>
              <w:rPr>
                <w:sz w:val="21"/>
                <w:szCs w:val="21"/>
              </w:rPr>
            </w:pPr>
            <w:r>
              <w:rPr>
                <w:sz w:val="21"/>
                <w:szCs w:val="21"/>
              </w:rPr>
              <w:t>100</w:t>
            </w:r>
          </w:p>
        </w:tc>
        <w:tc>
          <w:tcPr>
            <w:tcW w:w="1967" w:type="dxa"/>
            <w:noWrap w:val="0"/>
            <w:vAlign w:val="center"/>
          </w:tcPr>
          <w:p w14:paraId="7D7A7519">
            <w:pPr>
              <w:spacing w:line="240" w:lineRule="auto"/>
              <w:ind w:firstLine="0" w:firstLineChars="0"/>
              <w:jc w:val="center"/>
              <w:rPr>
                <w:sz w:val="21"/>
                <w:szCs w:val="21"/>
              </w:rPr>
            </w:pPr>
            <w:r>
              <w:rPr>
                <w:sz w:val="21"/>
                <w:szCs w:val="21"/>
              </w:rPr>
              <w:t>140</w:t>
            </w:r>
          </w:p>
        </w:tc>
        <w:tc>
          <w:tcPr>
            <w:tcW w:w="1118" w:type="dxa"/>
            <w:noWrap w:val="0"/>
            <w:vAlign w:val="center"/>
          </w:tcPr>
          <w:p w14:paraId="31693F16">
            <w:pPr>
              <w:spacing w:line="240" w:lineRule="auto"/>
              <w:ind w:firstLine="0" w:firstLineChars="0"/>
              <w:jc w:val="center"/>
              <w:rPr>
                <w:sz w:val="21"/>
                <w:szCs w:val="21"/>
              </w:rPr>
            </w:pPr>
            <w:r>
              <w:rPr>
                <w:sz w:val="21"/>
                <w:szCs w:val="21"/>
              </w:rPr>
              <w:t>240</w:t>
            </w:r>
          </w:p>
        </w:tc>
      </w:tr>
      <w:tr w14:paraId="2033BA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continue"/>
            <w:noWrap w:val="0"/>
            <w:vAlign w:val="center"/>
          </w:tcPr>
          <w:p w14:paraId="00BBB8A3">
            <w:pPr>
              <w:spacing w:line="240" w:lineRule="auto"/>
              <w:ind w:firstLine="0" w:firstLineChars="0"/>
              <w:jc w:val="center"/>
              <w:rPr>
                <w:sz w:val="21"/>
                <w:szCs w:val="21"/>
              </w:rPr>
            </w:pPr>
          </w:p>
        </w:tc>
        <w:tc>
          <w:tcPr>
            <w:tcW w:w="488" w:type="dxa"/>
            <w:vMerge w:val="continue"/>
            <w:noWrap w:val="0"/>
            <w:vAlign w:val="center"/>
          </w:tcPr>
          <w:p w14:paraId="6C6614A6">
            <w:pPr>
              <w:spacing w:line="240" w:lineRule="auto"/>
              <w:ind w:firstLine="0" w:firstLineChars="0"/>
              <w:jc w:val="center"/>
              <w:rPr>
                <w:sz w:val="21"/>
                <w:szCs w:val="21"/>
              </w:rPr>
            </w:pPr>
          </w:p>
        </w:tc>
        <w:tc>
          <w:tcPr>
            <w:tcW w:w="729" w:type="dxa"/>
            <w:noWrap w:val="0"/>
            <w:vAlign w:val="center"/>
          </w:tcPr>
          <w:p w14:paraId="50CA9959">
            <w:pPr>
              <w:spacing w:line="240" w:lineRule="auto"/>
              <w:ind w:firstLine="0" w:firstLineChars="0"/>
              <w:jc w:val="center"/>
              <w:rPr>
                <w:sz w:val="21"/>
                <w:szCs w:val="21"/>
              </w:rPr>
            </w:pPr>
            <w:r>
              <w:rPr>
                <w:sz w:val="21"/>
                <w:szCs w:val="21"/>
              </w:rPr>
              <w:t>其他</w:t>
            </w:r>
          </w:p>
        </w:tc>
        <w:tc>
          <w:tcPr>
            <w:tcW w:w="1318" w:type="dxa"/>
            <w:noWrap w:val="0"/>
            <w:vAlign w:val="center"/>
          </w:tcPr>
          <w:p w14:paraId="0E9A2188">
            <w:pPr>
              <w:spacing w:line="240" w:lineRule="auto"/>
              <w:ind w:firstLine="0" w:firstLineChars="0"/>
              <w:jc w:val="center"/>
              <w:rPr>
                <w:sz w:val="21"/>
                <w:szCs w:val="21"/>
              </w:rPr>
            </w:pPr>
            <w:r>
              <w:rPr>
                <w:sz w:val="21"/>
                <w:szCs w:val="21"/>
              </w:rPr>
              <w:t>70</w:t>
            </w:r>
          </w:p>
        </w:tc>
        <w:tc>
          <w:tcPr>
            <w:tcW w:w="1967" w:type="dxa"/>
            <w:noWrap w:val="0"/>
            <w:vAlign w:val="center"/>
          </w:tcPr>
          <w:p w14:paraId="39DCF6FF">
            <w:pPr>
              <w:spacing w:line="240" w:lineRule="auto"/>
              <w:ind w:firstLine="0" w:firstLineChars="0"/>
              <w:jc w:val="center"/>
              <w:rPr>
                <w:sz w:val="21"/>
                <w:szCs w:val="21"/>
              </w:rPr>
            </w:pPr>
            <w:r>
              <w:rPr>
                <w:sz w:val="21"/>
                <w:szCs w:val="21"/>
              </w:rPr>
              <w:t>90</w:t>
            </w:r>
          </w:p>
        </w:tc>
        <w:tc>
          <w:tcPr>
            <w:tcW w:w="1967" w:type="dxa"/>
            <w:noWrap w:val="0"/>
            <w:vAlign w:val="center"/>
          </w:tcPr>
          <w:p w14:paraId="3768D943">
            <w:pPr>
              <w:spacing w:line="240" w:lineRule="auto"/>
              <w:ind w:firstLine="0" w:firstLineChars="0"/>
              <w:jc w:val="center"/>
              <w:rPr>
                <w:sz w:val="21"/>
                <w:szCs w:val="21"/>
              </w:rPr>
            </w:pPr>
            <w:r>
              <w:rPr>
                <w:sz w:val="21"/>
                <w:szCs w:val="21"/>
              </w:rPr>
              <w:t>120</w:t>
            </w:r>
          </w:p>
        </w:tc>
        <w:tc>
          <w:tcPr>
            <w:tcW w:w="1118" w:type="dxa"/>
            <w:noWrap w:val="0"/>
            <w:vAlign w:val="center"/>
          </w:tcPr>
          <w:p w14:paraId="26FF76D2">
            <w:pPr>
              <w:spacing w:line="240" w:lineRule="auto"/>
              <w:ind w:firstLine="0" w:firstLineChars="0"/>
              <w:jc w:val="center"/>
              <w:rPr>
                <w:sz w:val="21"/>
                <w:szCs w:val="21"/>
              </w:rPr>
            </w:pPr>
            <w:r>
              <w:rPr>
                <w:sz w:val="21"/>
                <w:szCs w:val="21"/>
              </w:rPr>
              <w:t>170</w:t>
            </w:r>
          </w:p>
        </w:tc>
      </w:tr>
      <w:tr w14:paraId="4CD4F9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restart"/>
            <w:noWrap w:val="0"/>
            <w:vAlign w:val="center"/>
          </w:tcPr>
          <w:p w14:paraId="1446D516">
            <w:pPr>
              <w:spacing w:line="240" w:lineRule="auto"/>
              <w:ind w:firstLine="0" w:firstLineChars="0"/>
              <w:jc w:val="center"/>
              <w:rPr>
                <w:sz w:val="21"/>
                <w:szCs w:val="21"/>
              </w:rPr>
            </w:pPr>
            <w:r>
              <w:rPr>
                <w:sz w:val="21"/>
                <w:szCs w:val="21"/>
              </w:rPr>
              <w:t>5</w:t>
            </w:r>
          </w:p>
        </w:tc>
        <w:tc>
          <w:tcPr>
            <w:tcW w:w="488" w:type="dxa"/>
            <w:vMerge w:val="restart"/>
            <w:noWrap w:val="0"/>
            <w:vAlign w:val="center"/>
          </w:tcPr>
          <w:p w14:paraId="04EC3E11">
            <w:pPr>
              <w:spacing w:line="240" w:lineRule="auto"/>
              <w:ind w:firstLine="0" w:firstLineChars="0"/>
              <w:jc w:val="center"/>
              <w:rPr>
                <w:sz w:val="21"/>
                <w:szCs w:val="21"/>
              </w:rPr>
            </w:pPr>
            <w:r>
              <w:rPr>
                <w:sz w:val="21"/>
                <w:szCs w:val="21"/>
              </w:rPr>
              <w:t>铬</w:t>
            </w:r>
          </w:p>
        </w:tc>
        <w:tc>
          <w:tcPr>
            <w:tcW w:w="729" w:type="dxa"/>
            <w:noWrap w:val="0"/>
            <w:vAlign w:val="center"/>
          </w:tcPr>
          <w:p w14:paraId="4D610348">
            <w:pPr>
              <w:spacing w:line="240" w:lineRule="auto"/>
              <w:ind w:firstLine="0" w:firstLineChars="0"/>
              <w:jc w:val="center"/>
              <w:rPr>
                <w:sz w:val="21"/>
                <w:szCs w:val="21"/>
              </w:rPr>
            </w:pPr>
            <w:r>
              <w:rPr>
                <w:sz w:val="21"/>
                <w:szCs w:val="21"/>
              </w:rPr>
              <w:t>水田</w:t>
            </w:r>
          </w:p>
        </w:tc>
        <w:tc>
          <w:tcPr>
            <w:tcW w:w="1318" w:type="dxa"/>
            <w:noWrap w:val="0"/>
            <w:vAlign w:val="center"/>
          </w:tcPr>
          <w:p w14:paraId="27DD1984">
            <w:pPr>
              <w:spacing w:line="240" w:lineRule="auto"/>
              <w:ind w:firstLine="0" w:firstLineChars="0"/>
              <w:jc w:val="center"/>
              <w:rPr>
                <w:sz w:val="21"/>
                <w:szCs w:val="21"/>
              </w:rPr>
            </w:pPr>
            <w:r>
              <w:rPr>
                <w:sz w:val="21"/>
                <w:szCs w:val="21"/>
              </w:rPr>
              <w:t>250</w:t>
            </w:r>
          </w:p>
        </w:tc>
        <w:tc>
          <w:tcPr>
            <w:tcW w:w="1967" w:type="dxa"/>
            <w:noWrap w:val="0"/>
            <w:vAlign w:val="center"/>
          </w:tcPr>
          <w:p w14:paraId="1D86FAE0">
            <w:pPr>
              <w:spacing w:line="240" w:lineRule="auto"/>
              <w:ind w:firstLine="0" w:firstLineChars="0"/>
              <w:jc w:val="center"/>
              <w:rPr>
                <w:sz w:val="21"/>
                <w:szCs w:val="21"/>
              </w:rPr>
            </w:pPr>
            <w:r>
              <w:rPr>
                <w:sz w:val="21"/>
                <w:szCs w:val="21"/>
              </w:rPr>
              <w:t>250</w:t>
            </w:r>
          </w:p>
        </w:tc>
        <w:tc>
          <w:tcPr>
            <w:tcW w:w="1967" w:type="dxa"/>
            <w:noWrap w:val="0"/>
            <w:vAlign w:val="center"/>
          </w:tcPr>
          <w:p w14:paraId="760FEEDE">
            <w:pPr>
              <w:spacing w:line="240" w:lineRule="auto"/>
              <w:ind w:firstLine="0" w:firstLineChars="0"/>
              <w:jc w:val="center"/>
              <w:rPr>
                <w:sz w:val="21"/>
                <w:szCs w:val="21"/>
              </w:rPr>
            </w:pPr>
            <w:r>
              <w:rPr>
                <w:sz w:val="21"/>
                <w:szCs w:val="21"/>
              </w:rPr>
              <w:t>300</w:t>
            </w:r>
          </w:p>
        </w:tc>
        <w:tc>
          <w:tcPr>
            <w:tcW w:w="1118" w:type="dxa"/>
            <w:noWrap w:val="0"/>
            <w:vAlign w:val="center"/>
          </w:tcPr>
          <w:p w14:paraId="35202B40">
            <w:pPr>
              <w:spacing w:line="240" w:lineRule="auto"/>
              <w:ind w:firstLine="0" w:firstLineChars="0"/>
              <w:jc w:val="center"/>
              <w:rPr>
                <w:sz w:val="21"/>
                <w:szCs w:val="21"/>
              </w:rPr>
            </w:pPr>
            <w:r>
              <w:rPr>
                <w:sz w:val="21"/>
                <w:szCs w:val="21"/>
              </w:rPr>
              <w:t>350</w:t>
            </w:r>
          </w:p>
        </w:tc>
      </w:tr>
      <w:tr w14:paraId="43F854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51C6E24E">
            <w:pPr>
              <w:spacing w:line="240" w:lineRule="auto"/>
              <w:ind w:firstLine="0" w:firstLineChars="0"/>
              <w:jc w:val="center"/>
              <w:rPr>
                <w:sz w:val="21"/>
                <w:szCs w:val="21"/>
              </w:rPr>
            </w:pPr>
          </w:p>
        </w:tc>
        <w:tc>
          <w:tcPr>
            <w:tcW w:w="488" w:type="dxa"/>
            <w:vMerge w:val="continue"/>
            <w:noWrap w:val="0"/>
            <w:vAlign w:val="center"/>
          </w:tcPr>
          <w:p w14:paraId="2DB03443">
            <w:pPr>
              <w:spacing w:line="240" w:lineRule="auto"/>
              <w:ind w:firstLine="0" w:firstLineChars="0"/>
              <w:jc w:val="center"/>
              <w:rPr>
                <w:sz w:val="21"/>
                <w:szCs w:val="21"/>
              </w:rPr>
            </w:pPr>
          </w:p>
        </w:tc>
        <w:tc>
          <w:tcPr>
            <w:tcW w:w="729" w:type="dxa"/>
            <w:noWrap w:val="0"/>
            <w:vAlign w:val="center"/>
          </w:tcPr>
          <w:p w14:paraId="471B86BD">
            <w:pPr>
              <w:spacing w:line="240" w:lineRule="auto"/>
              <w:ind w:firstLine="0" w:firstLineChars="0"/>
              <w:jc w:val="center"/>
              <w:rPr>
                <w:sz w:val="21"/>
                <w:szCs w:val="21"/>
              </w:rPr>
            </w:pPr>
            <w:r>
              <w:rPr>
                <w:sz w:val="21"/>
                <w:szCs w:val="21"/>
              </w:rPr>
              <w:t>其他</w:t>
            </w:r>
          </w:p>
        </w:tc>
        <w:tc>
          <w:tcPr>
            <w:tcW w:w="1318" w:type="dxa"/>
            <w:noWrap w:val="0"/>
            <w:vAlign w:val="center"/>
          </w:tcPr>
          <w:p w14:paraId="78D44CF5">
            <w:pPr>
              <w:spacing w:line="240" w:lineRule="auto"/>
              <w:ind w:firstLine="0" w:firstLineChars="0"/>
              <w:jc w:val="center"/>
              <w:rPr>
                <w:sz w:val="21"/>
                <w:szCs w:val="21"/>
              </w:rPr>
            </w:pPr>
            <w:r>
              <w:rPr>
                <w:sz w:val="21"/>
                <w:szCs w:val="21"/>
              </w:rPr>
              <w:t>150</w:t>
            </w:r>
          </w:p>
        </w:tc>
        <w:tc>
          <w:tcPr>
            <w:tcW w:w="1967" w:type="dxa"/>
            <w:noWrap w:val="0"/>
            <w:vAlign w:val="center"/>
          </w:tcPr>
          <w:p w14:paraId="3A437D22">
            <w:pPr>
              <w:spacing w:line="240" w:lineRule="auto"/>
              <w:ind w:firstLine="0" w:firstLineChars="0"/>
              <w:jc w:val="center"/>
              <w:rPr>
                <w:sz w:val="21"/>
                <w:szCs w:val="21"/>
              </w:rPr>
            </w:pPr>
            <w:r>
              <w:rPr>
                <w:sz w:val="21"/>
                <w:szCs w:val="21"/>
              </w:rPr>
              <w:t>150</w:t>
            </w:r>
          </w:p>
        </w:tc>
        <w:tc>
          <w:tcPr>
            <w:tcW w:w="1967" w:type="dxa"/>
            <w:noWrap w:val="0"/>
            <w:vAlign w:val="center"/>
          </w:tcPr>
          <w:p w14:paraId="3CAB4C5E">
            <w:pPr>
              <w:spacing w:line="240" w:lineRule="auto"/>
              <w:ind w:firstLine="0" w:firstLineChars="0"/>
              <w:jc w:val="center"/>
              <w:rPr>
                <w:sz w:val="21"/>
                <w:szCs w:val="21"/>
              </w:rPr>
            </w:pPr>
            <w:r>
              <w:rPr>
                <w:sz w:val="21"/>
                <w:szCs w:val="21"/>
              </w:rPr>
              <w:t>200</w:t>
            </w:r>
          </w:p>
        </w:tc>
        <w:tc>
          <w:tcPr>
            <w:tcW w:w="1118" w:type="dxa"/>
            <w:noWrap w:val="0"/>
            <w:vAlign w:val="center"/>
          </w:tcPr>
          <w:p w14:paraId="0A541AD6">
            <w:pPr>
              <w:spacing w:line="240" w:lineRule="auto"/>
              <w:ind w:firstLine="0" w:firstLineChars="0"/>
              <w:jc w:val="center"/>
              <w:rPr>
                <w:sz w:val="21"/>
                <w:szCs w:val="21"/>
              </w:rPr>
            </w:pPr>
            <w:r>
              <w:rPr>
                <w:sz w:val="21"/>
                <w:szCs w:val="21"/>
              </w:rPr>
              <w:t>250</w:t>
            </w:r>
          </w:p>
        </w:tc>
      </w:tr>
      <w:tr w14:paraId="4F52E7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32" w:type="dxa"/>
            <w:vMerge w:val="restart"/>
            <w:noWrap w:val="0"/>
            <w:vAlign w:val="center"/>
          </w:tcPr>
          <w:p w14:paraId="29C6C46F">
            <w:pPr>
              <w:spacing w:line="240" w:lineRule="auto"/>
              <w:ind w:firstLine="0" w:firstLineChars="0"/>
              <w:jc w:val="center"/>
              <w:rPr>
                <w:sz w:val="21"/>
                <w:szCs w:val="21"/>
              </w:rPr>
            </w:pPr>
            <w:r>
              <w:rPr>
                <w:sz w:val="21"/>
                <w:szCs w:val="21"/>
              </w:rPr>
              <w:t>6</w:t>
            </w:r>
          </w:p>
        </w:tc>
        <w:tc>
          <w:tcPr>
            <w:tcW w:w="488" w:type="dxa"/>
            <w:vMerge w:val="restart"/>
            <w:noWrap w:val="0"/>
            <w:vAlign w:val="center"/>
          </w:tcPr>
          <w:p w14:paraId="4CBB082E">
            <w:pPr>
              <w:spacing w:line="240" w:lineRule="auto"/>
              <w:ind w:firstLine="0" w:firstLineChars="0"/>
              <w:jc w:val="center"/>
              <w:rPr>
                <w:sz w:val="21"/>
                <w:szCs w:val="21"/>
              </w:rPr>
            </w:pPr>
            <w:r>
              <w:rPr>
                <w:sz w:val="21"/>
                <w:szCs w:val="21"/>
              </w:rPr>
              <w:t>铜</w:t>
            </w:r>
          </w:p>
        </w:tc>
        <w:tc>
          <w:tcPr>
            <w:tcW w:w="729" w:type="dxa"/>
            <w:noWrap w:val="0"/>
            <w:vAlign w:val="center"/>
          </w:tcPr>
          <w:p w14:paraId="728BA48A">
            <w:pPr>
              <w:spacing w:line="240" w:lineRule="auto"/>
              <w:ind w:firstLine="0" w:firstLineChars="0"/>
              <w:jc w:val="center"/>
              <w:rPr>
                <w:sz w:val="21"/>
                <w:szCs w:val="21"/>
              </w:rPr>
            </w:pPr>
            <w:r>
              <w:rPr>
                <w:sz w:val="21"/>
                <w:szCs w:val="21"/>
              </w:rPr>
              <w:t>果园</w:t>
            </w:r>
          </w:p>
        </w:tc>
        <w:tc>
          <w:tcPr>
            <w:tcW w:w="1318" w:type="dxa"/>
            <w:noWrap w:val="0"/>
            <w:vAlign w:val="center"/>
          </w:tcPr>
          <w:p w14:paraId="16414E8D">
            <w:pPr>
              <w:spacing w:line="240" w:lineRule="auto"/>
              <w:ind w:firstLine="0" w:firstLineChars="0"/>
              <w:jc w:val="center"/>
              <w:rPr>
                <w:sz w:val="21"/>
                <w:szCs w:val="21"/>
              </w:rPr>
            </w:pPr>
            <w:r>
              <w:rPr>
                <w:sz w:val="21"/>
                <w:szCs w:val="21"/>
              </w:rPr>
              <w:t>150</w:t>
            </w:r>
          </w:p>
        </w:tc>
        <w:tc>
          <w:tcPr>
            <w:tcW w:w="1967" w:type="dxa"/>
            <w:noWrap w:val="0"/>
            <w:vAlign w:val="center"/>
          </w:tcPr>
          <w:p w14:paraId="2A275EB4">
            <w:pPr>
              <w:spacing w:line="240" w:lineRule="auto"/>
              <w:ind w:firstLine="0" w:firstLineChars="0"/>
              <w:jc w:val="center"/>
              <w:rPr>
                <w:sz w:val="21"/>
                <w:szCs w:val="21"/>
              </w:rPr>
            </w:pPr>
            <w:r>
              <w:rPr>
                <w:sz w:val="21"/>
                <w:szCs w:val="21"/>
              </w:rPr>
              <w:t>150</w:t>
            </w:r>
          </w:p>
        </w:tc>
        <w:tc>
          <w:tcPr>
            <w:tcW w:w="1967" w:type="dxa"/>
            <w:noWrap w:val="0"/>
            <w:vAlign w:val="center"/>
          </w:tcPr>
          <w:p w14:paraId="5DB2A9D0">
            <w:pPr>
              <w:spacing w:line="240" w:lineRule="auto"/>
              <w:ind w:firstLine="0" w:firstLineChars="0"/>
              <w:jc w:val="center"/>
              <w:rPr>
                <w:sz w:val="21"/>
                <w:szCs w:val="21"/>
              </w:rPr>
            </w:pPr>
            <w:r>
              <w:rPr>
                <w:sz w:val="21"/>
                <w:szCs w:val="21"/>
              </w:rPr>
              <w:t>200</w:t>
            </w:r>
          </w:p>
        </w:tc>
        <w:tc>
          <w:tcPr>
            <w:tcW w:w="1118" w:type="dxa"/>
            <w:noWrap w:val="0"/>
            <w:vAlign w:val="center"/>
          </w:tcPr>
          <w:p w14:paraId="28000574">
            <w:pPr>
              <w:spacing w:line="240" w:lineRule="auto"/>
              <w:ind w:firstLine="0" w:firstLineChars="0"/>
              <w:jc w:val="center"/>
              <w:rPr>
                <w:sz w:val="21"/>
                <w:szCs w:val="21"/>
              </w:rPr>
            </w:pPr>
            <w:r>
              <w:rPr>
                <w:sz w:val="21"/>
                <w:szCs w:val="21"/>
              </w:rPr>
              <w:t>200</w:t>
            </w:r>
          </w:p>
        </w:tc>
      </w:tr>
      <w:tr w14:paraId="5DA51F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vMerge w:val="continue"/>
            <w:noWrap w:val="0"/>
            <w:vAlign w:val="center"/>
          </w:tcPr>
          <w:p w14:paraId="699294A0">
            <w:pPr>
              <w:spacing w:line="240" w:lineRule="auto"/>
              <w:ind w:firstLine="0" w:firstLineChars="0"/>
              <w:jc w:val="center"/>
              <w:rPr>
                <w:sz w:val="21"/>
                <w:szCs w:val="21"/>
              </w:rPr>
            </w:pPr>
          </w:p>
        </w:tc>
        <w:tc>
          <w:tcPr>
            <w:tcW w:w="488" w:type="dxa"/>
            <w:vMerge w:val="continue"/>
            <w:noWrap w:val="0"/>
            <w:vAlign w:val="center"/>
          </w:tcPr>
          <w:p w14:paraId="178474A6">
            <w:pPr>
              <w:spacing w:line="240" w:lineRule="auto"/>
              <w:ind w:firstLine="0" w:firstLineChars="0"/>
              <w:jc w:val="center"/>
              <w:rPr>
                <w:sz w:val="21"/>
                <w:szCs w:val="21"/>
              </w:rPr>
            </w:pPr>
          </w:p>
        </w:tc>
        <w:tc>
          <w:tcPr>
            <w:tcW w:w="729" w:type="dxa"/>
            <w:noWrap w:val="0"/>
            <w:vAlign w:val="center"/>
          </w:tcPr>
          <w:p w14:paraId="600A5ED3">
            <w:pPr>
              <w:spacing w:line="240" w:lineRule="auto"/>
              <w:ind w:firstLine="0" w:firstLineChars="0"/>
              <w:jc w:val="center"/>
              <w:rPr>
                <w:sz w:val="21"/>
                <w:szCs w:val="21"/>
              </w:rPr>
            </w:pPr>
            <w:r>
              <w:rPr>
                <w:sz w:val="21"/>
                <w:szCs w:val="21"/>
              </w:rPr>
              <w:t>其他</w:t>
            </w:r>
          </w:p>
        </w:tc>
        <w:tc>
          <w:tcPr>
            <w:tcW w:w="1318" w:type="dxa"/>
            <w:noWrap w:val="0"/>
            <w:vAlign w:val="center"/>
          </w:tcPr>
          <w:p w14:paraId="42ABF932">
            <w:pPr>
              <w:spacing w:line="240" w:lineRule="auto"/>
              <w:ind w:firstLine="0" w:firstLineChars="0"/>
              <w:jc w:val="center"/>
              <w:rPr>
                <w:sz w:val="21"/>
                <w:szCs w:val="21"/>
              </w:rPr>
            </w:pPr>
            <w:r>
              <w:rPr>
                <w:sz w:val="21"/>
                <w:szCs w:val="21"/>
              </w:rPr>
              <w:t>50</w:t>
            </w:r>
          </w:p>
        </w:tc>
        <w:tc>
          <w:tcPr>
            <w:tcW w:w="1967" w:type="dxa"/>
            <w:noWrap w:val="0"/>
            <w:vAlign w:val="center"/>
          </w:tcPr>
          <w:p w14:paraId="448ABC89">
            <w:pPr>
              <w:spacing w:line="240" w:lineRule="auto"/>
              <w:ind w:firstLine="0" w:firstLineChars="0"/>
              <w:jc w:val="center"/>
              <w:rPr>
                <w:sz w:val="21"/>
                <w:szCs w:val="21"/>
              </w:rPr>
            </w:pPr>
            <w:r>
              <w:rPr>
                <w:sz w:val="21"/>
                <w:szCs w:val="21"/>
              </w:rPr>
              <w:t>50</w:t>
            </w:r>
          </w:p>
        </w:tc>
        <w:tc>
          <w:tcPr>
            <w:tcW w:w="1967" w:type="dxa"/>
            <w:noWrap w:val="0"/>
            <w:vAlign w:val="center"/>
          </w:tcPr>
          <w:p w14:paraId="1B917526">
            <w:pPr>
              <w:spacing w:line="240" w:lineRule="auto"/>
              <w:ind w:firstLine="0" w:firstLineChars="0"/>
              <w:jc w:val="center"/>
              <w:rPr>
                <w:sz w:val="21"/>
                <w:szCs w:val="21"/>
              </w:rPr>
            </w:pPr>
            <w:r>
              <w:rPr>
                <w:sz w:val="21"/>
                <w:szCs w:val="21"/>
              </w:rPr>
              <w:t>100</w:t>
            </w:r>
          </w:p>
        </w:tc>
        <w:tc>
          <w:tcPr>
            <w:tcW w:w="1118" w:type="dxa"/>
            <w:noWrap w:val="0"/>
            <w:vAlign w:val="center"/>
          </w:tcPr>
          <w:p w14:paraId="734B6A50">
            <w:pPr>
              <w:spacing w:line="240" w:lineRule="auto"/>
              <w:ind w:firstLine="0" w:firstLineChars="0"/>
              <w:jc w:val="center"/>
              <w:rPr>
                <w:sz w:val="21"/>
                <w:szCs w:val="21"/>
              </w:rPr>
            </w:pPr>
            <w:r>
              <w:rPr>
                <w:sz w:val="21"/>
                <w:szCs w:val="21"/>
              </w:rPr>
              <w:t>100</w:t>
            </w:r>
          </w:p>
        </w:tc>
      </w:tr>
      <w:tr w14:paraId="71A64D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32" w:type="dxa"/>
            <w:noWrap w:val="0"/>
            <w:vAlign w:val="center"/>
          </w:tcPr>
          <w:p w14:paraId="79914A0D">
            <w:pPr>
              <w:spacing w:line="240" w:lineRule="auto"/>
              <w:ind w:firstLine="0" w:firstLineChars="0"/>
              <w:jc w:val="center"/>
              <w:rPr>
                <w:sz w:val="21"/>
                <w:szCs w:val="21"/>
              </w:rPr>
            </w:pPr>
            <w:r>
              <w:rPr>
                <w:sz w:val="21"/>
                <w:szCs w:val="21"/>
              </w:rPr>
              <w:t>7</w:t>
            </w:r>
          </w:p>
        </w:tc>
        <w:tc>
          <w:tcPr>
            <w:tcW w:w="1217" w:type="dxa"/>
            <w:gridSpan w:val="2"/>
            <w:noWrap w:val="0"/>
            <w:vAlign w:val="center"/>
          </w:tcPr>
          <w:p w14:paraId="5BEFAEFB">
            <w:pPr>
              <w:spacing w:line="240" w:lineRule="auto"/>
              <w:ind w:firstLine="0" w:firstLineChars="0"/>
              <w:jc w:val="center"/>
              <w:rPr>
                <w:sz w:val="21"/>
                <w:szCs w:val="21"/>
              </w:rPr>
            </w:pPr>
            <w:r>
              <w:rPr>
                <w:sz w:val="21"/>
                <w:szCs w:val="21"/>
              </w:rPr>
              <w:t>镍</w:t>
            </w:r>
          </w:p>
        </w:tc>
        <w:tc>
          <w:tcPr>
            <w:tcW w:w="1318" w:type="dxa"/>
            <w:noWrap w:val="0"/>
            <w:vAlign w:val="center"/>
          </w:tcPr>
          <w:p w14:paraId="41520017">
            <w:pPr>
              <w:spacing w:line="240" w:lineRule="auto"/>
              <w:ind w:firstLine="0" w:firstLineChars="0"/>
              <w:jc w:val="center"/>
              <w:rPr>
                <w:sz w:val="21"/>
                <w:szCs w:val="21"/>
              </w:rPr>
            </w:pPr>
            <w:r>
              <w:rPr>
                <w:sz w:val="21"/>
                <w:szCs w:val="21"/>
              </w:rPr>
              <w:t>60</w:t>
            </w:r>
          </w:p>
        </w:tc>
        <w:tc>
          <w:tcPr>
            <w:tcW w:w="1967" w:type="dxa"/>
            <w:noWrap w:val="0"/>
            <w:vAlign w:val="center"/>
          </w:tcPr>
          <w:p w14:paraId="298FE020">
            <w:pPr>
              <w:spacing w:line="240" w:lineRule="auto"/>
              <w:ind w:firstLine="0" w:firstLineChars="0"/>
              <w:jc w:val="center"/>
              <w:rPr>
                <w:sz w:val="21"/>
                <w:szCs w:val="21"/>
              </w:rPr>
            </w:pPr>
            <w:r>
              <w:rPr>
                <w:sz w:val="21"/>
                <w:szCs w:val="21"/>
              </w:rPr>
              <w:t>70</w:t>
            </w:r>
          </w:p>
        </w:tc>
        <w:tc>
          <w:tcPr>
            <w:tcW w:w="1967" w:type="dxa"/>
            <w:noWrap w:val="0"/>
            <w:vAlign w:val="center"/>
          </w:tcPr>
          <w:p w14:paraId="3F1E49C7">
            <w:pPr>
              <w:spacing w:line="240" w:lineRule="auto"/>
              <w:ind w:firstLine="0" w:firstLineChars="0"/>
              <w:jc w:val="center"/>
              <w:rPr>
                <w:sz w:val="21"/>
                <w:szCs w:val="21"/>
              </w:rPr>
            </w:pPr>
            <w:r>
              <w:rPr>
                <w:sz w:val="21"/>
                <w:szCs w:val="21"/>
              </w:rPr>
              <w:t>100</w:t>
            </w:r>
          </w:p>
        </w:tc>
        <w:tc>
          <w:tcPr>
            <w:tcW w:w="1118" w:type="dxa"/>
            <w:noWrap w:val="0"/>
            <w:vAlign w:val="center"/>
          </w:tcPr>
          <w:p w14:paraId="51970EAE">
            <w:pPr>
              <w:spacing w:line="240" w:lineRule="auto"/>
              <w:ind w:firstLine="0" w:firstLineChars="0"/>
              <w:jc w:val="center"/>
              <w:rPr>
                <w:sz w:val="21"/>
                <w:szCs w:val="21"/>
              </w:rPr>
            </w:pPr>
            <w:r>
              <w:rPr>
                <w:sz w:val="21"/>
                <w:szCs w:val="21"/>
              </w:rPr>
              <w:t>190</w:t>
            </w:r>
          </w:p>
        </w:tc>
      </w:tr>
      <w:tr w14:paraId="6937BC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732" w:type="dxa"/>
            <w:noWrap w:val="0"/>
            <w:vAlign w:val="center"/>
          </w:tcPr>
          <w:p w14:paraId="42091DDE">
            <w:pPr>
              <w:spacing w:line="240" w:lineRule="auto"/>
              <w:ind w:firstLine="0" w:firstLineChars="0"/>
              <w:jc w:val="center"/>
              <w:rPr>
                <w:sz w:val="21"/>
                <w:szCs w:val="21"/>
              </w:rPr>
            </w:pPr>
            <w:r>
              <w:rPr>
                <w:sz w:val="21"/>
                <w:szCs w:val="21"/>
              </w:rPr>
              <w:t>8</w:t>
            </w:r>
          </w:p>
        </w:tc>
        <w:tc>
          <w:tcPr>
            <w:tcW w:w="1217" w:type="dxa"/>
            <w:gridSpan w:val="2"/>
            <w:noWrap w:val="0"/>
            <w:vAlign w:val="center"/>
          </w:tcPr>
          <w:p w14:paraId="2EA361B8">
            <w:pPr>
              <w:spacing w:line="240" w:lineRule="auto"/>
              <w:ind w:firstLine="0" w:firstLineChars="0"/>
              <w:jc w:val="center"/>
              <w:rPr>
                <w:sz w:val="21"/>
                <w:szCs w:val="21"/>
              </w:rPr>
            </w:pPr>
            <w:r>
              <w:rPr>
                <w:sz w:val="21"/>
                <w:szCs w:val="21"/>
              </w:rPr>
              <w:t>锌</w:t>
            </w:r>
          </w:p>
        </w:tc>
        <w:tc>
          <w:tcPr>
            <w:tcW w:w="1318" w:type="dxa"/>
            <w:noWrap w:val="0"/>
            <w:vAlign w:val="center"/>
          </w:tcPr>
          <w:p w14:paraId="58E6196A">
            <w:pPr>
              <w:spacing w:line="240" w:lineRule="auto"/>
              <w:ind w:firstLine="0" w:firstLineChars="0"/>
              <w:jc w:val="center"/>
              <w:rPr>
                <w:sz w:val="21"/>
                <w:szCs w:val="21"/>
              </w:rPr>
            </w:pPr>
            <w:r>
              <w:rPr>
                <w:sz w:val="21"/>
                <w:szCs w:val="21"/>
              </w:rPr>
              <w:t>200</w:t>
            </w:r>
          </w:p>
        </w:tc>
        <w:tc>
          <w:tcPr>
            <w:tcW w:w="1967" w:type="dxa"/>
            <w:noWrap w:val="0"/>
            <w:vAlign w:val="center"/>
          </w:tcPr>
          <w:p w14:paraId="47EE4D38">
            <w:pPr>
              <w:spacing w:line="240" w:lineRule="auto"/>
              <w:ind w:firstLine="0" w:firstLineChars="0"/>
              <w:jc w:val="center"/>
              <w:rPr>
                <w:sz w:val="21"/>
                <w:szCs w:val="21"/>
              </w:rPr>
            </w:pPr>
            <w:r>
              <w:rPr>
                <w:sz w:val="21"/>
                <w:szCs w:val="21"/>
              </w:rPr>
              <w:t>200</w:t>
            </w:r>
          </w:p>
        </w:tc>
        <w:tc>
          <w:tcPr>
            <w:tcW w:w="1967" w:type="dxa"/>
            <w:noWrap w:val="0"/>
            <w:vAlign w:val="center"/>
          </w:tcPr>
          <w:p w14:paraId="5D82EAF4">
            <w:pPr>
              <w:spacing w:line="240" w:lineRule="auto"/>
              <w:ind w:firstLine="0" w:firstLineChars="0"/>
              <w:jc w:val="center"/>
              <w:rPr>
                <w:sz w:val="21"/>
                <w:szCs w:val="21"/>
              </w:rPr>
            </w:pPr>
            <w:r>
              <w:rPr>
                <w:sz w:val="21"/>
                <w:szCs w:val="21"/>
              </w:rPr>
              <w:t>250</w:t>
            </w:r>
          </w:p>
        </w:tc>
        <w:tc>
          <w:tcPr>
            <w:tcW w:w="1118" w:type="dxa"/>
            <w:noWrap w:val="0"/>
            <w:vAlign w:val="center"/>
          </w:tcPr>
          <w:p w14:paraId="64CA6A27">
            <w:pPr>
              <w:spacing w:line="240" w:lineRule="auto"/>
              <w:ind w:firstLine="0" w:firstLineChars="0"/>
              <w:jc w:val="center"/>
              <w:rPr>
                <w:sz w:val="21"/>
                <w:szCs w:val="21"/>
              </w:rPr>
            </w:pPr>
            <w:r>
              <w:rPr>
                <w:sz w:val="21"/>
                <w:szCs w:val="21"/>
              </w:rPr>
              <w:t>300</w:t>
            </w:r>
          </w:p>
        </w:tc>
      </w:tr>
    </w:tbl>
    <w:p w14:paraId="4DF14D65">
      <w:pPr>
        <w:pStyle w:val="5"/>
        <w:bidi w:val="0"/>
        <w:rPr>
          <w:rFonts w:hint="default"/>
        </w:rPr>
      </w:pPr>
      <w:r>
        <w:rPr>
          <w:rFonts w:hint="default"/>
        </w:rPr>
        <w:t>污染物排放标准</w:t>
      </w:r>
      <w:bookmarkEnd w:id="77"/>
      <w:bookmarkEnd w:id="78"/>
      <w:bookmarkEnd w:id="79"/>
    </w:p>
    <w:p w14:paraId="2D1434D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大气污染物</w:t>
      </w:r>
    </w:p>
    <w:p w14:paraId="73DD59D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项目运营期本身无废气产生，</w:t>
      </w:r>
      <w:r>
        <w:rPr>
          <w:rFonts w:hint="default" w:ascii="Times New Roman" w:hAnsi="Times New Roman" w:cs="Times New Roman"/>
          <w:color w:val="auto"/>
          <w:u w:val="none" w:color="auto"/>
        </w:rPr>
        <w:t>施工过程无组织扬尘执行《大气污染物综合排放标准》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GB16297-1996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表2中颗粒物无组织排放监控浓度限值。各标准值详见表2.4-</w:t>
      </w:r>
      <w:r>
        <w:rPr>
          <w:rFonts w:hint="eastAsia" w:cs="Times New Roman"/>
          <w:color w:val="auto"/>
          <w:u w:val="none" w:color="auto"/>
          <w:lang w:val="en-US" w:eastAsia="zh-CN"/>
        </w:rPr>
        <w:t>9</w:t>
      </w:r>
      <w:r>
        <w:rPr>
          <w:rFonts w:hint="default" w:ascii="Times New Roman" w:hAnsi="Times New Roman" w:cs="Times New Roman"/>
          <w:color w:val="auto"/>
          <w:u w:val="none" w:color="auto"/>
        </w:rPr>
        <w:t>。</w:t>
      </w:r>
    </w:p>
    <w:p w14:paraId="517FCFDD">
      <w:pPr>
        <w:spacing w:line="240" w:lineRule="auto"/>
        <w:ind w:firstLine="422"/>
        <w:jc w:val="center"/>
        <w:rPr>
          <w:rFonts w:hint="default" w:ascii="Times New Roman" w:hAnsi="Times New Roman" w:cs="Times New Roman"/>
          <w:b/>
          <w:bCs w:val="0"/>
          <w:color w:val="auto"/>
          <w:sz w:val="21"/>
          <w:u w:val="none" w:color="auto"/>
        </w:rPr>
      </w:pPr>
      <w:r>
        <w:rPr>
          <w:rFonts w:hint="default" w:ascii="Times New Roman" w:hAnsi="Times New Roman" w:cs="Times New Roman"/>
          <w:b/>
          <w:bCs w:val="0"/>
          <w:color w:val="auto"/>
          <w:sz w:val="21"/>
          <w:u w:val="none" w:color="auto"/>
        </w:rPr>
        <w:t>表2.4-</w:t>
      </w:r>
      <w:r>
        <w:rPr>
          <w:rFonts w:hint="eastAsia" w:cs="Times New Roman"/>
          <w:b/>
          <w:bCs w:val="0"/>
          <w:color w:val="auto"/>
          <w:sz w:val="21"/>
          <w:u w:val="none" w:color="auto"/>
          <w:lang w:val="en-US" w:eastAsia="zh-CN"/>
        </w:rPr>
        <w:t xml:space="preserve">9  </w:t>
      </w:r>
      <w:r>
        <w:rPr>
          <w:rFonts w:hint="default" w:ascii="Times New Roman" w:hAnsi="Times New Roman" w:cs="Times New Roman"/>
          <w:b/>
          <w:bCs w:val="0"/>
          <w:color w:val="auto"/>
          <w:sz w:val="21"/>
          <w:u w:val="none" w:color="auto"/>
        </w:rPr>
        <w:t>大气污染物排放标准</w:t>
      </w:r>
      <w:r>
        <w:rPr>
          <w:rFonts w:hint="default" w:ascii="Times New Roman" w:hAnsi="Times New Roman" w:cs="Times New Roman"/>
          <w:b/>
          <w:bCs w:val="0"/>
          <w:color w:val="auto"/>
          <w:highlight w:val="none"/>
          <w:u w:val="none" w:color="auto"/>
          <w:lang w:eastAsia="zh-CN"/>
        </w:rPr>
        <w:t>(</w:t>
      </w:r>
      <w:r>
        <w:rPr>
          <w:rFonts w:hint="default" w:ascii="Times New Roman" w:hAnsi="Times New Roman" w:cs="Times New Roman"/>
          <w:b/>
          <w:bCs w:val="0"/>
          <w:color w:val="auto"/>
          <w:u w:val="none" w:color="auto"/>
        </w:rPr>
        <w:t>摘录</w:t>
      </w:r>
      <w:r>
        <w:rPr>
          <w:rFonts w:hint="default" w:ascii="Times New Roman" w:hAnsi="Times New Roman" w:cs="Times New Roman"/>
          <w:b/>
          <w:bCs w:val="0"/>
          <w:color w:val="auto"/>
          <w:highlight w:val="none"/>
          <w:u w:val="none" w:color="auto"/>
          <w:lang w:eastAsia="zh-CN"/>
        </w:rPr>
        <w:t>)</w:t>
      </w:r>
    </w:p>
    <w:tbl>
      <w:tblPr>
        <w:tblStyle w:val="37"/>
        <w:tblW w:w="8524"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1281"/>
        <w:gridCol w:w="1289"/>
        <w:gridCol w:w="1153"/>
        <w:gridCol w:w="3326"/>
      </w:tblGrid>
      <w:tr w14:paraId="5F3A75B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5" w:type="dxa"/>
            <w:vAlign w:val="center"/>
          </w:tcPr>
          <w:p w14:paraId="357001E9">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污染源</w:t>
            </w:r>
          </w:p>
        </w:tc>
        <w:tc>
          <w:tcPr>
            <w:tcW w:w="1281" w:type="dxa"/>
            <w:vAlign w:val="center"/>
          </w:tcPr>
          <w:p w14:paraId="708C2F8F">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污染物名称</w:t>
            </w:r>
          </w:p>
        </w:tc>
        <w:tc>
          <w:tcPr>
            <w:tcW w:w="1289" w:type="dxa"/>
            <w:vAlign w:val="center"/>
          </w:tcPr>
          <w:p w14:paraId="43D7B9E2">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标准限值</w:t>
            </w:r>
          </w:p>
        </w:tc>
        <w:tc>
          <w:tcPr>
            <w:tcW w:w="1153" w:type="dxa"/>
            <w:vAlign w:val="center"/>
          </w:tcPr>
          <w:p w14:paraId="45D35F48">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排放速率</w:t>
            </w:r>
          </w:p>
        </w:tc>
        <w:tc>
          <w:tcPr>
            <w:tcW w:w="3326" w:type="dxa"/>
            <w:vAlign w:val="center"/>
          </w:tcPr>
          <w:p w14:paraId="66BCEF4B">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标准名称</w:t>
            </w:r>
          </w:p>
        </w:tc>
      </w:tr>
      <w:tr w14:paraId="68BFA39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5" w:type="dxa"/>
            <w:tcBorders>
              <w:top w:val="single" w:color="auto" w:sz="4" w:space="0"/>
            </w:tcBorders>
            <w:vAlign w:val="center"/>
          </w:tcPr>
          <w:p w14:paraId="79766EB1">
            <w:pPr>
              <w:pStyle w:val="87"/>
              <w:rPr>
                <w:rFonts w:hint="default" w:ascii="Times New Roman" w:hAnsi="Times New Roman" w:eastAsia="宋体" w:cs="Times New Roman"/>
                <w:color w:val="auto"/>
                <w:szCs w:val="21"/>
                <w:u w:val="none" w:color="auto"/>
                <w:lang w:val="en-US" w:eastAsia="zh-CN"/>
              </w:rPr>
            </w:pPr>
            <w:r>
              <w:rPr>
                <w:rFonts w:hint="default" w:ascii="Times New Roman" w:hAnsi="Times New Roman" w:cs="Times New Roman"/>
                <w:color w:val="auto"/>
                <w:szCs w:val="21"/>
                <w:u w:val="none" w:color="auto"/>
                <w:lang w:val="en-US" w:eastAsia="zh-CN"/>
              </w:rPr>
              <w:t>施工扬尘</w:t>
            </w:r>
          </w:p>
        </w:tc>
        <w:tc>
          <w:tcPr>
            <w:tcW w:w="1281" w:type="dxa"/>
            <w:tcBorders>
              <w:top w:val="single" w:color="auto" w:sz="4" w:space="0"/>
            </w:tcBorders>
            <w:vAlign w:val="center"/>
          </w:tcPr>
          <w:p w14:paraId="5EC7BFB1">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颗粒物</w:t>
            </w:r>
          </w:p>
        </w:tc>
        <w:tc>
          <w:tcPr>
            <w:tcW w:w="1289" w:type="dxa"/>
            <w:tcBorders>
              <w:top w:val="single" w:color="auto" w:sz="4" w:space="0"/>
            </w:tcBorders>
            <w:vAlign w:val="center"/>
          </w:tcPr>
          <w:p w14:paraId="1DDF2D10">
            <w:pPr>
              <w:pStyle w:val="87"/>
              <w:rPr>
                <w:rFonts w:hint="default" w:ascii="Times New Roman" w:hAnsi="Times New Roman" w:eastAsia="宋体" w:cs="Times New Roman"/>
                <w:color w:val="auto"/>
                <w:szCs w:val="21"/>
                <w:u w:val="none" w:color="auto"/>
                <w:lang w:eastAsia="zh-CN"/>
              </w:rPr>
            </w:pPr>
            <w:r>
              <w:rPr>
                <w:rFonts w:hint="default" w:ascii="Times New Roman" w:hAnsi="Times New Roman" w:cs="Times New Roman"/>
                <w:color w:val="auto"/>
                <w:szCs w:val="21"/>
                <w:u w:val="none" w:color="auto"/>
              </w:rPr>
              <w:t>1.0mg/</w:t>
            </w:r>
            <w:r>
              <w:rPr>
                <w:rFonts w:hint="default" w:ascii="Times New Roman" w:hAnsi="Times New Roman" w:cs="Times New Roman"/>
                <w:color w:val="auto"/>
                <w:szCs w:val="21"/>
                <w:u w:val="none" w:color="auto"/>
                <w:lang w:eastAsia="zh-CN"/>
              </w:rPr>
              <w:t>m³</w:t>
            </w:r>
          </w:p>
        </w:tc>
        <w:tc>
          <w:tcPr>
            <w:tcW w:w="1153" w:type="dxa"/>
            <w:tcBorders>
              <w:top w:val="single" w:color="auto" w:sz="4" w:space="0"/>
            </w:tcBorders>
            <w:vAlign w:val="center"/>
          </w:tcPr>
          <w:p w14:paraId="1DBD0E44">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w:t>
            </w:r>
          </w:p>
        </w:tc>
        <w:tc>
          <w:tcPr>
            <w:tcW w:w="3326" w:type="dxa"/>
            <w:vAlign w:val="center"/>
          </w:tcPr>
          <w:p w14:paraId="22A775AB">
            <w:pPr>
              <w:pStyle w:val="87"/>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《大气污染物综合排放标准》</w:t>
            </w:r>
            <w:r>
              <w:rPr>
                <w:rFonts w:hint="default" w:ascii="Times New Roman" w:hAnsi="Times New Roman" w:cs="Times New Roman"/>
                <w:color w:val="auto"/>
                <w:szCs w:val="21"/>
                <w:u w:val="none" w:color="auto"/>
                <w:lang w:eastAsia="zh-CN"/>
              </w:rPr>
              <w:t>(</w:t>
            </w:r>
            <w:r>
              <w:rPr>
                <w:rFonts w:hint="default" w:ascii="Times New Roman" w:hAnsi="Times New Roman" w:cs="Times New Roman"/>
                <w:color w:val="auto"/>
                <w:szCs w:val="21"/>
                <w:u w:val="none" w:color="auto"/>
              </w:rPr>
              <w:t>GB16297-1996</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u w:val="none" w:color="auto"/>
              </w:rPr>
              <w:t>表2中</w:t>
            </w:r>
            <w:r>
              <w:rPr>
                <w:rFonts w:hint="default" w:ascii="Times New Roman" w:hAnsi="Times New Roman" w:cs="Times New Roman"/>
                <w:color w:val="auto"/>
                <w:szCs w:val="21"/>
                <w:u w:val="none" w:color="auto"/>
                <w:lang w:eastAsia="zh-CN"/>
              </w:rPr>
              <w:t>其他行业有组织排放限值及</w:t>
            </w:r>
            <w:r>
              <w:rPr>
                <w:rFonts w:hint="default" w:ascii="Times New Roman" w:hAnsi="Times New Roman" w:cs="Times New Roman"/>
                <w:color w:val="auto"/>
                <w:szCs w:val="21"/>
                <w:u w:val="none" w:color="auto"/>
              </w:rPr>
              <w:t>无组织排放监控浓度限值周界外最高浓度限值</w:t>
            </w:r>
          </w:p>
        </w:tc>
      </w:tr>
    </w:tbl>
    <w:p w14:paraId="2CD281E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水污染物</w:t>
      </w:r>
    </w:p>
    <w:p w14:paraId="1DF7092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项目运营期本身无废水产生，施工期废水不外排</w:t>
      </w:r>
      <w:r>
        <w:rPr>
          <w:rFonts w:hint="default" w:ascii="Times New Roman" w:hAnsi="Times New Roman" w:cs="Times New Roman"/>
          <w:color w:val="auto"/>
          <w:u w:val="none" w:color="auto"/>
        </w:rPr>
        <w:t>。</w:t>
      </w:r>
    </w:p>
    <w:p w14:paraId="7EBC479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噪声</w:t>
      </w:r>
    </w:p>
    <w:p w14:paraId="0133DE8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项目运营期本身无噪声产生</w:t>
      </w:r>
      <w:r>
        <w:rPr>
          <w:rFonts w:hint="eastAsia" w:cs="Times New Roman"/>
          <w:color w:val="auto"/>
          <w:u w:val="none" w:color="auto"/>
          <w:lang w:eastAsia="zh-CN"/>
        </w:rPr>
        <w:t>，</w:t>
      </w:r>
      <w:r>
        <w:rPr>
          <w:rFonts w:hint="default" w:ascii="Times New Roman" w:hAnsi="Times New Roman" w:cs="Times New Roman"/>
          <w:color w:val="auto"/>
          <w:u w:val="none" w:color="auto"/>
        </w:rPr>
        <w:t>施工期噪声执行《建筑施工场界环境噪声排放标准》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GB12523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具体</w:t>
      </w:r>
      <w:r>
        <w:rPr>
          <w:rFonts w:hint="eastAsia" w:cs="Times New Roman"/>
          <w:color w:val="auto"/>
          <w:u w:val="none" w:color="auto"/>
          <w:lang w:eastAsia="zh-CN"/>
        </w:rPr>
        <w:t>详</w:t>
      </w:r>
      <w:r>
        <w:rPr>
          <w:rFonts w:hint="default" w:ascii="Times New Roman" w:hAnsi="Times New Roman" w:cs="Times New Roman"/>
          <w:color w:val="auto"/>
          <w:u w:val="none" w:color="auto"/>
        </w:rPr>
        <w:t>见表2.4-</w:t>
      </w:r>
      <w:r>
        <w:rPr>
          <w:rFonts w:hint="eastAsia" w:cs="Times New Roman"/>
          <w:color w:val="auto"/>
          <w:u w:val="none" w:color="auto"/>
          <w:lang w:val="en-US" w:eastAsia="zh-CN"/>
        </w:rPr>
        <w:t>10</w:t>
      </w:r>
      <w:r>
        <w:rPr>
          <w:rFonts w:hint="default" w:ascii="Times New Roman" w:hAnsi="Times New Roman" w:cs="Times New Roman"/>
          <w:color w:val="auto"/>
          <w:u w:val="none" w:color="auto"/>
        </w:rPr>
        <w:t>。</w:t>
      </w:r>
    </w:p>
    <w:p w14:paraId="1F21681B">
      <w:pPr>
        <w:pStyle w:val="69"/>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表2.4-</w:t>
      </w:r>
      <w:r>
        <w:rPr>
          <w:rFonts w:hint="eastAsia" w:cs="Times New Roman"/>
          <w:color w:val="auto"/>
          <w:u w:val="none" w:color="auto"/>
          <w:lang w:val="en-US" w:eastAsia="zh-CN"/>
        </w:rPr>
        <w:t>10</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噪声排放标准</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单位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p>
    <w:tbl>
      <w:tblPr>
        <w:tblStyle w:val="37"/>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2"/>
        <w:gridCol w:w="2843"/>
      </w:tblGrid>
      <w:tr w14:paraId="29419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vAlign w:val="center"/>
          </w:tcPr>
          <w:p w14:paraId="2E92C2F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类别</w:t>
            </w:r>
          </w:p>
        </w:tc>
        <w:tc>
          <w:tcPr>
            <w:tcW w:w="2842" w:type="dxa"/>
            <w:vAlign w:val="center"/>
          </w:tcPr>
          <w:p w14:paraId="65AB3648">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昼间</w:t>
            </w:r>
          </w:p>
        </w:tc>
        <w:tc>
          <w:tcPr>
            <w:tcW w:w="2843" w:type="dxa"/>
            <w:vAlign w:val="center"/>
          </w:tcPr>
          <w:p w14:paraId="0F71EBD5">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夜间</w:t>
            </w:r>
          </w:p>
        </w:tc>
      </w:tr>
      <w:tr w14:paraId="347C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vAlign w:val="center"/>
          </w:tcPr>
          <w:p w14:paraId="01D16D6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GB12523-2011</w:t>
            </w:r>
            <w:r>
              <w:rPr>
                <w:rFonts w:hint="default" w:ascii="Times New Roman" w:hAnsi="Times New Roman" w:cs="Times New Roman"/>
                <w:color w:val="auto"/>
                <w:kern w:val="0"/>
                <w:sz w:val="21"/>
                <w:szCs w:val="21"/>
                <w:u w:val="none" w:color="auto"/>
                <w:lang w:eastAsia="zh-CN"/>
              </w:rPr>
              <w:t>)</w:t>
            </w:r>
          </w:p>
        </w:tc>
        <w:tc>
          <w:tcPr>
            <w:tcW w:w="2842" w:type="dxa"/>
            <w:vAlign w:val="center"/>
          </w:tcPr>
          <w:p w14:paraId="2DE5A852">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70</w:t>
            </w:r>
          </w:p>
        </w:tc>
        <w:tc>
          <w:tcPr>
            <w:tcW w:w="2843" w:type="dxa"/>
            <w:vAlign w:val="center"/>
          </w:tcPr>
          <w:p w14:paraId="780FAC6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55</w:t>
            </w:r>
          </w:p>
        </w:tc>
      </w:tr>
    </w:tbl>
    <w:p w14:paraId="281BCEB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固体废物</w:t>
      </w:r>
    </w:p>
    <w:p w14:paraId="4F49AD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一般固废执行《一般工业固体废物贮存和填埋污染控制标准》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GB18599-2020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；危险废物执行《危险废物贮存污染控制标准》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GB18597-20</w:t>
      </w:r>
      <w:r>
        <w:rPr>
          <w:rFonts w:hint="default" w:ascii="Times New Roman" w:hAnsi="Times New Roman" w:cs="Times New Roman"/>
          <w:color w:val="auto"/>
          <w:u w:val="none" w:color="auto"/>
          <w:lang w:val="en-US" w:eastAsia="zh-CN"/>
        </w:rPr>
        <w:t>23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生活垃圾交环卫部门处置</w:t>
      </w:r>
      <w:r>
        <w:rPr>
          <w:rFonts w:hint="default" w:ascii="Times New Roman" w:hAnsi="Times New Roman" w:cs="Times New Roman"/>
          <w:color w:val="auto"/>
          <w:u w:val="none" w:color="auto"/>
        </w:rPr>
        <w:t>。</w:t>
      </w:r>
    </w:p>
    <w:p w14:paraId="081DFB6C">
      <w:pPr>
        <w:pStyle w:val="3"/>
        <w:rPr>
          <w:rFonts w:hint="default" w:ascii="Times New Roman" w:hAnsi="Times New Roman" w:cs="Times New Roman"/>
          <w:color w:val="auto"/>
          <w:u w:val="none" w:color="auto"/>
        </w:rPr>
      </w:pPr>
      <w:bookmarkStart w:id="80" w:name="_Toc494233711"/>
      <w:bookmarkStart w:id="81" w:name="_Toc6885"/>
      <w:bookmarkStart w:id="82" w:name="_Toc494049355"/>
      <w:bookmarkStart w:id="83" w:name="_Toc20513"/>
      <w:bookmarkStart w:id="84" w:name="_Toc27373"/>
      <w:r>
        <w:rPr>
          <w:rFonts w:hint="default" w:ascii="Times New Roman" w:hAnsi="Times New Roman" w:cs="Times New Roman"/>
          <w:color w:val="auto"/>
          <w:u w:val="none" w:color="auto"/>
        </w:rPr>
        <w:t>评价等级及范围</w:t>
      </w:r>
      <w:bookmarkEnd w:id="80"/>
      <w:bookmarkEnd w:id="81"/>
      <w:bookmarkEnd w:id="82"/>
      <w:bookmarkEnd w:id="83"/>
      <w:bookmarkEnd w:id="84"/>
    </w:p>
    <w:p w14:paraId="475BBCC2">
      <w:pPr>
        <w:pStyle w:val="4"/>
        <w:rPr>
          <w:rFonts w:hint="default" w:ascii="Times New Roman" w:hAnsi="Times New Roman" w:cs="Times New Roman"/>
          <w:color w:val="auto"/>
          <w:u w:val="none" w:color="auto"/>
        </w:rPr>
      </w:pPr>
      <w:bookmarkStart w:id="85" w:name="_Toc18255"/>
      <w:bookmarkStart w:id="86" w:name="_Toc27839"/>
      <w:bookmarkStart w:id="87" w:name="_Toc494233712"/>
      <w:r>
        <w:rPr>
          <w:rFonts w:hint="default" w:ascii="Times New Roman" w:hAnsi="Times New Roman" w:cs="Times New Roman"/>
          <w:color w:val="auto"/>
          <w:u w:val="none" w:color="auto"/>
        </w:rPr>
        <w:t>地表水环境</w:t>
      </w:r>
      <w:bookmarkEnd w:id="85"/>
      <w:bookmarkEnd w:id="86"/>
      <w:bookmarkEnd w:id="87"/>
      <w:r>
        <w:rPr>
          <w:rFonts w:hint="default" w:ascii="Times New Roman" w:hAnsi="Times New Roman" w:cs="Times New Roman"/>
          <w:color w:val="auto"/>
          <w:u w:val="none" w:color="auto"/>
        </w:rPr>
        <w:t>评价等级</w:t>
      </w:r>
    </w:p>
    <w:p w14:paraId="485F07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本项目为水库除险加固工程，项目施工过程既可能对水文产生影响，同时也有污染物对水体产生影响，项目属于地表水影响属于复合影响型。</w:t>
      </w:r>
    </w:p>
    <w:p w14:paraId="1FA7AECD">
      <w:pPr>
        <w:bidi w:val="0"/>
        <w:rPr>
          <w:rFonts w:hint="default" w:ascii="Times New Roman" w:hAnsi="Times New Roman" w:cs="Times New Roman"/>
          <w:color w:val="auto"/>
          <w:u w:val="none" w:color="auto"/>
        </w:rPr>
      </w:pPr>
      <w:r>
        <w:rPr>
          <w:rFonts w:hint="default" w:ascii="Times New Roman" w:hAnsi="Times New Roman" w:cs="Times New Roman"/>
          <w:b/>
          <w:bCs/>
          <w:color w:val="auto"/>
          <w:u w:val="none" w:color="auto"/>
          <w:lang w:val="en-US" w:eastAsia="zh-CN"/>
        </w:rPr>
        <w:t>按污染型建设项目进行判定</w:t>
      </w:r>
      <w:r>
        <w:rPr>
          <w:rFonts w:hint="eastAsia" w:cs="Times New Roman"/>
          <w:color w:val="auto"/>
          <w:u w:val="none" w:color="auto"/>
          <w:lang w:val="en-US" w:eastAsia="zh-CN"/>
        </w:rPr>
        <w:t>：</w:t>
      </w:r>
      <w:r>
        <w:rPr>
          <w:rFonts w:hint="default" w:ascii="Times New Roman" w:hAnsi="Times New Roman" w:cs="Times New Roman"/>
          <w:color w:val="auto"/>
          <w:u w:val="none" w:color="auto"/>
        </w:rPr>
        <w:t>建设项目地表水环境影响评价等级按照影响类型、排放方式、排放量或影响情况、受纳水体环境质量现状、水环境保护目标等综合确定。水污染影响型建设项目主要根据废水排放方式和排放量划分评价等级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直接排放建设项目评价等级分为一级、二级和三级A，根据废水排放量、水污染物污染当量数确定。间接排放建设项目评价等级为三级</w:t>
      </w: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项目施工期隧洞施工均为不涉水施工，对地表水的影响主要为施工期将会产生一定量的废水，主要为工程施工废水和施工人员生活污水，经收集后回用于道路和施工场区洒水降尘，不外排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运营期无废水产生及排放，按</w:t>
      </w:r>
      <w:r>
        <w:rPr>
          <w:rFonts w:hint="default" w:ascii="Times New Roman" w:hAnsi="Times New Roman" w:cs="Times New Roman"/>
          <w:color w:val="auto"/>
          <w:u w:val="none" w:color="auto"/>
        </w:rPr>
        <w:t>水污染影响型建设项目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则</w:t>
      </w:r>
      <w:r>
        <w:rPr>
          <w:rFonts w:hint="default" w:ascii="Times New Roman" w:hAnsi="Times New Roman" w:cs="Times New Roman"/>
          <w:color w:val="auto"/>
          <w:u w:val="none" w:color="auto"/>
        </w:rPr>
        <w:t>评价等级为三级B。</w:t>
      </w:r>
    </w:p>
    <w:p w14:paraId="27D05A5C">
      <w:pPr>
        <w:bidi w:val="0"/>
        <w:rPr>
          <w:rFonts w:hint="default" w:ascii="Times New Roman" w:hAnsi="Times New Roman" w:cs="Times New Roman"/>
          <w:color w:val="auto"/>
          <w:u w:val="none" w:color="auto"/>
        </w:rPr>
      </w:pPr>
      <w:r>
        <w:rPr>
          <w:rFonts w:hint="default" w:ascii="Times New Roman" w:hAnsi="Times New Roman" w:cs="Times New Roman"/>
          <w:b/>
          <w:bCs/>
          <w:color w:val="auto"/>
          <w:u w:val="none" w:color="auto"/>
          <w:lang w:val="en-US" w:eastAsia="zh-CN"/>
        </w:rPr>
        <w:t>按水文要素型建设项目判定</w:t>
      </w:r>
      <w:r>
        <w:rPr>
          <w:rFonts w:hint="eastAsia" w:cs="Times New Roman"/>
          <w:b/>
          <w:bCs/>
          <w:color w:val="auto"/>
          <w:u w:val="none" w:color="auto"/>
          <w:lang w:val="en-US" w:eastAsia="zh-CN"/>
        </w:rPr>
        <w:t>：</w:t>
      </w:r>
      <w:r>
        <w:rPr>
          <w:rFonts w:hint="default" w:ascii="Times New Roman" w:hAnsi="Times New Roman" w:cs="Times New Roman"/>
          <w:color w:val="auto"/>
          <w:u w:val="none" w:color="auto"/>
          <w:lang w:val="en-US" w:eastAsia="zh-CN"/>
        </w:rPr>
        <w:t>水文要素影响型建设项目评价等级划分根据</w:t>
      </w:r>
      <w:r>
        <w:rPr>
          <w:rFonts w:hint="default" w:ascii="Times New Roman" w:hAnsi="Times New Roman" w:cs="Times New Roman"/>
          <w:color w:val="auto"/>
          <w:highlight w:val="none"/>
          <w:u w:val="none" w:color="auto"/>
          <w:lang w:val="en-US" w:eastAsia="zh-CN"/>
        </w:rPr>
        <w:t>水温</w:t>
      </w:r>
      <w:r>
        <w:rPr>
          <w:rFonts w:hint="default" w:ascii="Times New Roman" w:hAnsi="Times New Roman" w:cs="Times New Roman"/>
          <w:color w:val="auto"/>
          <w:u w:val="none" w:color="auto"/>
          <w:lang w:val="en-US" w:eastAsia="zh-CN"/>
        </w:rPr>
        <w:t>、径流与受影响地表水域等三类水文要素的影响程度进行判定。</w:t>
      </w:r>
      <w:r>
        <w:rPr>
          <w:rFonts w:hint="default" w:ascii="Times New Roman" w:hAnsi="Times New Roman" w:cs="Times New Roman"/>
          <w:color w:val="auto"/>
          <w:u w:val="none" w:color="auto"/>
        </w:rPr>
        <w:t>水文要素影响型建设项目评价等级判定表见下表。</w:t>
      </w:r>
    </w:p>
    <w:p w14:paraId="24655808">
      <w:pPr>
        <w:pStyle w:val="120"/>
        <w:snapToGrid/>
        <w:spacing w:line="240" w:lineRule="auto"/>
        <w:ind w:firstLine="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2.5-1</w:t>
      </w:r>
      <w:r>
        <w:rPr>
          <w:rFonts w:hint="eastAsia"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水文要素影响型建设项目评价等级判定表</w:t>
      </w:r>
    </w:p>
    <w:tbl>
      <w:tblPr>
        <w:tblStyle w:val="37"/>
        <w:tblW w:w="832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13"/>
        <w:gridCol w:w="851"/>
        <w:gridCol w:w="851"/>
        <w:gridCol w:w="849"/>
        <w:gridCol w:w="1648"/>
        <w:gridCol w:w="1497"/>
        <w:gridCol w:w="1915"/>
      </w:tblGrid>
      <w:tr w14:paraId="0AC166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restart"/>
            <w:tcBorders>
              <w:tl2br w:val="nil"/>
              <w:tr2bl w:val="nil"/>
            </w:tcBorders>
            <w:vAlign w:val="center"/>
          </w:tcPr>
          <w:p w14:paraId="2F2C6D4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评价等级</w:t>
            </w:r>
          </w:p>
        </w:tc>
        <w:tc>
          <w:tcPr>
            <w:tcW w:w="851" w:type="dxa"/>
            <w:tcBorders>
              <w:tl2br w:val="nil"/>
              <w:tr2bl w:val="nil"/>
            </w:tcBorders>
            <w:vAlign w:val="center"/>
          </w:tcPr>
          <w:p w14:paraId="1FA9A3E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水温</w:t>
            </w:r>
          </w:p>
        </w:tc>
        <w:tc>
          <w:tcPr>
            <w:tcW w:w="1700" w:type="dxa"/>
            <w:gridSpan w:val="2"/>
            <w:tcBorders>
              <w:tl2br w:val="nil"/>
              <w:tr2bl w:val="nil"/>
            </w:tcBorders>
            <w:vAlign w:val="center"/>
          </w:tcPr>
          <w:p w14:paraId="4CE97C8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径流</w:t>
            </w:r>
          </w:p>
        </w:tc>
        <w:tc>
          <w:tcPr>
            <w:tcW w:w="5060" w:type="dxa"/>
            <w:gridSpan w:val="3"/>
            <w:tcBorders>
              <w:tl2br w:val="nil"/>
              <w:tr2bl w:val="nil"/>
            </w:tcBorders>
            <w:vAlign w:val="center"/>
          </w:tcPr>
          <w:p w14:paraId="7C09D17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受影响地表水域</w:t>
            </w:r>
          </w:p>
        </w:tc>
      </w:tr>
      <w:tr w14:paraId="5DFF78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continue"/>
            <w:tcBorders>
              <w:tl2br w:val="nil"/>
              <w:tr2bl w:val="nil"/>
            </w:tcBorders>
            <w:vAlign w:val="center"/>
          </w:tcPr>
          <w:p w14:paraId="145A823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restart"/>
            <w:tcBorders>
              <w:tl2br w:val="nil"/>
              <w:tr2bl w:val="nil"/>
            </w:tcBorders>
            <w:vAlign w:val="center"/>
          </w:tcPr>
          <w:p w14:paraId="44D1627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年径流量与总库容之比α</w:t>
            </w:r>
          </w:p>
        </w:tc>
        <w:tc>
          <w:tcPr>
            <w:tcW w:w="851" w:type="dxa"/>
            <w:vMerge w:val="restart"/>
            <w:tcBorders>
              <w:tl2br w:val="nil"/>
              <w:tr2bl w:val="nil"/>
            </w:tcBorders>
            <w:vAlign w:val="center"/>
          </w:tcPr>
          <w:p w14:paraId="466F1EAC">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兴利库容占年径流量百分比β%</w:t>
            </w:r>
          </w:p>
        </w:tc>
        <w:tc>
          <w:tcPr>
            <w:tcW w:w="849" w:type="dxa"/>
            <w:vMerge w:val="restart"/>
            <w:tcBorders>
              <w:tl2br w:val="nil"/>
              <w:tr2bl w:val="nil"/>
            </w:tcBorders>
            <w:vAlign w:val="center"/>
          </w:tcPr>
          <w:p w14:paraId="3C0F2C2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取水量占多年平均径流量百分比γ%</w:t>
            </w:r>
          </w:p>
        </w:tc>
        <w:tc>
          <w:tcPr>
            <w:tcW w:w="3145" w:type="dxa"/>
            <w:gridSpan w:val="2"/>
            <w:tcBorders>
              <w:tl2br w:val="nil"/>
              <w:tr2bl w:val="nil"/>
            </w:tcBorders>
            <w:vAlign w:val="center"/>
          </w:tcPr>
          <w:p w14:paraId="5D5F032E">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工程垂直投影面积及外扩范围A1/k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；工程扰动</w:t>
            </w:r>
            <w:r>
              <w:rPr>
                <w:rFonts w:hint="default" w:ascii="Times New Roman" w:hAnsi="Times New Roman" w:cs="Times New Roman"/>
                <w:color w:val="auto"/>
                <w:sz w:val="21"/>
                <w:szCs w:val="21"/>
                <w:highlight w:val="none"/>
                <w:u w:val="none" w:color="auto"/>
              </w:rPr>
              <w:t>水底面积</w:t>
            </w:r>
            <w:r>
              <w:rPr>
                <w:rFonts w:hint="default" w:ascii="Times New Roman" w:hAnsi="Times New Roman" w:cs="Times New Roman"/>
                <w:color w:val="auto"/>
                <w:sz w:val="21"/>
                <w:szCs w:val="21"/>
                <w:u w:val="none" w:color="auto"/>
              </w:rPr>
              <w:t>A2/k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；过水断面宽度占用比例或占用水域面积比例R/%</w:t>
            </w:r>
          </w:p>
        </w:tc>
        <w:tc>
          <w:tcPr>
            <w:tcW w:w="1915" w:type="dxa"/>
            <w:tcBorders>
              <w:tl2br w:val="nil"/>
              <w:tr2bl w:val="nil"/>
            </w:tcBorders>
            <w:vAlign w:val="center"/>
          </w:tcPr>
          <w:p w14:paraId="5C0FEBEE">
            <w:pPr>
              <w:pStyle w:val="100"/>
              <w:kinsoku w:val="0"/>
              <w:overflowPunct w:val="0"/>
              <w:spacing w:line="240" w:lineRule="auto"/>
              <w:ind w:left="0" w:leftChars="0" w:firstLine="0" w:firstLineChars="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工程垂直投影面积及外扩范围A1/k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；工程扰动</w:t>
            </w:r>
            <w:r>
              <w:rPr>
                <w:rFonts w:hint="default" w:ascii="Times New Roman" w:hAnsi="Times New Roman" w:cs="Times New Roman"/>
                <w:color w:val="auto"/>
                <w:sz w:val="21"/>
                <w:szCs w:val="21"/>
                <w:highlight w:val="none"/>
                <w:u w:val="none" w:color="auto"/>
              </w:rPr>
              <w:t>水底</w:t>
            </w:r>
            <w:r>
              <w:rPr>
                <w:rFonts w:hint="default" w:ascii="Times New Roman" w:hAnsi="Times New Roman" w:cs="Times New Roman"/>
                <w:color w:val="auto"/>
                <w:sz w:val="21"/>
                <w:szCs w:val="21"/>
                <w:u w:val="none" w:color="auto"/>
              </w:rPr>
              <w:t>面积A2/k</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p>
        </w:tc>
      </w:tr>
      <w:tr w14:paraId="203A70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vMerge w:val="continue"/>
            <w:tcBorders>
              <w:tl2br w:val="nil"/>
              <w:tr2bl w:val="nil"/>
            </w:tcBorders>
            <w:vAlign w:val="center"/>
          </w:tcPr>
          <w:p w14:paraId="74653647">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continue"/>
            <w:tcBorders>
              <w:tl2br w:val="nil"/>
              <w:tr2bl w:val="nil"/>
            </w:tcBorders>
            <w:vAlign w:val="center"/>
          </w:tcPr>
          <w:p w14:paraId="5A6C830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51" w:type="dxa"/>
            <w:vMerge w:val="continue"/>
            <w:tcBorders>
              <w:tl2br w:val="nil"/>
              <w:tr2bl w:val="nil"/>
            </w:tcBorders>
            <w:vAlign w:val="center"/>
          </w:tcPr>
          <w:p w14:paraId="7010F55B">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849" w:type="dxa"/>
            <w:vMerge w:val="continue"/>
            <w:tcBorders>
              <w:tl2br w:val="nil"/>
              <w:tr2bl w:val="nil"/>
            </w:tcBorders>
            <w:vAlign w:val="center"/>
          </w:tcPr>
          <w:p w14:paraId="3CC5265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p>
        </w:tc>
        <w:tc>
          <w:tcPr>
            <w:tcW w:w="1648" w:type="dxa"/>
            <w:tcBorders>
              <w:tl2br w:val="nil"/>
              <w:tr2bl w:val="nil"/>
            </w:tcBorders>
            <w:vAlign w:val="center"/>
          </w:tcPr>
          <w:p w14:paraId="2D91F329">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河流</w:t>
            </w:r>
          </w:p>
        </w:tc>
        <w:tc>
          <w:tcPr>
            <w:tcW w:w="1497" w:type="dxa"/>
            <w:tcBorders>
              <w:tl2br w:val="nil"/>
              <w:tr2bl w:val="nil"/>
            </w:tcBorders>
            <w:vAlign w:val="center"/>
          </w:tcPr>
          <w:p w14:paraId="2CBEC10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湖库</w:t>
            </w:r>
          </w:p>
        </w:tc>
        <w:tc>
          <w:tcPr>
            <w:tcW w:w="1915" w:type="dxa"/>
            <w:tcBorders>
              <w:tl2br w:val="nil"/>
              <w:tr2bl w:val="nil"/>
            </w:tcBorders>
            <w:vAlign w:val="center"/>
          </w:tcPr>
          <w:p w14:paraId="7ADB62C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入海河口、近岸海域</w:t>
            </w:r>
          </w:p>
        </w:tc>
      </w:tr>
      <w:tr w14:paraId="5EEA1A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60211FE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一级</w:t>
            </w:r>
          </w:p>
        </w:tc>
        <w:tc>
          <w:tcPr>
            <w:tcW w:w="851" w:type="dxa"/>
            <w:tcBorders>
              <w:tl2br w:val="nil"/>
              <w:tr2bl w:val="nil"/>
            </w:tcBorders>
            <w:vAlign w:val="center"/>
          </w:tcPr>
          <w:p w14:paraId="1BE67901">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α≤10；或稳定分层</w:t>
            </w:r>
          </w:p>
        </w:tc>
        <w:tc>
          <w:tcPr>
            <w:tcW w:w="851" w:type="dxa"/>
            <w:tcBorders>
              <w:tl2br w:val="nil"/>
              <w:tr2bl w:val="nil"/>
            </w:tcBorders>
            <w:vAlign w:val="center"/>
          </w:tcPr>
          <w:p w14:paraId="321F36B6">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β≥20；或完全年调节与多年调节</w:t>
            </w:r>
          </w:p>
        </w:tc>
        <w:tc>
          <w:tcPr>
            <w:tcW w:w="849" w:type="dxa"/>
            <w:tcBorders>
              <w:tl2br w:val="nil"/>
              <w:tr2bl w:val="nil"/>
            </w:tcBorders>
            <w:vAlign w:val="center"/>
          </w:tcPr>
          <w:p w14:paraId="5037E2F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γ≥30</w:t>
            </w:r>
          </w:p>
        </w:tc>
        <w:tc>
          <w:tcPr>
            <w:tcW w:w="1648" w:type="dxa"/>
            <w:tcBorders>
              <w:tl2br w:val="nil"/>
              <w:tr2bl w:val="nil"/>
            </w:tcBorders>
            <w:vAlign w:val="center"/>
          </w:tcPr>
          <w:p w14:paraId="2866C4C3">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A1≥0.3；或A2≥1.5；或R≥10</w:t>
            </w:r>
          </w:p>
        </w:tc>
        <w:tc>
          <w:tcPr>
            <w:tcW w:w="1497" w:type="dxa"/>
            <w:tcBorders>
              <w:tl2br w:val="nil"/>
              <w:tr2bl w:val="nil"/>
            </w:tcBorders>
            <w:vAlign w:val="center"/>
          </w:tcPr>
          <w:p w14:paraId="12E6C9AA">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A1≥0.3；或A2≥1.5；或R≥20</w:t>
            </w:r>
          </w:p>
        </w:tc>
        <w:tc>
          <w:tcPr>
            <w:tcW w:w="1915" w:type="dxa"/>
            <w:tcBorders>
              <w:tl2br w:val="nil"/>
              <w:tr2bl w:val="nil"/>
            </w:tcBorders>
            <w:vAlign w:val="center"/>
          </w:tcPr>
          <w:p w14:paraId="146EB7C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A1≥0.5；或A2≥3</w:t>
            </w:r>
          </w:p>
        </w:tc>
      </w:tr>
      <w:tr w14:paraId="035CB9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3A9579F8">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二级</w:t>
            </w:r>
          </w:p>
        </w:tc>
        <w:tc>
          <w:tcPr>
            <w:tcW w:w="851" w:type="dxa"/>
            <w:tcBorders>
              <w:tl2br w:val="nil"/>
              <w:tr2bl w:val="nil"/>
            </w:tcBorders>
            <w:vAlign w:val="center"/>
          </w:tcPr>
          <w:p w14:paraId="64DF0184">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20＞α&gt;10；或不稳定分层</w:t>
            </w:r>
          </w:p>
        </w:tc>
        <w:tc>
          <w:tcPr>
            <w:tcW w:w="851" w:type="dxa"/>
            <w:tcBorders>
              <w:tl2br w:val="nil"/>
              <w:tr2bl w:val="nil"/>
            </w:tcBorders>
            <w:vAlign w:val="center"/>
          </w:tcPr>
          <w:p w14:paraId="16E0716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20＞β&gt;2；或季调节与不完全年调节</w:t>
            </w:r>
          </w:p>
        </w:tc>
        <w:tc>
          <w:tcPr>
            <w:tcW w:w="849" w:type="dxa"/>
            <w:tcBorders>
              <w:tl2br w:val="nil"/>
              <w:tr2bl w:val="nil"/>
            </w:tcBorders>
            <w:vAlign w:val="center"/>
          </w:tcPr>
          <w:p w14:paraId="36C0B178">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30</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γ&gt;10</w:t>
            </w:r>
          </w:p>
        </w:tc>
        <w:tc>
          <w:tcPr>
            <w:tcW w:w="1648" w:type="dxa"/>
            <w:tcBorders>
              <w:tl2br w:val="nil"/>
              <w:tr2bl w:val="nil"/>
            </w:tcBorders>
            <w:vAlign w:val="center"/>
          </w:tcPr>
          <w:p w14:paraId="040F10AF">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0.3＞A1＞0.05；或1.5&gt;A2＞0.2；或10＞R&gt;5</w:t>
            </w:r>
          </w:p>
        </w:tc>
        <w:tc>
          <w:tcPr>
            <w:tcW w:w="1497" w:type="dxa"/>
            <w:tcBorders>
              <w:tl2br w:val="nil"/>
              <w:tr2bl w:val="nil"/>
            </w:tcBorders>
            <w:vAlign w:val="center"/>
          </w:tcPr>
          <w:p w14:paraId="125E9E6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0.3＞A1＞0.05；或1.5&gt;A2＞0.2；或20＞R&gt;5</w:t>
            </w:r>
          </w:p>
        </w:tc>
        <w:tc>
          <w:tcPr>
            <w:tcW w:w="1915" w:type="dxa"/>
            <w:tcBorders>
              <w:tl2br w:val="nil"/>
              <w:tr2bl w:val="nil"/>
            </w:tcBorders>
            <w:vAlign w:val="center"/>
          </w:tcPr>
          <w:p w14:paraId="4EFA703C">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0.5＞A1＞0.15或3&gt;A2＞0.5</w:t>
            </w:r>
          </w:p>
        </w:tc>
      </w:tr>
      <w:tr w14:paraId="6D5F6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13" w:type="dxa"/>
            <w:tcBorders>
              <w:tl2br w:val="nil"/>
              <w:tr2bl w:val="nil"/>
            </w:tcBorders>
            <w:vAlign w:val="center"/>
          </w:tcPr>
          <w:p w14:paraId="04BC657D">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三级</w:t>
            </w:r>
          </w:p>
        </w:tc>
        <w:tc>
          <w:tcPr>
            <w:tcW w:w="851" w:type="dxa"/>
            <w:tcBorders>
              <w:tl2br w:val="nil"/>
              <w:tr2bl w:val="nil"/>
            </w:tcBorders>
            <w:vAlign w:val="center"/>
          </w:tcPr>
          <w:p w14:paraId="22FB5A60">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α≥20；或混合</w:t>
            </w:r>
            <w:r>
              <w:rPr>
                <w:rFonts w:hint="default" w:ascii="Times New Roman" w:hAnsi="Times New Roman" w:cs="Times New Roman"/>
                <w:color w:val="auto"/>
                <w:sz w:val="21"/>
                <w:szCs w:val="21"/>
                <w:u w:val="none" w:color="auto"/>
                <w:lang w:val="en-US" w:eastAsia="zh-CN"/>
              </w:rPr>
              <w:t>型</w:t>
            </w:r>
          </w:p>
        </w:tc>
        <w:tc>
          <w:tcPr>
            <w:tcW w:w="851" w:type="dxa"/>
            <w:tcBorders>
              <w:tl2br w:val="nil"/>
              <w:tr2bl w:val="nil"/>
            </w:tcBorders>
            <w:vAlign w:val="center"/>
          </w:tcPr>
          <w:p w14:paraId="3068B99D">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β≤2；或无调节</w:t>
            </w:r>
          </w:p>
        </w:tc>
        <w:tc>
          <w:tcPr>
            <w:tcW w:w="849" w:type="dxa"/>
            <w:tcBorders>
              <w:tl2br w:val="nil"/>
              <w:tr2bl w:val="nil"/>
            </w:tcBorders>
            <w:vAlign w:val="center"/>
          </w:tcPr>
          <w:p w14:paraId="476EC0DA">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γ≤10</w:t>
            </w:r>
          </w:p>
        </w:tc>
        <w:tc>
          <w:tcPr>
            <w:tcW w:w="1648" w:type="dxa"/>
            <w:tcBorders>
              <w:tl2br w:val="nil"/>
              <w:tr2bl w:val="nil"/>
            </w:tcBorders>
            <w:vAlign w:val="center"/>
          </w:tcPr>
          <w:p w14:paraId="0BD605D2">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A1≤0.05；或A2≤0.2；或R≤5</w:t>
            </w:r>
          </w:p>
        </w:tc>
        <w:tc>
          <w:tcPr>
            <w:tcW w:w="1497" w:type="dxa"/>
            <w:tcBorders>
              <w:tl2br w:val="nil"/>
              <w:tr2bl w:val="nil"/>
            </w:tcBorders>
            <w:vAlign w:val="center"/>
          </w:tcPr>
          <w:p w14:paraId="33DE4AA5">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A1≤0.05；或A2≤0.2；或R≤5</w:t>
            </w:r>
          </w:p>
        </w:tc>
        <w:tc>
          <w:tcPr>
            <w:tcW w:w="1915" w:type="dxa"/>
            <w:tcBorders>
              <w:tl2br w:val="nil"/>
              <w:tr2bl w:val="nil"/>
            </w:tcBorders>
            <w:vAlign w:val="center"/>
          </w:tcPr>
          <w:p w14:paraId="66197FFE">
            <w:pPr>
              <w:pStyle w:val="100"/>
              <w:kinsoku w:val="0"/>
              <w:overflowPunct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A1≤0.15；或A2≤0.5</w:t>
            </w:r>
          </w:p>
        </w:tc>
      </w:tr>
      <w:tr w14:paraId="0E823B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8324" w:type="dxa"/>
            <w:gridSpan w:val="7"/>
            <w:tcBorders>
              <w:tl2br w:val="nil"/>
              <w:tr2bl w:val="nil"/>
            </w:tcBorders>
            <w:vAlign w:val="center"/>
          </w:tcPr>
          <w:p w14:paraId="134C18FC">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注1</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影响范围涉及饮用水水源保护区、重点保护与珍稀水生生物的栖息地、重要水生生物的自然产卵场、自然保护区等保护目标，评价等级应不低于二级。</w:t>
            </w:r>
          </w:p>
          <w:p w14:paraId="0D46CACA">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注2</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跨流域调水、引水式电站、可能受到大型河流感潮河段咸潮影响的建设项目，评价等级不低于二级。</w:t>
            </w:r>
          </w:p>
          <w:p w14:paraId="0E4C7F52">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注3</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造成入海河口</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湾口</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宽度束窄</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束窄尺度达到原宽度的5%以上</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，评价等级应不低于二级。</w:t>
            </w:r>
          </w:p>
          <w:p w14:paraId="7882892C">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注4</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对不透水的单方向建筑尺度较长的水工建筑物</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如防波堤、导流堤等</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，其与潮流或水流主流向切线垂直方向投影长度大于2km时，评价等级应不低于二级。</w:t>
            </w:r>
          </w:p>
          <w:p w14:paraId="225E8F28">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注5</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允许在一类海域建设的项目，评价等级为一级。</w:t>
            </w:r>
          </w:p>
          <w:p w14:paraId="08793B0E">
            <w:pPr>
              <w:pStyle w:val="100"/>
              <w:kinsoku w:val="0"/>
              <w:overflowPunct w:val="0"/>
              <w:spacing w:line="240" w:lineRule="auto"/>
              <w:ind w:left="0" w:leftChars="0" w:firstLine="0" w:firstLineChars="0"/>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注6</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同时存在多个水文要素影响的建设项目，分别判定各水文要素影响评价等级，并取其中最高等级作为水文要素影响型建设项目评价等级。</w:t>
            </w:r>
          </w:p>
        </w:tc>
      </w:tr>
    </w:tbl>
    <w:p w14:paraId="2F89E3B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按水文要素型建设项目评价等级划分，工程主要对水库进行除险加固，不改变原坝址，水库除险加固后，水库年径流量、取水量不变，水位不变，相应库容不变，本次评价工程扰动水面积A2确定评价等级。工程扰动水底面积A2：本工程会设置</w:t>
      </w:r>
      <w:r>
        <w:rPr>
          <w:rFonts w:hint="eastAsia" w:cs="Times New Roman"/>
          <w:color w:val="auto"/>
          <w:u w:val="none" w:color="auto"/>
          <w:lang w:val="en-US" w:eastAsia="zh-CN"/>
        </w:rPr>
        <w:t>坝下游</w:t>
      </w:r>
      <w:r>
        <w:rPr>
          <w:rFonts w:hint="default" w:ascii="Times New Roman" w:hAnsi="Times New Roman" w:cs="Times New Roman"/>
          <w:color w:val="auto"/>
          <w:u w:val="none" w:color="auto"/>
          <w:lang w:val="en-US" w:eastAsia="zh-CN"/>
        </w:rPr>
        <w:t>围堰（堰顶宽度</w:t>
      </w:r>
      <w:r>
        <w:rPr>
          <w:rFonts w:hint="eastAsia"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val="en-US" w:eastAsia="zh-CN"/>
        </w:rPr>
        <w:t>m，围堰长度</w:t>
      </w:r>
      <w:r>
        <w:rPr>
          <w:rFonts w:hint="eastAsia" w:ascii="Times New Roman" w:hAnsi="Times New Roman" w:cs="Times New Roman"/>
          <w:color w:val="auto"/>
          <w:u w:val="none" w:color="auto"/>
          <w:lang w:val="en-US" w:eastAsia="zh-CN"/>
        </w:rPr>
        <w:t>38</w:t>
      </w:r>
      <w:r>
        <w:rPr>
          <w:rFonts w:hint="default" w:ascii="Times New Roman" w:hAnsi="Times New Roman" w:cs="Times New Roman"/>
          <w:color w:val="auto"/>
          <w:u w:val="none" w:color="auto"/>
          <w:lang w:val="en-US" w:eastAsia="zh-CN"/>
        </w:rPr>
        <w:t>m）</w:t>
      </w:r>
      <w:r>
        <w:rPr>
          <w:rFonts w:hint="eastAsia" w:cs="Times New Roman"/>
          <w:color w:val="auto"/>
          <w:u w:val="none" w:color="auto"/>
          <w:lang w:val="en-US" w:eastAsia="zh-CN"/>
        </w:rPr>
        <w:t>及明槽进口围堰</w:t>
      </w:r>
      <w:r>
        <w:rPr>
          <w:rFonts w:hint="default" w:ascii="Times New Roman" w:hAnsi="Times New Roman" w:cs="Times New Roman"/>
          <w:color w:val="auto"/>
          <w:u w:val="none" w:color="auto"/>
          <w:lang w:val="en-US" w:eastAsia="zh-CN"/>
        </w:rPr>
        <w:t>（堰顶宽度</w:t>
      </w:r>
      <w:r>
        <w:rPr>
          <w:rFonts w:hint="eastAsia" w:cs="Times New Roman"/>
          <w:color w:val="auto"/>
          <w:u w:val="none" w:color="auto"/>
          <w:lang w:val="en-US" w:eastAsia="zh-CN"/>
        </w:rPr>
        <w:t>2</w:t>
      </w:r>
      <w:r>
        <w:rPr>
          <w:rFonts w:hint="default" w:ascii="Times New Roman" w:hAnsi="Times New Roman" w:cs="Times New Roman"/>
          <w:color w:val="auto"/>
          <w:u w:val="none" w:color="auto"/>
          <w:lang w:val="en-US" w:eastAsia="zh-CN"/>
        </w:rPr>
        <w:t>m，围堰长度</w:t>
      </w:r>
      <w:r>
        <w:rPr>
          <w:rFonts w:hint="eastAsia" w:cs="Times New Roman"/>
          <w:color w:val="auto"/>
          <w:u w:val="none" w:color="auto"/>
          <w:lang w:val="en-US" w:eastAsia="zh-CN"/>
        </w:rPr>
        <w:t>3.2</w:t>
      </w:r>
      <w:r>
        <w:rPr>
          <w:rFonts w:hint="default" w:ascii="Times New Roman" w:hAnsi="Times New Roman" w:cs="Times New Roman"/>
          <w:color w:val="auto"/>
          <w:u w:val="none" w:color="auto"/>
          <w:lang w:val="en-US" w:eastAsia="zh-CN"/>
        </w:rPr>
        <w:t>m）工程扰动水底面积约A2=0.000</w:t>
      </w:r>
      <w:r>
        <w:rPr>
          <w:rFonts w:hint="eastAsia" w:cs="Times New Roman"/>
          <w:color w:val="auto"/>
          <w:u w:val="none" w:color="auto"/>
          <w:lang w:val="en-US" w:eastAsia="zh-CN"/>
        </w:rPr>
        <w:t>0</w:t>
      </w:r>
      <w:r>
        <w:rPr>
          <w:rFonts w:hint="default" w:ascii="Times New Roman" w:hAnsi="Times New Roman" w:cs="Times New Roman"/>
          <w:color w:val="auto"/>
          <w:u w:val="none" w:color="auto"/>
          <w:lang w:val="en-US" w:eastAsia="zh-CN"/>
        </w:rPr>
        <w:t>8k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＜0.2k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，为三级评级。</w:t>
      </w:r>
    </w:p>
    <w:p w14:paraId="1623DD5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又根据水文要素影响型建设项目评价等级判定表注1</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影响范围涉及饮用水水源保护区、重点保护与珍稀水生生物的栖息地、重要水生生物的自然产卵场、自然保护区等保护目标，评价等级应不低于二级。</w:t>
      </w:r>
    </w:p>
    <w:p w14:paraId="7861BDD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本项目施工影响范围涉及永州市道县梅花镇廊洞水库饮用水水源保护区，故水文要素评价等级为二级。</w:t>
      </w:r>
    </w:p>
    <w:p w14:paraId="1194D98C">
      <w:pPr>
        <w:pStyle w:val="4"/>
        <w:rPr>
          <w:rFonts w:hint="default" w:ascii="Times New Roman" w:hAnsi="Times New Roman" w:cs="Times New Roman"/>
          <w:color w:val="auto"/>
          <w:u w:val="none" w:color="auto"/>
        </w:rPr>
      </w:pPr>
      <w:bookmarkStart w:id="88" w:name="_Toc26723"/>
      <w:bookmarkStart w:id="89" w:name="_Toc8185"/>
      <w:bookmarkStart w:id="90" w:name="_Toc494233713"/>
      <w:r>
        <w:rPr>
          <w:rFonts w:hint="default" w:ascii="Times New Roman" w:hAnsi="Times New Roman" w:cs="Times New Roman"/>
          <w:color w:val="auto"/>
          <w:u w:val="none" w:color="auto"/>
        </w:rPr>
        <w:t>地下水环境</w:t>
      </w:r>
      <w:bookmarkEnd w:id="88"/>
      <w:bookmarkEnd w:id="89"/>
      <w:bookmarkEnd w:id="90"/>
      <w:r>
        <w:rPr>
          <w:rFonts w:hint="default" w:ascii="Times New Roman" w:hAnsi="Times New Roman" w:cs="Times New Roman"/>
          <w:color w:val="auto"/>
          <w:u w:val="none" w:color="auto"/>
        </w:rPr>
        <w:t>评价等级</w:t>
      </w:r>
    </w:p>
    <w:p w14:paraId="6F210C5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建设项目所属的行业类别</w:t>
      </w:r>
    </w:p>
    <w:p w14:paraId="1D2938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，本项目属于附录A中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A水利1</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水库-库容1000</w:t>
      </w:r>
      <w:r>
        <w:rPr>
          <w:rFonts w:hint="default" w:ascii="Times New Roman" w:hAnsi="Times New Roman" w:cs="Times New Roman"/>
          <w:color w:val="auto"/>
          <w:highlight w:val="none"/>
          <w:u w:val="none" w:color="auto"/>
          <w:lang w:val="en-US" w:eastAsia="zh-CN"/>
        </w:rPr>
        <w:t>万立方及</w:t>
      </w:r>
      <w:r>
        <w:rPr>
          <w:rFonts w:hint="default" w:ascii="Times New Roman" w:hAnsi="Times New Roman" w:cs="Times New Roman"/>
          <w:color w:val="auto"/>
          <w:u w:val="none" w:color="auto"/>
          <w:lang w:val="en-US" w:eastAsia="zh-CN"/>
        </w:rPr>
        <w:t>以上-</w:t>
      </w:r>
      <w:r>
        <w:rPr>
          <w:rFonts w:hint="default" w:ascii="Times New Roman" w:hAnsi="Times New Roman" w:cs="Times New Roman"/>
          <w:color w:val="auto"/>
          <w:u w:val="none" w:color="auto"/>
        </w:rPr>
        <w:t>报告书</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，地下水</w:t>
      </w:r>
      <w:r>
        <w:rPr>
          <w:rFonts w:hint="default" w:ascii="Times New Roman" w:hAnsi="Times New Roman" w:cs="Times New Roman"/>
          <w:color w:val="auto"/>
          <w:u w:val="none" w:color="auto"/>
          <w:lang w:eastAsia="zh-CN"/>
        </w:rPr>
        <w:t>环境</w:t>
      </w:r>
      <w:r>
        <w:rPr>
          <w:rFonts w:hint="default" w:ascii="Times New Roman" w:hAnsi="Times New Roman" w:cs="Times New Roman"/>
          <w:color w:val="auto"/>
          <w:u w:val="none" w:color="auto"/>
        </w:rPr>
        <w:t>影响评价项目类别为</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类项目。</w:t>
      </w:r>
    </w:p>
    <w:p w14:paraId="317F4F3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建设项目的地下水环境敏感程度</w:t>
      </w:r>
    </w:p>
    <w:p w14:paraId="2F3E40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建设项目的地下水环境敏感程度可分为敏感、较敏感、不敏感三级，分级原则见表2.5-</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p>
    <w:p w14:paraId="07AAFB14">
      <w:pPr>
        <w:spacing w:line="240" w:lineRule="auto"/>
        <w:ind w:firstLine="422"/>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表2.5-</w:t>
      </w:r>
      <w:r>
        <w:rPr>
          <w:rFonts w:hint="default" w:ascii="Times New Roman" w:hAnsi="Times New Roman" w:cs="Times New Roman"/>
          <w:b/>
          <w:color w:val="auto"/>
          <w:sz w:val="21"/>
          <w:u w:val="none" w:color="auto"/>
          <w:lang w:val="en-US" w:eastAsia="zh-CN"/>
        </w:rPr>
        <w:t xml:space="preserve">2  </w:t>
      </w:r>
      <w:r>
        <w:rPr>
          <w:rFonts w:hint="default" w:ascii="Times New Roman" w:hAnsi="Times New Roman" w:cs="Times New Roman"/>
          <w:b/>
          <w:color w:val="auto"/>
          <w:sz w:val="21"/>
          <w:u w:val="none" w:color="auto"/>
        </w:rPr>
        <w:t>建设项目的地下水环境敏感程度分级表</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6"/>
        <w:gridCol w:w="6961"/>
      </w:tblGrid>
      <w:tr w14:paraId="5A6C0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4BC36201">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敏感程度</w:t>
            </w:r>
          </w:p>
        </w:tc>
        <w:tc>
          <w:tcPr>
            <w:tcW w:w="6961" w:type="dxa"/>
            <w:vAlign w:val="center"/>
          </w:tcPr>
          <w:p w14:paraId="711B61A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地下水环境敏感特征</w:t>
            </w:r>
          </w:p>
        </w:tc>
      </w:tr>
      <w:tr w14:paraId="69FFF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57F22F2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w:t>
            </w:r>
          </w:p>
        </w:tc>
        <w:tc>
          <w:tcPr>
            <w:tcW w:w="6961" w:type="dxa"/>
            <w:vAlign w:val="center"/>
          </w:tcPr>
          <w:p w14:paraId="3920A9E8">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集中式饮用水水源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包括已建成的在用、备用、应急水源地，在建和规划的饮用水水源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准保护区；除集中式饮用水水源以外的国家或地方政府设定的与地下水环境</w:t>
            </w:r>
            <w:r>
              <w:rPr>
                <w:rFonts w:hint="default" w:ascii="Times New Roman" w:hAnsi="Times New Roman" w:cs="Times New Roman"/>
                <w:color w:val="auto"/>
                <w:kern w:val="0"/>
                <w:sz w:val="21"/>
                <w:szCs w:val="21"/>
                <w:highlight w:val="none"/>
                <w:u w:val="none" w:color="auto"/>
              </w:rPr>
              <w:t>相关的其它</w:t>
            </w:r>
            <w:r>
              <w:rPr>
                <w:rFonts w:hint="default" w:ascii="Times New Roman" w:hAnsi="Times New Roman" w:cs="Times New Roman"/>
                <w:color w:val="auto"/>
                <w:kern w:val="0"/>
                <w:sz w:val="21"/>
                <w:szCs w:val="21"/>
                <w:u w:val="none" w:color="auto"/>
              </w:rPr>
              <w:t>保护区，如热水、矿泉水、温泉等特殊地下水资源保护区。</w:t>
            </w:r>
          </w:p>
        </w:tc>
      </w:tr>
      <w:tr w14:paraId="2CF2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021A7D76">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较敏感</w:t>
            </w:r>
          </w:p>
        </w:tc>
        <w:tc>
          <w:tcPr>
            <w:tcW w:w="6961" w:type="dxa"/>
            <w:vAlign w:val="center"/>
          </w:tcPr>
          <w:p w14:paraId="1311A821">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集中式饮用水水源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包括已建成的在用、备用、应急水源地，在建和规划的饮用水水源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准保护区以外的补给径流区；未划定准保护区的集中式饮用水水源，其保护区以外的补给径流区；分散式饮用水水源地；特殊地下水资源</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如矿泉水、温泉等</w:t>
            </w:r>
            <w:r>
              <w:rPr>
                <w:rFonts w:hint="default" w:ascii="Times New Roman" w:hAnsi="Times New Roman" w:cs="Times New Roman"/>
                <w:color w:val="auto"/>
                <w:kern w:val="0"/>
                <w:sz w:val="21"/>
                <w:szCs w:val="21"/>
                <w:highlight w:val="none"/>
                <w:u w:val="none" w:color="auto"/>
                <w:lang w:eastAsia="zh-CN"/>
              </w:rPr>
              <w:t>)</w:t>
            </w:r>
            <w:r>
              <w:rPr>
                <w:rFonts w:hint="default" w:ascii="Times New Roman" w:hAnsi="Times New Roman" w:cs="Times New Roman"/>
                <w:color w:val="auto"/>
                <w:kern w:val="0"/>
                <w:sz w:val="21"/>
                <w:szCs w:val="21"/>
                <w:u w:val="none" w:color="auto"/>
              </w:rPr>
              <w:t>保护区以外的分布区等</w:t>
            </w:r>
            <w:r>
              <w:rPr>
                <w:rFonts w:hint="default" w:ascii="Times New Roman" w:hAnsi="Times New Roman" w:cs="Times New Roman"/>
                <w:color w:val="auto"/>
                <w:kern w:val="0"/>
                <w:sz w:val="21"/>
                <w:szCs w:val="21"/>
                <w:highlight w:val="none"/>
                <w:u w:val="none" w:color="auto"/>
              </w:rPr>
              <w:t>其它未</w:t>
            </w:r>
            <w:r>
              <w:rPr>
                <w:rFonts w:hint="default" w:ascii="Times New Roman" w:hAnsi="Times New Roman" w:cs="Times New Roman"/>
                <w:color w:val="auto"/>
                <w:kern w:val="0"/>
                <w:sz w:val="21"/>
                <w:szCs w:val="21"/>
                <w:u w:val="none" w:color="auto"/>
              </w:rPr>
              <w:t>列入上述敏感分级的环境敏感区</w:t>
            </w:r>
            <w:r>
              <w:rPr>
                <w:rFonts w:hint="default" w:ascii="Times New Roman" w:hAnsi="Times New Roman" w:cs="Times New Roman"/>
                <w:color w:val="auto"/>
                <w:kern w:val="0"/>
                <w:sz w:val="21"/>
                <w:szCs w:val="21"/>
                <w:u w:val="none" w:color="auto"/>
                <w:vertAlign w:val="superscript"/>
              </w:rPr>
              <w:t>a</w:t>
            </w:r>
            <w:r>
              <w:rPr>
                <w:rFonts w:hint="default" w:ascii="Times New Roman" w:hAnsi="Times New Roman" w:cs="Times New Roman"/>
                <w:color w:val="auto"/>
                <w:kern w:val="0"/>
                <w:sz w:val="21"/>
                <w:szCs w:val="21"/>
                <w:u w:val="none" w:color="auto"/>
              </w:rPr>
              <w:t>。</w:t>
            </w:r>
          </w:p>
        </w:tc>
      </w:tr>
      <w:tr w14:paraId="53249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6" w:type="dxa"/>
            <w:vAlign w:val="center"/>
          </w:tcPr>
          <w:p w14:paraId="040399B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不敏感</w:t>
            </w:r>
          </w:p>
        </w:tc>
        <w:tc>
          <w:tcPr>
            <w:tcW w:w="6961" w:type="dxa"/>
            <w:vAlign w:val="center"/>
          </w:tcPr>
          <w:p w14:paraId="3A3BFEFB">
            <w:pPr>
              <w:widowControl/>
              <w:spacing w:line="240" w:lineRule="auto"/>
              <w:ind w:firstLine="0" w:firstLineChars="0"/>
              <w:jc w:val="left"/>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上述区域之外的其他地区</w:t>
            </w:r>
          </w:p>
        </w:tc>
      </w:tr>
      <w:tr w14:paraId="4B5E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7" w:type="dxa"/>
            <w:gridSpan w:val="2"/>
            <w:vAlign w:val="center"/>
          </w:tcPr>
          <w:p w14:paraId="3E40D2F9">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注</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a</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环境敏感区</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rPr>
              <w:t>是指《建设项目环境影响评价分类管理名录》中所界定的涉及地下水的环境敏感区。</w:t>
            </w:r>
          </w:p>
        </w:tc>
      </w:tr>
    </w:tbl>
    <w:p w14:paraId="692D2F6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根据现场调查和收集资料，项目所在区域地下水情况较为简单，项目区地下水未划定为集中式饮用水水源准保护区，也没有集中式饮用水水源准保护区以外的补给径流区。地下水环境敏感特征为不敏感。</w:t>
      </w:r>
    </w:p>
    <w:p w14:paraId="7AE7030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评价工作等级确定</w:t>
      </w:r>
    </w:p>
    <w:p w14:paraId="6F4C7FB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建设项目地下水环境影响评价工作等级划分见表2.5-</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23BCF3A1">
      <w:pPr>
        <w:spacing w:line="240" w:lineRule="auto"/>
        <w:ind w:firstLine="422"/>
        <w:jc w:val="center"/>
        <w:rPr>
          <w:rFonts w:hint="default" w:ascii="Times New Roman" w:hAnsi="Times New Roman" w:cs="Times New Roman"/>
          <w:b/>
          <w:color w:val="auto"/>
          <w:sz w:val="21"/>
          <w:u w:val="none" w:color="auto"/>
        </w:rPr>
      </w:pPr>
      <w:r>
        <w:rPr>
          <w:rFonts w:hint="default" w:ascii="Times New Roman" w:hAnsi="Times New Roman" w:cs="Times New Roman"/>
          <w:b/>
          <w:color w:val="auto"/>
          <w:sz w:val="21"/>
          <w:u w:val="none" w:color="auto"/>
        </w:rPr>
        <w:t>表2.5-</w:t>
      </w:r>
      <w:r>
        <w:rPr>
          <w:rFonts w:hint="default" w:ascii="Times New Roman" w:hAnsi="Times New Roman" w:cs="Times New Roman"/>
          <w:b/>
          <w:color w:val="auto"/>
          <w:sz w:val="21"/>
          <w:u w:val="none" w:color="auto"/>
          <w:lang w:val="en-US" w:eastAsia="zh-CN"/>
        </w:rPr>
        <w:t>3</w:t>
      </w:r>
      <w:r>
        <w:rPr>
          <w:rFonts w:hint="default" w:ascii="Times New Roman" w:hAnsi="Times New Roman" w:cs="Times New Roman"/>
          <w:b/>
          <w:color w:val="auto"/>
          <w:sz w:val="21"/>
          <w:u w:val="none" w:color="auto"/>
        </w:rPr>
        <w:t>建设项目评价工作等级分级表</w:t>
      </w:r>
    </w:p>
    <w:tbl>
      <w:tblPr>
        <w:tblStyle w:val="38"/>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132"/>
        <w:gridCol w:w="2132"/>
        <w:gridCol w:w="2132"/>
      </w:tblGrid>
      <w:tr w14:paraId="24753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trPr>
        <w:tc>
          <w:tcPr>
            <w:tcW w:w="2131" w:type="dxa"/>
            <mc:AlternateContent>
              <mc:Choice Requires="wpsCustomData">
                <wpsCustomData:diagonals>
                  <wpsCustomData:diagonal from="10000" to="30000">
                    <wpsCustomData:border w:val="single" w:color="auto" w:sz="4" w:space="0"/>
                  </wpsCustomData:diagonal>
                </wpsCustomData:diagonals>
              </mc:Choice>
            </mc:AlternateContent>
          </w:tcPr>
          <w:p w14:paraId="5035E419">
            <w:pPr>
              <w:snapToGrid w:val="0"/>
              <w:spacing w:line="240" w:lineRule="auto"/>
              <w:ind w:firstLine="0" w:firstLineChars="0"/>
              <w:rPr>
                <w:rFonts w:hint="default" w:ascii="Times New Roman" w:hAnsi="Times New Roman" w:cs="Times New Roman"/>
                <w:color w:val="auto"/>
                <w:sz w:val="21"/>
                <w:szCs w:val="21"/>
                <w:u w:val="none" w:color="auto"/>
              </w:rPr>
            </w:pPr>
          </w:p>
          <w:p w14:paraId="599E7D5A">
            <w:pPr>
              <w:snapToGrid w:val="0"/>
              <w:spacing w:line="240" w:lineRule="auto"/>
              <w:ind w:firstLine="0" w:firstLineChars="0"/>
              <mc:AlternateContent>
                <mc:Choice Requires="wpsCustomData">
                  <wpsCustomData:diagonalParaType/>
                </mc:Choice>
              </mc:AlternateContent>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环境敏感程度</w:t>
            </w:r>
          </w:p>
          <w:p w14:paraId="0C03FD07">
            <w:pPr>
              <w:spacing w:line="240" w:lineRule="auto"/>
              <w:ind w:firstLine="42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项目类</w:t>
            </w:r>
            <w:r>
              <w:rPr>
                <w:rFonts w:hint="default" w:ascii="Times New Roman" w:hAnsi="Times New Roman" w:cs="Times New Roman"/>
                <w:color w:val="auto"/>
                <w:sz w:val="21"/>
                <w:szCs w:val="21"/>
                <w:u w:val="none" w:color="auto"/>
                <w:lang w:val="en-US" w:eastAsia="zh-CN"/>
              </w:rPr>
              <w:t>别</w:t>
            </w:r>
          </w:p>
        </w:tc>
        <w:tc>
          <w:tcPr>
            <w:tcW w:w="2132" w:type="dxa"/>
            <w:vAlign w:val="center"/>
          </w:tcPr>
          <w:p w14:paraId="7EDB759B">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Ⅰ类项目</w:t>
            </w:r>
          </w:p>
        </w:tc>
        <w:tc>
          <w:tcPr>
            <w:tcW w:w="2132" w:type="dxa"/>
            <w:vAlign w:val="center"/>
          </w:tcPr>
          <w:p w14:paraId="654C90A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Ⅱ类项目</w:t>
            </w:r>
          </w:p>
        </w:tc>
        <w:tc>
          <w:tcPr>
            <w:tcW w:w="2132" w:type="dxa"/>
            <w:vAlign w:val="center"/>
          </w:tcPr>
          <w:p w14:paraId="6FD94C7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Ⅲ类项目</w:t>
            </w:r>
          </w:p>
        </w:tc>
      </w:tr>
      <w:tr w14:paraId="1EAB8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4AF9ED1A">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敏感</w:t>
            </w:r>
          </w:p>
        </w:tc>
        <w:tc>
          <w:tcPr>
            <w:tcW w:w="2132" w:type="dxa"/>
            <w:vAlign w:val="center"/>
          </w:tcPr>
          <w:p w14:paraId="47EF471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09FD8ED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4057AA1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r>
      <w:tr w14:paraId="74144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5CCDC51F">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较敏感</w:t>
            </w:r>
          </w:p>
        </w:tc>
        <w:tc>
          <w:tcPr>
            <w:tcW w:w="2132" w:type="dxa"/>
            <w:vAlign w:val="center"/>
          </w:tcPr>
          <w:p w14:paraId="2266F1E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w:t>
            </w:r>
          </w:p>
        </w:tc>
        <w:tc>
          <w:tcPr>
            <w:tcW w:w="2132" w:type="dxa"/>
            <w:vAlign w:val="center"/>
          </w:tcPr>
          <w:p w14:paraId="6E51911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c>
          <w:tcPr>
            <w:tcW w:w="2132" w:type="dxa"/>
            <w:vAlign w:val="center"/>
          </w:tcPr>
          <w:p w14:paraId="696BAE5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w:t>
            </w:r>
          </w:p>
        </w:tc>
      </w:tr>
      <w:tr w14:paraId="10AF2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1" w:type="dxa"/>
            <w:vAlign w:val="center"/>
          </w:tcPr>
          <w:p w14:paraId="322FE5B1">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不敏感</w:t>
            </w:r>
          </w:p>
        </w:tc>
        <w:tc>
          <w:tcPr>
            <w:tcW w:w="2132" w:type="dxa"/>
            <w:vAlign w:val="center"/>
          </w:tcPr>
          <w:p w14:paraId="48A56C5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w:t>
            </w:r>
          </w:p>
        </w:tc>
        <w:tc>
          <w:tcPr>
            <w:tcW w:w="2132" w:type="dxa"/>
            <w:vAlign w:val="center"/>
          </w:tcPr>
          <w:p w14:paraId="14EB902B">
            <w:pPr>
              <w:spacing w:line="240" w:lineRule="auto"/>
              <w:ind w:firstLine="0" w:firstLineChars="0"/>
              <w:jc w:val="center"/>
              <w:rPr>
                <w:rFonts w:hint="default" w:ascii="Times New Roman" w:hAnsi="Times New Roman" w:cs="Times New Roman"/>
                <w:color w:val="auto"/>
                <w:sz w:val="21"/>
                <w:szCs w:val="21"/>
                <w:highlight w:val="yellow"/>
                <w:u w:val="none" w:color="auto"/>
              </w:rPr>
            </w:pPr>
            <w:r>
              <w:rPr>
                <w:rFonts w:hint="default" w:ascii="Times New Roman" w:hAnsi="Times New Roman" w:cs="Times New Roman"/>
                <w:color w:val="auto"/>
                <w:sz w:val="21"/>
                <w:szCs w:val="21"/>
                <w:u w:val="none" w:color="auto"/>
              </w:rPr>
              <w:t>三</w:t>
            </w:r>
          </w:p>
        </w:tc>
        <w:tc>
          <w:tcPr>
            <w:tcW w:w="2132" w:type="dxa"/>
            <w:vAlign w:val="center"/>
          </w:tcPr>
          <w:p w14:paraId="665540E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highlight w:val="none"/>
                <w:u w:val="none" w:color="auto"/>
              </w:rPr>
              <w:t>三</w:t>
            </w:r>
          </w:p>
        </w:tc>
      </w:tr>
    </w:tbl>
    <w:p w14:paraId="5831FDA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根据地下水评价工作等级分级，本项目地下水评价等级为三级。根据导则要求，地下水三级评价调查范围为</w:t>
      </w:r>
      <w:r>
        <w:rPr>
          <w:rFonts w:hint="default" w:ascii="Times New Roman" w:hAnsi="Times New Roman" w:cs="Times New Roman"/>
          <w:color w:val="auto"/>
          <w:u w:val="none" w:color="auto"/>
          <w:lang w:val="en-US" w:eastAsia="zh-CN"/>
        </w:rPr>
        <w:t>水库大坝周边6k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rPr>
        <w:t>的范围。</w:t>
      </w:r>
    </w:p>
    <w:p w14:paraId="4614115A">
      <w:pPr>
        <w:pStyle w:val="4"/>
        <w:rPr>
          <w:rFonts w:hint="default" w:ascii="Times New Roman" w:hAnsi="Times New Roman" w:cs="Times New Roman"/>
          <w:color w:val="auto"/>
          <w:u w:val="none" w:color="auto"/>
        </w:rPr>
      </w:pPr>
      <w:bookmarkStart w:id="91" w:name="_Toc20269"/>
      <w:bookmarkStart w:id="92" w:name="_Toc31292"/>
      <w:bookmarkStart w:id="93" w:name="_Toc494233714"/>
      <w:r>
        <w:rPr>
          <w:rFonts w:hint="default" w:ascii="Times New Roman" w:hAnsi="Times New Roman" w:cs="Times New Roman"/>
          <w:color w:val="auto"/>
          <w:u w:val="none" w:color="auto"/>
        </w:rPr>
        <w:t>大气环境</w:t>
      </w:r>
      <w:bookmarkEnd w:id="91"/>
      <w:bookmarkEnd w:id="92"/>
      <w:bookmarkEnd w:id="93"/>
      <w:r>
        <w:rPr>
          <w:rFonts w:hint="default" w:ascii="Times New Roman" w:hAnsi="Times New Roman" w:cs="Times New Roman"/>
          <w:color w:val="auto"/>
          <w:u w:val="none" w:color="auto"/>
        </w:rPr>
        <w:t>评价等级</w:t>
      </w:r>
    </w:p>
    <w:p w14:paraId="2671CBEA">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5.3评价等级判定5.3.1选择项目污染源正常排放的主要污染物及排放参数计算项目污染源最大环境影响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。按《导则》推荐的估算模式和如下公式计算主要大气污染物的最大地面空气质量浓度占标率Pi，及第i个污染物的地面空气质量浓度达标准限值10%时所对应的最远距离D</w:t>
      </w:r>
      <w:r>
        <w:rPr>
          <w:rFonts w:hint="default" w:ascii="Times New Roman" w:hAnsi="Times New Roman" w:cs="Times New Roman"/>
          <w:color w:val="auto"/>
          <w:u w:val="none" w:color="auto"/>
          <w:vertAlign w:val="subscript"/>
        </w:rPr>
        <w:t>10%</w:t>
      </w:r>
      <w:r>
        <w:rPr>
          <w:rFonts w:hint="default" w:ascii="Times New Roman" w:hAnsi="Times New Roman" w:cs="Times New Roman"/>
          <w:color w:val="auto"/>
          <w:u w:val="none" w:color="auto"/>
        </w:rPr>
        <w:t>。其中Pi定义为</w:t>
      </w:r>
      <w:r>
        <w:rPr>
          <w:rFonts w:hint="default" w:ascii="Times New Roman" w:hAnsi="Times New Roman" w:cs="Times New Roman"/>
          <w:color w:val="auto"/>
          <w:u w:val="none" w:color="auto"/>
          <w:lang w:eastAsia="zh-CN"/>
        </w:rPr>
        <w:t>:</w:t>
      </w:r>
    </w:p>
    <w:p w14:paraId="117B2E5C">
      <w:pPr>
        <w:ind w:firstLine="480"/>
        <w:rPr>
          <w:rFonts w:hint="default" w:ascii="Times New Roman" w:hAnsi="Times New Roman" w:cs="Times New Roman"/>
          <w:color w:val="auto"/>
          <w:u w:val="none" w:color="auto"/>
        </w:rPr>
      </w:pPr>
    </w:p>
    <w:p w14:paraId="4AD664F8">
      <w:pPr>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pict>
          <v:shape id="_x0000_s1026" o:spid="_x0000_s1026" o:spt="75" alt="6971027061313886614953" type="#_x0000_t75" style="position:absolute;left:0pt;margin-left:96.8pt;margin-top:-31.15pt;height:37.7pt;width:107.75pt;z-index:251661312;mso-width-relative:page;mso-height-relative:page;" o:ole="t" filled="f" o:preferrelative="t" stroked="f" coordsize="21600,21600">
            <v:path/>
            <v:fill on="f" focussize="0,0"/>
            <v:stroke on="f"/>
            <v:imagedata r:id="rId23" o:title="6971027061313886614953"/>
            <o:lock v:ext="edit" aspectratio="t"/>
          </v:shape>
          <o:OLEObject Type="Embed" ProgID="Equation.3" ShapeID="_x0000_s1026" DrawAspect="Content" ObjectID="_1468075725" r:id="rId22">
            <o:LockedField>false</o:LockedField>
          </o:OLEObject>
        </w:pict>
      </w:r>
    </w:p>
    <w:p w14:paraId="6AF6D6C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w:t>
      </w:r>
      <w:r>
        <w:rPr>
          <w:rFonts w:hint="default" w:ascii="Times New Roman" w:hAnsi="Times New Roman" w:cs="Times New Roman"/>
          <w:color w:val="auto"/>
          <w:u w:val="none" w:color="auto"/>
          <w:vertAlign w:val="subscript"/>
        </w:rPr>
        <w:t>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第i个污染物的最大地面浓度占标率，100%；</w:t>
      </w:r>
    </w:p>
    <w:p w14:paraId="15970A3B">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rPr>
        <w:t>Ci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采用估算模式计算出的第i个污染物的最大地面浓度，</w:t>
      </w:r>
      <w:r>
        <w:rPr>
          <w:rFonts w:hint="default" w:ascii="Times New Roman" w:hAnsi="Times New Roman" w:cs="Times New Roman"/>
          <w:color w:val="auto"/>
          <w:u w:val="none" w:color="auto"/>
          <w:lang w:eastAsia="zh-CN"/>
        </w:rPr>
        <w:t>μg/m³</w:t>
      </w:r>
      <w:r>
        <w:rPr>
          <w:rFonts w:hint="default" w:ascii="Times New Roman" w:hAnsi="Times New Roman" w:cs="Times New Roman"/>
          <w:color w:val="auto"/>
          <w:u w:val="none" w:color="auto"/>
        </w:rPr>
        <w:t>；</w:t>
      </w:r>
    </w:p>
    <w:p w14:paraId="34D24D5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Coi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第i个污染物的环境空气质量标准，</w:t>
      </w:r>
      <w:r>
        <w:rPr>
          <w:rFonts w:hint="default" w:ascii="Times New Roman" w:hAnsi="Times New Roman" w:cs="Times New Roman"/>
          <w:color w:val="auto"/>
          <w:u w:val="none" w:color="auto"/>
          <w:lang w:eastAsia="zh-CN"/>
        </w:rPr>
        <w:t>μg/m³</w:t>
      </w:r>
      <w:r>
        <w:rPr>
          <w:rFonts w:hint="default" w:ascii="Times New Roman" w:hAnsi="Times New Roman" w:cs="Times New Roman"/>
          <w:color w:val="auto"/>
          <w:u w:val="none" w:color="auto"/>
        </w:rPr>
        <w:t>，一般选用GB3095中1h平均质量浓度的二级浓度限值；对于该标准中未包含的污染物，使用5.2确定的各级评价因子1h平均质量浓度限值。对仅有8h平均质量浓度限值、日平均质量浓度限值或年平均质量浓度限值的，可分别按2倍、3倍、6倍折算为1h平均质量浓度限值。</w:t>
      </w:r>
    </w:p>
    <w:p w14:paraId="363D642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根据工程分析内容并结合项目特点，本工程主要环境空气影响发生在施工期，大气污染物主要为</w:t>
      </w:r>
      <w:r>
        <w:rPr>
          <w:rFonts w:hint="default" w:ascii="Times New Roman" w:hAnsi="Times New Roman" w:cs="Times New Roman"/>
          <w:color w:val="auto"/>
          <w:u w:val="none" w:color="auto"/>
          <w:lang w:val="en-US" w:eastAsia="zh-CN"/>
        </w:rPr>
        <w:t>施工扬尘</w:t>
      </w:r>
      <w:r>
        <w:rPr>
          <w:rFonts w:hint="default" w:ascii="Times New Roman" w:hAnsi="Times New Roman" w:cs="Times New Roman"/>
          <w:color w:val="auto"/>
          <w:u w:val="none" w:color="auto"/>
        </w:rPr>
        <w:t>，此外，工程施工期还有施工机械、运输车辆产生的废气等，但排放量均不大，且较为分散</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项目运营期无生产工序，不产生废气。</w:t>
      </w:r>
    </w:p>
    <w:p w14:paraId="14B064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环境空气评价工作等级判断标准见下表。</w:t>
      </w:r>
    </w:p>
    <w:p w14:paraId="44C1E118">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default" w:ascii="Times New Roman" w:hAnsi="Times New Roman" w:cs="Times New Roman"/>
          <w:color w:val="auto"/>
          <w:u w:val="none" w:color="auto"/>
          <w:lang w:val="en-US" w:eastAsia="zh-CN"/>
        </w:rPr>
        <w:t xml:space="preserve">4  </w:t>
      </w:r>
      <w:r>
        <w:rPr>
          <w:rFonts w:hint="default" w:ascii="Times New Roman" w:hAnsi="Times New Roman" w:cs="Times New Roman"/>
          <w:color w:val="auto"/>
          <w:u w:val="none" w:color="auto"/>
        </w:rPr>
        <w:t>环境空气评价工作等级判据</w:t>
      </w:r>
    </w:p>
    <w:tbl>
      <w:tblPr>
        <w:tblStyle w:val="37"/>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6130"/>
      </w:tblGrid>
      <w:tr w14:paraId="1A05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3A70202">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评价工作等级</w:t>
            </w:r>
          </w:p>
        </w:tc>
        <w:tc>
          <w:tcPr>
            <w:tcW w:w="6130" w:type="dxa"/>
            <w:vAlign w:val="center"/>
          </w:tcPr>
          <w:p w14:paraId="416C4B9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评价工作分级判据</w:t>
            </w:r>
          </w:p>
        </w:tc>
      </w:tr>
      <w:tr w14:paraId="478B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6A02A6E1">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一级</w:t>
            </w:r>
          </w:p>
        </w:tc>
        <w:tc>
          <w:tcPr>
            <w:tcW w:w="6130" w:type="dxa"/>
            <w:vAlign w:val="center"/>
          </w:tcPr>
          <w:p w14:paraId="6D321FAF">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Pmax≥10%</w:t>
            </w:r>
          </w:p>
        </w:tc>
      </w:tr>
      <w:tr w14:paraId="050B0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2D04B4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二级</w:t>
            </w:r>
          </w:p>
        </w:tc>
        <w:tc>
          <w:tcPr>
            <w:tcW w:w="6130" w:type="dxa"/>
            <w:vAlign w:val="center"/>
          </w:tcPr>
          <w:p w14:paraId="390A27D8">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1%≤Pmax</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10%</w:t>
            </w:r>
          </w:p>
        </w:tc>
      </w:tr>
      <w:tr w14:paraId="2BD5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0" w:type="dxa"/>
            <w:vAlign w:val="center"/>
          </w:tcPr>
          <w:p w14:paraId="3E0C5B6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三级</w:t>
            </w:r>
          </w:p>
        </w:tc>
        <w:tc>
          <w:tcPr>
            <w:tcW w:w="6130" w:type="dxa"/>
            <w:vAlign w:val="center"/>
          </w:tcPr>
          <w:p w14:paraId="4BBD6CD5">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Pmax</w:t>
            </w: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u w:val="none" w:color="auto"/>
              </w:rPr>
              <w:t>1%</w:t>
            </w:r>
          </w:p>
        </w:tc>
      </w:tr>
    </w:tbl>
    <w:p w14:paraId="47D7C1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项目运营期无废气产生与排放，因此认为</w:t>
      </w:r>
      <w:r>
        <w:rPr>
          <w:rFonts w:hint="default" w:ascii="Times New Roman" w:hAnsi="Times New Roman" w:cs="Times New Roman"/>
          <w:color w:val="auto"/>
          <w:u w:val="none" w:color="auto"/>
        </w:rPr>
        <w:t>污染物的最大地面浓度占标率</w:t>
      </w:r>
      <w:r>
        <w:rPr>
          <w:rFonts w:hint="default" w:ascii="Times New Roman" w:hAnsi="Times New Roman" w:cs="Times New Roman"/>
          <w:color w:val="auto"/>
          <w:szCs w:val="24"/>
          <w:u w:val="none" w:color="auto"/>
        </w:rPr>
        <w:t>Pmax</w:t>
      </w:r>
      <w:r>
        <w:rPr>
          <w:rFonts w:hint="default" w:ascii="Times New Roman" w:hAnsi="Times New Roman" w:cs="Times New Roman"/>
          <w:color w:val="auto"/>
          <w:szCs w:val="24"/>
          <w:u w:val="none" w:color="auto"/>
          <w:lang w:val="en-US" w:eastAsia="zh-CN"/>
        </w:rPr>
        <w:t>=0</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Cs w:val="24"/>
          <w:u w:val="none" w:color="auto"/>
        </w:rPr>
        <w:t>1%，</w:t>
      </w:r>
      <w:r>
        <w:rPr>
          <w:rFonts w:hint="default" w:ascii="Times New Roman" w:hAnsi="Times New Roman" w:cs="Times New Roman"/>
          <w:color w:val="auto"/>
          <w:u w:val="none" w:color="auto"/>
        </w:rPr>
        <w:t>确定本项目环境空气影响评价工作等级为</w:t>
      </w:r>
      <w:r>
        <w:rPr>
          <w:rFonts w:hint="default" w:ascii="Times New Roman" w:hAnsi="Times New Roman" w:cs="Times New Roman"/>
          <w:color w:val="auto"/>
          <w:u w:val="none" w:color="auto"/>
          <w:lang w:val="en-US" w:eastAsia="zh-CN"/>
        </w:rPr>
        <w:t>三</w:t>
      </w:r>
      <w:r>
        <w:rPr>
          <w:rFonts w:hint="default" w:ascii="Times New Roman" w:hAnsi="Times New Roman" w:cs="Times New Roman"/>
          <w:color w:val="auto"/>
          <w:u w:val="none" w:color="auto"/>
        </w:rPr>
        <w:t>级。</w:t>
      </w:r>
    </w:p>
    <w:p w14:paraId="21BC00CA">
      <w:pPr>
        <w:pStyle w:val="4"/>
        <w:rPr>
          <w:rFonts w:hint="default" w:ascii="Times New Roman" w:hAnsi="Times New Roman" w:cs="Times New Roman"/>
          <w:color w:val="auto"/>
          <w:u w:val="none" w:color="auto"/>
        </w:rPr>
      </w:pPr>
      <w:bookmarkStart w:id="94" w:name="_Toc25373"/>
      <w:bookmarkStart w:id="95" w:name="_Toc494233715"/>
      <w:bookmarkStart w:id="96" w:name="_Toc30110"/>
      <w:r>
        <w:rPr>
          <w:rFonts w:hint="default" w:ascii="Times New Roman" w:hAnsi="Times New Roman" w:cs="Times New Roman"/>
          <w:color w:val="auto"/>
          <w:u w:val="none" w:color="auto"/>
        </w:rPr>
        <w:t>声环境</w:t>
      </w:r>
      <w:bookmarkEnd w:id="94"/>
      <w:bookmarkEnd w:id="95"/>
      <w:bookmarkEnd w:id="96"/>
      <w:r>
        <w:rPr>
          <w:rFonts w:hint="default" w:ascii="Times New Roman" w:hAnsi="Times New Roman" w:cs="Times New Roman"/>
          <w:color w:val="auto"/>
          <w:u w:val="none" w:color="auto"/>
        </w:rPr>
        <w:t>评价等级</w:t>
      </w:r>
    </w:p>
    <w:p w14:paraId="64DE6F8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ascii="Times New Roman" w:hAnsi="Times New Roman" w:eastAsia="宋体" w:cs="Times New Roman"/>
          <w:caps w:val="0"/>
          <w:smallCaps w:val="0"/>
          <w:color w:val="auto"/>
          <w:spacing w:val="0"/>
          <w:w w:val="100"/>
          <w:kern w:val="0"/>
          <w:position w:val="0"/>
          <w:sz w:val="24"/>
          <w:szCs w:val="24"/>
        </w:rPr>
      </w:pPr>
      <w:r>
        <w:rPr>
          <w:rFonts w:hint="default" w:ascii="Times New Roman" w:hAnsi="Times New Roman" w:cs="Times New Roman"/>
          <w:color w:val="auto"/>
          <w:u w:val="none" w:color="auto"/>
          <w:lang w:val="en-US" w:eastAsia="zh-CN"/>
        </w:rPr>
        <w:t>工程所处地未划定声功能区，</w:t>
      </w:r>
      <w:r>
        <w:rPr>
          <w:rFonts w:hint="eastAsia" w:ascii="Times New Roman" w:hAnsi="Times New Roman" w:eastAsia="宋体" w:cs="Times New Roman"/>
          <w:caps w:val="0"/>
          <w:smallCaps w:val="0"/>
          <w:color w:val="auto"/>
          <w:spacing w:val="0"/>
          <w:w w:val="100"/>
          <w:kern w:val="0"/>
          <w:position w:val="0"/>
          <w:sz w:val="24"/>
          <w:szCs w:val="24"/>
        </w:rPr>
        <w:t>根据《环境影响评价技术导则  声环境》</w:t>
      </w:r>
      <w:r>
        <w:rPr>
          <w:rFonts w:hint="eastAsia" w:ascii="Times New Roman" w:hAnsi="Times New Roman" w:eastAsia="宋体" w:cs="Times New Roman"/>
          <w:caps w:val="0"/>
          <w:smallCaps w:val="0"/>
          <w:color w:val="auto"/>
          <w:spacing w:val="0"/>
          <w:w w:val="100"/>
          <w:kern w:val="0"/>
          <w:position w:val="0"/>
          <w:sz w:val="24"/>
          <w:szCs w:val="24"/>
          <w:lang w:val="en-US" w:eastAsia="zh-CN"/>
        </w:rPr>
        <w:t>(</w:t>
      </w:r>
      <w:r>
        <w:rPr>
          <w:rFonts w:hint="eastAsia" w:ascii="Times New Roman" w:hAnsi="Times New Roman" w:eastAsia="宋体" w:cs="Times New Roman"/>
          <w:caps w:val="0"/>
          <w:smallCaps w:val="0"/>
          <w:color w:val="auto"/>
          <w:spacing w:val="0"/>
          <w:w w:val="100"/>
          <w:kern w:val="0"/>
          <w:position w:val="0"/>
          <w:sz w:val="24"/>
          <w:szCs w:val="24"/>
          <w:lang w:eastAsia="zh-CN"/>
        </w:rPr>
        <w:t>HJ2.4-2021</w:t>
      </w:r>
      <w:r>
        <w:rPr>
          <w:rFonts w:hint="eastAsia" w:ascii="Times New Roman" w:hAnsi="Times New Roman" w:eastAsia="宋体" w:cs="Times New Roman"/>
          <w:caps w:val="0"/>
          <w:smallCaps w:val="0"/>
          <w:color w:val="auto"/>
          <w:spacing w:val="0"/>
          <w:w w:val="100"/>
          <w:kern w:val="0"/>
          <w:position w:val="0"/>
          <w:sz w:val="24"/>
          <w:szCs w:val="24"/>
          <w:lang w:val="en-US" w:eastAsia="zh-CN"/>
        </w:rPr>
        <w:t>)</w:t>
      </w:r>
      <w:r>
        <w:rPr>
          <w:rFonts w:hint="eastAsia" w:ascii="Times New Roman" w:hAnsi="Times New Roman" w:eastAsia="宋体" w:cs="Times New Roman"/>
          <w:caps w:val="0"/>
          <w:smallCaps w:val="0"/>
          <w:color w:val="auto"/>
          <w:spacing w:val="0"/>
          <w:w w:val="100"/>
          <w:kern w:val="0"/>
          <w:position w:val="0"/>
          <w:sz w:val="24"/>
          <w:szCs w:val="24"/>
        </w:rPr>
        <w:t>，声环境影响评价工作等级划分依据见表表2.5-</w:t>
      </w:r>
      <w:r>
        <w:rPr>
          <w:rFonts w:hint="eastAsia" w:ascii="Times New Roman" w:hAnsi="Times New Roman" w:eastAsia="宋体" w:cs="Times New Roman"/>
          <w:caps w:val="0"/>
          <w:smallCaps w:val="0"/>
          <w:color w:val="auto"/>
          <w:spacing w:val="0"/>
          <w:w w:val="100"/>
          <w:kern w:val="0"/>
          <w:position w:val="0"/>
          <w:sz w:val="24"/>
          <w:szCs w:val="24"/>
          <w:lang w:val="en-US" w:eastAsia="zh-CN"/>
        </w:rPr>
        <w:t>5</w:t>
      </w:r>
      <w:r>
        <w:rPr>
          <w:rFonts w:hint="eastAsia" w:ascii="Times New Roman" w:hAnsi="Times New Roman" w:eastAsia="宋体" w:cs="Times New Roman"/>
          <w:caps w:val="0"/>
          <w:smallCaps w:val="0"/>
          <w:color w:val="auto"/>
          <w:spacing w:val="0"/>
          <w:w w:val="100"/>
          <w:kern w:val="0"/>
          <w:position w:val="0"/>
          <w:sz w:val="24"/>
          <w:szCs w:val="24"/>
        </w:rPr>
        <w:t>。</w:t>
      </w:r>
    </w:p>
    <w:p w14:paraId="6A7C0B52">
      <w:pPr>
        <w:keepNext w:val="0"/>
        <w:keepLines w:val="0"/>
        <w:pageBreakBefore w:val="0"/>
        <w:widowControl w:val="0"/>
        <w:kinsoku w:val="0"/>
        <w:wordWrap w:val="0"/>
        <w:overflowPunct/>
        <w:topLinePunct/>
        <w:autoSpaceDE/>
        <w:autoSpaceDN/>
        <w:bidi w:val="0"/>
        <w:adjustRightInd w:val="0"/>
        <w:snapToGrid/>
        <w:spacing w:line="240" w:lineRule="auto"/>
        <w:jc w:val="center"/>
        <w:textAlignment w:val="auto"/>
        <w:rPr>
          <w:rFonts w:ascii="Times New Roman" w:hAnsi="Times New Roman" w:eastAsia="宋体" w:cs="Times New Roman"/>
          <w:b/>
          <w:caps w:val="0"/>
          <w:smallCaps w:val="0"/>
          <w:color w:val="auto"/>
          <w:spacing w:val="0"/>
          <w:w w:val="100"/>
          <w:kern w:val="0"/>
          <w:position w:val="0"/>
          <w:sz w:val="21"/>
          <w:szCs w:val="21"/>
        </w:rPr>
      </w:pPr>
      <w:r>
        <w:rPr>
          <w:rFonts w:hint="eastAsia" w:ascii="Times New Roman" w:hAnsi="Times New Roman" w:eastAsia="宋体" w:cs="Times New Roman"/>
          <w:b/>
          <w:caps w:val="0"/>
          <w:smallCaps w:val="0"/>
          <w:color w:val="auto"/>
          <w:spacing w:val="0"/>
          <w:w w:val="100"/>
          <w:kern w:val="0"/>
          <w:position w:val="0"/>
          <w:sz w:val="21"/>
          <w:szCs w:val="21"/>
        </w:rPr>
        <w:t>表2.5-</w:t>
      </w:r>
      <w:r>
        <w:rPr>
          <w:rFonts w:hint="eastAsia" w:ascii="Times New Roman" w:hAnsi="Times New Roman" w:eastAsia="宋体" w:cs="Times New Roman"/>
          <w:b/>
          <w:caps w:val="0"/>
          <w:smallCaps w:val="0"/>
          <w:color w:val="auto"/>
          <w:spacing w:val="0"/>
          <w:w w:val="100"/>
          <w:kern w:val="0"/>
          <w:position w:val="0"/>
          <w:sz w:val="21"/>
          <w:szCs w:val="21"/>
          <w:lang w:val="en-US" w:eastAsia="zh-CN"/>
        </w:rPr>
        <w:t>5</w:t>
      </w:r>
      <w:r>
        <w:rPr>
          <w:rFonts w:hint="eastAsia" w:ascii="Times New Roman" w:hAnsi="Times New Roman" w:eastAsia="宋体" w:cs="Times New Roman"/>
          <w:b/>
          <w:caps w:val="0"/>
          <w:smallCaps w:val="0"/>
          <w:color w:val="auto"/>
          <w:spacing w:val="0"/>
          <w:w w:val="100"/>
          <w:kern w:val="0"/>
          <w:position w:val="0"/>
          <w:sz w:val="21"/>
          <w:szCs w:val="21"/>
        </w:rPr>
        <w:t xml:space="preserve">  声环境评价工作等级划分</w:t>
      </w:r>
    </w:p>
    <w:tbl>
      <w:tblPr>
        <w:tblStyle w:val="37"/>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1"/>
        <w:gridCol w:w="1965"/>
        <w:gridCol w:w="2063"/>
        <w:gridCol w:w="1983"/>
      </w:tblGrid>
      <w:tr w14:paraId="03FBB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3061" w:type="dxa"/>
            <w:vAlign w:val="center"/>
          </w:tcPr>
          <w:p w14:paraId="59E5A0E9">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类别</w:t>
            </w:r>
          </w:p>
        </w:tc>
        <w:tc>
          <w:tcPr>
            <w:tcW w:w="1965" w:type="dxa"/>
            <w:vAlign w:val="center"/>
          </w:tcPr>
          <w:p w14:paraId="51F6929A">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一级</w:t>
            </w:r>
          </w:p>
        </w:tc>
        <w:tc>
          <w:tcPr>
            <w:tcW w:w="2063" w:type="dxa"/>
            <w:vAlign w:val="center"/>
          </w:tcPr>
          <w:p w14:paraId="46499CCA">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二级</w:t>
            </w:r>
          </w:p>
        </w:tc>
        <w:tc>
          <w:tcPr>
            <w:tcW w:w="1983" w:type="dxa"/>
            <w:vAlign w:val="center"/>
          </w:tcPr>
          <w:p w14:paraId="504D9587">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三级</w:t>
            </w:r>
          </w:p>
        </w:tc>
      </w:tr>
      <w:tr w14:paraId="3D2CF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61" w:type="dxa"/>
            <w:vAlign w:val="center"/>
          </w:tcPr>
          <w:p w14:paraId="42BE5D3B">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建设项目所在区域的声环境功能区类别</w:t>
            </w:r>
          </w:p>
        </w:tc>
        <w:tc>
          <w:tcPr>
            <w:tcW w:w="1965" w:type="dxa"/>
            <w:vAlign w:val="center"/>
          </w:tcPr>
          <w:p w14:paraId="77384580">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GB3096规定的0类区域</w:t>
            </w:r>
          </w:p>
        </w:tc>
        <w:tc>
          <w:tcPr>
            <w:tcW w:w="2063" w:type="dxa"/>
            <w:vAlign w:val="center"/>
          </w:tcPr>
          <w:p w14:paraId="25B37E9F">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GB3096规定的1类、2类地区</w:t>
            </w:r>
          </w:p>
        </w:tc>
        <w:tc>
          <w:tcPr>
            <w:tcW w:w="1983" w:type="dxa"/>
            <w:vAlign w:val="center"/>
          </w:tcPr>
          <w:p w14:paraId="72CC757D">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GB3096规定的3类、4类地区</w:t>
            </w:r>
          </w:p>
        </w:tc>
      </w:tr>
      <w:tr w14:paraId="05494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61" w:type="dxa"/>
            <w:vAlign w:val="center"/>
          </w:tcPr>
          <w:p w14:paraId="567D19E0">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建设项目建设前后所在区域的声环境质量变化程度</w:t>
            </w:r>
          </w:p>
        </w:tc>
        <w:tc>
          <w:tcPr>
            <w:tcW w:w="1965" w:type="dxa"/>
            <w:vAlign w:val="center"/>
          </w:tcPr>
          <w:p w14:paraId="550079CD">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敏感目标噪声级增高量＞5dB（A）</w:t>
            </w:r>
          </w:p>
        </w:tc>
        <w:tc>
          <w:tcPr>
            <w:tcW w:w="2063" w:type="dxa"/>
            <w:vAlign w:val="center"/>
          </w:tcPr>
          <w:p w14:paraId="7EBB10D1">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敏感目标噪声级增高量达3～5dB（A）</w:t>
            </w:r>
          </w:p>
        </w:tc>
        <w:tc>
          <w:tcPr>
            <w:tcW w:w="1983" w:type="dxa"/>
            <w:vAlign w:val="center"/>
          </w:tcPr>
          <w:p w14:paraId="18963747">
            <w:pPr>
              <w:pStyle w:val="13"/>
              <w:keepNext w:val="0"/>
              <w:keepLines w:val="0"/>
              <w:pageBreakBefore w:val="0"/>
              <w:widowControl w:val="0"/>
              <w:numPr>
                <w:ilvl w:val="0"/>
                <w:numId w:val="0"/>
              </w:numPr>
              <w:kinsoku w:val="0"/>
              <w:wordWrap w:val="0"/>
              <w:overflowPunct/>
              <w:topLinePunct/>
              <w:autoSpaceDE/>
              <w:autoSpaceDN/>
              <w:bidi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敏感目标噪声级增高量＜3dB（A）</w:t>
            </w:r>
          </w:p>
        </w:tc>
      </w:tr>
      <w:tr w14:paraId="0E07E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61" w:type="dxa"/>
            <w:vAlign w:val="center"/>
          </w:tcPr>
          <w:p w14:paraId="7C1D421E">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受建设项目影响人口的数量</w:t>
            </w:r>
          </w:p>
        </w:tc>
        <w:tc>
          <w:tcPr>
            <w:tcW w:w="1965" w:type="dxa"/>
            <w:vAlign w:val="center"/>
          </w:tcPr>
          <w:p w14:paraId="06532A39">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显著增多</w:t>
            </w:r>
          </w:p>
        </w:tc>
        <w:tc>
          <w:tcPr>
            <w:tcW w:w="2063" w:type="dxa"/>
            <w:vAlign w:val="center"/>
          </w:tcPr>
          <w:p w14:paraId="5F35E262">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增加较多</w:t>
            </w:r>
          </w:p>
        </w:tc>
        <w:tc>
          <w:tcPr>
            <w:tcW w:w="1983" w:type="dxa"/>
            <w:vAlign w:val="center"/>
          </w:tcPr>
          <w:p w14:paraId="10F4D7A7">
            <w:pPr>
              <w:pStyle w:val="13"/>
              <w:keepNext w:val="0"/>
              <w:keepLines w:val="0"/>
              <w:pageBreakBefore w:val="0"/>
              <w:widowControl w:val="0"/>
              <w:numPr>
                <w:ilvl w:val="0"/>
                <w:numId w:val="0"/>
              </w:numPr>
              <w:kinsoku w:val="0"/>
              <w:wordWrap w:val="0"/>
              <w:overflowPunct/>
              <w:topLinePunct/>
              <w:autoSpaceDE/>
              <w:autoSpaceDN/>
              <w:bidi w:val="0"/>
              <w:adjustRightInd w:val="0"/>
              <w:snapToGrid w:val="0"/>
              <w:spacing w:before="0" w:after="0" w:line="240" w:lineRule="auto"/>
              <w:ind w:leftChars="0"/>
              <w:jc w:val="center"/>
              <w:textAlignment w:val="auto"/>
              <w:rPr>
                <w:rFonts w:ascii="Times New Roman" w:hAnsi="Times New Roman" w:eastAsia="宋体" w:cs="Times New Roman"/>
                <w:b w:val="0"/>
                <w:bCs w:val="0"/>
                <w:caps w:val="0"/>
                <w:smallCaps w:val="0"/>
                <w:color w:val="auto"/>
                <w:spacing w:val="0"/>
                <w:w w:val="100"/>
                <w:position w:val="0"/>
                <w:sz w:val="21"/>
                <w:szCs w:val="21"/>
              </w:rPr>
            </w:pPr>
            <w:r>
              <w:rPr>
                <w:rFonts w:ascii="Times New Roman" w:hAnsi="Times New Roman" w:eastAsia="宋体" w:cs="Times New Roman"/>
                <w:b w:val="0"/>
                <w:bCs w:val="0"/>
                <w:caps w:val="0"/>
                <w:smallCaps w:val="0"/>
                <w:color w:val="auto"/>
                <w:spacing w:val="0"/>
                <w:w w:val="100"/>
                <w:position w:val="0"/>
                <w:sz w:val="21"/>
                <w:szCs w:val="21"/>
              </w:rPr>
              <w:t>变化不大</w:t>
            </w:r>
          </w:p>
        </w:tc>
      </w:tr>
    </w:tbl>
    <w:p w14:paraId="57279E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项目周边居民区现状为</w:t>
      </w:r>
      <w:r>
        <w:rPr>
          <w:rFonts w:hint="eastAsia" w:cs="Times New Roman"/>
          <w:color w:val="auto"/>
          <w:u w:val="none" w:color="auto"/>
          <w:lang w:val="en-US" w:eastAsia="zh-CN"/>
        </w:rPr>
        <w:t>2</w:t>
      </w:r>
      <w:r>
        <w:rPr>
          <w:rFonts w:hint="default" w:ascii="Times New Roman" w:hAnsi="Times New Roman" w:cs="Times New Roman"/>
          <w:color w:val="auto"/>
          <w:u w:val="none" w:color="auto"/>
        </w:rPr>
        <w:t>类声环境功能区</w:t>
      </w:r>
      <w:r>
        <w:rPr>
          <w:rFonts w:hint="eastAsia" w:cs="Times New Roman"/>
          <w:color w:val="auto"/>
          <w:u w:val="none" w:color="auto"/>
          <w:lang w:eastAsia="zh-CN"/>
        </w:rPr>
        <w:t>，</w:t>
      </w:r>
      <w:r>
        <w:rPr>
          <w:rFonts w:ascii="Times New Roman" w:hAnsi="Times New Roman" w:eastAsia="宋体" w:cs="Times New Roman"/>
          <w:caps w:val="0"/>
          <w:smallCaps w:val="0"/>
          <w:color w:val="auto"/>
          <w:spacing w:val="0"/>
          <w:w w:val="100"/>
          <w:kern w:val="0"/>
          <w:position w:val="0"/>
          <w:sz w:val="24"/>
          <w:szCs w:val="24"/>
        </w:rPr>
        <w:t>项目建设前后噪声级增高量在3dB</w:t>
      </w:r>
      <w:r>
        <w:rPr>
          <w:rFonts w:hint="eastAsia" w:ascii="Times New Roman" w:hAnsi="Times New Roman" w:eastAsia="宋体" w:cs="Times New Roman"/>
          <w:caps w:val="0"/>
          <w:smallCaps w:val="0"/>
          <w:color w:val="auto"/>
          <w:spacing w:val="0"/>
          <w:w w:val="100"/>
          <w:kern w:val="0"/>
          <w:position w:val="0"/>
          <w:sz w:val="24"/>
          <w:szCs w:val="24"/>
        </w:rPr>
        <w:t>（A）</w:t>
      </w:r>
      <w:r>
        <w:rPr>
          <w:rFonts w:ascii="Times New Roman" w:hAnsi="Times New Roman" w:eastAsia="宋体" w:cs="Times New Roman"/>
          <w:caps w:val="0"/>
          <w:smallCaps w:val="0"/>
          <w:color w:val="auto"/>
          <w:spacing w:val="0"/>
          <w:w w:val="100"/>
          <w:kern w:val="0"/>
          <w:position w:val="0"/>
          <w:sz w:val="24"/>
          <w:szCs w:val="24"/>
        </w:rPr>
        <w:t>以下，且受影响人口无变化。</w:t>
      </w:r>
      <w:r>
        <w:rPr>
          <w:rFonts w:hint="default" w:ascii="Times New Roman" w:hAnsi="Times New Roman" w:cs="Times New Roman"/>
          <w:color w:val="auto"/>
          <w:u w:val="none" w:color="auto"/>
          <w:lang w:val="en-US" w:eastAsia="zh-CN"/>
        </w:rPr>
        <w:t>根据《环境影响评价技术导则</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lang w:val="en-US" w:eastAsia="zh-CN"/>
        </w:rPr>
        <w:t>声环境》(HJ2.4-2021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规定，确定本项目声环境影响评价等级为二级。</w:t>
      </w:r>
    </w:p>
    <w:p w14:paraId="1FD329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u w:val="none" w:color="auto"/>
          <w:lang w:val="en-US" w:eastAsia="zh-CN"/>
        </w:rPr>
        <w:t>廊洞水库大坝除险加固工程改建完成</w:t>
      </w:r>
      <w:r>
        <w:rPr>
          <w:rFonts w:hint="default" w:ascii="Times New Roman" w:hAnsi="Times New Roman" w:cs="Times New Roman"/>
          <w:color w:val="auto"/>
          <w:u w:val="none" w:color="auto"/>
        </w:rPr>
        <w:t>后</w:t>
      </w:r>
      <w:r>
        <w:rPr>
          <w:rFonts w:hint="default" w:ascii="Times New Roman" w:hAnsi="Times New Roman" w:cs="Times New Roman"/>
          <w:color w:val="auto"/>
          <w:u w:val="none" w:color="auto"/>
          <w:lang w:val="en-US" w:eastAsia="zh-CN"/>
        </w:rPr>
        <w:t>运营期无新增噪声</w:t>
      </w:r>
      <w:r>
        <w:rPr>
          <w:rFonts w:hint="default" w:ascii="Times New Roman" w:hAnsi="Times New Roman" w:cs="Times New Roman"/>
          <w:color w:val="auto"/>
          <w:highlight w:val="none"/>
          <w:u w:val="none" w:color="auto"/>
          <w:lang w:val="en-US" w:eastAsia="zh-CN"/>
        </w:rPr>
        <w:t>生产</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评价范围内敏感目标噪声级</w:t>
      </w:r>
      <w:r>
        <w:rPr>
          <w:rFonts w:hint="default" w:ascii="Times New Roman" w:hAnsi="Times New Roman" w:cs="Times New Roman"/>
          <w:color w:val="auto"/>
          <w:u w:val="none" w:color="auto"/>
          <w:lang w:val="en-US" w:eastAsia="zh-CN"/>
        </w:rPr>
        <w:t>保持不变，</w:t>
      </w:r>
      <w:r>
        <w:rPr>
          <w:rFonts w:hint="default" w:ascii="Times New Roman" w:hAnsi="Times New Roman" w:cs="Times New Roman"/>
          <w:color w:val="auto"/>
          <w:u w:val="none" w:color="auto"/>
        </w:rPr>
        <w:t>受影响人口数量</w:t>
      </w:r>
      <w:r>
        <w:rPr>
          <w:rFonts w:hint="default" w:ascii="Times New Roman" w:hAnsi="Times New Roman" w:cs="Times New Roman"/>
          <w:color w:val="auto"/>
          <w:u w:val="none" w:color="auto"/>
          <w:lang w:val="en-US" w:eastAsia="zh-CN"/>
        </w:rPr>
        <w:t>不变</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本次主要对施工噪声进行预测评价，对运营期噪声进行定性分析</w:t>
      </w:r>
      <w:r>
        <w:rPr>
          <w:rFonts w:hint="default" w:ascii="Times New Roman" w:hAnsi="Times New Roman" w:cs="Times New Roman"/>
          <w:color w:val="auto"/>
          <w:u w:val="none" w:color="auto"/>
        </w:rPr>
        <w:t>。</w:t>
      </w:r>
    </w:p>
    <w:p w14:paraId="6099CE27">
      <w:pPr>
        <w:pStyle w:val="4"/>
        <w:rPr>
          <w:rFonts w:hint="default" w:ascii="Times New Roman" w:hAnsi="Times New Roman" w:cs="Times New Roman"/>
          <w:color w:val="auto"/>
          <w:u w:val="none" w:color="auto"/>
        </w:rPr>
      </w:pPr>
      <w:bookmarkStart w:id="97" w:name="_Toc3608"/>
      <w:bookmarkStart w:id="98" w:name="_Toc33"/>
      <w:bookmarkStart w:id="99" w:name="_Toc494233716"/>
      <w:r>
        <w:rPr>
          <w:rFonts w:hint="default" w:ascii="Times New Roman" w:hAnsi="Times New Roman" w:cs="Times New Roman"/>
          <w:color w:val="auto"/>
          <w:u w:val="none" w:color="auto"/>
        </w:rPr>
        <w:t>生态环境</w:t>
      </w:r>
      <w:bookmarkEnd w:id="97"/>
      <w:bookmarkEnd w:id="98"/>
      <w:bookmarkEnd w:id="99"/>
      <w:r>
        <w:rPr>
          <w:rFonts w:hint="default" w:ascii="Times New Roman" w:hAnsi="Times New Roman" w:cs="Times New Roman"/>
          <w:color w:val="auto"/>
          <w:u w:val="none" w:color="auto"/>
        </w:rPr>
        <w:t>评价等级</w:t>
      </w:r>
    </w:p>
    <w:p w14:paraId="0D73A12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生态影响》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HJ19-20</w:t>
      </w:r>
      <w:r>
        <w:rPr>
          <w:rFonts w:hint="default" w:ascii="Times New Roman" w:hAnsi="Times New Roman" w:cs="Times New Roman"/>
          <w:color w:val="auto"/>
          <w:u w:val="none" w:color="auto"/>
          <w:lang w:val="en-US" w:eastAsia="zh-CN"/>
        </w:rPr>
        <w:t>22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6.1.2章节内容确定评价等级:</w:t>
      </w:r>
    </w:p>
    <w:p w14:paraId="1F694C84">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default" w:ascii="Times New Roman" w:hAnsi="Times New Roman" w:cs="Times New Roman"/>
          <w:color w:val="auto"/>
          <w:u w:val="none" w:color="auto"/>
          <w:lang w:val="en-US" w:eastAsia="zh-CN"/>
        </w:rPr>
        <w:t>2.5-</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生态影响评价等级判定情况一览表</w:t>
      </w:r>
    </w:p>
    <w:tbl>
      <w:tblPr>
        <w:tblStyle w:val="162"/>
        <w:tblW w:w="836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3"/>
        <w:gridCol w:w="3742"/>
        <w:gridCol w:w="1862"/>
        <w:gridCol w:w="1011"/>
        <w:gridCol w:w="936"/>
      </w:tblGrid>
      <w:tr w14:paraId="5F7CC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restart"/>
            <w:tcBorders>
              <w:tl2br w:val="nil"/>
              <w:tr2bl w:val="nil"/>
            </w:tcBorders>
            <w:vAlign w:val="center"/>
          </w:tcPr>
          <w:p w14:paraId="54D68E5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序号</w:t>
            </w:r>
          </w:p>
        </w:tc>
        <w:tc>
          <w:tcPr>
            <w:tcW w:w="3742" w:type="dxa"/>
            <w:vMerge w:val="restart"/>
            <w:tcBorders>
              <w:tl2br w:val="nil"/>
              <w:tr2bl w:val="nil"/>
            </w:tcBorders>
            <w:vAlign w:val="center"/>
          </w:tcPr>
          <w:p w14:paraId="70E4811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原则</w:t>
            </w:r>
          </w:p>
        </w:tc>
        <w:tc>
          <w:tcPr>
            <w:tcW w:w="1862" w:type="dxa"/>
            <w:vMerge w:val="restart"/>
            <w:tcBorders>
              <w:tl2br w:val="nil"/>
              <w:tr2bl w:val="nil"/>
            </w:tcBorders>
            <w:vAlign w:val="center"/>
          </w:tcPr>
          <w:p w14:paraId="3C0E814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项目情况</w:t>
            </w:r>
          </w:p>
        </w:tc>
        <w:tc>
          <w:tcPr>
            <w:tcW w:w="1947" w:type="dxa"/>
            <w:gridSpan w:val="2"/>
            <w:tcBorders>
              <w:tl2br w:val="nil"/>
              <w:tr2bl w:val="nil"/>
            </w:tcBorders>
            <w:vAlign w:val="center"/>
          </w:tcPr>
          <w:p w14:paraId="50AFC73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评价等级</w:t>
            </w:r>
          </w:p>
        </w:tc>
      </w:tr>
      <w:tr w14:paraId="110891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0694D443">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vMerge w:val="continue"/>
            <w:tcBorders>
              <w:tl2br w:val="nil"/>
              <w:tr2bl w:val="nil"/>
            </w:tcBorders>
            <w:vAlign w:val="center"/>
          </w:tcPr>
          <w:p w14:paraId="497C3E70">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62" w:type="dxa"/>
            <w:vMerge w:val="continue"/>
            <w:tcBorders>
              <w:tl2br w:val="nil"/>
              <w:tr2bl w:val="nil"/>
            </w:tcBorders>
            <w:vAlign w:val="center"/>
          </w:tcPr>
          <w:p w14:paraId="01EBBD39">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011" w:type="dxa"/>
            <w:tcBorders>
              <w:tl2br w:val="nil"/>
              <w:tr2bl w:val="nil"/>
            </w:tcBorders>
            <w:vAlign w:val="center"/>
          </w:tcPr>
          <w:p w14:paraId="1FB08D07">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陆生生态</w:t>
            </w:r>
          </w:p>
        </w:tc>
        <w:tc>
          <w:tcPr>
            <w:tcW w:w="936" w:type="dxa"/>
            <w:tcBorders>
              <w:tl2br w:val="nil"/>
              <w:tr2bl w:val="nil"/>
            </w:tcBorders>
            <w:vAlign w:val="center"/>
          </w:tcPr>
          <w:p w14:paraId="04DD29A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水生生态</w:t>
            </w:r>
          </w:p>
        </w:tc>
      </w:tr>
      <w:tr w14:paraId="05F9E4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5B2E38E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a</w:t>
            </w:r>
          </w:p>
        </w:tc>
        <w:tc>
          <w:tcPr>
            <w:tcW w:w="3742" w:type="dxa"/>
            <w:tcBorders>
              <w:tl2br w:val="nil"/>
              <w:tr2bl w:val="nil"/>
            </w:tcBorders>
            <w:vAlign w:val="center"/>
          </w:tcPr>
          <w:p w14:paraId="4D2ACD9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涉及国家公园、自然保护区、世界自然遗产、重要生境时，评价等级为一级；</w:t>
            </w:r>
          </w:p>
        </w:tc>
        <w:tc>
          <w:tcPr>
            <w:tcW w:w="1862" w:type="dxa"/>
            <w:tcBorders>
              <w:tl2br w:val="nil"/>
              <w:tr2bl w:val="nil"/>
            </w:tcBorders>
            <w:vAlign w:val="center"/>
          </w:tcPr>
          <w:p w14:paraId="5C4BA67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不涉及</w:t>
            </w:r>
          </w:p>
        </w:tc>
        <w:tc>
          <w:tcPr>
            <w:tcW w:w="1011" w:type="dxa"/>
            <w:tcBorders>
              <w:tl2br w:val="nil"/>
              <w:tr2bl w:val="nil"/>
            </w:tcBorders>
            <w:vAlign w:val="center"/>
          </w:tcPr>
          <w:p w14:paraId="1EFA9EA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52C0847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7008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D737D7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b</w:t>
            </w:r>
          </w:p>
        </w:tc>
        <w:tc>
          <w:tcPr>
            <w:tcW w:w="3742" w:type="dxa"/>
            <w:tcBorders>
              <w:tl2br w:val="nil"/>
              <w:tr2bl w:val="nil"/>
            </w:tcBorders>
            <w:vAlign w:val="center"/>
          </w:tcPr>
          <w:p w14:paraId="3A51E70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涉及自然公园时，评价等级为二级；</w:t>
            </w:r>
          </w:p>
        </w:tc>
        <w:tc>
          <w:tcPr>
            <w:tcW w:w="1862" w:type="dxa"/>
            <w:tcBorders>
              <w:tl2br w:val="nil"/>
              <w:tr2bl w:val="nil"/>
            </w:tcBorders>
            <w:vAlign w:val="center"/>
          </w:tcPr>
          <w:p w14:paraId="4B092DCA">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不涉及</w:t>
            </w:r>
          </w:p>
        </w:tc>
        <w:tc>
          <w:tcPr>
            <w:tcW w:w="1011" w:type="dxa"/>
            <w:tcBorders>
              <w:tl2br w:val="nil"/>
              <w:tr2bl w:val="nil"/>
            </w:tcBorders>
            <w:vAlign w:val="center"/>
          </w:tcPr>
          <w:p w14:paraId="52E474F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5BA5DF21">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28617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CE1202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w:t>
            </w:r>
          </w:p>
        </w:tc>
        <w:tc>
          <w:tcPr>
            <w:tcW w:w="3742" w:type="dxa"/>
            <w:tcBorders>
              <w:tl2br w:val="nil"/>
              <w:tr2bl w:val="nil"/>
            </w:tcBorders>
            <w:vAlign w:val="center"/>
          </w:tcPr>
          <w:p w14:paraId="4477571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涉及生态保护红线时，评价等级不低于二级；</w:t>
            </w:r>
          </w:p>
        </w:tc>
        <w:tc>
          <w:tcPr>
            <w:tcW w:w="1862" w:type="dxa"/>
            <w:tcBorders>
              <w:tl2br w:val="nil"/>
              <w:tr2bl w:val="nil"/>
            </w:tcBorders>
            <w:vAlign w:val="center"/>
          </w:tcPr>
          <w:p w14:paraId="1E82D67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eastAsia" w:cs="Times New Roman"/>
                <w:color w:val="auto"/>
                <w:sz w:val="21"/>
                <w:szCs w:val="21"/>
                <w:u w:val="none" w:color="auto"/>
                <w:lang w:val="en-US" w:eastAsia="zh-CN"/>
              </w:rPr>
              <w:t>不涉及</w:t>
            </w:r>
          </w:p>
        </w:tc>
        <w:tc>
          <w:tcPr>
            <w:tcW w:w="1011" w:type="dxa"/>
            <w:tcBorders>
              <w:tl2br w:val="nil"/>
              <w:tr2bl w:val="nil"/>
            </w:tcBorders>
            <w:vAlign w:val="center"/>
          </w:tcPr>
          <w:p w14:paraId="306CDCCE">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261B9EC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0C9AF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516CA9F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t>
            </w:r>
          </w:p>
        </w:tc>
        <w:tc>
          <w:tcPr>
            <w:tcW w:w="3742" w:type="dxa"/>
            <w:tcBorders>
              <w:tl2br w:val="nil"/>
              <w:tr2bl w:val="nil"/>
            </w:tcBorders>
            <w:vAlign w:val="center"/>
          </w:tcPr>
          <w:p w14:paraId="74342EE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根据HJ2.3判断属于水文要素影响型且地表水评价等级不低于二级的建设项目，生态影响评价等级不低于二级；</w:t>
            </w:r>
          </w:p>
        </w:tc>
        <w:tc>
          <w:tcPr>
            <w:tcW w:w="1862" w:type="dxa"/>
            <w:tcBorders>
              <w:tl2br w:val="nil"/>
              <w:tr2bl w:val="nil"/>
            </w:tcBorders>
            <w:vAlign w:val="center"/>
          </w:tcPr>
          <w:p w14:paraId="24820CD8">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项目文要素影响型地表水评价等级</w:t>
            </w:r>
            <w:r>
              <w:rPr>
                <w:rFonts w:hint="default" w:ascii="Times New Roman" w:hAnsi="Times New Roman" w:eastAsia="宋体" w:cs="Times New Roman"/>
                <w:color w:val="auto"/>
                <w:sz w:val="21"/>
                <w:szCs w:val="21"/>
                <w:u w:val="none" w:color="auto"/>
                <w:lang w:val="en-US" w:eastAsia="zh-CN"/>
              </w:rPr>
              <w:t>二级</w:t>
            </w:r>
          </w:p>
        </w:tc>
        <w:tc>
          <w:tcPr>
            <w:tcW w:w="1011" w:type="dxa"/>
            <w:tcBorders>
              <w:tl2br w:val="nil"/>
              <w:tr2bl w:val="nil"/>
            </w:tcBorders>
            <w:vAlign w:val="center"/>
          </w:tcPr>
          <w:p w14:paraId="42174C4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088CB93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6EABFD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03BC72E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w:t>
            </w:r>
          </w:p>
        </w:tc>
        <w:tc>
          <w:tcPr>
            <w:tcW w:w="3742" w:type="dxa"/>
            <w:tcBorders>
              <w:tl2br w:val="nil"/>
              <w:tr2bl w:val="nil"/>
            </w:tcBorders>
            <w:vAlign w:val="center"/>
          </w:tcPr>
          <w:p w14:paraId="4C193B8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根据HJ610、HJ964判断地下水水位或土壤影响范围内分布有天然林、公益林、湿地等生态保护目标的建设项目，生态影响评价等级不低于二级；</w:t>
            </w:r>
          </w:p>
        </w:tc>
        <w:tc>
          <w:tcPr>
            <w:tcW w:w="1862" w:type="dxa"/>
            <w:tcBorders>
              <w:tl2br w:val="nil"/>
              <w:tr2bl w:val="nil"/>
            </w:tcBorders>
            <w:vAlign w:val="center"/>
          </w:tcPr>
          <w:p w14:paraId="7A89E0A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Arial" w:cs="Times New Roman"/>
                <w:snapToGrid w:val="0"/>
                <w:color w:val="000000"/>
                <w:kern w:val="0"/>
                <w:sz w:val="21"/>
                <w:szCs w:val="21"/>
                <w:lang w:val="en-US" w:eastAsia="en-US" w:bidi="ar-SA"/>
              </w:rPr>
              <w:t>地下水评价等级三级、</w:t>
            </w:r>
            <w:r>
              <w:rPr>
                <w:rFonts w:hint="default" w:ascii="Times New Roman" w:hAnsi="Times New Roman" w:cs="Times New Roman"/>
                <w:color w:val="auto"/>
                <w:sz w:val="21"/>
                <w:szCs w:val="21"/>
                <w:u w:val="none" w:color="auto"/>
                <w:lang w:val="en-US" w:eastAsia="zh-CN"/>
              </w:rPr>
              <w:t>土壤环境影响评价等级为三级</w:t>
            </w:r>
          </w:p>
        </w:tc>
        <w:tc>
          <w:tcPr>
            <w:tcW w:w="1011" w:type="dxa"/>
            <w:tcBorders>
              <w:tl2br w:val="nil"/>
              <w:tr2bl w:val="nil"/>
            </w:tcBorders>
            <w:vAlign w:val="center"/>
          </w:tcPr>
          <w:p w14:paraId="3D7A8C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2C78244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813D8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7DBC0BD7">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f</w:t>
            </w:r>
          </w:p>
        </w:tc>
        <w:tc>
          <w:tcPr>
            <w:tcW w:w="3742" w:type="dxa"/>
            <w:tcBorders>
              <w:tl2br w:val="nil"/>
              <w:tr2bl w:val="nil"/>
            </w:tcBorders>
            <w:vAlign w:val="center"/>
          </w:tcPr>
          <w:p w14:paraId="31F9931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当工程占地规模大于20k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eastAsia="宋体" w:cs="Times New Roman"/>
                <w:color w:val="auto"/>
                <w:sz w:val="21"/>
                <w:szCs w:val="21"/>
                <w:u w:val="none" w:color="auto"/>
              </w:rPr>
              <w:t>时</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包括永久和临时占用陆域和水域</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，评价等级不低于二级；改扩建项目的占地范围以新增占地</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包括陆域和水域</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确定；</w:t>
            </w:r>
          </w:p>
        </w:tc>
        <w:tc>
          <w:tcPr>
            <w:tcW w:w="1862" w:type="dxa"/>
            <w:tcBorders>
              <w:tl2br w:val="nil"/>
              <w:tr2bl w:val="nil"/>
            </w:tcBorders>
            <w:vAlign w:val="center"/>
          </w:tcPr>
          <w:p w14:paraId="3F02FE60">
            <w:pPr>
              <w:spacing w:line="240" w:lineRule="auto"/>
              <w:ind w:firstLine="0" w:firstLineChars="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项目</w:t>
            </w:r>
            <w:r>
              <w:rPr>
                <w:rFonts w:hint="default" w:ascii="Times New Roman" w:hAnsi="Times New Roman" w:cs="Times New Roman"/>
                <w:color w:val="auto"/>
                <w:sz w:val="21"/>
                <w:szCs w:val="21"/>
                <w:u w:val="none" w:color="auto"/>
                <w:lang w:val="en-US" w:eastAsia="zh-CN"/>
              </w:rPr>
              <w:t>改建不新增永久占地</w:t>
            </w:r>
            <w:r>
              <w:rPr>
                <w:rFonts w:hint="default" w:ascii="Times New Roman" w:hAnsi="Times New Roman" w:cs="Times New Roman"/>
                <w:color w:val="auto"/>
                <w:sz w:val="21"/>
                <w:szCs w:val="21"/>
                <w:u w:val="none" w:color="auto"/>
              </w:rPr>
              <w:t>，</w:t>
            </w:r>
            <w:r>
              <w:rPr>
                <w:rFonts w:hint="default" w:ascii="Times New Roman" w:hAnsi="Times New Roman" w:cs="Times New Roman"/>
                <w:color w:val="auto"/>
                <w:sz w:val="21"/>
                <w:szCs w:val="21"/>
                <w:u w:val="none" w:color="auto"/>
                <w:lang w:val="en-US" w:eastAsia="zh-CN"/>
              </w:rPr>
              <w:t>临时占地为</w:t>
            </w:r>
            <w:r>
              <w:rPr>
                <w:rFonts w:hint="eastAsia" w:cs="Times New Roman"/>
                <w:color w:val="auto"/>
                <w:sz w:val="21"/>
                <w:szCs w:val="21"/>
                <w:u w:val="none" w:color="auto"/>
                <w:lang w:val="en-US" w:eastAsia="zh-CN"/>
              </w:rPr>
              <w:t>0.00709</w:t>
            </w:r>
            <w:r>
              <w:rPr>
                <w:rFonts w:hint="default" w:ascii="Times New Roman" w:hAnsi="Times New Roman" w:cs="Times New Roman"/>
                <w:color w:val="auto"/>
                <w:sz w:val="21"/>
                <w:szCs w:val="21"/>
                <w:u w:val="none" w:color="auto"/>
              </w:rPr>
              <w:t>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小于20k</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p>
        </w:tc>
        <w:tc>
          <w:tcPr>
            <w:tcW w:w="1011" w:type="dxa"/>
            <w:tcBorders>
              <w:tl2br w:val="nil"/>
              <w:tr2bl w:val="nil"/>
            </w:tcBorders>
            <w:vAlign w:val="center"/>
          </w:tcPr>
          <w:p w14:paraId="47F8B4B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19C96A5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7EB8DA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3F9E088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w:t>
            </w:r>
          </w:p>
        </w:tc>
        <w:tc>
          <w:tcPr>
            <w:tcW w:w="3742" w:type="dxa"/>
            <w:tcBorders>
              <w:tl2br w:val="nil"/>
              <w:tr2bl w:val="nil"/>
            </w:tcBorders>
            <w:vAlign w:val="center"/>
          </w:tcPr>
          <w:p w14:paraId="515343F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除本条a)、b)、c)、d)、e)、f</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以外的情况，评价等级为三级；</w:t>
            </w:r>
          </w:p>
        </w:tc>
        <w:tc>
          <w:tcPr>
            <w:tcW w:w="1862" w:type="dxa"/>
            <w:tcBorders>
              <w:tl2br w:val="nil"/>
              <w:tr2bl w:val="nil"/>
            </w:tcBorders>
            <w:vAlign w:val="center"/>
          </w:tcPr>
          <w:p w14:paraId="54ABD626">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本项目</w:t>
            </w:r>
            <w:r>
              <w:rPr>
                <w:rFonts w:hint="default" w:ascii="Times New Roman" w:hAnsi="Times New Roman" w:cs="Times New Roman"/>
                <w:color w:val="auto"/>
                <w:sz w:val="21"/>
                <w:szCs w:val="21"/>
                <w:u w:val="none" w:color="auto"/>
                <w:lang w:val="en-US" w:eastAsia="zh-CN"/>
              </w:rPr>
              <w:t>涉及</w:t>
            </w:r>
            <w:r>
              <w:rPr>
                <w:rFonts w:hint="default" w:ascii="Times New Roman" w:hAnsi="Times New Roman" w:cs="Times New Roman"/>
                <w:color w:val="auto"/>
                <w:sz w:val="21"/>
                <w:szCs w:val="21"/>
                <w:u w:val="none" w:color="auto"/>
              </w:rPr>
              <w:t>d</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的情况</w:t>
            </w:r>
          </w:p>
        </w:tc>
        <w:tc>
          <w:tcPr>
            <w:tcW w:w="1011" w:type="dxa"/>
            <w:tcBorders>
              <w:tl2br w:val="nil"/>
              <w:tr2bl w:val="nil"/>
            </w:tcBorders>
            <w:vAlign w:val="center"/>
          </w:tcPr>
          <w:p w14:paraId="79D7D966">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1A17B0A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1AF8CD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tcBorders>
              <w:tl2br w:val="nil"/>
              <w:tr2bl w:val="nil"/>
            </w:tcBorders>
            <w:vAlign w:val="center"/>
          </w:tcPr>
          <w:p w14:paraId="231C2A3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h</w:t>
            </w:r>
          </w:p>
        </w:tc>
        <w:tc>
          <w:tcPr>
            <w:tcW w:w="3742" w:type="dxa"/>
            <w:tcBorders>
              <w:tl2br w:val="nil"/>
              <w:tr2bl w:val="nil"/>
            </w:tcBorders>
            <w:vAlign w:val="center"/>
          </w:tcPr>
          <w:p w14:paraId="2ECB874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当评价等级判定同时符合上述多种情况时，应采用其中最高的评价等级。</w:t>
            </w:r>
          </w:p>
        </w:tc>
        <w:tc>
          <w:tcPr>
            <w:tcW w:w="1862" w:type="dxa"/>
            <w:tcBorders>
              <w:tl2br w:val="nil"/>
              <w:tr2bl w:val="nil"/>
            </w:tcBorders>
            <w:vAlign w:val="center"/>
          </w:tcPr>
          <w:p w14:paraId="6BD17E92">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最高为二级</w:t>
            </w:r>
          </w:p>
        </w:tc>
        <w:tc>
          <w:tcPr>
            <w:tcW w:w="1011" w:type="dxa"/>
            <w:tcBorders>
              <w:tl2br w:val="nil"/>
              <w:tr2bl w:val="nil"/>
            </w:tcBorders>
            <w:vAlign w:val="center"/>
          </w:tcPr>
          <w:p w14:paraId="4C70973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936" w:type="dxa"/>
            <w:tcBorders>
              <w:tl2br w:val="nil"/>
              <w:tr2bl w:val="nil"/>
            </w:tcBorders>
            <w:vAlign w:val="center"/>
          </w:tcPr>
          <w:p w14:paraId="6D6B9C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r>
      <w:tr w14:paraId="6427B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restart"/>
            <w:tcBorders>
              <w:tl2br w:val="nil"/>
              <w:tr2bl w:val="nil"/>
            </w:tcBorders>
            <w:vAlign w:val="center"/>
          </w:tcPr>
          <w:p w14:paraId="75645AD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w:t>
            </w:r>
          </w:p>
        </w:tc>
        <w:tc>
          <w:tcPr>
            <w:tcW w:w="3742" w:type="dxa"/>
            <w:tcBorders>
              <w:tl2br w:val="nil"/>
              <w:tr2bl w:val="nil"/>
            </w:tcBorders>
            <w:vAlign w:val="center"/>
          </w:tcPr>
          <w:p w14:paraId="3A154635">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建设项目涉及经论证对保护生物多样性具有重要意义的区域时，可适当上调评价等级。</w:t>
            </w:r>
          </w:p>
        </w:tc>
        <w:tc>
          <w:tcPr>
            <w:tcW w:w="1862" w:type="dxa"/>
            <w:tcBorders>
              <w:tl2br w:val="nil"/>
              <w:tr2bl w:val="nil"/>
            </w:tcBorders>
            <w:vAlign w:val="center"/>
          </w:tcPr>
          <w:p w14:paraId="51D7EEC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项目不涉及各类自然保护地</w:t>
            </w:r>
          </w:p>
        </w:tc>
        <w:tc>
          <w:tcPr>
            <w:tcW w:w="1011" w:type="dxa"/>
            <w:tcBorders>
              <w:tl2br w:val="nil"/>
              <w:tr2bl w:val="nil"/>
            </w:tcBorders>
            <w:vAlign w:val="center"/>
          </w:tcPr>
          <w:p w14:paraId="316E7095">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422A442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377846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6A6D45E7">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717184CA">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在矿山开采可能导致矿区土地利用类型明显改变，或拦河闸坝建设可能明显改变水文情势等情况下，评价等级应上调一级。</w:t>
            </w:r>
          </w:p>
        </w:tc>
        <w:tc>
          <w:tcPr>
            <w:tcW w:w="1862" w:type="dxa"/>
            <w:tcBorders>
              <w:tl2br w:val="nil"/>
              <w:tr2bl w:val="nil"/>
            </w:tcBorders>
            <w:vAlign w:val="center"/>
          </w:tcPr>
          <w:p w14:paraId="66CC56AC">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项目</w:t>
            </w:r>
            <w:r>
              <w:rPr>
                <w:rFonts w:hint="default" w:ascii="Times New Roman" w:hAnsi="Times New Roman" w:eastAsia="宋体" w:cs="Times New Roman"/>
                <w:color w:val="auto"/>
                <w:sz w:val="21"/>
                <w:szCs w:val="21"/>
                <w:u w:val="none" w:color="auto"/>
              </w:rPr>
              <w:t>拦河闸坝</w:t>
            </w:r>
            <w:r>
              <w:rPr>
                <w:rFonts w:hint="default" w:ascii="Times New Roman" w:hAnsi="Times New Roman" w:eastAsia="宋体" w:cs="Times New Roman"/>
                <w:color w:val="auto"/>
                <w:sz w:val="21"/>
                <w:szCs w:val="21"/>
                <w:u w:val="none" w:color="auto"/>
                <w:lang w:val="en-US" w:eastAsia="zh-CN"/>
              </w:rPr>
              <w:t>已存在多年，本次改建后不改变现有</w:t>
            </w:r>
            <w:r>
              <w:rPr>
                <w:rFonts w:hint="default" w:ascii="Times New Roman" w:hAnsi="Times New Roman" w:eastAsia="宋体" w:cs="Times New Roman"/>
                <w:color w:val="auto"/>
                <w:sz w:val="21"/>
                <w:szCs w:val="21"/>
                <w:u w:val="none" w:color="auto"/>
              </w:rPr>
              <w:t>水文情势</w:t>
            </w:r>
          </w:p>
        </w:tc>
        <w:tc>
          <w:tcPr>
            <w:tcW w:w="1011" w:type="dxa"/>
            <w:tcBorders>
              <w:tl2br w:val="nil"/>
              <w:tr2bl w:val="nil"/>
            </w:tcBorders>
            <w:vAlign w:val="center"/>
          </w:tcPr>
          <w:p w14:paraId="36D34E7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71119FE0">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77B68E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37972FD0">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7AFB62E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线性工程可分段确定评价等级。线性工程地下穿越或地表跨越生态敏感区，在生态敏感区范围内无永久、临时占地时，评价等级可下调一级。</w:t>
            </w:r>
          </w:p>
        </w:tc>
        <w:tc>
          <w:tcPr>
            <w:tcW w:w="1862" w:type="dxa"/>
            <w:tcBorders>
              <w:tl2br w:val="nil"/>
              <w:tr2bl w:val="nil"/>
            </w:tcBorders>
            <w:vAlign w:val="center"/>
          </w:tcPr>
          <w:p w14:paraId="68B049B1">
            <w:pPr>
              <w:spacing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不属于线性工程</w:t>
            </w:r>
          </w:p>
        </w:tc>
        <w:tc>
          <w:tcPr>
            <w:tcW w:w="1011" w:type="dxa"/>
            <w:tcBorders>
              <w:tl2br w:val="nil"/>
              <w:tr2bl w:val="nil"/>
            </w:tcBorders>
            <w:vAlign w:val="center"/>
          </w:tcPr>
          <w:p w14:paraId="7940634B">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71B4A5DF">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208E49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4B5C024F">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18BCF9F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涉海工程评价等级判定参照GB/T19485。</w:t>
            </w:r>
          </w:p>
        </w:tc>
        <w:tc>
          <w:tcPr>
            <w:tcW w:w="1862" w:type="dxa"/>
            <w:tcBorders>
              <w:tl2br w:val="nil"/>
              <w:tr2bl w:val="nil"/>
            </w:tcBorders>
            <w:vAlign w:val="center"/>
          </w:tcPr>
          <w:p w14:paraId="4F15ACDE">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不涉海</w:t>
            </w:r>
          </w:p>
        </w:tc>
        <w:tc>
          <w:tcPr>
            <w:tcW w:w="1011" w:type="dxa"/>
            <w:tcBorders>
              <w:tl2br w:val="nil"/>
              <w:tr2bl w:val="nil"/>
            </w:tcBorders>
            <w:vAlign w:val="center"/>
          </w:tcPr>
          <w:p w14:paraId="6F9833D8">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10D7A213">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1D813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13" w:type="dxa"/>
            <w:vMerge w:val="continue"/>
            <w:tcBorders>
              <w:tl2br w:val="nil"/>
              <w:tr2bl w:val="nil"/>
            </w:tcBorders>
            <w:vAlign w:val="center"/>
          </w:tcPr>
          <w:p w14:paraId="0DA8DDEC">
            <w:pPr>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42" w:type="dxa"/>
            <w:tcBorders>
              <w:tl2br w:val="nil"/>
              <w:tr2bl w:val="nil"/>
            </w:tcBorders>
            <w:vAlign w:val="center"/>
          </w:tcPr>
          <w:p w14:paraId="4E81C2A4">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符合生态环境分区管控要求且位于原厂界</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或永久用地</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范围内的污染影响类改扩建项目，位于已批准规划环评的产业园区内且符合规划环评要求、不涉及生态敏感区的污染影响类建设项目，可不确定评价等级，直接进行生态影响简单分析</w:t>
            </w:r>
          </w:p>
        </w:tc>
        <w:tc>
          <w:tcPr>
            <w:tcW w:w="1862" w:type="dxa"/>
            <w:tcBorders>
              <w:tl2br w:val="nil"/>
              <w:tr2bl w:val="nil"/>
            </w:tcBorders>
            <w:vAlign w:val="center"/>
          </w:tcPr>
          <w:p w14:paraId="2DB7B6C9">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非污染影响类</w:t>
            </w:r>
          </w:p>
        </w:tc>
        <w:tc>
          <w:tcPr>
            <w:tcW w:w="1011" w:type="dxa"/>
            <w:tcBorders>
              <w:tl2br w:val="nil"/>
              <w:tr2bl w:val="nil"/>
            </w:tcBorders>
            <w:vAlign w:val="center"/>
          </w:tcPr>
          <w:p w14:paraId="6A4A74DC">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936" w:type="dxa"/>
            <w:tcBorders>
              <w:tl2br w:val="nil"/>
              <w:tr2bl w:val="nil"/>
            </w:tcBorders>
            <w:vAlign w:val="center"/>
          </w:tcPr>
          <w:p w14:paraId="0F549BCD">
            <w:pPr>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bl>
    <w:p w14:paraId="09E50F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综上分析，本项目生态环境影响评价等级判定为二级</w:t>
      </w:r>
      <w:r>
        <w:rPr>
          <w:rFonts w:hint="default" w:ascii="Times New Roman" w:hAnsi="Times New Roman" w:cs="Times New Roman"/>
          <w:color w:val="auto"/>
          <w:u w:val="none" w:color="auto"/>
        </w:rPr>
        <w:t>。</w:t>
      </w:r>
    </w:p>
    <w:p w14:paraId="4532CB7F">
      <w:pPr>
        <w:pStyle w:val="4"/>
        <w:rPr>
          <w:rFonts w:hint="default" w:ascii="Times New Roman" w:hAnsi="Times New Roman" w:cs="Times New Roman"/>
          <w:color w:val="auto"/>
          <w:u w:val="none" w:color="auto"/>
        </w:rPr>
      </w:pPr>
      <w:bookmarkStart w:id="100" w:name="_Toc494233717"/>
      <w:bookmarkStart w:id="101" w:name="_Toc22798"/>
      <w:bookmarkStart w:id="102" w:name="_Toc22963"/>
      <w:r>
        <w:rPr>
          <w:rFonts w:hint="default" w:ascii="Times New Roman" w:hAnsi="Times New Roman" w:cs="Times New Roman"/>
          <w:color w:val="auto"/>
          <w:u w:val="none" w:color="auto"/>
        </w:rPr>
        <w:t>环境风险</w:t>
      </w:r>
      <w:bookmarkEnd w:id="100"/>
      <w:bookmarkEnd w:id="101"/>
      <w:bookmarkEnd w:id="102"/>
      <w:r>
        <w:rPr>
          <w:rFonts w:hint="default" w:ascii="Times New Roman" w:hAnsi="Times New Roman" w:cs="Times New Roman"/>
          <w:color w:val="auto"/>
          <w:u w:val="none" w:color="auto"/>
        </w:rPr>
        <w:t>评价等级</w:t>
      </w:r>
    </w:p>
    <w:p w14:paraId="6C97C1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属于水库除险加固工程，在工程运行过程中不贮存、使用及生产附录B中提及的风险物质，无重大危险源。本工程施工期危险物质主要为油料。项目施工机械所用柴油均到附近油站加油，施工区无柴油储存，炸药由民爆公司采用专用车辆运输至施工现场，不设储存。</w:t>
      </w:r>
    </w:p>
    <w:p w14:paraId="4E4111C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1、项目危险物质数量与临界量比值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判定</w:t>
      </w:r>
    </w:p>
    <w:p w14:paraId="233EC29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附录C，只涉及一种危险物质时，计算该物质的总量</w:t>
      </w:r>
      <w:r>
        <w:rPr>
          <w:rFonts w:hint="default" w:ascii="Times New Roman" w:hAnsi="Times New Roman" w:cs="Times New Roman"/>
          <w:color w:val="auto"/>
          <w:u w:val="none" w:color="auto"/>
          <w:lang w:val="en-US" w:eastAsia="zh-CN"/>
        </w:rPr>
        <w:t>与</w:t>
      </w:r>
      <w:r>
        <w:rPr>
          <w:rFonts w:hint="default" w:ascii="Times New Roman" w:hAnsi="Times New Roman" w:cs="Times New Roman"/>
          <w:color w:val="auto"/>
          <w:u w:val="none" w:color="auto"/>
        </w:rPr>
        <w:t>其临界量比值，即为Q，当存在多种危险物质时，则按下式计算物质总量与其临界量比值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9F7FCAD">
      <w:pPr>
        <w:pStyle w:val="16"/>
        <w:ind w:firstLine="48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1730375" cy="629920"/>
            <wp:effectExtent l="0" t="0" r="3175" b="17780"/>
            <wp:docPr id="20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1"/>
                    <pic:cNvPicPr>
                      <a:picLocks noChangeAspect="1"/>
                    </pic:cNvPicPr>
                  </pic:nvPicPr>
                  <pic:blipFill>
                    <a:blip r:embed="rId24"/>
                    <a:stretch>
                      <a:fillRect/>
                    </a:stretch>
                  </pic:blipFill>
                  <pic:spPr>
                    <a:xfrm>
                      <a:off x="0" y="0"/>
                      <a:ext cx="1730375" cy="629920"/>
                    </a:xfrm>
                    <a:prstGeom prst="rect">
                      <a:avLst/>
                    </a:prstGeom>
                    <a:noFill/>
                    <a:ln>
                      <a:noFill/>
                    </a:ln>
                  </pic:spPr>
                </pic:pic>
              </a:graphicData>
            </a:graphic>
          </wp:inline>
        </w:drawing>
      </w:r>
    </w:p>
    <w:p w14:paraId="2BE0CF2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每种环境风险物质的最大存在总量，t；</w:t>
      </w:r>
    </w:p>
    <w:p w14:paraId="19733EC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每种环境风险物质相对应的临界量，t。</w:t>
      </w:r>
    </w:p>
    <w:p w14:paraId="44426E8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当Q&lt;1时，项目风险潜势为I；</w:t>
      </w:r>
    </w:p>
    <w:p w14:paraId="2454F6E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当Q≥1时，将Q值划分为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1≤Q&lt;10，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10≤Q&lt;100，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Q≥100。</w:t>
      </w:r>
    </w:p>
    <w:p w14:paraId="5F4C460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本项目涉及</w:t>
      </w:r>
      <w:r>
        <w:rPr>
          <w:rFonts w:hint="eastAsia" w:cs="Times New Roman"/>
          <w:color w:val="auto"/>
          <w:u w:val="none" w:color="auto"/>
          <w:lang w:val="en-US" w:eastAsia="zh-CN"/>
        </w:rPr>
        <w:t>风险物质为施工期间施工机械使用的汽油及柴油</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Q=0</w:t>
      </w:r>
      <w:r>
        <w:rPr>
          <w:rFonts w:hint="eastAsia" w:cs="Times New Roman"/>
          <w:color w:val="auto"/>
          <w:u w:val="none" w:color="auto"/>
          <w:lang w:val="en-US" w:eastAsia="zh-CN"/>
        </w:rPr>
        <w:t>.0002</w:t>
      </w: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附录C，当Q&lt;1时，项目环境风险潜势为I。因此，本项目的风险潜势为I，环境风险评价等级为简单分析</w:t>
      </w:r>
      <w:r>
        <w:rPr>
          <w:rFonts w:hint="default" w:ascii="Times New Roman" w:hAnsi="Times New Roman" w:cs="Times New Roman"/>
          <w:color w:val="auto"/>
          <w:u w:val="none" w:color="auto"/>
          <w:lang w:eastAsia="zh-CN"/>
        </w:rPr>
        <w:t>。</w:t>
      </w:r>
    </w:p>
    <w:p w14:paraId="4BF5871C">
      <w:pPr>
        <w:pStyle w:val="181"/>
        <w:ind w:firstLine="48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w:t>
      </w:r>
      <w:r>
        <w:rPr>
          <w:rFonts w:hint="eastAsia" w:ascii="Times New Roman" w:hAnsi="Times New Roman" w:cs="Times New Roman"/>
          <w:color w:val="auto"/>
          <w:lang w:eastAsia="zh-CN"/>
        </w:rPr>
        <w:t>(</w:t>
      </w:r>
      <w:r>
        <w:rPr>
          <w:rFonts w:hint="default" w:ascii="Times New Roman" w:hAnsi="Times New Roman" w:cs="Times New Roman"/>
          <w:color w:val="auto"/>
        </w:rPr>
        <w:t>HJ169-2018</w:t>
      </w:r>
      <w:r>
        <w:rPr>
          <w:rFonts w:hint="eastAsia" w:ascii="Times New Roman" w:hAnsi="Times New Roman" w:cs="Times New Roman"/>
          <w:color w:val="auto"/>
          <w:lang w:eastAsia="zh-CN"/>
        </w:rPr>
        <w:t>)</w:t>
      </w:r>
      <w:r>
        <w:rPr>
          <w:rFonts w:hint="default" w:ascii="Times New Roman" w:hAnsi="Times New Roman" w:cs="Times New Roman"/>
          <w:color w:val="auto"/>
        </w:rPr>
        <w:t>中的有关规定，建设项目环境风险评价工作等级划分见表</w:t>
      </w:r>
      <w:r>
        <w:rPr>
          <w:rFonts w:hint="default" w:ascii="Times New Roman" w:hAnsi="Times New Roman" w:cs="Times New Roman"/>
          <w:color w:val="auto"/>
          <w:lang w:val="en-US" w:eastAsia="zh-CN"/>
        </w:rPr>
        <w:t>2.5</w:t>
      </w:r>
      <w:r>
        <w:rPr>
          <w:rFonts w:hint="default" w:ascii="Times New Roman" w:hAnsi="Times New Roman" w:cs="Times New Roman"/>
          <w:color w:val="auto"/>
        </w:rPr>
        <w:t>-</w:t>
      </w:r>
      <w:r>
        <w:rPr>
          <w:rFonts w:hint="eastAsia" w:cs="Times New Roman"/>
          <w:color w:val="auto"/>
          <w:lang w:val="en-US" w:eastAsia="zh-CN"/>
        </w:rPr>
        <w:t>7</w:t>
      </w:r>
      <w:r>
        <w:rPr>
          <w:rFonts w:hint="default" w:ascii="Times New Roman" w:hAnsi="Times New Roman" w:cs="Times New Roman"/>
          <w:color w:val="auto"/>
        </w:rPr>
        <w:t>。</w:t>
      </w:r>
    </w:p>
    <w:p w14:paraId="330DB898">
      <w:pPr>
        <w:pStyle w:val="179"/>
        <w:spacing w:line="240" w:lineRule="auto"/>
        <w:ind w:firstLine="422"/>
        <w:rPr>
          <w:rFonts w:hint="default" w:ascii="Times New Roman" w:hAnsi="Times New Roman" w:cs="Times New Roman"/>
          <w:color w:val="auto"/>
        </w:rPr>
      </w:pPr>
      <w:r>
        <w:rPr>
          <w:rFonts w:hint="default" w:ascii="Times New Roman" w:hAnsi="Times New Roman" w:cs="Times New Roman"/>
          <w:color w:val="auto"/>
        </w:rPr>
        <w:t>表2.5-</w:t>
      </w:r>
      <w:r>
        <w:rPr>
          <w:rFonts w:hint="eastAsia" w:hAnsi="Times New Roman" w:cs="Times New Roman"/>
          <w:color w:val="auto"/>
          <w:lang w:val="en-US" w:eastAsia="zh-CN"/>
        </w:rPr>
        <w:t>7</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 xml:space="preserve">  风险评价工作级别</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67F9F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14:paraId="7420F051">
            <w:pPr>
              <w:pStyle w:val="180"/>
              <w:rPr>
                <w:rFonts w:hint="default" w:ascii="Times New Roman" w:hAnsi="Times New Roman" w:cs="Times New Roman"/>
                <w:color w:val="auto"/>
              </w:rPr>
            </w:pPr>
            <w:r>
              <w:rPr>
                <w:rFonts w:hint="default" w:ascii="Times New Roman" w:hAnsi="Times New Roman" w:cs="Times New Roman"/>
                <w:color w:val="auto"/>
                <w:lang w:bidi="ar"/>
              </w:rPr>
              <w:t>环境风险潜势</w:t>
            </w:r>
          </w:p>
        </w:tc>
        <w:tc>
          <w:tcPr>
            <w:tcW w:w="1704" w:type="dxa"/>
            <w:noWrap w:val="0"/>
            <w:vAlign w:val="center"/>
          </w:tcPr>
          <w:p w14:paraId="11BB037F">
            <w:pPr>
              <w:pStyle w:val="180"/>
              <w:rPr>
                <w:rFonts w:hint="default" w:ascii="Times New Roman" w:hAnsi="Times New Roman" w:cs="Times New Roman"/>
                <w:color w:val="auto"/>
              </w:rPr>
            </w:pPr>
            <w:r>
              <w:rPr>
                <w:rFonts w:hint="default" w:ascii="Times New Roman" w:hAnsi="Times New Roman" w:cs="Times New Roman"/>
                <w:color w:val="auto"/>
              </w:rPr>
              <w:t>Ⅳ、Ⅳ</w:t>
            </w:r>
            <w:r>
              <w:rPr>
                <w:rFonts w:hint="default" w:ascii="Times New Roman" w:hAnsi="Times New Roman" w:cs="Times New Roman"/>
                <w:color w:val="auto"/>
                <w:vertAlign w:val="superscript"/>
              </w:rPr>
              <w:t>+</w:t>
            </w:r>
          </w:p>
        </w:tc>
        <w:tc>
          <w:tcPr>
            <w:tcW w:w="1704" w:type="dxa"/>
            <w:noWrap w:val="0"/>
            <w:vAlign w:val="center"/>
          </w:tcPr>
          <w:p w14:paraId="1CE8D7ED">
            <w:pPr>
              <w:pStyle w:val="180"/>
              <w:rPr>
                <w:rFonts w:hint="default" w:ascii="Times New Roman" w:hAnsi="Times New Roman" w:cs="Times New Roman"/>
                <w:color w:val="auto"/>
              </w:rPr>
            </w:pPr>
            <w:r>
              <w:rPr>
                <w:rFonts w:hint="default" w:ascii="Times New Roman" w:hAnsi="Times New Roman" w:cs="Times New Roman"/>
                <w:color w:val="auto"/>
              </w:rPr>
              <w:t>Ⅲ</w:t>
            </w:r>
          </w:p>
        </w:tc>
        <w:tc>
          <w:tcPr>
            <w:tcW w:w="1705" w:type="dxa"/>
            <w:noWrap w:val="0"/>
            <w:vAlign w:val="center"/>
          </w:tcPr>
          <w:p w14:paraId="2B290B12">
            <w:pPr>
              <w:pStyle w:val="180"/>
              <w:rPr>
                <w:rFonts w:hint="default" w:ascii="Times New Roman" w:hAnsi="Times New Roman" w:cs="Times New Roman"/>
                <w:color w:val="auto"/>
              </w:rPr>
            </w:pPr>
            <w:r>
              <w:rPr>
                <w:rFonts w:hint="default" w:ascii="Times New Roman" w:hAnsi="Times New Roman" w:cs="Times New Roman"/>
                <w:color w:val="auto"/>
              </w:rPr>
              <w:t>Ⅱ</w:t>
            </w:r>
          </w:p>
        </w:tc>
        <w:tc>
          <w:tcPr>
            <w:tcW w:w="1705" w:type="dxa"/>
            <w:noWrap w:val="0"/>
            <w:vAlign w:val="center"/>
          </w:tcPr>
          <w:p w14:paraId="49DB384A">
            <w:pPr>
              <w:pStyle w:val="180"/>
              <w:rPr>
                <w:rFonts w:hint="default" w:ascii="Times New Roman" w:hAnsi="Times New Roman" w:cs="Times New Roman"/>
                <w:color w:val="auto"/>
              </w:rPr>
            </w:pPr>
            <w:r>
              <w:rPr>
                <w:rFonts w:hint="default" w:ascii="Times New Roman" w:hAnsi="Times New Roman" w:cs="Times New Roman"/>
                <w:color w:val="auto"/>
              </w:rPr>
              <w:t>Ⅰ</w:t>
            </w:r>
          </w:p>
        </w:tc>
      </w:tr>
      <w:tr w14:paraId="655F3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14:paraId="57C51F6A">
            <w:pPr>
              <w:pStyle w:val="180"/>
              <w:rPr>
                <w:rFonts w:hint="default" w:ascii="Times New Roman" w:hAnsi="Times New Roman" w:cs="Times New Roman"/>
                <w:color w:val="auto"/>
              </w:rPr>
            </w:pPr>
            <w:r>
              <w:rPr>
                <w:rFonts w:hint="default" w:ascii="Times New Roman" w:hAnsi="Times New Roman" w:cs="Times New Roman"/>
                <w:color w:val="auto"/>
                <w:lang w:bidi="ar"/>
              </w:rPr>
              <w:t>评价工作等级</w:t>
            </w:r>
          </w:p>
        </w:tc>
        <w:tc>
          <w:tcPr>
            <w:tcW w:w="1704" w:type="dxa"/>
            <w:noWrap w:val="0"/>
            <w:vAlign w:val="center"/>
          </w:tcPr>
          <w:p w14:paraId="6968EB24">
            <w:pPr>
              <w:pStyle w:val="180"/>
              <w:rPr>
                <w:rFonts w:hint="default" w:ascii="Times New Roman" w:hAnsi="Times New Roman" w:cs="Times New Roman"/>
                <w:color w:val="auto"/>
              </w:rPr>
            </w:pPr>
            <w:r>
              <w:rPr>
                <w:rFonts w:hint="default" w:ascii="Times New Roman" w:hAnsi="Times New Roman" w:cs="Times New Roman"/>
                <w:color w:val="auto"/>
                <w:lang w:bidi="ar"/>
              </w:rPr>
              <w:t>一</w:t>
            </w:r>
          </w:p>
        </w:tc>
        <w:tc>
          <w:tcPr>
            <w:tcW w:w="1704" w:type="dxa"/>
            <w:noWrap w:val="0"/>
            <w:vAlign w:val="center"/>
          </w:tcPr>
          <w:p w14:paraId="49ECC91A">
            <w:pPr>
              <w:pStyle w:val="180"/>
              <w:rPr>
                <w:rFonts w:hint="default" w:ascii="Times New Roman" w:hAnsi="Times New Roman" w:cs="Times New Roman"/>
                <w:color w:val="auto"/>
              </w:rPr>
            </w:pPr>
            <w:r>
              <w:rPr>
                <w:rFonts w:hint="default" w:ascii="Times New Roman" w:hAnsi="Times New Roman" w:cs="Times New Roman"/>
                <w:color w:val="auto"/>
                <w:lang w:bidi="ar"/>
              </w:rPr>
              <w:t>二</w:t>
            </w:r>
          </w:p>
        </w:tc>
        <w:tc>
          <w:tcPr>
            <w:tcW w:w="1705" w:type="dxa"/>
            <w:noWrap w:val="0"/>
            <w:vAlign w:val="center"/>
          </w:tcPr>
          <w:p w14:paraId="57140E94">
            <w:pPr>
              <w:pStyle w:val="180"/>
              <w:rPr>
                <w:rFonts w:hint="default" w:ascii="Times New Roman" w:hAnsi="Times New Roman" w:cs="Times New Roman"/>
                <w:color w:val="auto"/>
              </w:rPr>
            </w:pPr>
            <w:r>
              <w:rPr>
                <w:rFonts w:hint="default" w:ascii="Times New Roman" w:hAnsi="Times New Roman" w:cs="Times New Roman"/>
                <w:color w:val="auto"/>
                <w:lang w:bidi="ar"/>
              </w:rPr>
              <w:t>三</w:t>
            </w:r>
          </w:p>
        </w:tc>
        <w:tc>
          <w:tcPr>
            <w:tcW w:w="1705" w:type="dxa"/>
            <w:noWrap w:val="0"/>
            <w:vAlign w:val="center"/>
          </w:tcPr>
          <w:p w14:paraId="7E736DC8">
            <w:pPr>
              <w:pStyle w:val="180"/>
              <w:rPr>
                <w:rFonts w:hint="default" w:ascii="Times New Roman" w:hAnsi="Times New Roman" w:cs="Times New Roman"/>
                <w:color w:val="auto"/>
              </w:rPr>
            </w:pPr>
            <w:r>
              <w:rPr>
                <w:rFonts w:hint="default" w:ascii="Times New Roman" w:hAnsi="Times New Roman" w:cs="Times New Roman"/>
                <w:color w:val="auto"/>
              </w:rPr>
              <w:t>简单分析</w:t>
            </w:r>
            <w:r>
              <w:rPr>
                <w:rFonts w:hint="default" w:ascii="Times New Roman" w:hAnsi="Times New Roman" w:cs="Times New Roman"/>
                <w:color w:val="auto"/>
                <w:vertAlign w:val="superscript"/>
              </w:rPr>
              <w:t>a</w:t>
            </w:r>
          </w:p>
        </w:tc>
      </w:tr>
      <w:tr w14:paraId="3CC65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noWrap w:val="0"/>
            <w:vAlign w:val="top"/>
          </w:tcPr>
          <w:p w14:paraId="55FBB0CF">
            <w:pPr>
              <w:pStyle w:val="180"/>
              <w:jc w:val="both"/>
              <w:rPr>
                <w:rFonts w:hint="default" w:ascii="Times New Roman" w:hAnsi="Times New Roman" w:cs="Times New Roman"/>
                <w:color w:val="auto"/>
              </w:rPr>
            </w:pPr>
            <w:r>
              <w:rPr>
                <w:rFonts w:hint="default" w:ascii="Times New Roman" w:hAnsi="Times New Roman" w:cs="Times New Roman"/>
                <w:color w:val="auto"/>
              </w:rPr>
              <w:t>a是相对与详细评价工作内容而言，在描述危险物质、环境影响途径、环境危害后果、风险防范措施等方面给出定性的说明。见附录A。</w:t>
            </w:r>
          </w:p>
        </w:tc>
      </w:tr>
    </w:tbl>
    <w:p w14:paraId="6C26B56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土壤环境评价等级</w:t>
      </w:r>
    </w:p>
    <w:p w14:paraId="25EEDA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1、项目类别</w:t>
      </w:r>
    </w:p>
    <w:p w14:paraId="788BB1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属于</w:t>
      </w:r>
      <w:r>
        <w:rPr>
          <w:rFonts w:hint="default" w:ascii="Times New Roman" w:hAnsi="Times New Roman" w:cs="Times New Roman"/>
          <w:color w:val="auto"/>
          <w:u w:val="none" w:color="auto"/>
        </w:rPr>
        <w:t>《环境影响评价技术导则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附录A土壤环境影响评价项目类别</w:t>
      </w:r>
      <w:r>
        <w:rPr>
          <w:rFonts w:hint="default" w:ascii="Times New Roman" w:hAnsi="Times New Roman" w:cs="Times New Roman"/>
          <w:color w:val="auto"/>
          <w:u w:val="none" w:color="auto"/>
          <w:lang w:val="en-US" w:eastAsia="zh-CN"/>
        </w:rPr>
        <w:t>中的水利-库容1000万m³</w:t>
      </w:r>
      <w:r>
        <w:rPr>
          <w:rFonts w:hint="default" w:ascii="Times New Roman" w:hAnsi="Times New Roman" w:cs="Times New Roman"/>
          <w:color w:val="auto"/>
          <w:highlight w:val="none"/>
          <w:u w:val="none" w:color="auto"/>
          <w:lang w:val="en-US" w:eastAsia="zh-CN"/>
        </w:rPr>
        <w:t>至1亿</w:t>
      </w:r>
      <w:r>
        <w:rPr>
          <w:rFonts w:hint="default" w:ascii="Times New Roman" w:hAnsi="Times New Roman" w:cs="Times New Roman"/>
          <w:color w:val="auto"/>
          <w:u w:val="none" w:color="auto"/>
          <w:lang w:val="en-US" w:eastAsia="zh-CN"/>
        </w:rPr>
        <w:t>m³的水库</w:t>
      </w:r>
      <w:r>
        <w:rPr>
          <w:rFonts w:hint="default" w:ascii="Times New Roman" w:hAnsi="Times New Roman" w:cs="Times New Roman"/>
          <w:color w:val="auto"/>
          <w:u w:val="none" w:color="auto"/>
        </w:rPr>
        <w:t>，为</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2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highlight w:val="none"/>
          <w:u w:val="none" w:color="auto"/>
        </w:rPr>
        <w:t>II</w:t>
      </w:r>
      <w:r>
        <w:rPr>
          <w:rFonts w:hint="default" w:ascii="Times New Roman" w:hAnsi="Times New Roman" w:cs="Times New Roman"/>
          <w:color w:val="auto"/>
          <w:highlight w:val="none"/>
          <w:u w:val="none" w:color="auto"/>
        </w:rPr>
        <w:fldChar w:fldCharType="end"/>
      </w:r>
      <w:r>
        <w:rPr>
          <w:rFonts w:hint="default" w:ascii="Times New Roman" w:hAnsi="Times New Roman" w:cs="Times New Roman"/>
          <w:color w:val="auto"/>
          <w:highlight w:val="none"/>
          <w:u w:val="none" w:color="auto"/>
        </w:rPr>
        <w:t>类</w:t>
      </w:r>
      <w:r>
        <w:rPr>
          <w:rFonts w:hint="default" w:ascii="Times New Roman" w:hAnsi="Times New Roman" w:cs="Times New Roman"/>
          <w:color w:val="auto"/>
          <w:u w:val="none" w:color="auto"/>
        </w:rPr>
        <w:t>项目。</w:t>
      </w:r>
    </w:p>
    <w:p w14:paraId="18B2F1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、土壤环境敏感程度划分</w:t>
      </w:r>
    </w:p>
    <w:p w14:paraId="32278DF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建设项目所在地土壤环境敏感程度分为敏感、较敏感、不敏感，判别依据见表</w:t>
      </w:r>
      <w:r>
        <w:rPr>
          <w:rFonts w:hint="default" w:ascii="Times New Roman" w:hAnsi="Times New Roman" w:cs="Times New Roman"/>
          <w:color w:val="auto"/>
          <w:u w:val="none" w:color="auto"/>
          <w:lang w:val="en-US" w:eastAsia="zh-CN"/>
        </w:rPr>
        <w:t>2.5-</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同一建设项目涉及两个或两个以上场地或地区，应分别判定其敏感程度</w:t>
      </w:r>
      <w:r>
        <w:rPr>
          <w:rFonts w:hint="eastAsia" w:cs="Times New Roman"/>
          <w:color w:val="auto"/>
          <w:u w:val="none" w:color="auto"/>
          <w:lang w:eastAsia="zh-CN"/>
        </w:rPr>
        <w:t>：</w:t>
      </w:r>
      <w:r>
        <w:rPr>
          <w:rFonts w:hint="default" w:ascii="Times New Roman" w:hAnsi="Times New Roman" w:cs="Times New Roman"/>
          <w:color w:val="auto"/>
          <w:u w:val="none" w:color="auto"/>
        </w:rPr>
        <w:t>产生两种或两种以上生态影响后果的，敏感程度按相对最高级别判定。</w:t>
      </w:r>
    </w:p>
    <w:p w14:paraId="2CC5A12E">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 xml:space="preserve">  生态影响型</w:t>
      </w:r>
      <w:r>
        <w:rPr>
          <w:rFonts w:hint="default" w:ascii="Times New Roman" w:hAnsi="Times New Roman" w:cs="Times New Roman"/>
          <w:color w:val="auto"/>
          <w:u w:val="none" w:color="auto"/>
        </w:rPr>
        <w:t>土壤敏感程度分级表</w:t>
      </w:r>
    </w:p>
    <w:tbl>
      <w:tblPr>
        <w:tblStyle w:val="38"/>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4868"/>
        <w:gridCol w:w="1329"/>
        <w:gridCol w:w="1471"/>
      </w:tblGrid>
      <w:tr w14:paraId="66776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57" w:type="dxa"/>
            <w:vMerge w:val="restart"/>
            <w:vAlign w:val="center"/>
          </w:tcPr>
          <w:p w14:paraId="4DADA5D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敏感程度</w:t>
            </w:r>
          </w:p>
        </w:tc>
        <w:tc>
          <w:tcPr>
            <w:tcW w:w="7668" w:type="dxa"/>
            <w:gridSpan w:val="3"/>
            <w:vAlign w:val="center"/>
          </w:tcPr>
          <w:p w14:paraId="3D7C9AD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判别依据</w:t>
            </w:r>
          </w:p>
        </w:tc>
      </w:tr>
      <w:tr w14:paraId="03B7E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857" w:type="dxa"/>
            <w:vMerge w:val="continue"/>
            <w:vAlign w:val="center"/>
          </w:tcPr>
          <w:p w14:paraId="3485B57F">
            <w:pPr>
              <w:spacing w:line="240" w:lineRule="auto"/>
              <w:ind w:firstLine="0" w:firstLineChars="0"/>
              <w:jc w:val="center"/>
              <w:rPr>
                <w:rFonts w:hint="default" w:ascii="Times New Roman" w:hAnsi="Times New Roman" w:cs="Times New Roman"/>
                <w:color w:val="auto"/>
                <w:sz w:val="21"/>
                <w:szCs w:val="21"/>
                <w:u w:val="none" w:color="auto"/>
              </w:rPr>
            </w:pPr>
          </w:p>
        </w:tc>
        <w:tc>
          <w:tcPr>
            <w:tcW w:w="4868" w:type="dxa"/>
            <w:vAlign w:val="center"/>
          </w:tcPr>
          <w:p w14:paraId="6C0451AC">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盐化</w:t>
            </w:r>
          </w:p>
        </w:tc>
        <w:tc>
          <w:tcPr>
            <w:tcW w:w="1329" w:type="dxa"/>
            <w:vAlign w:val="center"/>
          </w:tcPr>
          <w:p w14:paraId="5E6898B8">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酸化</w:t>
            </w:r>
          </w:p>
        </w:tc>
        <w:tc>
          <w:tcPr>
            <w:tcW w:w="1471" w:type="dxa"/>
            <w:vAlign w:val="center"/>
          </w:tcPr>
          <w:p w14:paraId="7BFC28EE">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碱化</w:t>
            </w:r>
          </w:p>
        </w:tc>
      </w:tr>
      <w:tr w14:paraId="7EA4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59E2C927">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敏感</w:t>
            </w:r>
          </w:p>
        </w:tc>
        <w:tc>
          <w:tcPr>
            <w:tcW w:w="4868" w:type="dxa"/>
            <w:vAlign w:val="center"/>
          </w:tcPr>
          <w:p w14:paraId="7B22C9C1">
            <w:pPr>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建设项目所在地干燥度</w:t>
            </w:r>
            <w:r>
              <w:rPr>
                <w:rFonts w:hint="default" w:ascii="Times New Roman" w:hAnsi="Times New Roman" w:cs="Times New Roman"/>
                <w:color w:val="auto"/>
                <w:sz w:val="21"/>
                <w:szCs w:val="21"/>
                <w:u w:val="none" w:color="auto"/>
                <w:vertAlign w:val="superscript"/>
                <w:lang w:val="en-US" w:eastAsia="zh-CN"/>
              </w:rPr>
              <w:t>a</w:t>
            </w:r>
            <w:r>
              <w:rPr>
                <w:rFonts w:hint="default" w:ascii="Times New Roman" w:hAnsi="Times New Roman" w:cs="Times New Roman"/>
                <w:color w:val="auto"/>
                <w:sz w:val="21"/>
                <w:szCs w:val="21"/>
                <w:u w:val="none" w:color="auto"/>
              </w:rPr>
              <w:t>&gt;2.5且常年地下水位平均埋深&lt;1.5m的地势平坦区域</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或</w:t>
            </w:r>
            <w:r>
              <w:rPr>
                <w:rFonts w:hint="default" w:ascii="Times New Roman" w:hAnsi="Times New Roman" w:cs="Times New Roman"/>
                <w:color w:val="auto"/>
                <w:sz w:val="21"/>
                <w:szCs w:val="21"/>
                <w:u w:val="none" w:color="auto"/>
                <w:lang w:val="en-US" w:eastAsia="zh-CN"/>
              </w:rPr>
              <w:t>土</w:t>
            </w:r>
            <w:r>
              <w:rPr>
                <w:rFonts w:hint="default" w:ascii="Times New Roman" w:hAnsi="Times New Roman" w:cs="Times New Roman"/>
                <w:color w:val="auto"/>
                <w:sz w:val="21"/>
                <w:szCs w:val="21"/>
                <w:u w:val="none" w:color="auto"/>
              </w:rPr>
              <w:t>壤含盐量&gt;4g/kg的</w:t>
            </w:r>
            <w:r>
              <w:rPr>
                <w:rFonts w:hint="default" w:ascii="Times New Roman" w:hAnsi="Times New Roman" w:cs="Times New Roman"/>
                <w:color w:val="auto"/>
                <w:sz w:val="21"/>
                <w:szCs w:val="21"/>
                <w:u w:val="none" w:color="auto"/>
                <w:lang w:val="en-US" w:eastAsia="zh-CN"/>
              </w:rPr>
              <w:t>区域</w:t>
            </w:r>
          </w:p>
        </w:tc>
        <w:tc>
          <w:tcPr>
            <w:tcW w:w="1329" w:type="dxa"/>
            <w:vAlign w:val="center"/>
          </w:tcPr>
          <w:p w14:paraId="3461C1EA">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pH≤4.5</w:t>
            </w:r>
          </w:p>
        </w:tc>
        <w:tc>
          <w:tcPr>
            <w:tcW w:w="1471" w:type="dxa"/>
            <w:vAlign w:val="center"/>
          </w:tcPr>
          <w:p w14:paraId="5E649E9D">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pH≥9.0</w:t>
            </w:r>
          </w:p>
        </w:tc>
      </w:tr>
      <w:tr w14:paraId="4C53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16648E76">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较敏感</w:t>
            </w:r>
          </w:p>
        </w:tc>
        <w:tc>
          <w:tcPr>
            <w:tcW w:w="4868" w:type="dxa"/>
            <w:vAlign w:val="center"/>
          </w:tcPr>
          <w:p w14:paraId="1CCC35C9">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建设项目所在地干燥度&gt;2.5且常年地下水位平均埋深≥1.5m的，或1.8&lt;干燥度≤2.5且常年地下水位平均埋深&lt;1.8m的地势平坦区域</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建设项目所在地干燥度&gt;2.5或常年地下水位平均埋深&lt;1.5m的平原区</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或2g/kg</w:t>
            </w:r>
            <w:r>
              <w:rPr>
                <w:rFonts w:hint="default" w:ascii="Times New Roman" w:hAnsi="Times New Roman" w:cs="Times New Roman"/>
                <w:color w:val="auto"/>
                <w:sz w:val="21"/>
                <w:szCs w:val="21"/>
                <w:highlight w:val="none"/>
                <w:u w:val="none" w:color="auto"/>
              </w:rPr>
              <w:t>&lt;</w:t>
            </w:r>
            <w:r>
              <w:rPr>
                <w:rFonts w:hint="default" w:ascii="Times New Roman" w:hAnsi="Times New Roman" w:cs="Times New Roman"/>
                <w:color w:val="auto"/>
                <w:sz w:val="21"/>
                <w:szCs w:val="21"/>
                <w:u w:val="none" w:color="auto"/>
              </w:rPr>
              <w:t>土壤含盐量≤4g/kg的区域</w:t>
            </w:r>
          </w:p>
        </w:tc>
        <w:tc>
          <w:tcPr>
            <w:tcW w:w="1329" w:type="dxa"/>
            <w:vAlign w:val="center"/>
          </w:tcPr>
          <w:p w14:paraId="01880170">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4.5</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pH≤5.5</w:t>
            </w:r>
          </w:p>
        </w:tc>
        <w:tc>
          <w:tcPr>
            <w:tcW w:w="1471" w:type="dxa"/>
            <w:vAlign w:val="center"/>
          </w:tcPr>
          <w:p w14:paraId="4CC03D32">
            <w:pPr>
              <w:spacing w:line="240" w:lineRule="auto"/>
              <w:ind w:firstLine="0" w:firstLineChars="0"/>
              <w:jc w:val="center"/>
              <w:rPr>
                <w:rFonts w:hint="default" w:ascii="Times New Roman" w:hAnsi="Times New Roman" w:cs="Times New Roman"/>
                <w:color w:val="auto"/>
                <w:sz w:val="21"/>
                <w:szCs w:val="21"/>
                <w:u w:val="none" w:color="auto"/>
                <w:lang w:val="en-US"/>
              </w:rPr>
            </w:pPr>
            <w:r>
              <w:rPr>
                <w:rFonts w:hint="default" w:ascii="Times New Roman" w:hAnsi="Times New Roman" w:cs="Times New Roman"/>
                <w:color w:val="auto"/>
                <w:sz w:val="21"/>
                <w:szCs w:val="21"/>
                <w:u w:val="none" w:color="auto"/>
                <w:lang w:val="en-US" w:eastAsia="zh-CN"/>
              </w:rPr>
              <w:t>8.5≤pH</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9.0</w:t>
            </w:r>
          </w:p>
        </w:tc>
      </w:tr>
      <w:tr w14:paraId="57EE1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 w:type="dxa"/>
            <w:vAlign w:val="center"/>
          </w:tcPr>
          <w:p w14:paraId="497CA164">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不敏感</w:t>
            </w:r>
          </w:p>
        </w:tc>
        <w:tc>
          <w:tcPr>
            <w:tcW w:w="4868" w:type="dxa"/>
            <w:vAlign w:val="center"/>
          </w:tcPr>
          <w:p w14:paraId="7A11ADEE">
            <w:pPr>
              <w:spacing w:line="240" w:lineRule="auto"/>
              <w:ind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其他</w:t>
            </w:r>
          </w:p>
        </w:tc>
        <w:tc>
          <w:tcPr>
            <w:tcW w:w="2800" w:type="dxa"/>
            <w:gridSpan w:val="2"/>
            <w:vAlign w:val="center"/>
          </w:tcPr>
          <w:p w14:paraId="612C40A5">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5.5</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pH</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cs="Times New Roman"/>
                <w:color w:val="auto"/>
                <w:sz w:val="21"/>
                <w:szCs w:val="21"/>
                <w:u w:val="none" w:color="auto"/>
                <w:lang w:val="en-US" w:eastAsia="zh-CN"/>
              </w:rPr>
              <w:t>8.5</w:t>
            </w:r>
          </w:p>
        </w:tc>
      </w:tr>
      <w:tr w14:paraId="2E244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5" w:type="dxa"/>
            <w:gridSpan w:val="4"/>
            <w:vAlign w:val="center"/>
          </w:tcPr>
          <w:p w14:paraId="6AE81D8F">
            <w:pPr>
              <w:spacing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vertAlign w:val="superscript"/>
                <w:lang w:val="en-US" w:eastAsia="zh-CN"/>
              </w:rPr>
              <w:t>a</w:t>
            </w:r>
            <w:r>
              <w:rPr>
                <w:rFonts w:hint="default" w:ascii="Times New Roman" w:hAnsi="Times New Roman" w:cs="Times New Roman"/>
                <w:color w:val="auto"/>
                <w:sz w:val="21"/>
                <w:szCs w:val="21"/>
                <w:u w:val="none" w:color="auto"/>
                <w:lang w:val="en-US" w:eastAsia="zh-CN"/>
              </w:rPr>
              <w:t>是指采用E601观测的多年平均水面蒸发量与降水量的比值，即蒸降比值。</w:t>
            </w:r>
          </w:p>
        </w:tc>
      </w:tr>
    </w:tbl>
    <w:p w14:paraId="03E89EBF">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据调查，</w:t>
      </w: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val="en-US" w:eastAsia="zh-CN"/>
        </w:rPr>
        <w:t>所在地</w:t>
      </w:r>
      <w:r>
        <w:rPr>
          <w:rFonts w:hint="default" w:ascii="Times New Roman" w:hAnsi="Times New Roman" w:cs="Times New Roman"/>
          <w:color w:val="auto"/>
          <w:sz w:val="24"/>
          <w:szCs w:val="24"/>
          <w:u w:val="none" w:color="auto"/>
        </w:rPr>
        <w:t>土壤干燥度</w:t>
      </w:r>
      <w:r>
        <w:rPr>
          <w:rFonts w:hint="default" w:ascii="Times New Roman" w:hAnsi="Times New Roman" w:cs="Times New Roman"/>
          <w:color w:val="auto"/>
          <w:sz w:val="24"/>
          <w:szCs w:val="24"/>
          <w:u w:val="none" w:color="auto"/>
          <w:lang w:val="en-US" w:eastAsia="zh-CN"/>
        </w:rPr>
        <w:t>为1.01</w:t>
      </w:r>
      <w:r>
        <w:rPr>
          <w:rFonts w:hint="default" w:ascii="Times New Roman" w:hAnsi="Times New Roman" w:cs="Times New Roman"/>
          <w:color w:val="auto"/>
          <w:sz w:val="24"/>
          <w:szCs w:val="24"/>
          <w:u w:val="none" w:color="auto"/>
        </w:rPr>
        <w:t>&lt;</w:t>
      </w:r>
      <w:r>
        <w:rPr>
          <w:rFonts w:hint="default" w:ascii="Times New Roman" w:hAnsi="Times New Roman" w:cs="Times New Roman"/>
          <w:color w:val="auto"/>
          <w:sz w:val="24"/>
          <w:szCs w:val="24"/>
          <w:u w:val="none" w:color="auto"/>
          <w:lang w:val="en-US" w:eastAsia="zh-CN"/>
        </w:rPr>
        <w:t>2.5，</w:t>
      </w:r>
      <w:r>
        <w:rPr>
          <w:rFonts w:hint="default" w:ascii="Times New Roman" w:hAnsi="Times New Roman" w:cs="Times New Roman"/>
          <w:color w:val="auto"/>
          <w:sz w:val="24"/>
          <w:szCs w:val="24"/>
          <w:u w:val="none" w:color="auto"/>
        </w:rPr>
        <w:t>地下水位平均埋深</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1.8m</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土壤含盐量</w:t>
      </w:r>
      <w:r>
        <w:rPr>
          <w:rFonts w:hint="default" w:ascii="Times New Roman" w:hAnsi="Times New Roman" w:eastAsia="宋体" w:cs="Times New Roman"/>
          <w:i w:val="0"/>
          <w:iCs w:val="0"/>
          <w:color w:val="000000"/>
          <w:kern w:val="0"/>
          <w:sz w:val="24"/>
          <w:szCs w:val="24"/>
          <w:u w:val="none"/>
          <w:lang w:val="en-US" w:eastAsia="zh-CN" w:bidi="ar"/>
        </w:rPr>
        <w:t>1.</w:t>
      </w:r>
      <w:r>
        <w:rPr>
          <w:rFonts w:hint="eastAsia" w:cs="Times New Roman"/>
          <w:i w:val="0"/>
          <w:iCs w:val="0"/>
          <w:color w:val="000000"/>
          <w:kern w:val="0"/>
          <w:sz w:val="24"/>
          <w:szCs w:val="24"/>
          <w:u w:val="none"/>
          <w:lang w:val="en-US" w:eastAsia="zh-CN" w:bidi="ar"/>
        </w:rPr>
        <w:t>08~1.34</w:t>
      </w:r>
      <w:r>
        <w:rPr>
          <w:rFonts w:hint="default" w:ascii="Times New Roman" w:hAnsi="Times New Roman" w:cs="Times New Roman"/>
          <w:color w:val="auto"/>
          <w:sz w:val="24"/>
          <w:szCs w:val="24"/>
          <w:u w:val="none" w:color="auto"/>
        </w:rPr>
        <w:t>g/kg&lt;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g/kg</w:t>
      </w:r>
      <w:r>
        <w:rPr>
          <w:rFonts w:hint="default" w:ascii="Times New Roman" w:hAnsi="Times New Roman" w:cs="Times New Roman"/>
          <w:color w:val="auto"/>
          <w:sz w:val="24"/>
          <w:szCs w:val="24"/>
          <w:u w:val="none" w:color="auto"/>
          <w:lang w:val="en-US" w:eastAsia="zh-CN"/>
        </w:rPr>
        <w:t>，pH为5.5~</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土壤未发生盐化、酸化或碱化</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环境敏感程度为不敏感。</w:t>
      </w:r>
    </w:p>
    <w:p w14:paraId="03A0F69A">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表2.5-</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 xml:space="preserve">  生态</w:t>
      </w:r>
      <w:r>
        <w:rPr>
          <w:rFonts w:hint="default" w:ascii="Times New Roman" w:hAnsi="Times New Roman" w:cs="Times New Roman"/>
          <w:b/>
          <w:bCs/>
          <w:color w:val="auto"/>
          <w:sz w:val="21"/>
          <w:szCs w:val="21"/>
          <w:highlight w:val="none"/>
          <w:u w:val="none" w:color="auto"/>
          <w:lang w:val="en-US" w:eastAsia="zh-CN"/>
        </w:rPr>
        <w:t>影响型</w:t>
      </w:r>
      <w:r>
        <w:rPr>
          <w:rFonts w:hint="default" w:ascii="Times New Roman" w:hAnsi="Times New Roman" w:cs="Times New Roman"/>
          <w:b/>
          <w:bCs/>
          <w:color w:val="auto"/>
          <w:sz w:val="21"/>
          <w:szCs w:val="21"/>
          <w:u w:val="none" w:color="auto"/>
        </w:rPr>
        <w:t>评价工作等级划分表</w:t>
      </w:r>
    </w:p>
    <w:tbl>
      <w:tblPr>
        <w:tblStyle w:val="37"/>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5"/>
        <w:gridCol w:w="2423"/>
        <w:gridCol w:w="1764"/>
        <w:gridCol w:w="1553"/>
      </w:tblGrid>
      <w:tr w14:paraId="3277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2755" w:type="dxa"/>
            <w:tcBorders>
              <w:tl2br w:val="nil"/>
              <w:tr2bl w:val="nil"/>
            </w:tcBorders>
            <w:vAlign w:val="center"/>
            <mc:AlternateContent>
              <mc:Choice Requires="wpsCustomData">
                <wpsCustomData:diagonals>
                  <wpsCustomData:diagonal from="30000" to="7400">
                    <wpsCustomData:border w:val="single" w:color="auto" w:sz="4" w:space="0"/>
                  </wpsCustomData:diagonal>
                  <wpsCustomData:diagonal from="15000" to="30000">
                    <wpsCustomData:border w:val="single" w:color="auto" w:sz="4" w:space="0"/>
                  </wpsCustomData:diagonal>
                </wpsCustomData:diagonals>
              </mc:Choice>
            </mc:AlternateContent>
          </w:tcPr>
          <w:p w14:paraId="560A46EA">
            <w:pPr>
              <w:pStyle w:val="49"/>
              <w:snapToGrid w:val="0"/>
              <w:ind w:left="420" w:hanging="420"/>
              <w:jc w:val="center"/>
              <w:rPr>
                <w:rFonts w:hint="default" w:ascii="Times New Roman" w:hAnsi="Times New Roman" w:cs="Times New Roman"/>
                <w:color w:val="auto"/>
                <w:u w:val="none" w:color="auto"/>
              </w:rPr>
            </w:pPr>
          </w:p>
          <w:p w14:paraId="380416EC">
            <w:pPr>
              <w:pStyle w:val="49"/>
              <w:ind w:left="420" w:hanging="420"/>
              <w:jc w:val="center"/>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敏感程度</w:t>
            </w:r>
          </w:p>
          <w:p w14:paraId="73A3B593">
            <w:pPr>
              <w:pStyle w:val="49"/>
              <w:snapToGrid w:val="0"/>
              <w:ind w:left="420" w:hanging="420"/>
              <w:jc w:val="center"/>
              <mc:AlternateContent>
                <mc:Choice Requires="wpsCustomData">
                  <wpsCustomData:diagonalParaType/>
                </mc:Choice>
              </mc:AlternateContent>
              <w:rPr>
                <w:rFonts w:hint="default" w:ascii="Times New Roman" w:hAnsi="Times New Roman" w:cs="Times New Roman"/>
                <w:color w:val="auto"/>
                <w:u w:val="none" w:color="auto"/>
              </w:rPr>
            </w:pPr>
          </w:p>
          <w:p w14:paraId="508E89BC">
            <w:pPr>
              <w:pStyle w:val="49"/>
              <w:snapToGrid w:val="0"/>
              <w:ind w:left="420" w:hanging="420"/>
              <w:jc w:val="center"/>
              <mc:AlternateContent>
                <mc:Choice Requires="wpsCustomData">
                  <wpsCustomData:diagonalParaType/>
                </mc:Choice>
              </mc:AlternateContent>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评价工作等级</w:t>
            </w:r>
          </w:p>
          <w:p w14:paraId="7800B7E9">
            <w:pPr>
              <w:pStyle w:val="49"/>
              <w:ind w:left="420" w:hanging="420"/>
              <w:jc w:val="center"/>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项目类别</w:t>
            </w:r>
          </w:p>
        </w:tc>
        <w:tc>
          <w:tcPr>
            <w:tcW w:w="2423" w:type="dxa"/>
            <w:tcBorders>
              <w:tl2br w:val="nil"/>
              <w:tr2bl w:val="nil"/>
            </w:tcBorders>
            <w:vAlign w:val="center"/>
          </w:tcPr>
          <w:p w14:paraId="5779294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Ⅰ类</w:t>
            </w:r>
          </w:p>
        </w:tc>
        <w:tc>
          <w:tcPr>
            <w:tcW w:w="1764" w:type="dxa"/>
            <w:tcBorders>
              <w:tl2br w:val="nil"/>
              <w:tr2bl w:val="nil"/>
            </w:tcBorders>
            <w:vAlign w:val="center"/>
          </w:tcPr>
          <w:p w14:paraId="59483DEC">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fldChar w:fldCharType="begin"/>
            </w:r>
            <w:r>
              <w:rPr>
                <w:rFonts w:hint="default" w:ascii="Times New Roman" w:hAnsi="Times New Roman" w:eastAsia="宋体" w:cs="Times New Roman"/>
                <w:color w:val="auto"/>
                <w:kern w:val="2"/>
                <w:sz w:val="21"/>
                <w:szCs w:val="21"/>
                <w:u w:val="none" w:color="auto"/>
                <w:lang w:val="en-US" w:eastAsia="zh-CN" w:bidi="ar-SA"/>
              </w:rPr>
              <w:instrText xml:space="preserve"> = 2 \* ROMAN \* MERGEFORMAT </w:instrText>
            </w:r>
            <w:r>
              <w:rPr>
                <w:rFonts w:hint="default" w:ascii="Times New Roman" w:hAnsi="Times New Roman" w:eastAsia="宋体" w:cs="Times New Roman"/>
                <w:color w:val="auto"/>
                <w:kern w:val="2"/>
                <w:sz w:val="21"/>
                <w:szCs w:val="21"/>
                <w:u w:val="none" w:color="auto"/>
                <w:lang w:val="en-US" w:eastAsia="zh-CN" w:bidi="ar-SA"/>
              </w:rPr>
              <w:fldChar w:fldCharType="separate"/>
            </w:r>
            <w:r>
              <w:rPr>
                <w:rFonts w:hint="default" w:ascii="Times New Roman" w:hAnsi="Times New Roman" w:eastAsia="宋体" w:cs="Times New Roman"/>
                <w:color w:val="auto"/>
                <w:kern w:val="2"/>
                <w:sz w:val="21"/>
                <w:szCs w:val="21"/>
                <w:u w:val="none" w:color="auto"/>
                <w:lang w:val="en-US" w:eastAsia="zh-CN" w:bidi="ar-SA"/>
              </w:rPr>
              <w:t>II</w:t>
            </w:r>
            <w:r>
              <w:rPr>
                <w:rFonts w:hint="default" w:ascii="Times New Roman" w:hAnsi="Times New Roman" w:eastAsia="宋体" w:cs="Times New Roman"/>
                <w:color w:val="auto"/>
                <w:kern w:val="2"/>
                <w:sz w:val="21"/>
                <w:szCs w:val="21"/>
                <w:u w:val="none" w:color="auto"/>
                <w:lang w:val="en-US" w:eastAsia="zh-CN" w:bidi="ar-SA"/>
              </w:rPr>
              <w:fldChar w:fldCharType="end"/>
            </w:r>
            <w:r>
              <w:rPr>
                <w:rFonts w:hint="default" w:ascii="Times New Roman" w:hAnsi="Times New Roman" w:eastAsia="宋体" w:cs="Times New Roman"/>
                <w:color w:val="auto"/>
                <w:kern w:val="2"/>
                <w:sz w:val="21"/>
                <w:szCs w:val="21"/>
                <w:u w:val="none" w:color="auto"/>
                <w:lang w:val="en-US" w:eastAsia="zh-CN" w:bidi="ar-SA"/>
              </w:rPr>
              <w:t>类</w:t>
            </w:r>
          </w:p>
        </w:tc>
        <w:tc>
          <w:tcPr>
            <w:tcW w:w="1553" w:type="dxa"/>
            <w:tcBorders>
              <w:tl2br w:val="nil"/>
              <w:tr2bl w:val="nil"/>
            </w:tcBorders>
            <w:vAlign w:val="center"/>
          </w:tcPr>
          <w:p w14:paraId="6993C31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fldChar w:fldCharType="begin"/>
            </w:r>
            <w:r>
              <w:rPr>
                <w:rFonts w:hint="default" w:ascii="Times New Roman" w:hAnsi="Times New Roman" w:eastAsia="宋体" w:cs="Times New Roman"/>
                <w:color w:val="auto"/>
                <w:kern w:val="2"/>
                <w:sz w:val="21"/>
                <w:szCs w:val="21"/>
                <w:u w:val="none" w:color="auto"/>
                <w:lang w:val="en-US" w:eastAsia="zh-CN" w:bidi="ar-SA"/>
              </w:rPr>
              <w:instrText xml:space="preserve"> = 3 \* ROMAN \* MERGEFORMAT </w:instrText>
            </w:r>
            <w:r>
              <w:rPr>
                <w:rFonts w:hint="default" w:ascii="Times New Roman" w:hAnsi="Times New Roman" w:eastAsia="宋体" w:cs="Times New Roman"/>
                <w:color w:val="auto"/>
                <w:kern w:val="2"/>
                <w:sz w:val="21"/>
                <w:szCs w:val="21"/>
                <w:u w:val="none" w:color="auto"/>
                <w:lang w:val="en-US" w:eastAsia="zh-CN" w:bidi="ar-SA"/>
              </w:rPr>
              <w:fldChar w:fldCharType="separate"/>
            </w:r>
            <w:r>
              <w:rPr>
                <w:rFonts w:hint="default" w:ascii="Times New Roman" w:hAnsi="Times New Roman" w:eastAsia="宋体" w:cs="Times New Roman"/>
                <w:color w:val="auto"/>
                <w:kern w:val="2"/>
                <w:sz w:val="21"/>
                <w:szCs w:val="21"/>
                <w:u w:val="none" w:color="auto"/>
                <w:lang w:val="en-US" w:eastAsia="zh-CN" w:bidi="ar-SA"/>
              </w:rPr>
              <w:t>III</w:t>
            </w:r>
            <w:r>
              <w:rPr>
                <w:rFonts w:hint="default" w:ascii="Times New Roman" w:hAnsi="Times New Roman" w:eastAsia="宋体" w:cs="Times New Roman"/>
                <w:color w:val="auto"/>
                <w:kern w:val="2"/>
                <w:sz w:val="21"/>
                <w:szCs w:val="21"/>
                <w:u w:val="none" w:color="auto"/>
                <w:lang w:val="en-US" w:eastAsia="zh-CN" w:bidi="ar-SA"/>
              </w:rPr>
              <w:fldChar w:fldCharType="end"/>
            </w:r>
            <w:r>
              <w:rPr>
                <w:rFonts w:hint="default" w:ascii="Times New Roman" w:hAnsi="Times New Roman" w:eastAsia="宋体" w:cs="Times New Roman"/>
                <w:color w:val="auto"/>
                <w:kern w:val="2"/>
                <w:sz w:val="21"/>
                <w:szCs w:val="21"/>
                <w:u w:val="none" w:color="auto"/>
                <w:lang w:val="en-US" w:eastAsia="zh-CN" w:bidi="ar-SA"/>
              </w:rPr>
              <w:t>类</w:t>
            </w:r>
          </w:p>
        </w:tc>
      </w:tr>
      <w:tr w14:paraId="10AC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25F8EC2F">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敏感</w:t>
            </w:r>
          </w:p>
        </w:tc>
        <w:tc>
          <w:tcPr>
            <w:tcW w:w="2423" w:type="dxa"/>
            <w:tcBorders>
              <w:tl2br w:val="nil"/>
              <w:tr2bl w:val="nil"/>
            </w:tcBorders>
            <w:vAlign w:val="center"/>
          </w:tcPr>
          <w:p w14:paraId="207547CE">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一级</w:t>
            </w:r>
          </w:p>
        </w:tc>
        <w:tc>
          <w:tcPr>
            <w:tcW w:w="1764" w:type="dxa"/>
            <w:tcBorders>
              <w:tl2br w:val="nil"/>
              <w:tr2bl w:val="nil"/>
            </w:tcBorders>
            <w:vAlign w:val="center"/>
          </w:tcPr>
          <w:p w14:paraId="06DE08C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553" w:type="dxa"/>
            <w:tcBorders>
              <w:tl2br w:val="nil"/>
              <w:tr2bl w:val="nil"/>
            </w:tcBorders>
            <w:vAlign w:val="center"/>
          </w:tcPr>
          <w:p w14:paraId="1E0737A6">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r>
      <w:tr w14:paraId="28D7E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1332A5EF">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较敏感</w:t>
            </w:r>
          </w:p>
        </w:tc>
        <w:tc>
          <w:tcPr>
            <w:tcW w:w="2423" w:type="dxa"/>
            <w:tcBorders>
              <w:tl2br w:val="nil"/>
              <w:tr2bl w:val="nil"/>
            </w:tcBorders>
            <w:vAlign w:val="center"/>
          </w:tcPr>
          <w:p w14:paraId="7E14F735">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764" w:type="dxa"/>
            <w:tcBorders>
              <w:tl2br w:val="nil"/>
              <w:tr2bl w:val="nil"/>
            </w:tcBorders>
            <w:vAlign w:val="center"/>
          </w:tcPr>
          <w:p w14:paraId="4A35EB3B">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553" w:type="dxa"/>
            <w:tcBorders>
              <w:tl2br w:val="nil"/>
              <w:tr2bl w:val="nil"/>
            </w:tcBorders>
            <w:vAlign w:val="center"/>
          </w:tcPr>
          <w:p w14:paraId="143BFA25">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r>
      <w:tr w14:paraId="04C28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5" w:type="dxa"/>
            <w:tcBorders>
              <w:tl2br w:val="nil"/>
              <w:tr2bl w:val="nil"/>
            </w:tcBorders>
            <w:vAlign w:val="center"/>
          </w:tcPr>
          <w:p w14:paraId="1598AAA0">
            <w:pPr>
              <w:pStyle w:val="49"/>
              <w:ind w:left="420" w:hanging="42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不敏感</w:t>
            </w:r>
          </w:p>
        </w:tc>
        <w:tc>
          <w:tcPr>
            <w:tcW w:w="2423" w:type="dxa"/>
            <w:tcBorders>
              <w:tl2br w:val="nil"/>
              <w:tr2bl w:val="nil"/>
            </w:tcBorders>
            <w:vAlign w:val="center"/>
          </w:tcPr>
          <w:p w14:paraId="17587D20">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1764" w:type="dxa"/>
            <w:tcBorders>
              <w:tl2br w:val="nil"/>
              <w:tr2bl w:val="nil"/>
            </w:tcBorders>
            <w:vAlign w:val="center"/>
          </w:tcPr>
          <w:p w14:paraId="392E966A">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1553" w:type="dxa"/>
            <w:tcBorders>
              <w:tl2br w:val="nil"/>
              <w:tr2bl w:val="nil"/>
            </w:tcBorders>
            <w:vAlign w:val="center"/>
          </w:tcPr>
          <w:p w14:paraId="230344D2">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r>
      <w:tr w14:paraId="5DBE3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95" w:type="dxa"/>
            <w:gridSpan w:val="4"/>
            <w:tcBorders>
              <w:tl2br w:val="nil"/>
              <w:tr2bl w:val="nil"/>
            </w:tcBorders>
            <w:vAlign w:val="center"/>
          </w:tcPr>
          <w:p w14:paraId="0121FCE1">
            <w:pPr>
              <w:pStyle w:val="49"/>
              <w:ind w:left="420" w:hanging="42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表示可不开展土壤环境影响评价工作。</w:t>
            </w:r>
          </w:p>
        </w:tc>
      </w:tr>
    </w:tbl>
    <w:p w14:paraId="5B8537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土壤环境</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HJ964-2018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生态</w:t>
      </w:r>
      <w:r>
        <w:rPr>
          <w:rFonts w:hint="default" w:ascii="Times New Roman" w:hAnsi="Times New Roman" w:cs="Times New Roman"/>
          <w:color w:val="auto"/>
          <w:highlight w:val="none"/>
          <w:u w:val="none" w:color="auto"/>
        </w:rPr>
        <w:t>影响型</w:t>
      </w:r>
      <w:r>
        <w:rPr>
          <w:rFonts w:hint="default" w:ascii="Times New Roman" w:hAnsi="Times New Roman" w:cs="Times New Roman"/>
          <w:color w:val="auto"/>
          <w:u w:val="none" w:color="auto"/>
        </w:rPr>
        <w:t>评价工作等级划分表，</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2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类项目、不敏感，</w:t>
      </w:r>
      <w:r>
        <w:rPr>
          <w:rFonts w:hint="default" w:ascii="Times New Roman" w:hAnsi="Times New Roman" w:cs="Times New Roman"/>
          <w:color w:val="auto"/>
          <w:u w:val="none" w:color="auto"/>
          <w:lang w:val="en-US" w:eastAsia="zh-CN"/>
        </w:rPr>
        <w:t>则土壤环境影响评价等级为三级</w:t>
      </w:r>
      <w:r>
        <w:rPr>
          <w:rFonts w:hint="default" w:ascii="Times New Roman" w:hAnsi="Times New Roman" w:cs="Times New Roman"/>
          <w:color w:val="auto"/>
          <w:u w:val="none" w:color="auto"/>
        </w:rPr>
        <w:t>。</w:t>
      </w:r>
    </w:p>
    <w:p w14:paraId="2E1CA69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本项目为道县廊洞水库除险加固工程，属于水库建设，廊洞水库部分水域划分为水源地一级或二级保护区，自身属于敏感区。根据《环境影响评价技术导则土壤环境》(HJ964-2018)“</w:t>
      </w:r>
      <w:r>
        <w:rPr>
          <w:rFonts w:hint="default" w:ascii="Times New Roman" w:hAnsi="Times New Roman" w:cs="Times New Roman"/>
          <w:color w:val="auto"/>
          <w:u w:val="none" w:color="auto"/>
        </w:rPr>
        <w:t>4.2.2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自身为敏感目标的建设项目，可根据需要仅对土壤环境现状进行调查。</w:t>
      </w:r>
      <w:r>
        <w:rPr>
          <w:rFonts w:hint="default" w:ascii="Times New Roman" w:hAnsi="Times New Roman" w:cs="Times New Roman"/>
          <w:color w:val="auto"/>
          <w:u w:val="none" w:color="auto"/>
          <w:lang w:val="en-US" w:eastAsia="zh-CN"/>
        </w:rPr>
        <w:t>”廊洞水库距最初建成蓄水已有63年时间，水库对库岸两侧土壤无显著影响。因此，针对水库加固部分的工程内容，本环评仅对土壤环境进行定性分析。</w:t>
      </w:r>
    </w:p>
    <w:p w14:paraId="3AE086B0">
      <w:pPr>
        <w:pStyle w:val="4"/>
        <w:rPr>
          <w:rFonts w:hint="default" w:ascii="Times New Roman" w:hAnsi="Times New Roman" w:cs="Times New Roman"/>
          <w:color w:val="auto"/>
          <w:u w:val="none" w:color="auto"/>
        </w:rPr>
      </w:pPr>
      <w:bookmarkStart w:id="103" w:name="_Toc494233718"/>
      <w:bookmarkStart w:id="104" w:name="_Toc22936"/>
      <w:bookmarkStart w:id="105" w:name="_Toc20076"/>
      <w:r>
        <w:rPr>
          <w:rFonts w:hint="default" w:ascii="Times New Roman" w:hAnsi="Times New Roman" w:cs="Times New Roman"/>
          <w:color w:val="auto"/>
          <w:u w:val="none" w:color="auto"/>
        </w:rPr>
        <w:t>评价范围</w:t>
      </w:r>
      <w:bookmarkEnd w:id="103"/>
      <w:bookmarkEnd w:id="104"/>
      <w:bookmarkEnd w:id="105"/>
    </w:p>
    <w:p w14:paraId="7446D55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根据本项目污染物排放特点、评价工作内容和深度的要求，依据当地气象条件、自然环境状况，确定各环境要素评价范围见表2.5-</w:t>
      </w:r>
      <w:r>
        <w:rPr>
          <w:rFonts w:hint="eastAsia" w:cs="Times New Roman"/>
          <w:color w:val="auto"/>
          <w:u w:val="none" w:color="auto"/>
          <w:lang w:val="en-US" w:eastAsia="zh-CN"/>
        </w:rPr>
        <w:t>10</w:t>
      </w:r>
      <w:r>
        <w:rPr>
          <w:rFonts w:hint="default" w:ascii="Times New Roman" w:hAnsi="Times New Roman" w:cs="Times New Roman"/>
          <w:color w:val="auto"/>
          <w:u w:val="none" w:color="auto"/>
        </w:rPr>
        <w:t>。</w:t>
      </w:r>
    </w:p>
    <w:p w14:paraId="7F9B101B">
      <w:pPr>
        <w:pStyle w:val="69"/>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表2.5-</w:t>
      </w:r>
      <w:r>
        <w:rPr>
          <w:rFonts w:hint="eastAsia" w:cs="Times New Roman"/>
          <w:color w:val="auto"/>
          <w:u w:val="none" w:color="auto"/>
          <w:lang w:val="en-US" w:eastAsia="zh-CN"/>
        </w:rPr>
        <w:t>10</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项目评价范围表</w:t>
      </w:r>
    </w:p>
    <w:tbl>
      <w:tblPr>
        <w:tblStyle w:val="37"/>
        <w:tblW w:w="8809" w:type="dxa"/>
        <w:tblInd w:w="-2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1"/>
        <w:gridCol w:w="1816"/>
        <w:gridCol w:w="4732"/>
      </w:tblGrid>
      <w:tr w14:paraId="15A7A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4C9D888F">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评价内容</w:t>
            </w:r>
          </w:p>
        </w:tc>
        <w:tc>
          <w:tcPr>
            <w:tcW w:w="1816" w:type="dxa"/>
            <w:vAlign w:val="center"/>
          </w:tcPr>
          <w:p w14:paraId="471827B6">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评价等级</w:t>
            </w:r>
          </w:p>
        </w:tc>
        <w:tc>
          <w:tcPr>
            <w:tcW w:w="4732" w:type="dxa"/>
            <w:vAlign w:val="center"/>
          </w:tcPr>
          <w:p w14:paraId="246F47CA">
            <w:pPr>
              <w:pStyle w:val="49"/>
              <w:ind w:left="420" w:hanging="42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调查评价范围</w:t>
            </w:r>
          </w:p>
        </w:tc>
      </w:tr>
      <w:tr w14:paraId="744D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261" w:type="dxa"/>
            <w:vMerge w:val="restart"/>
            <w:vAlign w:val="center"/>
          </w:tcPr>
          <w:p w14:paraId="7D862FE3">
            <w:pPr>
              <w:bidi w:val="0"/>
              <w:spacing w:line="240" w:lineRule="auto"/>
              <w:ind w:left="0" w:leftChars="0" w:firstLine="0" w:firstLineChars="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sz w:val="21"/>
                <w:szCs w:val="21"/>
                <w:u w:val="none" w:color="auto"/>
                <w:lang w:val="en-US" w:eastAsia="zh-CN"/>
              </w:rPr>
              <w:t>地表水环境影响评价</w:t>
            </w:r>
          </w:p>
        </w:tc>
        <w:tc>
          <w:tcPr>
            <w:tcW w:w="1816" w:type="dxa"/>
            <w:tcBorders>
              <w:bottom w:val="single" w:color="000000" w:sz="6" w:space="0"/>
            </w:tcBorders>
            <w:vAlign w:val="center"/>
          </w:tcPr>
          <w:p w14:paraId="2F135547">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水污染型，三级B</w:t>
            </w:r>
          </w:p>
        </w:tc>
        <w:tc>
          <w:tcPr>
            <w:tcW w:w="4732" w:type="dxa"/>
            <w:tcBorders>
              <w:bottom w:val="single" w:color="000000" w:sz="6" w:space="0"/>
            </w:tcBorders>
            <w:vAlign w:val="center"/>
          </w:tcPr>
          <w:p w14:paraId="4337B6A3">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本项目无废水排放，设置评价范围为施工附近区域</w:t>
            </w:r>
          </w:p>
        </w:tc>
      </w:tr>
      <w:tr w14:paraId="06E9F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261" w:type="dxa"/>
            <w:vMerge w:val="continue"/>
            <w:vAlign w:val="center"/>
          </w:tcPr>
          <w:p w14:paraId="48D958C9">
            <w:pPr>
              <w:pStyle w:val="49"/>
              <w:ind w:left="420" w:hanging="420"/>
              <w:jc w:val="center"/>
              <w:rPr>
                <w:rFonts w:hint="default" w:ascii="Times New Roman" w:hAnsi="Times New Roman" w:cs="Times New Roman"/>
                <w:color w:val="auto"/>
                <w:u w:val="none" w:color="auto"/>
                <w:lang w:val="en-US" w:eastAsia="zh-CN"/>
              </w:rPr>
            </w:pPr>
          </w:p>
        </w:tc>
        <w:tc>
          <w:tcPr>
            <w:tcW w:w="1816" w:type="dxa"/>
            <w:tcBorders>
              <w:top w:val="single" w:color="000000" w:sz="6" w:space="0"/>
            </w:tcBorders>
            <w:vAlign w:val="center"/>
          </w:tcPr>
          <w:p w14:paraId="4AC22B7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水文要素型，二级</w:t>
            </w:r>
          </w:p>
        </w:tc>
        <w:tc>
          <w:tcPr>
            <w:tcW w:w="4732" w:type="dxa"/>
            <w:tcBorders>
              <w:top w:val="single" w:color="000000" w:sz="6" w:space="0"/>
            </w:tcBorders>
            <w:vAlign w:val="center"/>
          </w:tcPr>
          <w:p w14:paraId="653B7D3B">
            <w:pPr>
              <w:pStyle w:val="49"/>
              <w:ind w:left="420" w:hanging="420"/>
              <w:jc w:val="center"/>
              <w:rPr>
                <w:rFonts w:hint="default" w:ascii="Times New Roman" w:hAnsi="Times New Roman" w:eastAsia="宋体" w:cs="Times New Roman"/>
                <w:color w:val="FF0000"/>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廊洞水库库区至大坝下游</w:t>
            </w:r>
            <w:r>
              <w:rPr>
                <w:rFonts w:hint="eastAsia"/>
                <w:color w:val="auto"/>
                <w:lang w:val="en-US" w:eastAsia="zh-CN"/>
              </w:rPr>
              <w:t>1</w:t>
            </w:r>
            <w:r>
              <w:rPr>
                <w:rFonts w:hint="eastAsia" w:eastAsia="宋体" w:cs="Times New Roman"/>
                <w:color w:val="auto"/>
                <w:kern w:val="2"/>
                <w:sz w:val="21"/>
                <w:szCs w:val="21"/>
                <w:u w:val="none" w:color="auto"/>
                <w:lang w:val="en-US" w:eastAsia="zh-CN" w:bidi="ar-SA"/>
              </w:rPr>
              <w:t>000m</w:t>
            </w:r>
          </w:p>
        </w:tc>
      </w:tr>
      <w:tr w14:paraId="1920D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1EBEE5F3">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地下水环境影响评价</w:t>
            </w:r>
          </w:p>
        </w:tc>
        <w:tc>
          <w:tcPr>
            <w:tcW w:w="1816" w:type="dxa"/>
            <w:vAlign w:val="center"/>
          </w:tcPr>
          <w:p w14:paraId="6F97CDE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7756C160">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水库周边6k</w:t>
            </w:r>
            <w:r>
              <w:rPr>
                <w:rFonts w:hint="eastAsia" w:cs="Times New Roman"/>
                <w:color w:val="auto"/>
                <w:kern w:val="2"/>
                <w:sz w:val="21"/>
                <w:szCs w:val="21"/>
                <w:u w:val="none" w:color="auto"/>
                <w:lang w:val="en-US" w:eastAsia="zh-CN" w:bidi="ar-SA"/>
              </w:rPr>
              <w:t>m</w:t>
            </w:r>
            <w:r>
              <w:rPr>
                <w:rFonts w:hint="eastAsia" w:cs="Times New Roman"/>
                <w:color w:val="auto"/>
                <w:kern w:val="2"/>
                <w:sz w:val="21"/>
                <w:szCs w:val="21"/>
                <w:u w:val="none" w:color="auto"/>
                <w:vertAlign w:val="superscript"/>
                <w:lang w:val="en-US" w:eastAsia="zh-CN" w:bidi="ar-SA"/>
              </w:rPr>
              <w:t>2</w:t>
            </w:r>
            <w:r>
              <w:rPr>
                <w:rFonts w:hint="default" w:ascii="Times New Roman" w:hAnsi="Times New Roman" w:eastAsia="宋体" w:cs="Times New Roman"/>
                <w:color w:val="auto"/>
                <w:kern w:val="2"/>
                <w:sz w:val="21"/>
                <w:szCs w:val="21"/>
                <w:u w:val="none" w:color="auto"/>
                <w:lang w:val="en-US" w:eastAsia="zh-CN" w:bidi="ar-SA"/>
              </w:rPr>
              <w:t>的范围</w:t>
            </w:r>
          </w:p>
        </w:tc>
      </w:tr>
      <w:tr w14:paraId="6A324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58977501">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大气环境影响评价</w:t>
            </w:r>
          </w:p>
        </w:tc>
        <w:tc>
          <w:tcPr>
            <w:tcW w:w="1816" w:type="dxa"/>
            <w:vAlign w:val="center"/>
          </w:tcPr>
          <w:p w14:paraId="1CA0D72C">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020935A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三级评价不设置大气环境影响评价范围</w:t>
            </w:r>
          </w:p>
        </w:tc>
      </w:tr>
      <w:tr w14:paraId="28DA1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3EBF59A9">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声环境影响评价</w:t>
            </w:r>
          </w:p>
        </w:tc>
        <w:tc>
          <w:tcPr>
            <w:tcW w:w="1816" w:type="dxa"/>
            <w:vAlign w:val="center"/>
          </w:tcPr>
          <w:p w14:paraId="1902C3AF">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4732" w:type="dxa"/>
            <w:vAlign w:val="center"/>
          </w:tcPr>
          <w:p w14:paraId="1070B25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施工场界外</w:t>
            </w:r>
            <w:r>
              <w:rPr>
                <w:rFonts w:hint="eastAsia" w:eastAsia="宋体" w:cs="Times New Roman"/>
                <w:color w:val="auto"/>
                <w:kern w:val="2"/>
                <w:sz w:val="21"/>
                <w:szCs w:val="21"/>
                <w:u w:val="none" w:color="auto"/>
                <w:lang w:val="en-US" w:eastAsia="zh-CN" w:bidi="ar-SA"/>
              </w:rPr>
              <w:t>200m包络线</w:t>
            </w:r>
            <w:r>
              <w:rPr>
                <w:rFonts w:hint="default" w:ascii="Times New Roman" w:hAnsi="Times New Roman" w:eastAsia="宋体" w:cs="Times New Roman"/>
                <w:color w:val="auto"/>
                <w:kern w:val="2"/>
                <w:sz w:val="21"/>
                <w:szCs w:val="21"/>
                <w:u w:val="none" w:color="auto"/>
                <w:lang w:val="en-US" w:eastAsia="zh-CN" w:bidi="ar-SA"/>
              </w:rPr>
              <w:t>以内的区域</w:t>
            </w:r>
          </w:p>
        </w:tc>
      </w:tr>
      <w:tr w14:paraId="4BE7D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789C34E9">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生态环境影响评价</w:t>
            </w:r>
          </w:p>
        </w:tc>
        <w:tc>
          <w:tcPr>
            <w:tcW w:w="1816" w:type="dxa"/>
            <w:vAlign w:val="center"/>
          </w:tcPr>
          <w:p w14:paraId="5546B1FA">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二级</w:t>
            </w:r>
          </w:p>
        </w:tc>
        <w:tc>
          <w:tcPr>
            <w:tcW w:w="4732" w:type="dxa"/>
            <w:vAlign w:val="center"/>
          </w:tcPr>
          <w:p w14:paraId="48513633">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陆生生态：水库外300m，临时施工场地、弃土场等临时用地周边200m范围。</w:t>
            </w:r>
          </w:p>
          <w:p w14:paraId="4E937E91">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水生生态：水库库区及水库下游河道1000m的范围。</w:t>
            </w:r>
          </w:p>
        </w:tc>
      </w:tr>
      <w:tr w14:paraId="3CA8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08A596C6">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环境风险影响评价</w:t>
            </w:r>
          </w:p>
        </w:tc>
        <w:tc>
          <w:tcPr>
            <w:tcW w:w="1816" w:type="dxa"/>
            <w:vAlign w:val="center"/>
          </w:tcPr>
          <w:p w14:paraId="27608284">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简单分析</w:t>
            </w:r>
          </w:p>
        </w:tc>
        <w:tc>
          <w:tcPr>
            <w:tcW w:w="4732" w:type="dxa"/>
            <w:vAlign w:val="center"/>
          </w:tcPr>
          <w:p w14:paraId="445E6389">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简单分析，不定评价范围</w:t>
            </w:r>
          </w:p>
        </w:tc>
      </w:tr>
      <w:tr w14:paraId="113DC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1" w:type="dxa"/>
            <w:vAlign w:val="center"/>
          </w:tcPr>
          <w:p w14:paraId="63F735D6">
            <w:pPr>
              <w:bidi w:val="0"/>
              <w:spacing w:line="240" w:lineRule="auto"/>
              <w:ind w:left="0" w:leftChars="0" w:firstLine="0" w:firstLineChars="0"/>
              <w:jc w:val="center"/>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土壤环境影响评价</w:t>
            </w:r>
          </w:p>
        </w:tc>
        <w:tc>
          <w:tcPr>
            <w:tcW w:w="1816" w:type="dxa"/>
            <w:vAlign w:val="center"/>
          </w:tcPr>
          <w:p w14:paraId="193EF311">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三级</w:t>
            </w:r>
          </w:p>
        </w:tc>
        <w:tc>
          <w:tcPr>
            <w:tcW w:w="4732" w:type="dxa"/>
            <w:vAlign w:val="center"/>
          </w:tcPr>
          <w:p w14:paraId="43D9E01D">
            <w:pPr>
              <w:pStyle w:val="49"/>
              <w:ind w:left="420" w:hanging="42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项目占地施工范围及周边1km范围内</w:t>
            </w:r>
          </w:p>
        </w:tc>
      </w:tr>
    </w:tbl>
    <w:p w14:paraId="28B099A8">
      <w:pPr>
        <w:pStyle w:val="3"/>
        <w:rPr>
          <w:rFonts w:hint="default" w:ascii="Times New Roman" w:hAnsi="Times New Roman" w:cs="Times New Roman"/>
          <w:color w:val="auto"/>
          <w:u w:val="none" w:color="auto"/>
        </w:rPr>
      </w:pPr>
      <w:bookmarkStart w:id="106" w:name="_Toc2733"/>
      <w:r>
        <w:rPr>
          <w:rFonts w:hint="default" w:ascii="Times New Roman" w:hAnsi="Times New Roman" w:cs="Times New Roman"/>
          <w:color w:val="auto"/>
          <w:u w:val="none" w:color="auto"/>
        </w:rPr>
        <w:t>评价工作内容、重点及方法</w:t>
      </w:r>
      <w:bookmarkEnd w:id="106"/>
    </w:p>
    <w:p w14:paraId="6DE4A6F4">
      <w:pPr>
        <w:pStyle w:val="4"/>
        <w:bidi w:val="0"/>
        <w:rPr>
          <w:rFonts w:hint="default"/>
        </w:rPr>
      </w:pPr>
      <w:r>
        <w:rPr>
          <w:rFonts w:hint="default"/>
        </w:rPr>
        <w:t>评价工作内容</w:t>
      </w:r>
    </w:p>
    <w:p w14:paraId="27E753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本次评价内容包括建设项目工程概况、工程分析、环境现状调查与评价、对项目区域环境空气、地表水、地下水</w:t>
      </w:r>
      <w:r>
        <w:rPr>
          <w:rFonts w:hint="eastAsia" w:cs="Times New Roman"/>
          <w:color w:val="auto"/>
          <w:u w:val="none" w:color="auto"/>
          <w:lang w:eastAsia="zh-CN"/>
        </w:rPr>
        <w:t>、</w:t>
      </w:r>
      <w:r>
        <w:rPr>
          <w:rFonts w:hint="eastAsia" w:cs="Times New Roman"/>
          <w:color w:val="auto"/>
          <w:u w:val="none" w:color="auto"/>
          <w:lang w:val="en-US" w:eastAsia="zh-CN"/>
        </w:rPr>
        <w:t>土壤</w:t>
      </w:r>
      <w:r>
        <w:rPr>
          <w:rFonts w:hint="default" w:ascii="Times New Roman" w:hAnsi="Times New Roman" w:cs="Times New Roman"/>
          <w:color w:val="auto"/>
          <w:u w:val="none" w:color="auto"/>
        </w:rPr>
        <w:t>及生态环境的影响及措施、环境影响经济损益分析、环境管理与监测计划及产业政策符合性分析等。</w:t>
      </w:r>
    </w:p>
    <w:p w14:paraId="76FADABB">
      <w:pPr>
        <w:pStyle w:val="4"/>
        <w:bidi w:val="0"/>
        <w:rPr>
          <w:rFonts w:hint="default"/>
        </w:rPr>
      </w:pPr>
      <w:r>
        <w:rPr>
          <w:rFonts w:hint="default"/>
        </w:rPr>
        <w:t>评价重点</w:t>
      </w:r>
    </w:p>
    <w:p w14:paraId="410E482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根据以上评价内容及评价因子的识别、筛选，结合项目工程规模、特性、工程影响及区域环境特征，确定本次环评工作的重点为：</w:t>
      </w:r>
    </w:p>
    <w:p w14:paraId="01A5EF0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（1）施工布置的合理性；</w:t>
      </w:r>
    </w:p>
    <w:p w14:paraId="145D8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（2）工程施工对大气、地表水、噪声、生态环境的影响及其预防措施；</w:t>
      </w:r>
    </w:p>
    <w:p w14:paraId="4FD55CC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（3）工程施工对项目涉及的生态红线区域的影响及其预防措施。</w:t>
      </w:r>
    </w:p>
    <w:p w14:paraId="178D3AF4">
      <w:pPr>
        <w:pStyle w:val="4"/>
        <w:bidi w:val="0"/>
        <w:rPr>
          <w:rFonts w:hint="default" w:ascii="Times New Roman" w:hAnsi="Times New Roman" w:cs="Times New Roman"/>
        </w:rPr>
      </w:pPr>
      <w:r>
        <w:rPr>
          <w:rFonts w:hint="default" w:ascii="Times New Roman" w:hAnsi="Times New Roman" w:cs="Times New Roman"/>
        </w:rPr>
        <w:t>评价方法</w:t>
      </w:r>
    </w:p>
    <w:p w14:paraId="7C6DBF8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本报告调查评价采取了现场调查、监测、资料收集等对现状进行调查，采用定量评价与定性分析相结合的方法进行评价。</w:t>
      </w:r>
    </w:p>
    <w:p w14:paraId="61BDE826">
      <w:pPr>
        <w:pStyle w:val="3"/>
        <w:rPr>
          <w:rFonts w:hint="default" w:ascii="Times New Roman" w:hAnsi="Times New Roman" w:cs="Times New Roman"/>
          <w:color w:val="auto"/>
          <w:u w:val="none" w:color="auto"/>
        </w:rPr>
      </w:pPr>
      <w:bookmarkStart w:id="107" w:name="_Toc23365"/>
      <w:bookmarkStart w:id="108" w:name="_Toc1954"/>
      <w:bookmarkStart w:id="109" w:name="_Toc23035"/>
      <w:bookmarkStart w:id="110" w:name="_Toc494233724"/>
      <w:r>
        <w:rPr>
          <w:rFonts w:hint="default" w:ascii="Times New Roman" w:hAnsi="Times New Roman" w:cs="Times New Roman"/>
          <w:color w:val="auto"/>
          <w:u w:val="none" w:color="auto"/>
        </w:rPr>
        <w:t>环境保护目标</w:t>
      </w:r>
      <w:bookmarkEnd w:id="107"/>
      <w:bookmarkEnd w:id="108"/>
      <w:bookmarkEnd w:id="109"/>
      <w:bookmarkEnd w:id="110"/>
    </w:p>
    <w:p w14:paraId="117650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影响评价分类管理名录》中明确规定的建设项目环境影响评价中需关注的环境敏感点类型，经现场调查和资料收集，确认风险评价范围及大气影响评价范围内的居民点为本项目所需关注的环境敏感点。</w:t>
      </w:r>
    </w:p>
    <w:p w14:paraId="1400F2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default" w:ascii="Times New Roman" w:hAnsi="Times New Roman" w:cs="Times New Roman"/>
          <w:color w:val="auto"/>
          <w:highlight w:val="none"/>
          <w:u w:val="none" w:color="auto"/>
        </w:rPr>
        <w:t>地场</w:t>
      </w:r>
      <w:r>
        <w:rPr>
          <w:rFonts w:hint="default" w:ascii="Times New Roman" w:hAnsi="Times New Roman" w:cs="Times New Roman"/>
          <w:color w:val="auto"/>
          <w:u w:val="none" w:color="auto"/>
        </w:rPr>
        <w:t>界外环境敏感保护目标详见表2.7-1。</w:t>
      </w:r>
    </w:p>
    <w:p w14:paraId="5FB58892">
      <w:pPr>
        <w:spacing w:line="240" w:lineRule="auto"/>
        <w:ind w:left="0" w:leftChars="0" w:firstLine="0" w:firstLineChars="0"/>
        <w:jc w:val="center"/>
        <w:rPr>
          <w:rStyle w:val="46"/>
          <w:rFonts w:hint="default" w:ascii="Times New Roman" w:hAnsi="Times New Roman" w:cs="Times New Roman"/>
          <w:color w:val="auto"/>
          <w:u w:val="none" w:color="auto"/>
        </w:rPr>
      </w:pPr>
      <w:r>
        <w:rPr>
          <w:rFonts w:hint="default" w:ascii="Times New Roman" w:hAnsi="Times New Roman" w:cs="Times New Roman"/>
          <w:b/>
          <w:bCs/>
          <w:color w:val="auto"/>
          <w:sz w:val="21"/>
          <w:szCs w:val="21"/>
          <w:u w:val="none" w:color="auto"/>
        </w:rPr>
        <w:t>表2.7-1</w:t>
      </w:r>
      <w:r>
        <w:rPr>
          <w:rFonts w:hint="default" w:ascii="Times New Roman" w:hAnsi="Times New Roman" w:cs="Times New Roman"/>
          <w:b/>
          <w:bCs/>
          <w:color w:val="auto"/>
          <w:sz w:val="21"/>
          <w:szCs w:val="21"/>
          <w:u w:val="none" w:color="auto"/>
          <w:lang w:val="en-US" w:eastAsia="zh-CN"/>
        </w:rPr>
        <w:t xml:space="preserve">   项目</w:t>
      </w:r>
      <w:r>
        <w:rPr>
          <w:rFonts w:hint="default" w:ascii="Times New Roman" w:hAnsi="Times New Roman" w:cs="Times New Roman"/>
          <w:b/>
          <w:bCs/>
          <w:color w:val="auto"/>
          <w:sz w:val="21"/>
          <w:szCs w:val="21"/>
          <w:u w:val="none" w:color="auto"/>
        </w:rPr>
        <w:t>环境保护目标一览表</w:t>
      </w:r>
    </w:p>
    <w:tbl>
      <w:tblPr>
        <w:tblStyle w:val="37"/>
        <w:tblW w:w="845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81"/>
        <w:gridCol w:w="1032"/>
        <w:gridCol w:w="948"/>
        <w:gridCol w:w="1281"/>
        <w:gridCol w:w="649"/>
        <w:gridCol w:w="1234"/>
        <w:gridCol w:w="1592"/>
        <w:gridCol w:w="1238"/>
      </w:tblGrid>
      <w:tr w14:paraId="640A7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restart"/>
            <w:tcBorders>
              <w:tl2br w:val="nil"/>
              <w:tr2bl w:val="nil"/>
            </w:tcBorders>
            <w:tcMar>
              <w:top w:w="12" w:type="dxa"/>
              <w:left w:w="12" w:type="dxa"/>
              <w:right w:w="12" w:type="dxa"/>
            </w:tcMar>
            <w:vAlign w:val="center"/>
          </w:tcPr>
          <w:p w14:paraId="6998722F">
            <w:pPr>
              <w:spacing w:line="240" w:lineRule="auto"/>
              <w:ind w:left="0" w:leftChars="0"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环境要素</w:t>
            </w:r>
          </w:p>
        </w:tc>
        <w:tc>
          <w:tcPr>
            <w:tcW w:w="1980" w:type="dxa"/>
            <w:gridSpan w:val="2"/>
            <w:tcBorders>
              <w:tl2br w:val="nil"/>
              <w:tr2bl w:val="nil"/>
            </w:tcBorders>
            <w:tcMar>
              <w:top w:w="12" w:type="dxa"/>
              <w:left w:w="12" w:type="dxa"/>
              <w:right w:w="12" w:type="dxa"/>
            </w:tcMar>
            <w:vAlign w:val="center"/>
          </w:tcPr>
          <w:p w14:paraId="3C8946A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坐标</w:t>
            </w:r>
            <w:r>
              <w:rPr>
                <w:rFonts w:hint="default" w:ascii="Times New Roman" w:hAnsi="Times New Roman" w:cs="Times New Roman"/>
                <w:color w:val="auto"/>
                <w:sz w:val="21"/>
                <w:szCs w:val="21"/>
                <w:u w:val="none" w:color="auto"/>
              </w:rPr>
              <w:t>/°</w:t>
            </w:r>
          </w:p>
        </w:tc>
        <w:tc>
          <w:tcPr>
            <w:tcW w:w="1281" w:type="dxa"/>
            <w:vMerge w:val="restart"/>
            <w:tcBorders>
              <w:tl2br w:val="nil"/>
              <w:tr2bl w:val="nil"/>
            </w:tcBorders>
            <w:tcMar>
              <w:top w:w="12" w:type="dxa"/>
              <w:left w:w="12" w:type="dxa"/>
              <w:right w:w="12" w:type="dxa"/>
            </w:tcMar>
            <w:vAlign w:val="center"/>
          </w:tcPr>
          <w:p w14:paraId="691CFDB4">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保护对象</w:t>
            </w:r>
          </w:p>
        </w:tc>
        <w:tc>
          <w:tcPr>
            <w:tcW w:w="649" w:type="dxa"/>
            <w:vMerge w:val="restart"/>
            <w:tcBorders>
              <w:tl2br w:val="nil"/>
              <w:tr2bl w:val="nil"/>
            </w:tcBorders>
            <w:tcMar>
              <w:top w:w="12" w:type="dxa"/>
              <w:left w:w="12" w:type="dxa"/>
              <w:right w:w="12" w:type="dxa"/>
            </w:tcMar>
            <w:vAlign w:val="center"/>
          </w:tcPr>
          <w:p w14:paraId="07BDFC78">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保护内容</w:t>
            </w:r>
          </w:p>
        </w:tc>
        <w:tc>
          <w:tcPr>
            <w:tcW w:w="1234" w:type="dxa"/>
            <w:vMerge w:val="restart"/>
            <w:tcBorders>
              <w:tl2br w:val="nil"/>
              <w:tr2bl w:val="nil"/>
            </w:tcBorders>
            <w:tcMar>
              <w:top w:w="12" w:type="dxa"/>
              <w:left w:w="12" w:type="dxa"/>
              <w:right w:w="12" w:type="dxa"/>
            </w:tcMar>
            <w:vAlign w:val="center"/>
          </w:tcPr>
          <w:p w14:paraId="188826A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环境功能区</w:t>
            </w:r>
          </w:p>
        </w:tc>
        <w:tc>
          <w:tcPr>
            <w:tcW w:w="1592" w:type="dxa"/>
            <w:vMerge w:val="restart"/>
            <w:tcBorders>
              <w:tl2br w:val="nil"/>
              <w:tr2bl w:val="nil"/>
            </w:tcBorders>
            <w:tcMar>
              <w:top w:w="12" w:type="dxa"/>
              <w:left w:w="12" w:type="dxa"/>
              <w:right w:w="12" w:type="dxa"/>
            </w:tcMar>
            <w:vAlign w:val="center"/>
          </w:tcPr>
          <w:p w14:paraId="02F20E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方位及距离</w:t>
            </w:r>
          </w:p>
        </w:tc>
        <w:tc>
          <w:tcPr>
            <w:tcW w:w="1238" w:type="dxa"/>
            <w:vMerge w:val="restart"/>
            <w:tcBorders>
              <w:tl2br w:val="nil"/>
              <w:tr2bl w:val="nil"/>
            </w:tcBorders>
            <w:tcMar>
              <w:top w:w="12" w:type="dxa"/>
              <w:left w:w="12" w:type="dxa"/>
              <w:right w:w="12" w:type="dxa"/>
            </w:tcMar>
            <w:vAlign w:val="center"/>
          </w:tcPr>
          <w:p w14:paraId="59F9D86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规模</w:t>
            </w:r>
          </w:p>
        </w:tc>
      </w:tr>
      <w:tr w14:paraId="21137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19E421B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CD75FBE">
            <w:pPr>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sz w:val="21"/>
                <w:szCs w:val="21"/>
                <w:u w:val="none" w:color="auto"/>
              </w:rPr>
              <w:t>E</w:t>
            </w:r>
          </w:p>
        </w:tc>
        <w:tc>
          <w:tcPr>
            <w:tcW w:w="948" w:type="dxa"/>
            <w:tcBorders>
              <w:tl2br w:val="nil"/>
              <w:tr2bl w:val="nil"/>
            </w:tcBorders>
            <w:tcMar>
              <w:top w:w="12" w:type="dxa"/>
              <w:left w:w="12" w:type="dxa"/>
              <w:right w:w="12" w:type="dxa"/>
            </w:tcMar>
            <w:vAlign w:val="center"/>
          </w:tcPr>
          <w:p w14:paraId="0A2374FA">
            <w:pPr>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sz w:val="21"/>
                <w:szCs w:val="21"/>
                <w:u w:val="none" w:color="auto"/>
              </w:rPr>
              <w:t>N</w:t>
            </w:r>
          </w:p>
        </w:tc>
        <w:tc>
          <w:tcPr>
            <w:tcW w:w="1281" w:type="dxa"/>
            <w:vMerge w:val="continue"/>
            <w:tcBorders>
              <w:tl2br w:val="nil"/>
              <w:tr2bl w:val="nil"/>
            </w:tcBorders>
            <w:tcMar>
              <w:top w:w="12" w:type="dxa"/>
              <w:left w:w="12" w:type="dxa"/>
              <w:right w:w="12" w:type="dxa"/>
            </w:tcMar>
            <w:vAlign w:val="center"/>
          </w:tcPr>
          <w:p w14:paraId="220785C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649" w:type="dxa"/>
            <w:vMerge w:val="continue"/>
            <w:tcBorders>
              <w:tl2br w:val="nil"/>
              <w:tr2bl w:val="nil"/>
            </w:tcBorders>
            <w:tcMar>
              <w:top w:w="12" w:type="dxa"/>
              <w:left w:w="12" w:type="dxa"/>
              <w:right w:w="12" w:type="dxa"/>
            </w:tcMar>
            <w:vAlign w:val="center"/>
          </w:tcPr>
          <w:p w14:paraId="545539E9">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234" w:type="dxa"/>
            <w:vMerge w:val="continue"/>
            <w:tcBorders>
              <w:tl2br w:val="nil"/>
              <w:tr2bl w:val="nil"/>
            </w:tcBorders>
            <w:tcMar>
              <w:top w:w="12" w:type="dxa"/>
              <w:left w:w="12" w:type="dxa"/>
              <w:right w:w="12" w:type="dxa"/>
            </w:tcMar>
            <w:vAlign w:val="center"/>
          </w:tcPr>
          <w:p w14:paraId="20835B1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vMerge w:val="continue"/>
            <w:tcBorders>
              <w:tl2br w:val="nil"/>
              <w:tr2bl w:val="nil"/>
            </w:tcBorders>
            <w:tcMar>
              <w:top w:w="12" w:type="dxa"/>
              <w:left w:w="12" w:type="dxa"/>
              <w:right w:w="12" w:type="dxa"/>
            </w:tcMar>
            <w:vAlign w:val="center"/>
          </w:tcPr>
          <w:p w14:paraId="2345916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238" w:type="dxa"/>
            <w:vMerge w:val="continue"/>
            <w:tcBorders>
              <w:tl2br w:val="nil"/>
              <w:tr2bl w:val="nil"/>
            </w:tcBorders>
            <w:tcMar>
              <w:top w:w="12" w:type="dxa"/>
              <w:left w:w="12" w:type="dxa"/>
              <w:right w:w="12" w:type="dxa"/>
            </w:tcMar>
            <w:vAlign w:val="center"/>
          </w:tcPr>
          <w:p w14:paraId="5DDE4D0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r>
      <w:tr w14:paraId="537AAF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restart"/>
            <w:tcBorders>
              <w:tl2br w:val="nil"/>
              <w:tr2bl w:val="nil"/>
            </w:tcBorders>
            <w:tcMar>
              <w:top w:w="12" w:type="dxa"/>
              <w:left w:w="12" w:type="dxa"/>
              <w:right w:w="12" w:type="dxa"/>
            </w:tcMar>
            <w:vAlign w:val="center"/>
          </w:tcPr>
          <w:p w14:paraId="162938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环境空气</w:t>
            </w:r>
          </w:p>
        </w:tc>
        <w:tc>
          <w:tcPr>
            <w:tcW w:w="1032" w:type="dxa"/>
            <w:tcBorders>
              <w:tl2br w:val="nil"/>
              <w:tr2bl w:val="nil"/>
            </w:tcBorders>
            <w:tcMar>
              <w:top w:w="12" w:type="dxa"/>
              <w:left w:w="12" w:type="dxa"/>
              <w:right w:w="12" w:type="dxa"/>
            </w:tcMar>
            <w:vAlign w:val="center"/>
          </w:tcPr>
          <w:p w14:paraId="180926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111.59678</w:t>
            </w:r>
            <w:r>
              <w:rPr>
                <w:rFonts w:hint="eastAsia" w:cs="Times New Roman"/>
                <w:color w:val="auto"/>
                <w:kern w:val="0"/>
                <w:sz w:val="21"/>
                <w:szCs w:val="21"/>
                <w:u w:val="none" w:color="auto"/>
                <w:lang w:val="en-US" w:eastAsia="zh-CN"/>
              </w:rPr>
              <w:t>31</w:t>
            </w:r>
          </w:p>
        </w:tc>
        <w:tc>
          <w:tcPr>
            <w:tcW w:w="948" w:type="dxa"/>
            <w:tcBorders>
              <w:tl2br w:val="nil"/>
              <w:tr2bl w:val="nil"/>
            </w:tcBorders>
            <w:tcMar>
              <w:top w:w="12" w:type="dxa"/>
              <w:left w:w="12" w:type="dxa"/>
              <w:right w:w="12" w:type="dxa"/>
            </w:tcMar>
            <w:vAlign w:val="center"/>
          </w:tcPr>
          <w:p w14:paraId="0F303C7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25.67626</w:t>
            </w:r>
            <w:r>
              <w:rPr>
                <w:rFonts w:hint="eastAsia" w:cs="Times New Roman"/>
                <w:color w:val="auto"/>
                <w:kern w:val="0"/>
                <w:sz w:val="21"/>
                <w:szCs w:val="21"/>
                <w:u w:val="none" w:color="auto"/>
                <w:lang w:val="en-US" w:eastAsia="zh-CN"/>
              </w:rPr>
              <w:t>67</w:t>
            </w:r>
          </w:p>
        </w:tc>
        <w:tc>
          <w:tcPr>
            <w:tcW w:w="1281" w:type="dxa"/>
            <w:tcBorders>
              <w:tl2br w:val="nil"/>
              <w:tr2bl w:val="nil"/>
            </w:tcBorders>
            <w:tcMar>
              <w:top w:w="12" w:type="dxa"/>
              <w:left w:w="12" w:type="dxa"/>
              <w:right w:w="12" w:type="dxa"/>
            </w:tcMar>
            <w:vAlign w:val="center"/>
          </w:tcPr>
          <w:p w14:paraId="1BFFF5F0">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廊洞村居民1</w:t>
            </w:r>
          </w:p>
        </w:tc>
        <w:tc>
          <w:tcPr>
            <w:tcW w:w="649" w:type="dxa"/>
            <w:tcBorders>
              <w:tl2br w:val="nil"/>
              <w:tr2bl w:val="nil"/>
            </w:tcBorders>
            <w:tcMar>
              <w:top w:w="12" w:type="dxa"/>
              <w:left w:w="12" w:type="dxa"/>
              <w:right w:w="12" w:type="dxa"/>
            </w:tcMar>
            <w:vAlign w:val="center"/>
          </w:tcPr>
          <w:p w14:paraId="63B5F1F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restart"/>
            <w:tcBorders>
              <w:tl2br w:val="nil"/>
              <w:tr2bl w:val="nil"/>
            </w:tcBorders>
            <w:tcMar>
              <w:top w:w="12" w:type="dxa"/>
              <w:left w:w="12" w:type="dxa"/>
              <w:right w:w="12" w:type="dxa"/>
            </w:tcMar>
            <w:vAlign w:val="center"/>
          </w:tcPr>
          <w:p w14:paraId="27561500">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GB3095-2012中二类区</w:t>
            </w:r>
          </w:p>
        </w:tc>
        <w:tc>
          <w:tcPr>
            <w:tcW w:w="1592" w:type="dxa"/>
            <w:tcBorders>
              <w:tl2br w:val="nil"/>
              <w:tr2bl w:val="nil"/>
            </w:tcBorders>
            <w:tcMar>
              <w:top w:w="12" w:type="dxa"/>
              <w:left w:w="12" w:type="dxa"/>
              <w:right w:w="12" w:type="dxa"/>
            </w:tcMar>
            <w:vAlign w:val="center"/>
          </w:tcPr>
          <w:p w14:paraId="34BFDA4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65-260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0A55472C">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3户</w:t>
            </w: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w:t>
            </w:r>
            <w:r>
              <w:rPr>
                <w:rFonts w:hint="default" w:ascii="Times New Roman" w:hAnsi="Times New Roman" w:cs="Times New Roman"/>
                <w:color w:val="auto"/>
                <w:kern w:val="0"/>
                <w:sz w:val="21"/>
                <w:szCs w:val="21"/>
                <w:u w:val="none" w:color="auto"/>
              </w:rPr>
              <w:t>0人</w:t>
            </w:r>
          </w:p>
        </w:tc>
      </w:tr>
      <w:tr w14:paraId="5F1812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continue"/>
            <w:tcBorders>
              <w:tl2br w:val="nil"/>
              <w:tr2bl w:val="nil"/>
            </w:tcBorders>
            <w:tcMar>
              <w:top w:w="12" w:type="dxa"/>
              <w:left w:w="12" w:type="dxa"/>
              <w:right w:w="12" w:type="dxa"/>
            </w:tcMar>
            <w:vAlign w:val="center"/>
          </w:tcPr>
          <w:p w14:paraId="0F8B6E3A">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AA79A9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111.59731</w:t>
            </w:r>
            <w:r>
              <w:rPr>
                <w:rFonts w:hint="eastAsia" w:cs="Times New Roman"/>
                <w:color w:val="auto"/>
                <w:kern w:val="0"/>
                <w:sz w:val="21"/>
                <w:szCs w:val="21"/>
                <w:u w:val="none" w:color="auto"/>
                <w:lang w:val="en-US" w:eastAsia="zh-CN"/>
              </w:rPr>
              <w:t>22</w:t>
            </w:r>
          </w:p>
        </w:tc>
        <w:tc>
          <w:tcPr>
            <w:tcW w:w="948" w:type="dxa"/>
            <w:tcBorders>
              <w:tl2br w:val="nil"/>
              <w:tr2bl w:val="nil"/>
            </w:tcBorders>
            <w:tcMar>
              <w:top w:w="12" w:type="dxa"/>
              <w:left w:w="12" w:type="dxa"/>
              <w:right w:w="12" w:type="dxa"/>
            </w:tcMar>
            <w:vAlign w:val="center"/>
          </w:tcPr>
          <w:p w14:paraId="470B339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25.67190</w:t>
            </w:r>
            <w:r>
              <w:rPr>
                <w:rFonts w:hint="eastAsia" w:cs="Times New Roman"/>
                <w:color w:val="auto"/>
                <w:kern w:val="0"/>
                <w:sz w:val="21"/>
                <w:szCs w:val="21"/>
                <w:u w:val="none" w:color="auto"/>
                <w:lang w:val="en-US" w:eastAsia="zh-CN"/>
              </w:rPr>
              <w:t>39</w:t>
            </w:r>
          </w:p>
        </w:tc>
        <w:tc>
          <w:tcPr>
            <w:tcW w:w="1281" w:type="dxa"/>
            <w:tcBorders>
              <w:tl2br w:val="nil"/>
              <w:tr2bl w:val="nil"/>
            </w:tcBorders>
            <w:tcMar>
              <w:top w:w="12" w:type="dxa"/>
              <w:left w:w="12" w:type="dxa"/>
              <w:right w:w="12" w:type="dxa"/>
            </w:tcMar>
            <w:vAlign w:val="center"/>
          </w:tcPr>
          <w:p w14:paraId="1EC2E96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廊洞村居民2</w:t>
            </w:r>
          </w:p>
        </w:tc>
        <w:tc>
          <w:tcPr>
            <w:tcW w:w="649" w:type="dxa"/>
            <w:tcBorders>
              <w:tl2br w:val="nil"/>
              <w:tr2bl w:val="nil"/>
            </w:tcBorders>
            <w:tcMar>
              <w:top w:w="12" w:type="dxa"/>
              <w:left w:w="12" w:type="dxa"/>
              <w:right w:w="12" w:type="dxa"/>
            </w:tcMar>
            <w:vAlign w:val="center"/>
          </w:tcPr>
          <w:p w14:paraId="05013B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BDA9B3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32E1BB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380-1000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19389D7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约29</w:t>
            </w:r>
            <w:r>
              <w:rPr>
                <w:rFonts w:hint="default" w:ascii="Times New Roman" w:hAnsi="Times New Roman" w:cs="Times New Roman"/>
                <w:color w:val="auto"/>
                <w:kern w:val="0"/>
                <w:sz w:val="21"/>
                <w:szCs w:val="21"/>
                <w:u w:val="none" w:color="auto"/>
                <w:lang w:val="en-US" w:eastAsia="zh-CN"/>
              </w:rPr>
              <w:t>0</w:t>
            </w:r>
            <w:r>
              <w:rPr>
                <w:rFonts w:hint="default" w:ascii="Times New Roman" w:hAnsi="Times New Roman" w:cs="Times New Roman"/>
                <w:color w:val="auto"/>
                <w:kern w:val="0"/>
                <w:sz w:val="21"/>
                <w:szCs w:val="21"/>
                <w:u w:val="none" w:color="auto"/>
              </w:rPr>
              <w:t>户</w:t>
            </w:r>
          </w:p>
        </w:tc>
      </w:tr>
      <w:tr w14:paraId="2CFC3D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481" w:type="dxa"/>
            <w:vMerge w:val="continue"/>
            <w:tcBorders>
              <w:tl2br w:val="nil"/>
              <w:tr2bl w:val="nil"/>
            </w:tcBorders>
            <w:tcMar>
              <w:top w:w="12" w:type="dxa"/>
              <w:left w:w="12" w:type="dxa"/>
              <w:right w:w="12" w:type="dxa"/>
            </w:tcMar>
            <w:vAlign w:val="center"/>
          </w:tcPr>
          <w:p w14:paraId="48804B0D">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58733B4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111.59472</w:t>
            </w:r>
            <w:r>
              <w:rPr>
                <w:rFonts w:hint="eastAsia" w:cs="Times New Roman"/>
                <w:color w:val="auto"/>
                <w:kern w:val="0"/>
                <w:sz w:val="21"/>
                <w:szCs w:val="21"/>
                <w:u w:val="none" w:color="auto"/>
                <w:lang w:val="en-US" w:eastAsia="zh-CN"/>
              </w:rPr>
              <w:t>33</w:t>
            </w:r>
          </w:p>
        </w:tc>
        <w:tc>
          <w:tcPr>
            <w:tcW w:w="948" w:type="dxa"/>
            <w:tcBorders>
              <w:tl2br w:val="nil"/>
              <w:tr2bl w:val="nil"/>
            </w:tcBorders>
            <w:tcMar>
              <w:top w:w="12" w:type="dxa"/>
              <w:left w:w="12" w:type="dxa"/>
              <w:right w:w="12" w:type="dxa"/>
            </w:tcMar>
            <w:vAlign w:val="center"/>
          </w:tcPr>
          <w:p w14:paraId="0B88C39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25.68859</w:t>
            </w:r>
            <w:r>
              <w:rPr>
                <w:rFonts w:hint="eastAsia" w:cs="Times New Roman"/>
                <w:color w:val="auto"/>
                <w:kern w:val="0"/>
                <w:sz w:val="21"/>
                <w:szCs w:val="21"/>
                <w:u w:val="none" w:color="auto"/>
                <w:lang w:val="en-US" w:eastAsia="zh-CN"/>
              </w:rPr>
              <w:t>40</w:t>
            </w:r>
          </w:p>
        </w:tc>
        <w:tc>
          <w:tcPr>
            <w:tcW w:w="1281" w:type="dxa"/>
            <w:tcBorders>
              <w:tl2br w:val="nil"/>
              <w:tr2bl w:val="nil"/>
            </w:tcBorders>
            <w:tcMar>
              <w:top w:w="12" w:type="dxa"/>
              <w:left w:w="12" w:type="dxa"/>
              <w:right w:w="12" w:type="dxa"/>
            </w:tcMar>
            <w:vAlign w:val="center"/>
          </w:tcPr>
          <w:p w14:paraId="4F536B2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红铺1</w:t>
            </w:r>
          </w:p>
        </w:tc>
        <w:tc>
          <w:tcPr>
            <w:tcW w:w="649" w:type="dxa"/>
            <w:tcBorders>
              <w:tl2br w:val="nil"/>
              <w:tr2bl w:val="nil"/>
            </w:tcBorders>
            <w:tcMar>
              <w:top w:w="12" w:type="dxa"/>
              <w:left w:w="12" w:type="dxa"/>
              <w:right w:w="12" w:type="dxa"/>
            </w:tcMar>
            <w:vAlign w:val="center"/>
          </w:tcPr>
          <w:p w14:paraId="4C455E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3E8DFF10">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3572610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紧邻</w:t>
            </w:r>
          </w:p>
        </w:tc>
        <w:tc>
          <w:tcPr>
            <w:tcW w:w="1238" w:type="dxa"/>
            <w:tcBorders>
              <w:tl2br w:val="nil"/>
              <w:tr2bl w:val="nil"/>
            </w:tcBorders>
            <w:tcMar>
              <w:top w:w="12" w:type="dxa"/>
              <w:left w:w="12" w:type="dxa"/>
              <w:right w:w="12" w:type="dxa"/>
            </w:tcMar>
            <w:vAlign w:val="center"/>
          </w:tcPr>
          <w:p w14:paraId="1BDD4D4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6</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21</w:t>
            </w:r>
            <w:r>
              <w:rPr>
                <w:rFonts w:hint="default" w:ascii="Times New Roman" w:hAnsi="Times New Roman" w:cs="Times New Roman"/>
                <w:color w:val="auto"/>
                <w:kern w:val="0"/>
                <w:sz w:val="21"/>
                <w:szCs w:val="21"/>
                <w:u w:val="none" w:color="auto"/>
              </w:rPr>
              <w:t>人</w:t>
            </w:r>
          </w:p>
        </w:tc>
      </w:tr>
      <w:tr w14:paraId="2059E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1" w:type="dxa"/>
            <w:vMerge w:val="continue"/>
            <w:tcBorders>
              <w:tl2br w:val="nil"/>
              <w:tr2bl w:val="nil"/>
            </w:tcBorders>
            <w:tcMar>
              <w:top w:w="12" w:type="dxa"/>
              <w:left w:w="12" w:type="dxa"/>
              <w:right w:w="12" w:type="dxa"/>
            </w:tcMar>
            <w:vAlign w:val="center"/>
          </w:tcPr>
          <w:p w14:paraId="21A67725">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4AF2815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111.58693</w:t>
            </w:r>
            <w:r>
              <w:rPr>
                <w:rFonts w:hint="eastAsia" w:cs="Times New Roman"/>
                <w:color w:val="auto"/>
                <w:kern w:val="0"/>
                <w:sz w:val="21"/>
                <w:szCs w:val="21"/>
                <w:u w:val="none" w:color="auto"/>
                <w:lang w:val="en-US" w:eastAsia="zh-CN"/>
              </w:rPr>
              <w:t>17</w:t>
            </w:r>
          </w:p>
        </w:tc>
        <w:tc>
          <w:tcPr>
            <w:tcW w:w="948" w:type="dxa"/>
            <w:tcBorders>
              <w:tl2br w:val="nil"/>
              <w:tr2bl w:val="nil"/>
            </w:tcBorders>
            <w:tcMar>
              <w:top w:w="12" w:type="dxa"/>
              <w:left w:w="12" w:type="dxa"/>
              <w:right w:w="12" w:type="dxa"/>
            </w:tcMar>
            <w:vAlign w:val="center"/>
          </w:tcPr>
          <w:p w14:paraId="653385E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25.66662</w:t>
            </w:r>
            <w:r>
              <w:rPr>
                <w:rFonts w:hint="eastAsia" w:cs="Times New Roman"/>
                <w:color w:val="auto"/>
                <w:kern w:val="0"/>
                <w:sz w:val="21"/>
                <w:szCs w:val="21"/>
                <w:u w:val="none" w:color="auto"/>
                <w:lang w:val="en-US" w:eastAsia="zh-CN"/>
              </w:rPr>
              <w:t>15</w:t>
            </w:r>
          </w:p>
        </w:tc>
        <w:tc>
          <w:tcPr>
            <w:tcW w:w="1281" w:type="dxa"/>
            <w:tcBorders>
              <w:tl2br w:val="nil"/>
              <w:tr2bl w:val="nil"/>
            </w:tcBorders>
            <w:tcMar>
              <w:top w:w="12" w:type="dxa"/>
              <w:left w:w="12" w:type="dxa"/>
              <w:right w:w="12" w:type="dxa"/>
            </w:tcMar>
            <w:vAlign w:val="center"/>
          </w:tcPr>
          <w:p w14:paraId="67D6384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红铺2</w:t>
            </w:r>
          </w:p>
        </w:tc>
        <w:tc>
          <w:tcPr>
            <w:tcW w:w="649" w:type="dxa"/>
            <w:tcBorders>
              <w:tl2br w:val="nil"/>
              <w:tr2bl w:val="nil"/>
            </w:tcBorders>
            <w:tcMar>
              <w:top w:w="12" w:type="dxa"/>
              <w:left w:w="12" w:type="dxa"/>
              <w:right w:w="12" w:type="dxa"/>
            </w:tcMar>
            <w:vAlign w:val="center"/>
          </w:tcPr>
          <w:p w14:paraId="32AA4B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207CC99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5B2C768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S，1.25-1.44km</w:t>
            </w:r>
          </w:p>
        </w:tc>
        <w:tc>
          <w:tcPr>
            <w:tcW w:w="1238" w:type="dxa"/>
            <w:tcBorders>
              <w:tl2br w:val="nil"/>
              <w:tr2bl w:val="nil"/>
            </w:tcBorders>
            <w:tcMar>
              <w:top w:w="12" w:type="dxa"/>
              <w:left w:w="12" w:type="dxa"/>
              <w:right w:w="12" w:type="dxa"/>
            </w:tcMar>
            <w:vAlign w:val="center"/>
          </w:tcPr>
          <w:p w14:paraId="5AD87FFE">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11</w:t>
            </w:r>
            <w:r>
              <w:rPr>
                <w:rFonts w:hint="default" w:ascii="Times New Roman" w:hAnsi="Times New Roman" w:cs="Times New Roman"/>
                <w:color w:val="auto"/>
                <w:kern w:val="0"/>
                <w:sz w:val="21"/>
                <w:szCs w:val="21"/>
                <w:u w:val="none" w:color="auto"/>
              </w:rPr>
              <w:t>户约</w:t>
            </w:r>
            <w:r>
              <w:rPr>
                <w:rFonts w:hint="eastAsia" w:cs="Times New Roman"/>
                <w:color w:val="auto"/>
                <w:kern w:val="0"/>
                <w:sz w:val="21"/>
                <w:szCs w:val="21"/>
                <w:u w:val="none" w:color="auto"/>
                <w:lang w:val="en-US" w:eastAsia="zh-CN"/>
              </w:rPr>
              <w:t>30人</w:t>
            </w:r>
          </w:p>
        </w:tc>
      </w:tr>
      <w:tr w14:paraId="02323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513A3551">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1E2ED5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w:t>
            </w:r>
            <w:r>
              <w:rPr>
                <w:rFonts w:hint="eastAsia" w:cs="Times New Roman"/>
                <w:color w:val="auto"/>
                <w:kern w:val="0"/>
                <w:sz w:val="21"/>
                <w:szCs w:val="21"/>
                <w:u w:val="none" w:color="auto"/>
                <w:lang w:val="en-US" w:eastAsia="zh-CN"/>
              </w:rPr>
              <w:t>25</w:t>
            </w:r>
            <w:r>
              <w:rPr>
                <w:rFonts w:hint="default" w:ascii="Times New Roman" w:hAnsi="Times New Roman" w:cs="Times New Roman"/>
                <w:color w:val="auto"/>
                <w:kern w:val="0"/>
                <w:sz w:val="21"/>
                <w:szCs w:val="21"/>
                <w:u w:val="none" w:color="auto"/>
                <w:lang w:val="en-US" w:eastAsia="zh-CN"/>
              </w:rPr>
              <w:t>8932</w:t>
            </w:r>
          </w:p>
        </w:tc>
        <w:tc>
          <w:tcPr>
            <w:tcW w:w="948" w:type="dxa"/>
            <w:tcBorders>
              <w:tl2br w:val="nil"/>
              <w:tr2bl w:val="nil"/>
            </w:tcBorders>
            <w:tcMar>
              <w:top w:w="12" w:type="dxa"/>
              <w:left w:w="12" w:type="dxa"/>
              <w:right w:w="12" w:type="dxa"/>
            </w:tcMar>
            <w:vAlign w:val="center"/>
          </w:tcPr>
          <w:p w14:paraId="415AD8D1">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25.67701</w:t>
            </w:r>
            <w:r>
              <w:rPr>
                <w:rFonts w:hint="eastAsia" w:cs="Times New Roman"/>
                <w:color w:val="auto"/>
                <w:kern w:val="0"/>
                <w:sz w:val="21"/>
                <w:szCs w:val="21"/>
                <w:u w:val="none" w:color="auto"/>
                <w:lang w:val="en-US" w:eastAsia="zh-CN"/>
              </w:rPr>
              <w:t>29</w:t>
            </w:r>
          </w:p>
        </w:tc>
        <w:tc>
          <w:tcPr>
            <w:tcW w:w="1281" w:type="dxa"/>
            <w:tcBorders>
              <w:tl2br w:val="nil"/>
              <w:tr2bl w:val="nil"/>
            </w:tcBorders>
            <w:tcMar>
              <w:top w:w="12" w:type="dxa"/>
              <w:left w:w="12" w:type="dxa"/>
              <w:right w:w="12" w:type="dxa"/>
            </w:tcMar>
            <w:vAlign w:val="center"/>
          </w:tcPr>
          <w:p w14:paraId="6BEF5753">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扁担坳</w:t>
            </w:r>
          </w:p>
        </w:tc>
        <w:tc>
          <w:tcPr>
            <w:tcW w:w="649" w:type="dxa"/>
            <w:tcBorders>
              <w:tl2br w:val="nil"/>
              <w:tr2bl w:val="nil"/>
            </w:tcBorders>
            <w:tcMar>
              <w:top w:w="12" w:type="dxa"/>
              <w:left w:w="12" w:type="dxa"/>
              <w:right w:w="12" w:type="dxa"/>
            </w:tcMar>
            <w:vAlign w:val="center"/>
          </w:tcPr>
          <w:p w14:paraId="54ACE8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1C1582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7DA5BA0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75-170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15D020F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2</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7</w:t>
            </w:r>
            <w:r>
              <w:rPr>
                <w:rFonts w:hint="default" w:ascii="Times New Roman" w:hAnsi="Times New Roman" w:cs="Times New Roman"/>
                <w:color w:val="auto"/>
                <w:kern w:val="0"/>
                <w:sz w:val="21"/>
                <w:szCs w:val="21"/>
                <w:u w:val="none" w:color="auto"/>
              </w:rPr>
              <w:t>人</w:t>
            </w:r>
          </w:p>
        </w:tc>
      </w:tr>
      <w:tr w14:paraId="4ABE1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1FE8AB4C">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14FA15D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111.58515</w:t>
            </w:r>
            <w:r>
              <w:rPr>
                <w:rFonts w:hint="eastAsia" w:cs="Times New Roman"/>
                <w:color w:val="auto"/>
                <w:kern w:val="0"/>
                <w:sz w:val="21"/>
                <w:szCs w:val="21"/>
                <w:u w:val="none" w:color="auto"/>
                <w:lang w:val="en-US" w:eastAsia="zh-CN"/>
              </w:rPr>
              <w:t>34</w:t>
            </w:r>
          </w:p>
        </w:tc>
        <w:tc>
          <w:tcPr>
            <w:tcW w:w="948" w:type="dxa"/>
            <w:tcBorders>
              <w:tl2br w:val="nil"/>
              <w:tr2bl w:val="nil"/>
            </w:tcBorders>
            <w:tcMar>
              <w:top w:w="12" w:type="dxa"/>
              <w:left w:w="12" w:type="dxa"/>
              <w:right w:w="12" w:type="dxa"/>
            </w:tcMar>
            <w:vAlign w:val="center"/>
          </w:tcPr>
          <w:p w14:paraId="299266E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25.67153</w:t>
            </w:r>
            <w:r>
              <w:rPr>
                <w:rFonts w:hint="eastAsia" w:cs="Times New Roman"/>
                <w:color w:val="auto"/>
                <w:kern w:val="0"/>
                <w:sz w:val="21"/>
                <w:szCs w:val="21"/>
                <w:u w:val="none" w:color="auto"/>
                <w:lang w:val="en-US" w:eastAsia="zh-CN"/>
              </w:rPr>
              <w:t>87</w:t>
            </w:r>
          </w:p>
        </w:tc>
        <w:tc>
          <w:tcPr>
            <w:tcW w:w="1281" w:type="dxa"/>
            <w:tcBorders>
              <w:tl2br w:val="nil"/>
              <w:tr2bl w:val="nil"/>
            </w:tcBorders>
            <w:tcMar>
              <w:top w:w="12" w:type="dxa"/>
              <w:left w:w="12" w:type="dxa"/>
              <w:right w:w="12" w:type="dxa"/>
            </w:tcMar>
            <w:vAlign w:val="center"/>
          </w:tcPr>
          <w:p w14:paraId="080F55E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虎岩坝</w:t>
            </w:r>
          </w:p>
        </w:tc>
        <w:tc>
          <w:tcPr>
            <w:tcW w:w="649" w:type="dxa"/>
            <w:tcBorders>
              <w:tl2br w:val="nil"/>
              <w:tr2bl w:val="nil"/>
            </w:tcBorders>
            <w:tcMar>
              <w:top w:w="12" w:type="dxa"/>
              <w:left w:w="12" w:type="dxa"/>
              <w:right w:w="12" w:type="dxa"/>
            </w:tcMar>
            <w:vAlign w:val="center"/>
          </w:tcPr>
          <w:p w14:paraId="637B4F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011A8C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C1A7CD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660-1180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469BEC22">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37</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130</w:t>
            </w:r>
            <w:r>
              <w:rPr>
                <w:rFonts w:hint="default" w:ascii="Times New Roman" w:hAnsi="Times New Roman" w:cs="Times New Roman"/>
                <w:color w:val="auto"/>
                <w:kern w:val="0"/>
                <w:sz w:val="21"/>
                <w:szCs w:val="21"/>
                <w:u w:val="none" w:color="auto"/>
              </w:rPr>
              <w:t>人</w:t>
            </w:r>
          </w:p>
        </w:tc>
      </w:tr>
      <w:tr w14:paraId="14C5F1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5024B78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2EE2ABF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111.59057</w:t>
            </w:r>
            <w:r>
              <w:rPr>
                <w:rFonts w:hint="eastAsia" w:cs="Times New Roman"/>
                <w:color w:val="auto"/>
                <w:kern w:val="0"/>
                <w:sz w:val="21"/>
                <w:szCs w:val="21"/>
                <w:u w:val="none" w:color="auto"/>
                <w:lang w:val="en-US" w:eastAsia="zh-CN"/>
              </w:rPr>
              <w:t>14</w:t>
            </w:r>
          </w:p>
        </w:tc>
        <w:tc>
          <w:tcPr>
            <w:tcW w:w="948" w:type="dxa"/>
            <w:tcBorders>
              <w:tl2br w:val="nil"/>
              <w:tr2bl w:val="nil"/>
            </w:tcBorders>
            <w:tcMar>
              <w:top w:w="12" w:type="dxa"/>
              <w:left w:w="12" w:type="dxa"/>
              <w:right w:w="12" w:type="dxa"/>
            </w:tcMar>
            <w:vAlign w:val="center"/>
          </w:tcPr>
          <w:p w14:paraId="0162C5A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25.69642</w:t>
            </w:r>
            <w:r>
              <w:rPr>
                <w:rFonts w:hint="eastAsia" w:cs="Times New Roman"/>
                <w:color w:val="auto"/>
                <w:kern w:val="0"/>
                <w:sz w:val="21"/>
                <w:szCs w:val="21"/>
                <w:u w:val="none" w:color="auto"/>
                <w:lang w:val="en-US" w:eastAsia="zh-CN"/>
              </w:rPr>
              <w:t>69</w:t>
            </w:r>
          </w:p>
        </w:tc>
        <w:tc>
          <w:tcPr>
            <w:tcW w:w="1281" w:type="dxa"/>
            <w:tcBorders>
              <w:tl2br w:val="nil"/>
              <w:tr2bl w:val="nil"/>
            </w:tcBorders>
            <w:tcMar>
              <w:top w:w="12" w:type="dxa"/>
              <w:left w:w="12" w:type="dxa"/>
              <w:right w:w="12" w:type="dxa"/>
            </w:tcMar>
            <w:vAlign w:val="center"/>
          </w:tcPr>
          <w:p w14:paraId="211838C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黄土岌村</w:t>
            </w:r>
          </w:p>
        </w:tc>
        <w:tc>
          <w:tcPr>
            <w:tcW w:w="649" w:type="dxa"/>
            <w:tcBorders>
              <w:tl2br w:val="nil"/>
              <w:tr2bl w:val="nil"/>
            </w:tcBorders>
            <w:tcMar>
              <w:top w:w="12" w:type="dxa"/>
              <w:left w:w="12" w:type="dxa"/>
              <w:right w:w="12" w:type="dxa"/>
            </w:tcMar>
            <w:vAlign w:val="center"/>
          </w:tcPr>
          <w:p w14:paraId="2F4570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30EF9B8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21C2C8CA">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u w:val="none" w:color="auto"/>
                <w:lang w:val="en-US" w:eastAsia="zh-CN"/>
              </w:rPr>
              <w:t>50</w:t>
            </w:r>
            <w:r>
              <w:rPr>
                <w:rFonts w:hint="default" w:ascii="Times New Roman" w:hAnsi="Times New Roman" w:cs="Times New Roman"/>
                <w:color w:val="auto"/>
                <w:kern w:val="0"/>
                <w:sz w:val="21"/>
                <w:szCs w:val="21"/>
                <w:u w:val="none" w:color="auto"/>
              </w:rPr>
              <w:t>0</w:t>
            </w:r>
            <w:r>
              <w:rPr>
                <w:rFonts w:hint="default" w:ascii="Times New Roman" w:hAnsi="Times New Roman" w:cs="Times New Roman"/>
                <w:color w:val="auto"/>
                <w:kern w:val="0"/>
                <w:sz w:val="21"/>
                <w:szCs w:val="21"/>
                <w:u w:val="none" w:color="auto"/>
                <w:lang w:eastAsia="zh-CN"/>
              </w:rPr>
              <w:t>-</w:t>
            </w:r>
            <w:r>
              <w:rPr>
                <w:rFonts w:hint="default" w:ascii="Times New Roman" w:hAnsi="Times New Roman" w:cs="Times New Roman"/>
                <w:color w:val="auto"/>
                <w:kern w:val="0"/>
                <w:sz w:val="21"/>
                <w:szCs w:val="21"/>
                <w:u w:val="none" w:color="auto"/>
                <w:lang w:val="en-US" w:eastAsia="zh-CN"/>
              </w:rPr>
              <w:t>760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88B1F1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17户60</w:t>
            </w:r>
            <w:r>
              <w:rPr>
                <w:rFonts w:hint="default" w:ascii="Times New Roman" w:hAnsi="Times New Roman" w:cs="Times New Roman"/>
                <w:color w:val="auto"/>
                <w:kern w:val="0"/>
                <w:sz w:val="21"/>
                <w:szCs w:val="21"/>
                <w:u w:val="none" w:color="auto"/>
              </w:rPr>
              <w:t>人</w:t>
            </w:r>
          </w:p>
        </w:tc>
      </w:tr>
      <w:tr w14:paraId="03BC5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335D12C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06EE0378">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111.57849</w:t>
            </w:r>
            <w:r>
              <w:rPr>
                <w:rFonts w:hint="eastAsia" w:cs="Times New Roman"/>
                <w:color w:val="auto"/>
                <w:kern w:val="0"/>
                <w:sz w:val="21"/>
                <w:szCs w:val="21"/>
                <w:u w:val="none" w:color="auto"/>
                <w:lang w:val="en-US" w:eastAsia="zh-CN"/>
              </w:rPr>
              <w:t>16</w:t>
            </w:r>
          </w:p>
        </w:tc>
        <w:tc>
          <w:tcPr>
            <w:tcW w:w="948" w:type="dxa"/>
            <w:tcBorders>
              <w:tl2br w:val="nil"/>
              <w:tr2bl w:val="nil"/>
            </w:tcBorders>
            <w:tcMar>
              <w:top w:w="12" w:type="dxa"/>
              <w:left w:w="12" w:type="dxa"/>
              <w:right w:w="12" w:type="dxa"/>
            </w:tcMar>
            <w:vAlign w:val="center"/>
          </w:tcPr>
          <w:p w14:paraId="0278B36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25.66802</w:t>
            </w:r>
            <w:r>
              <w:rPr>
                <w:rFonts w:hint="eastAsia" w:cs="Times New Roman"/>
                <w:color w:val="auto"/>
                <w:kern w:val="0"/>
                <w:sz w:val="21"/>
                <w:szCs w:val="21"/>
                <w:u w:val="none" w:color="auto"/>
                <w:lang w:val="en-US" w:eastAsia="zh-CN"/>
              </w:rPr>
              <w:t>53</w:t>
            </w:r>
          </w:p>
        </w:tc>
        <w:tc>
          <w:tcPr>
            <w:tcW w:w="1281" w:type="dxa"/>
            <w:tcBorders>
              <w:tl2br w:val="nil"/>
              <w:tr2bl w:val="nil"/>
            </w:tcBorders>
            <w:tcMar>
              <w:top w:w="12" w:type="dxa"/>
              <w:left w:w="12" w:type="dxa"/>
              <w:right w:w="12" w:type="dxa"/>
            </w:tcMar>
            <w:vAlign w:val="center"/>
          </w:tcPr>
          <w:p w14:paraId="6782714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杨家</w:t>
            </w:r>
          </w:p>
        </w:tc>
        <w:tc>
          <w:tcPr>
            <w:tcW w:w="649" w:type="dxa"/>
            <w:tcBorders>
              <w:tl2br w:val="nil"/>
              <w:tr2bl w:val="nil"/>
            </w:tcBorders>
            <w:tcMar>
              <w:top w:w="12" w:type="dxa"/>
              <w:left w:w="12" w:type="dxa"/>
              <w:right w:w="12" w:type="dxa"/>
            </w:tcMar>
            <w:vAlign w:val="center"/>
          </w:tcPr>
          <w:p w14:paraId="1D3D24FF">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A73EB7E">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48FE8C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1.55-1.83</w:t>
            </w:r>
            <w:r>
              <w:rPr>
                <w:rFonts w:hint="default" w:ascii="Times New Roman" w:hAnsi="Times New Roman" w:cs="Times New Roman"/>
                <w:color w:val="auto"/>
                <w:kern w:val="0"/>
                <w:sz w:val="21"/>
                <w:szCs w:val="21"/>
                <w:u w:val="none" w:color="auto"/>
                <w:lang w:val="en-US" w:eastAsia="zh-CN"/>
              </w:rPr>
              <w:t>k</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F10A7F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51户178</w:t>
            </w:r>
            <w:r>
              <w:rPr>
                <w:rFonts w:hint="default" w:ascii="Times New Roman" w:hAnsi="Times New Roman" w:cs="Times New Roman"/>
                <w:color w:val="auto"/>
                <w:kern w:val="0"/>
                <w:sz w:val="21"/>
                <w:szCs w:val="21"/>
                <w:u w:val="none" w:color="auto"/>
              </w:rPr>
              <w:t>人</w:t>
            </w:r>
          </w:p>
        </w:tc>
      </w:tr>
      <w:tr w14:paraId="2E797B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0CA1860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406D3FB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111.61069</w:t>
            </w:r>
            <w:r>
              <w:rPr>
                <w:rFonts w:hint="eastAsia" w:cs="Times New Roman"/>
                <w:color w:val="auto"/>
                <w:kern w:val="0"/>
                <w:sz w:val="21"/>
                <w:szCs w:val="21"/>
                <w:u w:val="none" w:color="auto"/>
                <w:lang w:val="en-US" w:eastAsia="zh-CN"/>
              </w:rPr>
              <w:t>26</w:t>
            </w:r>
          </w:p>
        </w:tc>
        <w:tc>
          <w:tcPr>
            <w:tcW w:w="948" w:type="dxa"/>
            <w:tcBorders>
              <w:tl2br w:val="nil"/>
              <w:tr2bl w:val="nil"/>
            </w:tcBorders>
            <w:tcMar>
              <w:top w:w="12" w:type="dxa"/>
              <w:left w:w="12" w:type="dxa"/>
              <w:right w:w="12" w:type="dxa"/>
            </w:tcMar>
            <w:vAlign w:val="center"/>
          </w:tcPr>
          <w:p w14:paraId="041AA20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25.67115</w:t>
            </w:r>
            <w:r>
              <w:rPr>
                <w:rFonts w:hint="eastAsia" w:cs="Times New Roman"/>
                <w:color w:val="auto"/>
                <w:kern w:val="0"/>
                <w:sz w:val="21"/>
                <w:szCs w:val="21"/>
                <w:u w:val="none" w:color="auto"/>
                <w:lang w:val="en-US" w:eastAsia="zh-CN"/>
              </w:rPr>
              <w:t>28</w:t>
            </w:r>
          </w:p>
        </w:tc>
        <w:tc>
          <w:tcPr>
            <w:tcW w:w="1281" w:type="dxa"/>
            <w:tcBorders>
              <w:tl2br w:val="nil"/>
              <w:tr2bl w:val="nil"/>
            </w:tcBorders>
            <w:tcMar>
              <w:top w:w="12" w:type="dxa"/>
              <w:left w:w="12" w:type="dxa"/>
              <w:right w:w="12" w:type="dxa"/>
            </w:tcMar>
            <w:vAlign w:val="center"/>
          </w:tcPr>
          <w:p w14:paraId="72A701B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下埠塘</w:t>
            </w:r>
          </w:p>
        </w:tc>
        <w:tc>
          <w:tcPr>
            <w:tcW w:w="649" w:type="dxa"/>
            <w:tcBorders>
              <w:tl2br w:val="nil"/>
              <w:tr2bl w:val="nil"/>
            </w:tcBorders>
            <w:tcMar>
              <w:top w:w="12" w:type="dxa"/>
              <w:left w:w="12" w:type="dxa"/>
              <w:right w:w="12" w:type="dxa"/>
            </w:tcMar>
            <w:vAlign w:val="center"/>
          </w:tcPr>
          <w:p w14:paraId="071622B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5AECEFF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2D956F46">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SE</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1480-1750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05370FD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16</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56</w:t>
            </w:r>
            <w:r>
              <w:rPr>
                <w:rFonts w:hint="default" w:ascii="Times New Roman" w:hAnsi="Times New Roman" w:cs="Times New Roman"/>
                <w:color w:val="auto"/>
                <w:kern w:val="0"/>
                <w:sz w:val="21"/>
                <w:szCs w:val="21"/>
                <w:u w:val="none" w:color="auto"/>
              </w:rPr>
              <w:t>人</w:t>
            </w:r>
          </w:p>
        </w:tc>
      </w:tr>
      <w:tr w14:paraId="1973D6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61194A7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526F2734">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111.57670</w:t>
            </w:r>
            <w:r>
              <w:rPr>
                <w:rFonts w:hint="eastAsia" w:cs="Times New Roman"/>
                <w:color w:val="auto"/>
                <w:kern w:val="0"/>
                <w:sz w:val="21"/>
                <w:szCs w:val="21"/>
                <w:u w:val="none" w:color="auto"/>
                <w:lang w:val="en-US" w:eastAsia="zh-CN"/>
              </w:rPr>
              <w:t>39</w:t>
            </w:r>
          </w:p>
        </w:tc>
        <w:tc>
          <w:tcPr>
            <w:tcW w:w="948" w:type="dxa"/>
            <w:tcBorders>
              <w:tl2br w:val="nil"/>
              <w:tr2bl w:val="nil"/>
            </w:tcBorders>
            <w:tcMar>
              <w:top w:w="12" w:type="dxa"/>
              <w:left w:w="12" w:type="dxa"/>
              <w:right w:w="12" w:type="dxa"/>
            </w:tcMar>
            <w:vAlign w:val="center"/>
          </w:tcPr>
          <w:p w14:paraId="54ABBC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25.66350</w:t>
            </w:r>
            <w:r>
              <w:rPr>
                <w:rFonts w:hint="eastAsia" w:cs="Times New Roman"/>
                <w:color w:val="auto"/>
                <w:kern w:val="0"/>
                <w:sz w:val="21"/>
                <w:szCs w:val="21"/>
                <w:u w:val="none" w:color="auto"/>
                <w:lang w:val="en-US" w:eastAsia="zh-CN"/>
              </w:rPr>
              <w:t>16</w:t>
            </w:r>
          </w:p>
        </w:tc>
        <w:tc>
          <w:tcPr>
            <w:tcW w:w="1281" w:type="dxa"/>
            <w:tcBorders>
              <w:tl2br w:val="nil"/>
              <w:tr2bl w:val="nil"/>
            </w:tcBorders>
            <w:tcMar>
              <w:top w:w="12" w:type="dxa"/>
              <w:left w:w="12" w:type="dxa"/>
              <w:right w:w="12" w:type="dxa"/>
            </w:tcMar>
            <w:vAlign w:val="center"/>
          </w:tcPr>
          <w:p w14:paraId="46D80C6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司空岩村</w:t>
            </w:r>
          </w:p>
        </w:tc>
        <w:tc>
          <w:tcPr>
            <w:tcW w:w="649" w:type="dxa"/>
            <w:tcBorders>
              <w:tl2br w:val="nil"/>
              <w:tr2bl w:val="nil"/>
            </w:tcBorders>
            <w:tcMar>
              <w:top w:w="12" w:type="dxa"/>
              <w:left w:w="12" w:type="dxa"/>
              <w:right w:w="12" w:type="dxa"/>
            </w:tcMar>
            <w:vAlign w:val="center"/>
          </w:tcPr>
          <w:p w14:paraId="7A5A2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73D08AF">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5BD61DB">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2010-2500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3074511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120</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420人</w:t>
            </w:r>
          </w:p>
        </w:tc>
      </w:tr>
      <w:tr w14:paraId="66432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7ADB4A4">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E58B4D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111.61268</w:t>
            </w:r>
            <w:r>
              <w:rPr>
                <w:rFonts w:hint="eastAsia" w:cs="Times New Roman"/>
                <w:color w:val="auto"/>
                <w:kern w:val="0"/>
                <w:sz w:val="21"/>
                <w:szCs w:val="21"/>
                <w:u w:val="none" w:color="auto"/>
                <w:lang w:val="en-US" w:eastAsia="zh-CN"/>
              </w:rPr>
              <w:t>95</w:t>
            </w:r>
          </w:p>
        </w:tc>
        <w:tc>
          <w:tcPr>
            <w:tcW w:w="948" w:type="dxa"/>
            <w:tcBorders>
              <w:tl2br w:val="nil"/>
              <w:tr2bl w:val="nil"/>
            </w:tcBorders>
            <w:tcMar>
              <w:top w:w="12" w:type="dxa"/>
              <w:left w:w="12" w:type="dxa"/>
              <w:right w:w="12" w:type="dxa"/>
            </w:tcMar>
            <w:vAlign w:val="center"/>
          </w:tcPr>
          <w:p w14:paraId="150402D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25.68553</w:t>
            </w:r>
            <w:r>
              <w:rPr>
                <w:rFonts w:hint="eastAsia" w:cs="Times New Roman"/>
                <w:color w:val="auto"/>
                <w:kern w:val="0"/>
                <w:sz w:val="21"/>
                <w:szCs w:val="21"/>
                <w:u w:val="none" w:color="auto"/>
                <w:lang w:val="en-US" w:eastAsia="zh-CN"/>
              </w:rPr>
              <w:t>58</w:t>
            </w:r>
          </w:p>
        </w:tc>
        <w:tc>
          <w:tcPr>
            <w:tcW w:w="1281" w:type="dxa"/>
            <w:tcBorders>
              <w:tl2br w:val="nil"/>
              <w:tr2bl w:val="nil"/>
            </w:tcBorders>
            <w:tcMar>
              <w:top w:w="12" w:type="dxa"/>
              <w:left w:w="12" w:type="dxa"/>
              <w:right w:w="12" w:type="dxa"/>
            </w:tcMar>
            <w:vAlign w:val="center"/>
          </w:tcPr>
          <w:p w14:paraId="64254647">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双丰村</w:t>
            </w:r>
          </w:p>
        </w:tc>
        <w:tc>
          <w:tcPr>
            <w:tcW w:w="649" w:type="dxa"/>
            <w:tcBorders>
              <w:tl2br w:val="nil"/>
              <w:tr2bl w:val="nil"/>
            </w:tcBorders>
            <w:tcMar>
              <w:top w:w="12" w:type="dxa"/>
              <w:left w:w="12" w:type="dxa"/>
              <w:right w:w="12" w:type="dxa"/>
            </w:tcMar>
            <w:vAlign w:val="center"/>
          </w:tcPr>
          <w:p w14:paraId="1F58A1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EB6CD87">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4FE936A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1470-1700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5B61F2F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62</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217人</w:t>
            </w:r>
          </w:p>
        </w:tc>
      </w:tr>
      <w:tr w14:paraId="3167D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19530AD">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18272AC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111.60566</w:t>
            </w:r>
            <w:r>
              <w:rPr>
                <w:rFonts w:hint="eastAsia" w:cs="Times New Roman"/>
                <w:color w:val="auto"/>
                <w:kern w:val="0"/>
                <w:sz w:val="21"/>
                <w:szCs w:val="21"/>
                <w:u w:val="none" w:color="auto"/>
                <w:lang w:val="en-US" w:eastAsia="zh-CN"/>
              </w:rPr>
              <w:t>67</w:t>
            </w:r>
          </w:p>
        </w:tc>
        <w:tc>
          <w:tcPr>
            <w:tcW w:w="948" w:type="dxa"/>
            <w:tcBorders>
              <w:tl2br w:val="nil"/>
              <w:tr2bl w:val="nil"/>
            </w:tcBorders>
            <w:tcMar>
              <w:top w:w="12" w:type="dxa"/>
              <w:left w:w="12" w:type="dxa"/>
              <w:right w:w="12" w:type="dxa"/>
            </w:tcMar>
            <w:vAlign w:val="center"/>
          </w:tcPr>
          <w:p w14:paraId="37CECDA5">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25.68047</w:t>
            </w:r>
            <w:r>
              <w:rPr>
                <w:rFonts w:hint="eastAsia" w:cs="Times New Roman"/>
                <w:color w:val="auto"/>
                <w:kern w:val="0"/>
                <w:sz w:val="21"/>
                <w:szCs w:val="21"/>
                <w:u w:val="none" w:color="auto"/>
                <w:lang w:val="en-US" w:eastAsia="zh-CN"/>
              </w:rPr>
              <w:t>31</w:t>
            </w:r>
          </w:p>
        </w:tc>
        <w:tc>
          <w:tcPr>
            <w:tcW w:w="1281" w:type="dxa"/>
            <w:tcBorders>
              <w:tl2br w:val="nil"/>
              <w:tr2bl w:val="nil"/>
            </w:tcBorders>
            <w:tcMar>
              <w:top w:w="12" w:type="dxa"/>
              <w:left w:w="12" w:type="dxa"/>
              <w:right w:w="12" w:type="dxa"/>
            </w:tcMar>
            <w:vAlign w:val="center"/>
          </w:tcPr>
          <w:p w14:paraId="5D4D937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顾家</w:t>
            </w:r>
          </w:p>
        </w:tc>
        <w:tc>
          <w:tcPr>
            <w:tcW w:w="649" w:type="dxa"/>
            <w:tcBorders>
              <w:tl2br w:val="nil"/>
              <w:tr2bl w:val="nil"/>
            </w:tcBorders>
            <w:tcMar>
              <w:top w:w="12" w:type="dxa"/>
              <w:left w:w="12" w:type="dxa"/>
              <w:right w:w="12" w:type="dxa"/>
            </w:tcMar>
            <w:vAlign w:val="center"/>
          </w:tcPr>
          <w:p w14:paraId="7835D5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626F0EE2">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C908FC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E</w:t>
            </w:r>
            <w:r>
              <w:rPr>
                <w:rFonts w:hint="default" w:ascii="Times New Roman" w:hAnsi="Times New Roman" w:cs="Times New Roman"/>
                <w:color w:val="auto"/>
                <w:kern w:val="0"/>
                <w:sz w:val="21"/>
                <w:szCs w:val="21"/>
                <w:highlight w:val="none"/>
                <w:u w:val="none" w:color="auto"/>
                <w:lang w:val="en-US" w:eastAsia="zh-CN"/>
              </w:rPr>
              <w:t>，840-1100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69A6A69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31</w:t>
            </w:r>
            <w:r>
              <w:rPr>
                <w:rFonts w:hint="default" w:ascii="Times New Roman" w:hAnsi="Times New Roman" w:cs="Times New Roman"/>
                <w:color w:val="auto"/>
                <w:kern w:val="0"/>
                <w:sz w:val="21"/>
                <w:szCs w:val="21"/>
                <w:u w:val="none" w:color="auto"/>
              </w:rPr>
              <w:t>户</w:t>
            </w:r>
            <w:r>
              <w:rPr>
                <w:rFonts w:hint="default" w:ascii="Times New Roman" w:hAnsi="Times New Roman" w:cs="Times New Roman"/>
                <w:color w:val="auto"/>
                <w:kern w:val="0"/>
                <w:sz w:val="21"/>
                <w:szCs w:val="21"/>
                <w:u w:val="none" w:color="auto"/>
                <w:lang w:val="en-US" w:eastAsia="zh-CN"/>
              </w:rPr>
              <w:t>109人</w:t>
            </w:r>
          </w:p>
        </w:tc>
      </w:tr>
      <w:tr w14:paraId="02342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481" w:type="dxa"/>
            <w:vMerge w:val="continue"/>
            <w:tcBorders>
              <w:tl2br w:val="nil"/>
              <w:tr2bl w:val="nil"/>
            </w:tcBorders>
            <w:tcMar>
              <w:top w:w="12" w:type="dxa"/>
              <w:left w:w="12" w:type="dxa"/>
              <w:right w:w="12" w:type="dxa"/>
            </w:tcMar>
            <w:vAlign w:val="center"/>
          </w:tcPr>
          <w:p w14:paraId="43581993">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6D774EB6">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111.59379</w:t>
            </w:r>
            <w:r>
              <w:rPr>
                <w:rFonts w:hint="eastAsia" w:cs="Times New Roman"/>
                <w:color w:val="auto"/>
                <w:kern w:val="0"/>
                <w:sz w:val="21"/>
                <w:szCs w:val="21"/>
                <w:u w:val="none" w:color="auto"/>
                <w:lang w:val="en-US" w:eastAsia="zh-CN"/>
              </w:rPr>
              <w:t>84</w:t>
            </w:r>
          </w:p>
        </w:tc>
        <w:tc>
          <w:tcPr>
            <w:tcW w:w="948" w:type="dxa"/>
            <w:tcBorders>
              <w:tl2br w:val="nil"/>
              <w:tr2bl w:val="nil"/>
            </w:tcBorders>
            <w:tcMar>
              <w:top w:w="12" w:type="dxa"/>
              <w:left w:w="12" w:type="dxa"/>
              <w:right w:w="12" w:type="dxa"/>
            </w:tcMar>
            <w:vAlign w:val="center"/>
          </w:tcPr>
          <w:p w14:paraId="2CC197A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25.65220</w:t>
            </w:r>
            <w:r>
              <w:rPr>
                <w:rFonts w:hint="eastAsia" w:cs="Times New Roman"/>
                <w:color w:val="auto"/>
                <w:kern w:val="0"/>
                <w:sz w:val="21"/>
                <w:szCs w:val="21"/>
                <w:u w:val="none" w:color="auto"/>
                <w:lang w:val="en-US" w:eastAsia="zh-CN"/>
              </w:rPr>
              <w:t>46</w:t>
            </w:r>
          </w:p>
        </w:tc>
        <w:tc>
          <w:tcPr>
            <w:tcW w:w="1281" w:type="dxa"/>
            <w:tcBorders>
              <w:tl2br w:val="nil"/>
              <w:tr2bl w:val="nil"/>
            </w:tcBorders>
            <w:tcMar>
              <w:top w:w="12" w:type="dxa"/>
              <w:left w:w="12" w:type="dxa"/>
              <w:right w:w="12" w:type="dxa"/>
            </w:tcMar>
            <w:vAlign w:val="center"/>
          </w:tcPr>
          <w:p w14:paraId="732D22E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新屋村</w:t>
            </w:r>
          </w:p>
        </w:tc>
        <w:tc>
          <w:tcPr>
            <w:tcW w:w="649" w:type="dxa"/>
            <w:tcBorders>
              <w:tl2br w:val="nil"/>
              <w:tr2bl w:val="nil"/>
            </w:tcBorders>
            <w:tcMar>
              <w:top w:w="12" w:type="dxa"/>
              <w:left w:w="12" w:type="dxa"/>
              <w:right w:w="12" w:type="dxa"/>
            </w:tcMar>
            <w:vAlign w:val="center"/>
          </w:tcPr>
          <w:p w14:paraId="71C3C3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0509022B">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tcMar>
              <w:top w:w="12" w:type="dxa"/>
              <w:left w:w="12" w:type="dxa"/>
              <w:right w:w="12" w:type="dxa"/>
            </w:tcMar>
            <w:vAlign w:val="center"/>
          </w:tcPr>
          <w:p w14:paraId="057778BF">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WN</w:t>
            </w:r>
            <w:r>
              <w:rPr>
                <w:rFonts w:hint="default" w:ascii="Times New Roman" w:hAnsi="Times New Roman" w:cs="Times New Roman"/>
                <w:color w:val="auto"/>
                <w:kern w:val="0"/>
                <w:sz w:val="21"/>
                <w:szCs w:val="21"/>
                <w:highlight w:val="none"/>
                <w:u w:val="none" w:color="auto"/>
                <w:lang w:val="en-US" w:eastAsia="zh-CN"/>
              </w:rPr>
              <w:t>，</w:t>
            </w:r>
            <w:r>
              <w:rPr>
                <w:rFonts w:hint="default" w:ascii="Times New Roman" w:hAnsi="Times New Roman" w:cs="Times New Roman"/>
                <w:color w:val="auto"/>
                <w:kern w:val="0"/>
                <w:sz w:val="21"/>
                <w:szCs w:val="21"/>
                <w:u w:val="none" w:color="auto"/>
                <w:lang w:val="en-US" w:eastAsia="zh-CN"/>
              </w:rPr>
              <w:t>2270-2500</w:t>
            </w:r>
            <w:r>
              <w:rPr>
                <w:rFonts w:hint="default" w:ascii="Times New Roman" w:hAnsi="Times New Roman" w:cs="Times New Roman"/>
                <w:color w:val="auto"/>
                <w:kern w:val="0"/>
                <w:sz w:val="21"/>
                <w:szCs w:val="21"/>
                <w:u w:val="none" w:color="auto"/>
              </w:rPr>
              <w:t>m</w:t>
            </w:r>
          </w:p>
        </w:tc>
        <w:tc>
          <w:tcPr>
            <w:tcW w:w="1238" w:type="dxa"/>
            <w:tcBorders>
              <w:tl2br w:val="nil"/>
              <w:tr2bl w:val="nil"/>
            </w:tcBorders>
            <w:tcMar>
              <w:top w:w="12" w:type="dxa"/>
              <w:left w:w="12" w:type="dxa"/>
              <w:right w:w="12" w:type="dxa"/>
            </w:tcMar>
            <w:vAlign w:val="center"/>
          </w:tcPr>
          <w:p w14:paraId="6703F1CC">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12</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42</w:t>
            </w:r>
            <w:r>
              <w:rPr>
                <w:rFonts w:hint="default" w:ascii="Times New Roman" w:hAnsi="Times New Roman" w:cs="Times New Roman"/>
                <w:color w:val="auto"/>
                <w:kern w:val="0"/>
                <w:sz w:val="21"/>
                <w:szCs w:val="21"/>
                <w:u w:val="none" w:color="auto"/>
              </w:rPr>
              <w:t>人</w:t>
            </w:r>
          </w:p>
        </w:tc>
      </w:tr>
      <w:tr w14:paraId="289060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 w:hRule="atLeast"/>
        </w:trPr>
        <w:tc>
          <w:tcPr>
            <w:tcW w:w="481" w:type="dxa"/>
            <w:vMerge w:val="restart"/>
            <w:tcBorders>
              <w:tl2br w:val="nil"/>
              <w:tr2bl w:val="nil"/>
            </w:tcBorders>
            <w:tcMar>
              <w:top w:w="12" w:type="dxa"/>
              <w:left w:w="12" w:type="dxa"/>
              <w:right w:w="12" w:type="dxa"/>
            </w:tcMar>
            <w:vAlign w:val="center"/>
          </w:tcPr>
          <w:p w14:paraId="2807CA67">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声环境</w:t>
            </w:r>
          </w:p>
        </w:tc>
        <w:tc>
          <w:tcPr>
            <w:tcW w:w="1032" w:type="dxa"/>
            <w:tcBorders>
              <w:tl2br w:val="nil"/>
              <w:tr2bl w:val="nil"/>
            </w:tcBorders>
            <w:tcMar>
              <w:top w:w="12" w:type="dxa"/>
              <w:left w:w="12" w:type="dxa"/>
              <w:right w:w="12" w:type="dxa"/>
            </w:tcMar>
            <w:vAlign w:val="center"/>
          </w:tcPr>
          <w:p w14:paraId="11493DE2">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111.59678</w:t>
            </w:r>
            <w:r>
              <w:rPr>
                <w:rFonts w:hint="eastAsia" w:cs="Times New Roman"/>
                <w:color w:val="auto"/>
                <w:kern w:val="0"/>
                <w:sz w:val="21"/>
                <w:szCs w:val="21"/>
                <w:u w:val="none" w:color="auto"/>
                <w:lang w:val="en-US" w:eastAsia="zh-CN"/>
              </w:rPr>
              <w:t>31</w:t>
            </w:r>
          </w:p>
        </w:tc>
        <w:tc>
          <w:tcPr>
            <w:tcW w:w="948" w:type="dxa"/>
            <w:tcBorders>
              <w:tl2br w:val="nil"/>
              <w:tr2bl w:val="nil"/>
            </w:tcBorders>
            <w:tcMar>
              <w:top w:w="12" w:type="dxa"/>
              <w:left w:w="12" w:type="dxa"/>
              <w:right w:w="12" w:type="dxa"/>
            </w:tcMar>
            <w:vAlign w:val="center"/>
          </w:tcPr>
          <w:p w14:paraId="6A9DACF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25.67626</w:t>
            </w:r>
            <w:r>
              <w:rPr>
                <w:rFonts w:hint="eastAsia" w:cs="Times New Roman"/>
                <w:color w:val="auto"/>
                <w:kern w:val="0"/>
                <w:sz w:val="21"/>
                <w:szCs w:val="21"/>
                <w:u w:val="none" w:color="auto"/>
                <w:lang w:val="en-US" w:eastAsia="zh-CN"/>
              </w:rPr>
              <w:t>67</w:t>
            </w:r>
          </w:p>
        </w:tc>
        <w:tc>
          <w:tcPr>
            <w:tcW w:w="1281" w:type="dxa"/>
            <w:tcBorders>
              <w:tl2br w:val="nil"/>
              <w:tr2bl w:val="nil"/>
            </w:tcBorders>
            <w:tcMar>
              <w:top w:w="12" w:type="dxa"/>
              <w:left w:w="12" w:type="dxa"/>
              <w:right w:w="12" w:type="dxa"/>
            </w:tcMar>
            <w:vAlign w:val="center"/>
          </w:tcPr>
          <w:p w14:paraId="2F22454C">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廊洞村居民1</w:t>
            </w:r>
          </w:p>
        </w:tc>
        <w:tc>
          <w:tcPr>
            <w:tcW w:w="649" w:type="dxa"/>
            <w:tcBorders>
              <w:tl2br w:val="nil"/>
              <w:tr2bl w:val="nil"/>
            </w:tcBorders>
            <w:tcMar>
              <w:top w:w="12" w:type="dxa"/>
              <w:left w:w="12" w:type="dxa"/>
              <w:right w:w="12" w:type="dxa"/>
            </w:tcMar>
            <w:vAlign w:val="center"/>
          </w:tcPr>
          <w:p w14:paraId="6E55DA5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restart"/>
            <w:tcBorders>
              <w:tl2br w:val="nil"/>
              <w:tr2bl w:val="nil"/>
            </w:tcBorders>
            <w:tcMar>
              <w:top w:w="12" w:type="dxa"/>
              <w:left w:w="12" w:type="dxa"/>
              <w:right w:w="12" w:type="dxa"/>
            </w:tcMar>
            <w:vAlign w:val="center"/>
          </w:tcPr>
          <w:p w14:paraId="7AC62ABC">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(GB3096-2008)2类</w:t>
            </w:r>
          </w:p>
        </w:tc>
        <w:tc>
          <w:tcPr>
            <w:tcW w:w="1592" w:type="dxa"/>
            <w:tcBorders>
              <w:tl2br w:val="nil"/>
              <w:tr2bl w:val="nil"/>
            </w:tcBorders>
            <w:tcMar>
              <w:top w:w="12" w:type="dxa"/>
              <w:left w:w="12" w:type="dxa"/>
              <w:right w:w="12" w:type="dxa"/>
            </w:tcMar>
            <w:vAlign w:val="center"/>
          </w:tcPr>
          <w:p w14:paraId="705CDED3">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S</w:t>
            </w:r>
            <w:r>
              <w:rPr>
                <w:rFonts w:hint="default" w:ascii="Times New Roman" w:hAnsi="Times New Roman" w:cs="Times New Roman"/>
                <w:color w:val="auto"/>
                <w:kern w:val="0"/>
                <w:sz w:val="21"/>
                <w:szCs w:val="21"/>
                <w:highlight w:val="none"/>
                <w:u w:val="none" w:color="auto"/>
                <w:lang w:val="en-US" w:eastAsia="zh-CN"/>
              </w:rPr>
              <w:t>，</w:t>
            </w:r>
            <w:r>
              <w:rPr>
                <w:rFonts w:hint="eastAsia" w:cs="Times New Roman"/>
                <w:color w:val="auto"/>
                <w:kern w:val="0"/>
                <w:sz w:val="21"/>
                <w:szCs w:val="21"/>
                <w:highlight w:val="none"/>
                <w:u w:val="none" w:color="auto"/>
                <w:lang w:val="en-US" w:eastAsia="zh-CN"/>
              </w:rPr>
              <w:t>65</w:t>
            </w:r>
            <w:r>
              <w:rPr>
                <w:rFonts w:hint="default" w:ascii="Times New Roman" w:hAnsi="Times New Roman" w:cs="Times New Roman"/>
                <w:color w:val="auto"/>
                <w:kern w:val="0"/>
                <w:sz w:val="21"/>
                <w:szCs w:val="21"/>
                <w:u w:val="none" w:color="auto"/>
                <w:lang w:val="en-US" w:eastAsia="zh-CN"/>
              </w:rPr>
              <w:t>-200</w:t>
            </w:r>
          </w:p>
        </w:tc>
        <w:tc>
          <w:tcPr>
            <w:tcW w:w="1238" w:type="dxa"/>
            <w:tcBorders>
              <w:tl2br w:val="nil"/>
              <w:tr2bl w:val="nil"/>
            </w:tcBorders>
            <w:tcMar>
              <w:top w:w="12" w:type="dxa"/>
              <w:left w:w="12" w:type="dxa"/>
              <w:right w:w="12" w:type="dxa"/>
            </w:tcMar>
            <w:vAlign w:val="center"/>
          </w:tcPr>
          <w:p w14:paraId="09382B00">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3户</w:t>
            </w:r>
            <w:r>
              <w:rPr>
                <w:rFonts w:hint="default" w:ascii="Times New Roman" w:hAnsi="Times New Roman" w:cs="Times New Roman"/>
                <w:color w:val="auto"/>
                <w:kern w:val="0"/>
                <w:sz w:val="21"/>
                <w:szCs w:val="21"/>
                <w:u w:val="none" w:color="auto"/>
              </w:rPr>
              <w:t>约</w:t>
            </w:r>
            <w:r>
              <w:rPr>
                <w:rFonts w:hint="default" w:ascii="Times New Roman" w:hAnsi="Times New Roman" w:cs="Times New Roman"/>
                <w:color w:val="auto"/>
                <w:kern w:val="0"/>
                <w:sz w:val="21"/>
                <w:szCs w:val="21"/>
                <w:u w:val="none" w:color="auto"/>
                <w:lang w:val="en-US" w:eastAsia="zh-CN"/>
              </w:rPr>
              <w:t>1</w:t>
            </w:r>
            <w:r>
              <w:rPr>
                <w:rFonts w:hint="default" w:ascii="Times New Roman" w:hAnsi="Times New Roman" w:cs="Times New Roman"/>
                <w:color w:val="auto"/>
                <w:kern w:val="0"/>
                <w:sz w:val="21"/>
                <w:szCs w:val="21"/>
                <w:u w:val="none" w:color="auto"/>
              </w:rPr>
              <w:t>0人</w:t>
            </w:r>
          </w:p>
        </w:tc>
      </w:tr>
      <w:tr w14:paraId="51C53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 w:hRule="atLeast"/>
        </w:trPr>
        <w:tc>
          <w:tcPr>
            <w:tcW w:w="481" w:type="dxa"/>
            <w:vMerge w:val="continue"/>
            <w:tcBorders>
              <w:tl2br w:val="nil"/>
              <w:tr2bl w:val="nil"/>
            </w:tcBorders>
            <w:tcMar>
              <w:top w:w="12" w:type="dxa"/>
              <w:left w:w="12" w:type="dxa"/>
              <w:right w:w="12" w:type="dxa"/>
            </w:tcMar>
            <w:vAlign w:val="center"/>
          </w:tcPr>
          <w:p w14:paraId="19C87EC0">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032" w:type="dxa"/>
            <w:tcBorders>
              <w:tl2br w:val="nil"/>
              <w:tr2bl w:val="nil"/>
            </w:tcBorders>
            <w:tcMar>
              <w:top w:w="12" w:type="dxa"/>
              <w:left w:w="12" w:type="dxa"/>
              <w:right w:w="12" w:type="dxa"/>
            </w:tcMar>
            <w:vAlign w:val="center"/>
          </w:tcPr>
          <w:p w14:paraId="7B63F8D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111.59472</w:t>
            </w:r>
            <w:r>
              <w:rPr>
                <w:rFonts w:hint="eastAsia" w:cs="Times New Roman"/>
                <w:color w:val="auto"/>
                <w:kern w:val="0"/>
                <w:sz w:val="21"/>
                <w:szCs w:val="21"/>
                <w:u w:val="none" w:color="auto"/>
                <w:lang w:val="en-US" w:eastAsia="zh-CN"/>
              </w:rPr>
              <w:t>33</w:t>
            </w:r>
          </w:p>
        </w:tc>
        <w:tc>
          <w:tcPr>
            <w:tcW w:w="948" w:type="dxa"/>
            <w:tcBorders>
              <w:tl2br w:val="nil"/>
              <w:tr2bl w:val="nil"/>
            </w:tcBorders>
            <w:tcMar>
              <w:top w:w="12" w:type="dxa"/>
              <w:left w:w="12" w:type="dxa"/>
              <w:right w:w="12" w:type="dxa"/>
            </w:tcMar>
            <w:vAlign w:val="center"/>
          </w:tcPr>
          <w:p w14:paraId="15492AAB">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25.68859</w:t>
            </w:r>
            <w:r>
              <w:rPr>
                <w:rFonts w:hint="eastAsia" w:cs="Times New Roman"/>
                <w:color w:val="auto"/>
                <w:kern w:val="0"/>
                <w:sz w:val="21"/>
                <w:szCs w:val="21"/>
                <w:u w:val="none" w:color="auto"/>
                <w:lang w:val="en-US" w:eastAsia="zh-CN"/>
              </w:rPr>
              <w:t>40</w:t>
            </w:r>
          </w:p>
        </w:tc>
        <w:tc>
          <w:tcPr>
            <w:tcW w:w="1281" w:type="dxa"/>
            <w:tcBorders>
              <w:tl2br w:val="nil"/>
              <w:tr2bl w:val="nil"/>
            </w:tcBorders>
            <w:tcMar>
              <w:top w:w="12" w:type="dxa"/>
              <w:left w:w="12" w:type="dxa"/>
              <w:right w:w="12" w:type="dxa"/>
            </w:tcMar>
            <w:vAlign w:val="center"/>
          </w:tcPr>
          <w:p w14:paraId="17E3F5D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红铺1</w:t>
            </w:r>
          </w:p>
        </w:tc>
        <w:tc>
          <w:tcPr>
            <w:tcW w:w="649" w:type="dxa"/>
            <w:tcBorders>
              <w:tl2br w:val="nil"/>
              <w:tr2bl w:val="nil"/>
            </w:tcBorders>
            <w:tcMar>
              <w:top w:w="12" w:type="dxa"/>
              <w:left w:w="12" w:type="dxa"/>
              <w:right w:w="12" w:type="dxa"/>
            </w:tcMar>
            <w:vAlign w:val="center"/>
          </w:tcPr>
          <w:p w14:paraId="2E952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lang w:val="en-US" w:eastAsia="zh-CN"/>
              </w:rPr>
              <w:t>居住</w:t>
            </w:r>
          </w:p>
        </w:tc>
        <w:tc>
          <w:tcPr>
            <w:tcW w:w="1234" w:type="dxa"/>
            <w:vMerge w:val="continue"/>
            <w:tcBorders>
              <w:tl2br w:val="nil"/>
              <w:tr2bl w:val="nil"/>
            </w:tcBorders>
            <w:tcMar>
              <w:top w:w="12" w:type="dxa"/>
              <w:left w:w="12" w:type="dxa"/>
              <w:right w:w="12" w:type="dxa"/>
            </w:tcMar>
            <w:vAlign w:val="center"/>
          </w:tcPr>
          <w:p w14:paraId="4D15C276">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592" w:type="dxa"/>
            <w:tcBorders>
              <w:tl2br w:val="nil"/>
              <w:tr2bl w:val="nil"/>
            </w:tcBorders>
            <w:shd w:val="clear" w:color="auto" w:fill="auto"/>
            <w:tcMar>
              <w:top w:w="12" w:type="dxa"/>
              <w:left w:w="12" w:type="dxa"/>
              <w:right w:w="12" w:type="dxa"/>
            </w:tcMar>
            <w:vAlign w:val="center"/>
          </w:tcPr>
          <w:p w14:paraId="5C30D36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W</w:t>
            </w:r>
            <w:r>
              <w:rPr>
                <w:rFonts w:hint="default" w:ascii="Times New Roman" w:hAnsi="Times New Roman" w:cs="Times New Roman"/>
                <w:color w:val="auto"/>
                <w:kern w:val="0"/>
                <w:sz w:val="21"/>
                <w:szCs w:val="21"/>
                <w:highlight w:val="none"/>
                <w:u w:val="none" w:color="auto"/>
              </w:rPr>
              <w:t>，</w:t>
            </w:r>
            <w:r>
              <w:rPr>
                <w:rFonts w:hint="default" w:ascii="Times New Roman" w:hAnsi="Times New Roman" w:cs="Times New Roman"/>
                <w:color w:val="auto"/>
                <w:kern w:val="0"/>
                <w:sz w:val="21"/>
                <w:szCs w:val="21"/>
                <w:highlight w:val="none"/>
                <w:u w:val="none" w:color="auto"/>
                <w:lang w:val="en-US" w:eastAsia="zh-CN"/>
              </w:rPr>
              <w:t>紧邻</w:t>
            </w:r>
          </w:p>
        </w:tc>
        <w:tc>
          <w:tcPr>
            <w:tcW w:w="1238" w:type="dxa"/>
            <w:tcBorders>
              <w:tl2br w:val="nil"/>
              <w:tr2bl w:val="nil"/>
            </w:tcBorders>
            <w:shd w:val="clear" w:color="auto" w:fill="auto"/>
            <w:tcMar>
              <w:top w:w="12" w:type="dxa"/>
              <w:left w:w="12" w:type="dxa"/>
              <w:right w:w="12" w:type="dxa"/>
            </w:tcMar>
            <w:vAlign w:val="center"/>
          </w:tcPr>
          <w:p w14:paraId="282B3E5C">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6</w:t>
            </w:r>
            <w:r>
              <w:rPr>
                <w:rFonts w:hint="default" w:ascii="Times New Roman" w:hAnsi="Times New Roman" w:cs="Times New Roman"/>
                <w:color w:val="auto"/>
                <w:kern w:val="0"/>
                <w:sz w:val="21"/>
                <w:szCs w:val="21"/>
                <w:u w:val="none" w:color="auto"/>
              </w:rPr>
              <w:t>户约</w:t>
            </w:r>
            <w:r>
              <w:rPr>
                <w:rFonts w:hint="default" w:ascii="Times New Roman" w:hAnsi="Times New Roman" w:cs="Times New Roman"/>
                <w:color w:val="auto"/>
                <w:kern w:val="0"/>
                <w:sz w:val="21"/>
                <w:szCs w:val="21"/>
                <w:u w:val="none" w:color="auto"/>
                <w:lang w:val="en-US" w:eastAsia="zh-CN"/>
              </w:rPr>
              <w:t>21</w:t>
            </w:r>
            <w:r>
              <w:rPr>
                <w:rFonts w:hint="default" w:ascii="Times New Roman" w:hAnsi="Times New Roman" w:cs="Times New Roman"/>
                <w:color w:val="auto"/>
                <w:kern w:val="0"/>
                <w:sz w:val="21"/>
                <w:szCs w:val="21"/>
                <w:u w:val="none" w:color="auto"/>
              </w:rPr>
              <w:t>人</w:t>
            </w:r>
          </w:p>
        </w:tc>
      </w:tr>
      <w:tr w14:paraId="72473E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481" w:type="dxa"/>
            <w:vMerge w:val="restart"/>
            <w:tcBorders>
              <w:tl2br w:val="nil"/>
              <w:tr2bl w:val="nil"/>
            </w:tcBorders>
            <w:tcMar>
              <w:top w:w="12" w:type="dxa"/>
              <w:left w:w="12" w:type="dxa"/>
              <w:right w:w="12" w:type="dxa"/>
            </w:tcMar>
            <w:vAlign w:val="center"/>
          </w:tcPr>
          <w:p w14:paraId="35AC0A0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水环境</w:t>
            </w:r>
          </w:p>
        </w:tc>
        <w:tc>
          <w:tcPr>
            <w:tcW w:w="1980" w:type="dxa"/>
            <w:gridSpan w:val="2"/>
            <w:vMerge w:val="restart"/>
            <w:tcBorders>
              <w:tl2br w:val="nil"/>
              <w:tr2bl w:val="nil"/>
            </w:tcBorders>
            <w:shd w:val="clear" w:color="auto" w:fill="auto"/>
            <w:tcMar>
              <w:top w:w="12" w:type="dxa"/>
              <w:left w:w="12" w:type="dxa"/>
              <w:right w:w="12" w:type="dxa"/>
            </w:tcMar>
            <w:vAlign w:val="center"/>
          </w:tcPr>
          <w:p w14:paraId="0A3C3ED5">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廊洞水库</w:t>
            </w:r>
          </w:p>
        </w:tc>
        <w:tc>
          <w:tcPr>
            <w:tcW w:w="1281" w:type="dxa"/>
            <w:tcBorders>
              <w:tl2br w:val="nil"/>
              <w:tr2bl w:val="nil"/>
            </w:tcBorders>
            <w:tcMar>
              <w:top w:w="12" w:type="dxa"/>
              <w:left w:w="12" w:type="dxa"/>
              <w:right w:w="12" w:type="dxa"/>
            </w:tcMar>
            <w:vAlign w:val="center"/>
          </w:tcPr>
          <w:p w14:paraId="5AA3C530">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val="en-US" w:eastAsia="zh-CN"/>
              </w:rPr>
              <w:t>饮用水源一级保护区</w:t>
            </w:r>
          </w:p>
        </w:tc>
        <w:tc>
          <w:tcPr>
            <w:tcW w:w="649" w:type="dxa"/>
            <w:vMerge w:val="restart"/>
            <w:tcBorders>
              <w:tl2br w:val="nil"/>
              <w:tr2bl w:val="nil"/>
            </w:tcBorders>
            <w:tcMar>
              <w:top w:w="12" w:type="dxa"/>
              <w:left w:w="12" w:type="dxa"/>
              <w:right w:w="12" w:type="dxa"/>
            </w:tcMar>
            <w:vAlign w:val="center"/>
          </w:tcPr>
          <w:p w14:paraId="49C3485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水生生态</w:t>
            </w:r>
          </w:p>
        </w:tc>
        <w:tc>
          <w:tcPr>
            <w:tcW w:w="1234" w:type="dxa"/>
            <w:tcBorders>
              <w:tl2br w:val="nil"/>
              <w:tr2bl w:val="nil"/>
            </w:tcBorders>
            <w:tcMar>
              <w:top w:w="12" w:type="dxa"/>
              <w:left w:w="12" w:type="dxa"/>
              <w:right w:w="12" w:type="dxa"/>
            </w:tcMar>
            <w:vAlign w:val="center"/>
          </w:tcPr>
          <w:p w14:paraId="5C817169">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default" w:ascii="Times New Roman" w:hAnsi="Times New Roman" w:cs="Times New Roman"/>
                <w:color w:val="auto"/>
                <w:sz w:val="21"/>
                <w:szCs w:val="21"/>
                <w:u w:val="none" w:color="auto"/>
              </w:rPr>
              <w:t>II</w:t>
            </w:r>
            <w:r>
              <w:rPr>
                <w:rFonts w:hint="default" w:ascii="Times New Roman" w:hAnsi="Times New Roman" w:cs="Times New Roman"/>
                <w:color w:val="auto"/>
                <w:kern w:val="0"/>
                <w:sz w:val="21"/>
                <w:szCs w:val="21"/>
                <w:highlight w:val="none"/>
                <w:u w:val="none" w:color="auto"/>
              </w:rPr>
              <w:t>类</w:t>
            </w:r>
          </w:p>
        </w:tc>
        <w:tc>
          <w:tcPr>
            <w:tcW w:w="2830" w:type="dxa"/>
            <w:gridSpan w:val="2"/>
            <w:vMerge w:val="restart"/>
            <w:tcBorders>
              <w:tl2br w:val="nil"/>
              <w:tr2bl w:val="nil"/>
            </w:tcBorders>
            <w:tcMar>
              <w:top w:w="12" w:type="dxa"/>
              <w:left w:w="12" w:type="dxa"/>
              <w:right w:w="12" w:type="dxa"/>
            </w:tcMar>
            <w:vAlign w:val="center"/>
          </w:tcPr>
          <w:p w14:paraId="554C417A">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大坝上游，中型水库</w:t>
            </w:r>
          </w:p>
        </w:tc>
      </w:tr>
      <w:tr w14:paraId="1DF02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481" w:type="dxa"/>
            <w:vMerge w:val="continue"/>
            <w:tcBorders>
              <w:tl2br w:val="nil"/>
              <w:tr2bl w:val="nil"/>
            </w:tcBorders>
            <w:tcMar>
              <w:top w:w="12" w:type="dxa"/>
              <w:left w:w="12" w:type="dxa"/>
              <w:right w:w="12" w:type="dxa"/>
            </w:tcMar>
            <w:vAlign w:val="center"/>
          </w:tcPr>
          <w:p w14:paraId="5667FE98">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vMerge w:val="continue"/>
            <w:tcBorders>
              <w:tl2br w:val="nil"/>
              <w:tr2bl w:val="nil"/>
            </w:tcBorders>
            <w:shd w:val="clear" w:color="auto" w:fill="auto"/>
            <w:tcMar>
              <w:top w:w="12" w:type="dxa"/>
              <w:left w:w="12" w:type="dxa"/>
              <w:right w:w="12" w:type="dxa"/>
            </w:tcMar>
            <w:vAlign w:val="center"/>
          </w:tcPr>
          <w:p w14:paraId="6ED8FC2C">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p>
        </w:tc>
        <w:tc>
          <w:tcPr>
            <w:tcW w:w="1281" w:type="dxa"/>
            <w:tcBorders>
              <w:tl2br w:val="nil"/>
              <w:tr2bl w:val="nil"/>
            </w:tcBorders>
            <w:tcMar>
              <w:top w:w="12" w:type="dxa"/>
              <w:left w:w="12" w:type="dxa"/>
              <w:right w:w="12" w:type="dxa"/>
            </w:tcMar>
            <w:vAlign w:val="center"/>
          </w:tcPr>
          <w:p w14:paraId="52F849F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cs="Times New Roman"/>
                <w:color w:val="auto"/>
                <w:kern w:val="0"/>
                <w:sz w:val="21"/>
                <w:szCs w:val="21"/>
                <w:u w:val="none" w:color="auto"/>
                <w:lang w:val="en-US" w:eastAsia="zh-CN"/>
              </w:rPr>
              <w:t>饮水水源</w:t>
            </w:r>
            <w:r>
              <w:rPr>
                <w:rFonts w:hint="default" w:ascii="Times New Roman" w:hAnsi="Times New Roman" w:eastAsia="宋体" w:cs="Times New Roman"/>
                <w:color w:val="auto"/>
                <w:kern w:val="0"/>
                <w:sz w:val="21"/>
                <w:szCs w:val="21"/>
                <w:u w:val="none" w:color="auto"/>
                <w:lang w:val="en-US" w:eastAsia="zh-CN"/>
              </w:rPr>
              <w:t>二级保护区</w:t>
            </w:r>
          </w:p>
        </w:tc>
        <w:tc>
          <w:tcPr>
            <w:tcW w:w="649" w:type="dxa"/>
            <w:vMerge w:val="continue"/>
            <w:tcBorders>
              <w:tl2br w:val="nil"/>
              <w:tr2bl w:val="nil"/>
            </w:tcBorders>
            <w:tcMar>
              <w:top w:w="12" w:type="dxa"/>
              <w:left w:w="12" w:type="dxa"/>
              <w:right w:w="12" w:type="dxa"/>
            </w:tcMar>
            <w:vAlign w:val="center"/>
          </w:tcPr>
          <w:p w14:paraId="11CB2E8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p>
        </w:tc>
        <w:tc>
          <w:tcPr>
            <w:tcW w:w="1234" w:type="dxa"/>
            <w:tcBorders>
              <w:tl2br w:val="nil"/>
              <w:tr2bl w:val="nil"/>
            </w:tcBorders>
            <w:tcMar>
              <w:top w:w="12" w:type="dxa"/>
              <w:left w:w="12" w:type="dxa"/>
              <w:right w:w="12" w:type="dxa"/>
            </w:tcMar>
            <w:vAlign w:val="center"/>
          </w:tcPr>
          <w:p w14:paraId="2A34F814">
            <w:pPr>
              <w:widowControl/>
              <w:spacing w:line="240" w:lineRule="auto"/>
              <w:ind w:firstLine="0" w:firstLineChars="0"/>
              <w:jc w:val="center"/>
              <w:rPr>
                <w:rFonts w:hint="eastAsia"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eastAsia" w:ascii="Times New Roman" w:hAnsi="Times New Roman" w:cs="Times New Roman"/>
                <w:color w:val="auto"/>
                <w:sz w:val="21"/>
                <w:szCs w:val="21"/>
                <w:u w:val="none" w:color="auto"/>
                <w:lang w:val="en-US" w:eastAsia="zh-CN"/>
              </w:rPr>
              <w:t>Ⅲ</w:t>
            </w:r>
            <w:r>
              <w:rPr>
                <w:rFonts w:hint="default" w:ascii="Times New Roman" w:hAnsi="Times New Roman" w:cs="Times New Roman"/>
                <w:color w:val="auto"/>
                <w:kern w:val="0"/>
                <w:sz w:val="21"/>
                <w:szCs w:val="21"/>
                <w:highlight w:val="none"/>
                <w:u w:val="none" w:color="auto"/>
              </w:rPr>
              <w:t>类</w:t>
            </w:r>
          </w:p>
        </w:tc>
        <w:tc>
          <w:tcPr>
            <w:tcW w:w="2830" w:type="dxa"/>
            <w:gridSpan w:val="2"/>
            <w:vMerge w:val="continue"/>
            <w:tcBorders>
              <w:tl2br w:val="nil"/>
              <w:tr2bl w:val="nil"/>
            </w:tcBorders>
            <w:tcMar>
              <w:top w:w="12" w:type="dxa"/>
              <w:left w:w="12" w:type="dxa"/>
              <w:right w:w="12" w:type="dxa"/>
            </w:tcMar>
            <w:vAlign w:val="center"/>
          </w:tcPr>
          <w:p w14:paraId="65AB867E">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p>
        </w:tc>
      </w:tr>
      <w:tr w14:paraId="005F1A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481" w:type="dxa"/>
            <w:vMerge w:val="continue"/>
            <w:tcBorders>
              <w:tl2br w:val="nil"/>
              <w:tr2bl w:val="nil"/>
            </w:tcBorders>
            <w:tcMar>
              <w:top w:w="12" w:type="dxa"/>
              <w:left w:w="12" w:type="dxa"/>
              <w:right w:w="12" w:type="dxa"/>
            </w:tcMar>
            <w:vAlign w:val="center"/>
          </w:tcPr>
          <w:p w14:paraId="76919075">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tcBorders>
              <w:tl2br w:val="nil"/>
              <w:tr2bl w:val="nil"/>
            </w:tcBorders>
            <w:shd w:val="clear" w:color="auto" w:fill="auto"/>
            <w:tcMar>
              <w:top w:w="12" w:type="dxa"/>
              <w:left w:w="12" w:type="dxa"/>
              <w:right w:w="12" w:type="dxa"/>
            </w:tcMar>
            <w:vAlign w:val="center"/>
          </w:tcPr>
          <w:p w14:paraId="73B5127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宜阳河</w:t>
            </w:r>
          </w:p>
        </w:tc>
        <w:tc>
          <w:tcPr>
            <w:tcW w:w="1281" w:type="dxa"/>
            <w:tcBorders>
              <w:tl2br w:val="nil"/>
              <w:tr2bl w:val="nil"/>
            </w:tcBorders>
            <w:tcMar>
              <w:top w:w="12" w:type="dxa"/>
              <w:left w:w="12" w:type="dxa"/>
              <w:right w:w="12" w:type="dxa"/>
            </w:tcMar>
            <w:vAlign w:val="center"/>
          </w:tcPr>
          <w:p w14:paraId="635478D6">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sz w:val="21"/>
                <w:szCs w:val="21"/>
              </w:rPr>
              <w:t>大坝下游1000m</w:t>
            </w:r>
          </w:p>
        </w:tc>
        <w:tc>
          <w:tcPr>
            <w:tcW w:w="649" w:type="dxa"/>
            <w:vMerge w:val="continue"/>
            <w:tcBorders>
              <w:tl2br w:val="nil"/>
              <w:tr2bl w:val="nil"/>
            </w:tcBorders>
            <w:tcMar>
              <w:top w:w="12" w:type="dxa"/>
              <w:left w:w="12" w:type="dxa"/>
              <w:right w:w="12" w:type="dxa"/>
            </w:tcMar>
            <w:vAlign w:val="center"/>
          </w:tcPr>
          <w:p w14:paraId="5DB3801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p>
        </w:tc>
        <w:tc>
          <w:tcPr>
            <w:tcW w:w="1234" w:type="dxa"/>
            <w:tcBorders>
              <w:tl2br w:val="nil"/>
              <w:tr2bl w:val="nil"/>
            </w:tcBorders>
            <w:tcMar>
              <w:top w:w="12" w:type="dxa"/>
              <w:left w:w="12" w:type="dxa"/>
              <w:right w:w="12" w:type="dxa"/>
            </w:tcMar>
            <w:vAlign w:val="center"/>
          </w:tcPr>
          <w:p w14:paraId="622088B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GB3838-2002</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中Ⅲ类</w:t>
            </w:r>
          </w:p>
        </w:tc>
        <w:tc>
          <w:tcPr>
            <w:tcW w:w="2830" w:type="dxa"/>
            <w:gridSpan w:val="2"/>
            <w:tcBorders>
              <w:tl2br w:val="nil"/>
              <w:tr2bl w:val="nil"/>
            </w:tcBorders>
            <w:tcMar>
              <w:top w:w="12" w:type="dxa"/>
              <w:left w:w="12" w:type="dxa"/>
              <w:right w:w="12" w:type="dxa"/>
            </w:tcMar>
            <w:vAlign w:val="center"/>
          </w:tcPr>
          <w:p w14:paraId="50493EB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大坝下游，评价河段为小型河流</w:t>
            </w:r>
          </w:p>
        </w:tc>
      </w:tr>
      <w:tr w14:paraId="7684BE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81" w:type="dxa"/>
            <w:vMerge w:val="continue"/>
            <w:tcBorders>
              <w:tl2br w:val="nil"/>
              <w:tr2bl w:val="nil"/>
            </w:tcBorders>
            <w:tcMar>
              <w:top w:w="12" w:type="dxa"/>
              <w:left w:w="12" w:type="dxa"/>
              <w:right w:w="12" w:type="dxa"/>
            </w:tcMar>
            <w:vAlign w:val="center"/>
          </w:tcPr>
          <w:p w14:paraId="7B0ED14B">
            <w:pPr>
              <w:widowControl/>
              <w:spacing w:line="240" w:lineRule="auto"/>
              <w:ind w:firstLine="0" w:firstLineChars="0"/>
              <w:jc w:val="center"/>
              <w:rPr>
                <w:rFonts w:hint="default" w:ascii="Times New Roman" w:hAnsi="Times New Roman" w:cs="Times New Roman"/>
                <w:color w:val="auto"/>
                <w:kern w:val="0"/>
                <w:sz w:val="21"/>
                <w:szCs w:val="21"/>
                <w:u w:val="none" w:color="auto"/>
              </w:rPr>
            </w:pPr>
          </w:p>
        </w:tc>
        <w:tc>
          <w:tcPr>
            <w:tcW w:w="1980" w:type="dxa"/>
            <w:gridSpan w:val="2"/>
            <w:tcBorders>
              <w:tl2br w:val="nil"/>
              <w:tr2bl w:val="nil"/>
            </w:tcBorders>
            <w:shd w:val="clear" w:color="auto" w:fill="auto"/>
            <w:tcMar>
              <w:top w:w="12" w:type="dxa"/>
              <w:left w:w="12" w:type="dxa"/>
              <w:right w:w="12" w:type="dxa"/>
            </w:tcMar>
            <w:vAlign w:val="center"/>
          </w:tcPr>
          <w:p w14:paraId="38597F2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rPr>
              <w:t>地下水</w:t>
            </w:r>
          </w:p>
        </w:tc>
        <w:tc>
          <w:tcPr>
            <w:tcW w:w="1930" w:type="dxa"/>
            <w:gridSpan w:val="2"/>
            <w:tcBorders>
              <w:tl2br w:val="nil"/>
              <w:tr2bl w:val="nil"/>
            </w:tcBorders>
            <w:tcMar>
              <w:top w:w="12" w:type="dxa"/>
              <w:left w:w="12" w:type="dxa"/>
              <w:right w:w="12" w:type="dxa"/>
            </w:tcMar>
            <w:vAlign w:val="center"/>
          </w:tcPr>
          <w:p w14:paraId="59682CE4">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廊洞水库</w:t>
            </w:r>
            <w:r>
              <w:rPr>
                <w:rFonts w:hint="default" w:ascii="Times New Roman" w:hAnsi="Times New Roman" w:cs="Times New Roman"/>
                <w:color w:val="auto"/>
                <w:sz w:val="21"/>
                <w:szCs w:val="21"/>
              </w:rPr>
              <w:t>及周边 500 米范围</w:t>
            </w:r>
          </w:p>
        </w:tc>
        <w:tc>
          <w:tcPr>
            <w:tcW w:w="1234" w:type="dxa"/>
            <w:tcBorders>
              <w:tl2br w:val="nil"/>
              <w:tr2bl w:val="nil"/>
            </w:tcBorders>
            <w:tcMar>
              <w:top w:w="12" w:type="dxa"/>
              <w:left w:w="12" w:type="dxa"/>
              <w:right w:w="12" w:type="dxa"/>
            </w:tcMar>
            <w:vAlign w:val="center"/>
          </w:tcPr>
          <w:p w14:paraId="34115A5D">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GB/T14848-2017</w:t>
            </w:r>
            <w:r>
              <w:rPr>
                <w:rFonts w:hint="eastAsia" w:cs="Times New Roman"/>
                <w:color w:val="auto"/>
                <w:kern w:val="0"/>
                <w:sz w:val="21"/>
                <w:szCs w:val="21"/>
                <w:u w:val="none" w:color="auto"/>
                <w:lang w:val="en-US" w:eastAsia="zh-CN"/>
              </w:rPr>
              <w:t>)</w:t>
            </w:r>
            <w:r>
              <w:rPr>
                <w:rFonts w:hint="default" w:ascii="Times New Roman" w:hAnsi="Times New Roman" w:cs="Times New Roman"/>
                <w:color w:val="auto"/>
                <w:kern w:val="0"/>
                <w:sz w:val="21"/>
                <w:szCs w:val="21"/>
                <w:u w:val="none" w:color="auto"/>
              </w:rPr>
              <w:t>中</w:t>
            </w:r>
            <w:r>
              <w:rPr>
                <w:rFonts w:hint="default" w:ascii="Times New Roman" w:hAnsi="Times New Roman" w:cs="Times New Roman"/>
                <w:color w:val="auto"/>
                <w:kern w:val="0"/>
                <w:sz w:val="21"/>
                <w:szCs w:val="21"/>
                <w:u w:val="none" w:color="auto"/>
              </w:rPr>
              <w:fldChar w:fldCharType="begin"/>
            </w:r>
            <w:r>
              <w:rPr>
                <w:rFonts w:hint="default" w:ascii="Times New Roman" w:hAnsi="Times New Roman" w:cs="Times New Roman"/>
                <w:color w:val="auto"/>
                <w:kern w:val="0"/>
                <w:sz w:val="21"/>
                <w:szCs w:val="21"/>
                <w:u w:val="none" w:color="auto"/>
              </w:rPr>
              <w:instrText xml:space="preserve"> = 3 \* ROMAN \* MERGEFORMAT </w:instrText>
            </w:r>
            <w:r>
              <w:rPr>
                <w:rFonts w:hint="default" w:ascii="Times New Roman" w:hAnsi="Times New Roman" w:cs="Times New Roman"/>
                <w:color w:val="auto"/>
                <w:kern w:val="0"/>
                <w:sz w:val="21"/>
                <w:szCs w:val="21"/>
                <w:u w:val="none" w:color="auto"/>
              </w:rPr>
              <w:fldChar w:fldCharType="separate"/>
            </w:r>
            <w:r>
              <w:rPr>
                <w:rFonts w:hint="default" w:ascii="Times New Roman" w:hAnsi="Times New Roman" w:cs="Times New Roman"/>
                <w:color w:val="auto"/>
                <w:kern w:val="0"/>
                <w:sz w:val="21"/>
                <w:szCs w:val="21"/>
                <w:u w:val="none" w:color="auto"/>
              </w:rPr>
              <w:t>III</w:t>
            </w:r>
            <w:r>
              <w:rPr>
                <w:rFonts w:hint="default" w:ascii="Times New Roman" w:hAnsi="Times New Roman" w:cs="Times New Roman"/>
                <w:color w:val="auto"/>
                <w:kern w:val="0"/>
                <w:sz w:val="21"/>
                <w:szCs w:val="21"/>
                <w:u w:val="none" w:color="auto"/>
              </w:rPr>
              <w:fldChar w:fldCharType="end"/>
            </w:r>
            <w:r>
              <w:rPr>
                <w:rFonts w:hint="default" w:ascii="Times New Roman" w:hAnsi="Times New Roman" w:cs="Times New Roman"/>
                <w:color w:val="auto"/>
                <w:kern w:val="0"/>
                <w:sz w:val="21"/>
                <w:szCs w:val="21"/>
                <w:u w:val="none" w:color="auto"/>
              </w:rPr>
              <w:t>类</w:t>
            </w:r>
          </w:p>
        </w:tc>
        <w:tc>
          <w:tcPr>
            <w:tcW w:w="2830" w:type="dxa"/>
            <w:gridSpan w:val="2"/>
            <w:tcBorders>
              <w:tl2br w:val="nil"/>
              <w:tr2bl w:val="nil"/>
            </w:tcBorders>
            <w:tcMar>
              <w:top w:w="12" w:type="dxa"/>
              <w:left w:w="12" w:type="dxa"/>
              <w:right w:w="12" w:type="dxa"/>
            </w:tcMar>
            <w:vAlign w:val="center"/>
          </w:tcPr>
          <w:p w14:paraId="461A7B53">
            <w:pPr>
              <w:widowControl/>
              <w:spacing w:line="240" w:lineRule="auto"/>
              <w:ind w:firstLine="0" w:firstLineChars="0"/>
              <w:jc w:val="center"/>
              <w:rPr>
                <w:rFonts w:hint="default" w:ascii="Times New Roman" w:hAnsi="Times New Roman" w:cs="Times New Roman"/>
                <w:color w:val="auto"/>
                <w:kern w:val="0"/>
                <w:sz w:val="21"/>
                <w:szCs w:val="21"/>
                <w:u w:val="none" w:color="auto"/>
              </w:rPr>
            </w:pPr>
            <w:r>
              <w:rPr>
                <w:rFonts w:hint="default" w:ascii="Times New Roman" w:hAnsi="Times New Roman" w:cs="Times New Roman"/>
                <w:color w:val="auto"/>
                <w:kern w:val="0"/>
                <w:sz w:val="21"/>
                <w:szCs w:val="21"/>
                <w:u w:val="none" w:color="auto"/>
              </w:rPr>
              <w:t>项目区评价范围内的地下水</w:t>
            </w:r>
          </w:p>
        </w:tc>
      </w:tr>
      <w:tr w14:paraId="68B73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461" w:type="dxa"/>
            <w:gridSpan w:val="3"/>
            <w:vMerge w:val="restart"/>
            <w:tcBorders>
              <w:tl2br w:val="nil"/>
              <w:tr2bl w:val="nil"/>
            </w:tcBorders>
            <w:tcMar>
              <w:top w:w="12" w:type="dxa"/>
              <w:left w:w="12" w:type="dxa"/>
              <w:right w:w="12" w:type="dxa"/>
            </w:tcMar>
            <w:vAlign w:val="center"/>
          </w:tcPr>
          <w:p w14:paraId="247A67A9">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生态环境</w:t>
            </w:r>
          </w:p>
        </w:tc>
        <w:tc>
          <w:tcPr>
            <w:tcW w:w="3164" w:type="dxa"/>
            <w:gridSpan w:val="3"/>
            <w:tcBorders>
              <w:tl2br w:val="nil"/>
              <w:tr2bl w:val="nil"/>
            </w:tcBorders>
            <w:tcMar>
              <w:top w:w="12" w:type="dxa"/>
              <w:left w:w="12" w:type="dxa"/>
              <w:right w:w="12" w:type="dxa"/>
            </w:tcMar>
            <w:vAlign w:val="center"/>
          </w:tcPr>
          <w:p w14:paraId="0C6BC682">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bidi="ar-SA"/>
              </w:rPr>
              <w:t>水生生态</w:t>
            </w:r>
          </w:p>
        </w:tc>
        <w:tc>
          <w:tcPr>
            <w:tcW w:w="2830" w:type="dxa"/>
            <w:gridSpan w:val="2"/>
            <w:tcBorders>
              <w:tl2br w:val="nil"/>
              <w:tr2bl w:val="nil"/>
            </w:tcBorders>
            <w:tcMar>
              <w:top w:w="12" w:type="dxa"/>
              <w:left w:w="12" w:type="dxa"/>
              <w:right w:w="12" w:type="dxa"/>
            </w:tcMar>
            <w:vAlign w:val="center"/>
          </w:tcPr>
          <w:p w14:paraId="099017DD">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cs="Times New Roman"/>
                <w:color w:val="auto"/>
                <w:kern w:val="0"/>
                <w:sz w:val="21"/>
                <w:szCs w:val="21"/>
                <w:u w:val="none" w:color="auto"/>
                <w:lang w:val="en-US" w:eastAsia="zh-CN"/>
              </w:rPr>
              <w:t>廊洞水库及宜阳河水生生物</w:t>
            </w:r>
            <w:r>
              <w:rPr>
                <w:rFonts w:hint="default" w:ascii="Times New Roman" w:hAnsi="Times New Roman" w:cs="Times New Roman"/>
                <w:color w:val="auto"/>
                <w:sz w:val="21"/>
                <w:szCs w:val="21"/>
              </w:rPr>
              <w:t>及其生态环境</w:t>
            </w:r>
          </w:p>
        </w:tc>
      </w:tr>
      <w:tr w14:paraId="3854F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461" w:type="dxa"/>
            <w:gridSpan w:val="3"/>
            <w:vMerge w:val="continue"/>
            <w:tcBorders>
              <w:tl2br w:val="nil"/>
              <w:tr2bl w:val="nil"/>
            </w:tcBorders>
            <w:tcMar>
              <w:top w:w="12" w:type="dxa"/>
              <w:left w:w="12" w:type="dxa"/>
              <w:right w:w="12" w:type="dxa"/>
            </w:tcMar>
            <w:vAlign w:val="center"/>
          </w:tcPr>
          <w:p w14:paraId="10D24AD7">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bookmarkStart w:id="111" w:name="_Toc494233725"/>
            <w:bookmarkStart w:id="112" w:name="_Toc20759"/>
            <w:bookmarkStart w:id="113" w:name="_Toc22576"/>
          </w:p>
        </w:tc>
        <w:tc>
          <w:tcPr>
            <w:tcW w:w="3164" w:type="dxa"/>
            <w:gridSpan w:val="3"/>
            <w:tcBorders>
              <w:tl2br w:val="nil"/>
              <w:tr2bl w:val="nil"/>
            </w:tcBorders>
            <w:tcMar>
              <w:top w:w="12" w:type="dxa"/>
              <w:left w:w="12" w:type="dxa"/>
              <w:right w:w="12" w:type="dxa"/>
            </w:tcMar>
            <w:vAlign w:val="center"/>
          </w:tcPr>
          <w:p w14:paraId="7BD79428">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陆生生态</w:t>
            </w:r>
          </w:p>
        </w:tc>
        <w:tc>
          <w:tcPr>
            <w:tcW w:w="2830" w:type="dxa"/>
            <w:gridSpan w:val="2"/>
            <w:tcBorders>
              <w:tl2br w:val="nil"/>
              <w:tr2bl w:val="nil"/>
            </w:tcBorders>
            <w:tcMar>
              <w:top w:w="12" w:type="dxa"/>
              <w:left w:w="12" w:type="dxa"/>
              <w:right w:w="12" w:type="dxa"/>
            </w:tcMar>
            <w:vAlign w:val="center"/>
          </w:tcPr>
          <w:p w14:paraId="42516CC9">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大坝周边野生动植物</w:t>
            </w:r>
            <w:r>
              <w:rPr>
                <w:rFonts w:hint="default" w:ascii="Times New Roman" w:hAnsi="Times New Roman" w:cs="Times New Roman"/>
                <w:color w:val="auto"/>
                <w:sz w:val="21"/>
                <w:szCs w:val="21"/>
              </w:rPr>
              <w:t>及其生态环境</w:t>
            </w:r>
          </w:p>
        </w:tc>
      </w:tr>
      <w:tr w14:paraId="7BEDF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461" w:type="dxa"/>
            <w:gridSpan w:val="3"/>
            <w:tcBorders>
              <w:tl2br w:val="nil"/>
              <w:tr2bl w:val="nil"/>
            </w:tcBorders>
            <w:tcMar>
              <w:top w:w="12" w:type="dxa"/>
              <w:left w:w="12" w:type="dxa"/>
              <w:right w:w="12" w:type="dxa"/>
            </w:tcMar>
            <w:vAlign w:val="center"/>
          </w:tcPr>
          <w:p w14:paraId="74D1CC38">
            <w:pPr>
              <w:widowControl/>
              <w:spacing w:line="240" w:lineRule="auto"/>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土壤环境</w:t>
            </w:r>
          </w:p>
        </w:tc>
        <w:tc>
          <w:tcPr>
            <w:tcW w:w="3164" w:type="dxa"/>
            <w:gridSpan w:val="3"/>
            <w:tcBorders>
              <w:tl2br w:val="nil"/>
              <w:tr2bl w:val="nil"/>
            </w:tcBorders>
            <w:tcMar>
              <w:top w:w="12" w:type="dxa"/>
              <w:left w:w="12" w:type="dxa"/>
              <w:right w:w="12" w:type="dxa"/>
            </w:tcMar>
            <w:vAlign w:val="center"/>
          </w:tcPr>
          <w:p w14:paraId="4F144571">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土壤</w:t>
            </w:r>
          </w:p>
        </w:tc>
        <w:tc>
          <w:tcPr>
            <w:tcW w:w="2830" w:type="dxa"/>
            <w:gridSpan w:val="2"/>
            <w:tcBorders>
              <w:tl2br w:val="nil"/>
              <w:tr2bl w:val="nil"/>
            </w:tcBorders>
            <w:tcMar>
              <w:top w:w="12" w:type="dxa"/>
              <w:left w:w="12" w:type="dxa"/>
              <w:right w:w="12" w:type="dxa"/>
            </w:tcMar>
            <w:vAlign w:val="center"/>
          </w:tcPr>
          <w:p w14:paraId="56E5784A">
            <w:pPr>
              <w:widowControl/>
              <w:spacing w:line="240" w:lineRule="auto"/>
              <w:ind w:firstLine="0" w:firstLineChars="0"/>
              <w:jc w:val="center"/>
              <w:rPr>
                <w:rFonts w:hint="default" w:ascii="Times New Roman" w:hAnsi="Times New Roman" w:cs="Times New Roman"/>
                <w:color w:val="auto"/>
                <w:kern w:val="0"/>
                <w:sz w:val="21"/>
                <w:szCs w:val="21"/>
                <w:u w:val="none" w:color="auto"/>
                <w:lang w:val="en-US" w:eastAsia="zh-CN"/>
              </w:rPr>
            </w:pPr>
            <w:r>
              <w:rPr>
                <w:rFonts w:hint="default" w:ascii="Times New Roman" w:hAnsi="Times New Roman" w:cs="Times New Roman"/>
                <w:color w:val="auto"/>
                <w:sz w:val="21"/>
                <w:szCs w:val="21"/>
                <w:u w:val="none" w:color="auto"/>
              </w:rPr>
              <w:t>工程占地及周边1km范围林地、农田</w:t>
            </w:r>
          </w:p>
        </w:tc>
      </w:tr>
    </w:tbl>
    <w:p w14:paraId="7EDA097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环境质量保护目标</w:t>
      </w:r>
      <w:bookmarkEnd w:id="111"/>
      <w:bookmarkEnd w:id="112"/>
      <w:bookmarkEnd w:id="113"/>
      <w:r>
        <w:rPr>
          <w:rFonts w:hint="default" w:ascii="Times New Roman" w:hAnsi="Times New Roman" w:cs="Times New Roman"/>
          <w:color w:val="auto"/>
          <w:u w:val="none" w:color="auto"/>
          <w:lang w:eastAsia="zh-CN"/>
        </w:rPr>
        <w:t>:</w:t>
      </w:r>
    </w:p>
    <w:p w14:paraId="6C662BB0">
      <w:pPr>
        <w:bidi w:val="0"/>
        <w:rPr>
          <w:rFonts w:hint="default" w:ascii="Times New Roman" w:hAnsi="Times New Roman" w:cs="Times New Roman"/>
          <w:color w:val="auto"/>
          <w:u w:val="none" w:color="auto"/>
        </w:rPr>
      </w:pPr>
      <w:bookmarkStart w:id="114" w:name="_Toc9706"/>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水环境</w:t>
      </w:r>
      <w:r>
        <w:rPr>
          <w:rFonts w:hint="eastAsia" w:cs="Times New Roman"/>
          <w:color w:val="auto"/>
          <w:u w:val="none" w:color="auto"/>
          <w:lang w:eastAsia="zh-CN"/>
        </w:rPr>
        <w:t>：</w:t>
      </w:r>
      <w:r>
        <w:rPr>
          <w:rFonts w:hint="default" w:ascii="Times New Roman" w:hAnsi="Times New Roman" w:cs="Times New Roman"/>
          <w:color w:val="auto"/>
          <w:u w:val="none" w:color="auto"/>
        </w:rPr>
        <w:t>维持项目区域水环境现有水域功能，</w:t>
      </w:r>
      <w:r>
        <w:rPr>
          <w:rFonts w:hint="default" w:ascii="Times New Roman" w:hAnsi="Times New Roman" w:cs="Times New Roman"/>
          <w:color w:val="auto"/>
          <w:u w:val="none" w:color="auto"/>
          <w:lang w:val="en-US" w:eastAsia="zh-CN"/>
        </w:rPr>
        <w:t>廊洞水库</w:t>
      </w:r>
      <w:r>
        <w:rPr>
          <w:rFonts w:hint="eastAsia" w:cs="Times New Roman"/>
          <w:color w:val="auto"/>
          <w:u w:val="none" w:color="auto"/>
          <w:lang w:val="en-US" w:eastAsia="zh-CN"/>
        </w:rPr>
        <w:t>饮用水源一级保护区</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中II</w:t>
      </w:r>
      <w:r>
        <w:rPr>
          <w:rFonts w:hint="default" w:ascii="Times New Roman" w:hAnsi="Times New Roman" w:cs="Times New Roman"/>
          <w:color w:val="auto"/>
          <w:highlight w:val="none"/>
          <w:u w:val="none" w:color="auto"/>
        </w:rPr>
        <w:t>类</w:t>
      </w:r>
      <w:r>
        <w:rPr>
          <w:rFonts w:hint="default" w:ascii="Times New Roman" w:hAnsi="Times New Roman" w:cs="Times New Roman"/>
          <w:color w:val="auto"/>
          <w:u w:val="none" w:color="auto"/>
        </w:rPr>
        <w:t>标准</w:t>
      </w:r>
      <w:r>
        <w:rPr>
          <w:rFonts w:hint="eastAsia" w:cs="Times New Roman"/>
          <w:color w:val="auto"/>
          <w:u w:val="none" w:color="auto"/>
          <w:lang w:eastAsia="zh-CN"/>
        </w:rPr>
        <w:t>，</w:t>
      </w:r>
      <w:r>
        <w:rPr>
          <w:rFonts w:hint="eastAsia" w:cs="Times New Roman"/>
          <w:color w:val="auto"/>
          <w:u w:val="none" w:color="auto"/>
          <w:lang w:val="en-US" w:eastAsia="zh-CN"/>
        </w:rPr>
        <w:t>饮水水源二级保护区及</w:t>
      </w:r>
      <w:r>
        <w:rPr>
          <w:rFonts w:hint="default" w:ascii="Times New Roman" w:hAnsi="Times New Roman" w:cs="Times New Roman"/>
          <w:color w:val="auto"/>
          <w:u w:val="none" w:color="auto"/>
          <w:lang w:val="en-US" w:eastAsia="zh-CN"/>
        </w:rPr>
        <w:t>下游宜阳河满足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类标准，地下水环境质量满足《地下水质量标准》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w:t>
      </w:r>
    </w:p>
    <w:p w14:paraId="4435B9C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大气环境</w:t>
      </w:r>
      <w:r>
        <w:rPr>
          <w:rFonts w:hint="eastAsia" w:cs="Times New Roman"/>
          <w:color w:val="auto"/>
          <w:u w:val="none" w:color="auto"/>
          <w:lang w:eastAsia="zh-CN"/>
        </w:rPr>
        <w:t>：</w:t>
      </w:r>
      <w:r>
        <w:rPr>
          <w:rFonts w:hint="default" w:ascii="Times New Roman" w:hAnsi="Times New Roman" w:cs="Times New Roman"/>
          <w:color w:val="auto"/>
          <w:u w:val="none" w:color="auto"/>
        </w:rPr>
        <w:t>维持项目周边区域的环境空气质量，满足《环境空气质量标准》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中二级标准。</w:t>
      </w:r>
    </w:p>
    <w:p w14:paraId="2F60756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声环境</w:t>
      </w:r>
      <w:r>
        <w:rPr>
          <w:rFonts w:hint="eastAsia" w:cs="Times New Roman"/>
          <w:color w:val="auto"/>
          <w:u w:val="none" w:color="auto"/>
          <w:lang w:eastAsia="zh-CN"/>
        </w:rPr>
        <w:t>：</w:t>
      </w:r>
      <w:r>
        <w:rPr>
          <w:rFonts w:hint="default" w:ascii="Times New Roman" w:hAnsi="Times New Roman" w:cs="Times New Roman"/>
          <w:color w:val="auto"/>
          <w:u w:val="none" w:color="auto"/>
        </w:rPr>
        <w:t>控制噪声源强度，</w:t>
      </w:r>
      <w:r>
        <w:rPr>
          <w:rFonts w:hint="default" w:ascii="Times New Roman" w:hAnsi="Times New Roman" w:cs="Times New Roman"/>
          <w:color w:val="auto"/>
          <w:u w:val="none" w:color="auto"/>
          <w:lang w:val="en-US" w:eastAsia="zh-CN"/>
        </w:rPr>
        <w:t>敏感点</w:t>
      </w:r>
      <w:r>
        <w:rPr>
          <w:rFonts w:hint="default" w:ascii="Times New Roman" w:hAnsi="Times New Roman" w:cs="Times New Roman"/>
          <w:color w:val="auto"/>
          <w:u w:val="none" w:color="auto"/>
        </w:rPr>
        <w:t>噪声满足《声环境质量标准》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p>
    <w:p w14:paraId="7BFBFFA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生态环境</w:t>
      </w:r>
      <w:r>
        <w:rPr>
          <w:rFonts w:hint="eastAsia" w:cs="Times New Roman"/>
          <w:color w:val="auto"/>
          <w:u w:val="none" w:color="auto"/>
          <w:lang w:eastAsia="zh-CN"/>
        </w:rPr>
        <w:t>：</w:t>
      </w:r>
      <w:r>
        <w:rPr>
          <w:rFonts w:hint="default" w:ascii="Times New Roman" w:hAnsi="Times New Roman" w:cs="Times New Roman"/>
          <w:color w:val="auto"/>
          <w:u w:val="none" w:color="auto"/>
        </w:rPr>
        <w:t>维持区域生态系统的多样性、完整性和稳定性。对项目影响区域进行生态恢复建设，避免对其生态功能造成影响</w:t>
      </w:r>
      <w:r>
        <w:rPr>
          <w:rFonts w:hint="default" w:ascii="Times New Roman" w:hAnsi="Times New Roman" w:cs="Times New Roman"/>
          <w:color w:val="auto"/>
          <w:u w:val="none" w:color="auto"/>
          <w:lang w:eastAsia="zh-CN"/>
        </w:rPr>
        <w:t>。</w:t>
      </w:r>
    </w:p>
    <w:p w14:paraId="1F4DCC5B">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土壤环境</w:t>
      </w:r>
      <w:r>
        <w:rPr>
          <w:rFonts w:hint="eastAsia" w:cs="Times New Roman"/>
          <w:color w:val="auto"/>
          <w:u w:val="none" w:color="auto"/>
          <w:lang w:eastAsia="zh-CN"/>
        </w:rPr>
        <w:t>：</w:t>
      </w:r>
      <w:r>
        <w:rPr>
          <w:rFonts w:hint="default" w:ascii="Times New Roman" w:hAnsi="Times New Roman" w:cs="Times New Roman"/>
          <w:color w:val="auto"/>
          <w:u w:val="none" w:color="auto"/>
        </w:rPr>
        <w:t>保护对象：评价范围内的土壤。</w:t>
      </w:r>
    </w:p>
    <w:p w14:paraId="29E0AE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保护要求：保护工程影响区域土壤环境质量不因工程的建设和运行而降低。</w:t>
      </w:r>
    </w:p>
    <w:p w14:paraId="4750D50F">
      <w:pPr>
        <w:bidi w:val="0"/>
        <w:rPr>
          <w:rFonts w:hint="default" w:ascii="Times New Roman" w:hAnsi="Times New Roman" w:cs="Times New Roman"/>
          <w:color w:val="auto"/>
          <w:u w:val="none" w:color="auto"/>
        </w:rPr>
        <w:sectPr>
          <w:footerReference r:id="rId14" w:type="default"/>
          <w:pgSz w:w="11911"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p>
    <w:bookmarkEnd w:id="32"/>
    <w:bookmarkEnd w:id="33"/>
    <w:bookmarkEnd w:id="34"/>
    <w:bookmarkEnd w:id="35"/>
    <w:bookmarkEnd w:id="36"/>
    <w:bookmarkEnd w:id="114"/>
    <w:p w14:paraId="745884F2">
      <w:pPr>
        <w:pStyle w:val="2"/>
        <w:rPr>
          <w:rFonts w:hint="default" w:ascii="Times New Roman" w:hAnsi="Times New Roman" w:cs="Times New Roman"/>
          <w:color w:val="auto"/>
          <w:u w:val="none" w:color="auto"/>
        </w:rPr>
      </w:pPr>
      <w:bookmarkStart w:id="115" w:name="_Toc1554"/>
      <w:bookmarkStart w:id="116" w:name="_Toc494233727"/>
      <w:r>
        <w:rPr>
          <w:rFonts w:hint="default" w:ascii="Times New Roman" w:hAnsi="Times New Roman" w:cs="Times New Roman"/>
          <w:color w:val="auto"/>
          <w:u w:val="none" w:color="auto"/>
        </w:rPr>
        <w:t>项目概况</w:t>
      </w:r>
      <w:bookmarkEnd w:id="115"/>
      <w:bookmarkEnd w:id="116"/>
    </w:p>
    <w:p w14:paraId="70109D05">
      <w:pPr>
        <w:pStyle w:val="3"/>
        <w:rPr>
          <w:rFonts w:hint="default" w:ascii="Times New Roman" w:hAnsi="Times New Roman" w:cs="Times New Roman"/>
          <w:color w:val="auto"/>
          <w:u w:val="none" w:color="auto"/>
        </w:rPr>
      </w:pPr>
      <w:bookmarkStart w:id="117" w:name="_Toc4599"/>
      <w:bookmarkStart w:id="118" w:name="_Toc5260"/>
      <w:bookmarkStart w:id="119" w:name="_Toc20340"/>
      <w:bookmarkStart w:id="120" w:name="_Toc494049360"/>
      <w:bookmarkStart w:id="121" w:name="_Toc494233728"/>
      <w:r>
        <w:rPr>
          <w:rFonts w:hint="default" w:ascii="Times New Roman" w:hAnsi="Times New Roman" w:cs="Times New Roman"/>
          <w:color w:val="auto"/>
          <w:u w:val="none" w:color="auto"/>
        </w:rPr>
        <w:t>基本情况</w:t>
      </w:r>
      <w:bookmarkEnd w:id="117"/>
      <w:bookmarkEnd w:id="118"/>
      <w:bookmarkEnd w:id="119"/>
      <w:bookmarkEnd w:id="120"/>
      <w:bookmarkEnd w:id="121"/>
    </w:p>
    <w:p w14:paraId="2BA9E4A7">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项目名称</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道县廊洞水库除险加固工程</w:t>
      </w:r>
    </w:p>
    <w:p w14:paraId="2D1BD276">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建设单位</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道县水利局</w:t>
      </w:r>
    </w:p>
    <w:p w14:paraId="50653FE4">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行业类别</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E4821水源及供水设施工程建筑</w:t>
      </w:r>
    </w:p>
    <w:p w14:paraId="16130BEA">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建设地点</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湖南省永州市道县梅花镇廊洞村</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东经111°35′42.088″、北纬25°40′46.003″</w:t>
      </w:r>
      <w:r>
        <w:rPr>
          <w:rFonts w:hint="default" w:ascii="Times New Roman" w:hAnsi="Times New Roman" w:cs="Times New Roman"/>
          <w:color w:val="auto"/>
          <w:highlight w:val="none"/>
          <w:u w:val="none" w:color="auto"/>
          <w:lang w:val="en-US" w:eastAsia="zh-CN"/>
        </w:rPr>
        <w:t>)</w:t>
      </w:r>
    </w:p>
    <w:p w14:paraId="2BF0F00A">
      <w:pPr>
        <w:keepNext w:val="0"/>
        <w:keepLines w:val="0"/>
        <w:widowControl/>
        <w:suppressLineNumbers w:val="0"/>
        <w:jc w:val="left"/>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占地面积</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项目改建不新增永久占地，临时占地面积</w:t>
      </w:r>
      <w:r>
        <w:rPr>
          <w:rFonts w:hint="eastAsia" w:cs="Times New Roman"/>
          <w:color w:val="auto"/>
          <w:u w:val="none" w:color="auto"/>
          <w:lang w:val="en-US" w:eastAsia="zh-CN"/>
        </w:rPr>
        <w:t>7091m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w:t>
      </w:r>
    </w:p>
    <w:p w14:paraId="7844F29E">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项目性质</w:t>
      </w:r>
      <w:r>
        <w:rPr>
          <w:rFonts w:hint="eastAsia" w:cs="Times New Roman"/>
          <w:color w:val="auto"/>
          <w:u w:val="none" w:color="auto"/>
          <w:lang w:eastAsia="zh-CN"/>
        </w:rPr>
        <w:t>：</w:t>
      </w:r>
      <w:r>
        <w:rPr>
          <w:rFonts w:hint="default" w:ascii="Times New Roman" w:hAnsi="Times New Roman" w:cs="Times New Roman"/>
          <w:color w:val="auto"/>
          <w:u w:val="none" w:color="auto"/>
          <w:lang w:val="en-US" w:eastAsia="zh-CN"/>
        </w:rPr>
        <w:t>改</w:t>
      </w:r>
      <w:r>
        <w:rPr>
          <w:rFonts w:hint="default" w:ascii="Times New Roman" w:hAnsi="Times New Roman" w:cs="Times New Roman"/>
          <w:color w:val="auto"/>
          <w:u w:val="none" w:color="auto"/>
        </w:rPr>
        <w:t>建</w:t>
      </w:r>
      <w:r>
        <w:rPr>
          <w:rFonts w:hint="default" w:ascii="Times New Roman" w:hAnsi="Times New Roman" w:cs="Times New Roman"/>
          <w:color w:val="auto"/>
          <w:u w:val="none" w:color="auto"/>
          <w:lang w:eastAsia="zh-CN"/>
        </w:rPr>
        <w:t>。</w:t>
      </w:r>
    </w:p>
    <w:p w14:paraId="639308D4">
      <w:pPr>
        <w:keepNext w:val="0"/>
        <w:keepLines w:val="0"/>
        <w:widowControl/>
        <w:suppressLineNumbers w:val="0"/>
        <w:jc w:val="left"/>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总投资</w:t>
      </w:r>
      <w:r>
        <w:rPr>
          <w:rFonts w:hint="default" w:ascii="Times New Roman" w:hAnsi="Times New Roman" w:cs="Times New Roman"/>
          <w:color w:val="auto"/>
          <w:u w:val="none" w:color="auto"/>
          <w:lang w:val="en-US" w:eastAsia="zh-CN"/>
        </w:rPr>
        <w:t>及</w:t>
      </w:r>
      <w:r>
        <w:rPr>
          <w:rFonts w:hint="default" w:ascii="Times New Roman" w:hAnsi="Times New Roman" w:cs="Times New Roman"/>
          <w:color w:val="auto"/>
          <w:u w:val="none" w:color="auto"/>
        </w:rPr>
        <w:t>环保投资</w:t>
      </w:r>
      <w:r>
        <w:rPr>
          <w:rFonts w:hint="eastAsia" w:cs="Times New Roman"/>
          <w:color w:val="auto"/>
          <w:u w:val="none" w:color="auto"/>
          <w:lang w:eastAsia="zh-CN"/>
        </w:rPr>
        <w:t>：</w:t>
      </w: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总投资</w:t>
      </w:r>
      <w:r>
        <w:rPr>
          <w:rFonts w:hint="default" w:ascii="Times New Roman" w:hAnsi="Times New Roman" w:cs="Times New Roman"/>
          <w:color w:val="auto"/>
          <w:u w:val="none" w:color="auto"/>
          <w:lang w:val="en-US" w:eastAsia="zh-CN"/>
        </w:rPr>
        <w:t>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val="en-US"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4E09BA25">
      <w:pPr>
        <w:pStyle w:val="3"/>
        <w:bidi w:val="0"/>
        <w:rPr>
          <w:rFonts w:hint="default" w:ascii="Times New Roman" w:hAnsi="Times New Roman" w:cs="Times New Roman"/>
          <w:color w:val="auto"/>
          <w:u w:val="none" w:color="auto"/>
        </w:rPr>
      </w:pPr>
      <w:bookmarkStart w:id="122" w:name="_Toc25402"/>
      <w:r>
        <w:rPr>
          <w:rFonts w:hint="eastAsia" w:cs="Times New Roman"/>
          <w:color w:val="auto"/>
          <w:u w:val="none" w:color="auto"/>
          <w:lang w:val="en-US" w:eastAsia="zh-CN"/>
        </w:rPr>
        <w:t>现有工程概况</w:t>
      </w:r>
      <w:bookmarkEnd w:id="122"/>
    </w:p>
    <w:p w14:paraId="64414B3E">
      <w:pPr>
        <w:pStyle w:val="4"/>
        <w:bidi w:val="0"/>
        <w:rPr>
          <w:rFonts w:hint="default"/>
          <w:lang w:val="en-US"/>
        </w:rPr>
      </w:pPr>
      <w:r>
        <w:rPr>
          <w:rFonts w:hint="eastAsia"/>
          <w:lang w:val="en-US" w:eastAsia="zh-CN"/>
        </w:rPr>
        <w:t>流域概况</w:t>
      </w:r>
    </w:p>
    <w:p w14:paraId="1C95B5F5">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廊洞水库属湘江水系潇水一级支流</w:t>
      </w:r>
      <w:r>
        <w:rPr>
          <w:rFonts w:hint="default" w:ascii="Times New Roman" w:hAnsi="Times New Roman" w:cs="Times New Roman"/>
          <w:color w:val="auto"/>
          <w:sz w:val="24"/>
          <w:szCs w:val="24"/>
          <w:u w:val="none" w:color="auto"/>
          <w:lang w:eastAsia="zh-CN"/>
        </w:rPr>
        <w:t>宜水河</w:t>
      </w:r>
      <w:r>
        <w:rPr>
          <w:rFonts w:hint="default" w:ascii="Times New Roman" w:hAnsi="Times New Roman" w:eastAsia="宋体" w:cs="Times New Roman"/>
          <w:color w:val="auto"/>
          <w:sz w:val="24"/>
          <w:szCs w:val="24"/>
          <w:u w:val="none" w:color="auto"/>
          <w:lang w:eastAsia="zh-CN"/>
        </w:rPr>
        <w:t>中游，本次洪水复核计算的流域参数均采用万分之一地形图反复</w:t>
      </w:r>
      <w:r>
        <w:rPr>
          <w:rFonts w:hint="default" w:ascii="Times New Roman" w:hAnsi="Times New Roman" w:eastAsia="宋体" w:cs="Times New Roman"/>
          <w:color w:val="auto"/>
          <w:sz w:val="24"/>
          <w:szCs w:val="24"/>
          <w:highlight w:val="none"/>
          <w:u w:val="none" w:color="auto"/>
          <w:lang w:eastAsia="zh-CN"/>
        </w:rPr>
        <w:t>量测</w:t>
      </w:r>
      <w:r>
        <w:rPr>
          <w:rFonts w:hint="default" w:ascii="Times New Roman" w:hAnsi="Times New Roman" w:eastAsia="宋体" w:cs="Times New Roman"/>
          <w:color w:val="auto"/>
          <w:sz w:val="24"/>
          <w:szCs w:val="24"/>
          <w:u w:val="none" w:color="auto"/>
          <w:lang w:eastAsia="zh-CN"/>
        </w:rPr>
        <w:t>计算，与原设计、2002年安全鉴定、2008年除险加固设计、2020年安全鉴定成果基本一致，推荐采用本次复测结果。本次洪水计算复核采用的流域参数如下</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eastAsia="zh-CN"/>
        </w:rPr>
        <w:t>控</w:t>
      </w:r>
      <w:r>
        <w:rPr>
          <w:rFonts w:hint="default" w:ascii="Times New Roman" w:hAnsi="Times New Roman" w:eastAsia="宋体" w:cs="Times New Roman"/>
          <w:color w:val="auto"/>
          <w:spacing w:val="-2"/>
          <w:sz w:val="24"/>
          <w:szCs w:val="24"/>
          <w:u w:val="none" w:color="auto"/>
        </w:rPr>
        <w:t>制</w:t>
      </w:r>
      <w:r>
        <w:rPr>
          <w:rFonts w:hint="default" w:ascii="Times New Roman" w:hAnsi="Times New Roman" w:eastAsia="宋体" w:cs="Times New Roman"/>
          <w:color w:val="auto"/>
          <w:sz w:val="24"/>
          <w:szCs w:val="24"/>
          <w:u w:val="none" w:color="auto"/>
          <w:lang w:eastAsia="zh-CN"/>
        </w:rPr>
        <w:t>流域</w:t>
      </w:r>
      <w:r>
        <w:rPr>
          <w:rFonts w:hint="default" w:ascii="Times New Roman" w:hAnsi="Times New Roman" w:eastAsia="宋体" w:cs="Times New Roman"/>
          <w:color w:val="auto"/>
          <w:spacing w:val="-2"/>
          <w:sz w:val="24"/>
          <w:szCs w:val="24"/>
          <w:u w:val="none" w:color="auto"/>
        </w:rPr>
        <w:t>面积为35.60k</w:t>
      </w:r>
      <w:r>
        <w:rPr>
          <w:rFonts w:hint="eastAsia" w:cs="Times New Roman"/>
          <w:color w:val="auto"/>
          <w:spacing w:val="-2"/>
          <w:sz w:val="24"/>
          <w:szCs w:val="24"/>
          <w:u w:val="none" w:color="auto"/>
          <w:lang w:eastAsia="zh-CN"/>
        </w:rPr>
        <w:t>m</w:t>
      </w:r>
      <w:r>
        <w:rPr>
          <w:rFonts w:hint="eastAsia" w:cs="Times New Roman"/>
          <w:color w:val="auto"/>
          <w:spacing w:val="-2"/>
          <w:sz w:val="24"/>
          <w:szCs w:val="24"/>
          <w:u w:val="none" w:color="auto"/>
          <w:vertAlign w:val="superscript"/>
          <w:lang w:eastAsia="zh-CN"/>
        </w:rPr>
        <w:t>2</w:t>
      </w:r>
      <w:r>
        <w:rPr>
          <w:rFonts w:hint="default" w:ascii="Times New Roman" w:hAnsi="Times New Roman" w:eastAsia="宋体" w:cs="Times New Roman"/>
          <w:color w:val="auto"/>
          <w:spacing w:val="-2"/>
          <w:sz w:val="24"/>
          <w:szCs w:val="24"/>
          <w:u w:val="none" w:color="auto"/>
        </w:rPr>
        <w:t>，干流长20</w:t>
      </w:r>
      <w:r>
        <w:rPr>
          <w:rFonts w:hint="default" w:ascii="Times New Roman" w:hAnsi="Times New Roman" w:eastAsia="宋体" w:cs="Times New Roman"/>
          <w:color w:val="auto"/>
          <w:spacing w:val="-3"/>
          <w:sz w:val="24"/>
          <w:szCs w:val="24"/>
          <w:u w:val="none" w:color="auto"/>
        </w:rPr>
        <w:t>.91km，干流坡降20.91‰</w:t>
      </w:r>
      <w:r>
        <w:rPr>
          <w:rFonts w:hint="default" w:ascii="Times New Roman" w:hAnsi="Times New Roman" w:eastAsia="宋体" w:cs="Times New Roman"/>
          <w:color w:val="auto"/>
          <w:sz w:val="24"/>
          <w:szCs w:val="24"/>
          <w:u w:val="none" w:color="auto"/>
        </w:rPr>
        <w:t>。</w:t>
      </w:r>
    </w:p>
    <w:p w14:paraId="4F24B3A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中上游，是一座以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综合效益的中型水库。坝址以上集雨面积</w:t>
      </w:r>
      <w:r>
        <w:rPr>
          <w:rFonts w:hint="default" w:ascii="Times New Roman" w:hAnsi="Times New Roman" w:cs="Times New Roman"/>
          <w:color w:val="auto"/>
          <w:u w:val="none" w:color="auto"/>
          <w:lang w:eastAsia="zh-CN"/>
        </w:rPr>
        <w:t>35.60</w:t>
      </w:r>
      <w:r>
        <w:rPr>
          <w:rFonts w:hint="default" w:ascii="Times New Roman" w:hAnsi="Times New Roman" w:cs="Times New Roman"/>
          <w:color w:val="auto"/>
          <w:u w:val="none" w:color="auto"/>
        </w:rPr>
        <w:t>km²</w:t>
      </w:r>
      <w:r>
        <w:rPr>
          <w:rFonts w:hint="default" w:ascii="Times New Roman" w:hAnsi="Times New Roman" w:cs="Times New Roman"/>
          <w:color w:val="auto"/>
          <w:u w:val="none" w:color="auto"/>
          <w:lang w:eastAsia="zh-CN"/>
        </w:rPr>
        <w:t>，干流长20.91km，</w:t>
      </w:r>
      <w:r>
        <w:rPr>
          <w:rFonts w:hint="default" w:ascii="Times New Roman" w:hAnsi="Times New Roman" w:cs="Times New Roman"/>
          <w:color w:val="auto"/>
          <w:u w:val="none" w:color="auto"/>
        </w:rPr>
        <w:t>平均坡降</w:t>
      </w:r>
      <w:r>
        <w:rPr>
          <w:rFonts w:hint="default" w:ascii="Times New Roman" w:hAnsi="Times New Roman" w:cs="Times New Roman"/>
          <w:color w:val="auto"/>
          <w:u w:val="none" w:color="auto"/>
          <w:lang w:eastAsia="zh-CN"/>
        </w:rPr>
        <w:t>20.91%</w:t>
      </w:r>
      <w:r>
        <w:rPr>
          <w:rFonts w:hint="default" w:ascii="Times New Roman" w:hAnsi="Times New Roman" w:cs="Times New Roman"/>
          <w:color w:val="auto"/>
          <w:u w:val="none" w:color="auto"/>
        </w:rPr>
        <w:t>。该水库为</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流域梯级开发中的龙头水库。正常蓄水位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289.85m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库容</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灌溉面积</w:t>
      </w:r>
      <w:r>
        <w:rPr>
          <w:rFonts w:hint="default" w:ascii="Times New Roman" w:hAnsi="Times New Roman" w:cs="Times New Roman"/>
          <w:color w:val="auto"/>
          <w:u w:val="none" w:color="auto"/>
          <w:lang w:eastAsia="zh-CN"/>
        </w:rPr>
        <w:t>3.15万</w:t>
      </w:r>
      <w:r>
        <w:rPr>
          <w:rFonts w:hint="default" w:ascii="Times New Roman" w:hAnsi="Times New Roman" w:cs="Times New Roman"/>
          <w:color w:val="auto"/>
          <w:u w:val="none" w:color="auto"/>
        </w:rPr>
        <w:t>亩，电站多年平均发电量</w:t>
      </w:r>
      <w:r>
        <w:rPr>
          <w:rFonts w:hint="default" w:ascii="Times New Roman" w:hAnsi="Times New Roman" w:cs="Times New Roman"/>
          <w:color w:val="auto"/>
          <w:u w:val="none" w:color="auto"/>
          <w:lang w:eastAsia="zh-CN"/>
        </w:rPr>
        <w:t>190万kW</w:t>
      </w:r>
      <w:r>
        <w:rPr>
          <w:rFonts w:hint="default" w:ascii="Times New Roman" w:hAnsi="Times New Roman" w:cs="Times New Roman"/>
          <w:color w:val="auto"/>
          <w:u w:val="none" w:color="auto"/>
        </w:rPr>
        <w:t>h</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综合效益的中型水利工程。</w:t>
      </w:r>
    </w:p>
    <w:p w14:paraId="24A53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坝址以上控制流域集雨面积35.60k</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，干流长度17.78km，干流平均坡降20.91‰。廊洞水库所在地理位置属山地丘陵区，所在流域内植被条件良好。</w:t>
      </w:r>
    </w:p>
    <w:p w14:paraId="4108A99B">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sz w:val="24"/>
          <w:u w:val="none" w:color="auto"/>
        </w:rPr>
        <mc:AlternateContent>
          <mc:Choice Requires="wps">
            <w:drawing>
              <wp:anchor distT="0" distB="0" distL="114300" distR="114300" simplePos="0" relativeHeight="251663360" behindDoc="0" locked="0" layoutInCell="1" allowOverlap="1">
                <wp:simplePos x="0" y="0"/>
                <wp:positionH relativeFrom="column">
                  <wp:posOffset>2299335</wp:posOffset>
                </wp:positionH>
                <wp:positionV relativeFrom="paragraph">
                  <wp:posOffset>2237740</wp:posOffset>
                </wp:positionV>
                <wp:extent cx="821690" cy="300355"/>
                <wp:effectExtent l="4445" t="5080" r="12065" b="647065"/>
                <wp:wrapNone/>
                <wp:docPr id="2" name="矩形标注 2"/>
                <wp:cNvGraphicFramePr/>
                <a:graphic xmlns:a="http://schemas.openxmlformats.org/drawingml/2006/main">
                  <a:graphicData uri="http://schemas.microsoft.com/office/word/2010/wordprocessingShape">
                    <wps:wsp>
                      <wps:cNvSpPr/>
                      <wps:spPr>
                        <a:xfrm>
                          <a:off x="2319655" y="1265555"/>
                          <a:ext cx="821690" cy="300355"/>
                        </a:xfrm>
                        <a:prstGeom prst="wedgeRectCallout">
                          <a:avLst>
                            <a:gd name="adj1" fmla="val 49291"/>
                            <a:gd name="adj2" fmla="val 261787"/>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89601E8">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廊洞水库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1.05pt;margin-top:176.2pt;height:23.65pt;width:64.7pt;z-index:251663360;v-text-anchor:middle;mso-width-relative:page;mso-height-relative:page;" filled="f" stroked="t" coordsize="21600,21600" o:gfxdata="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FnryQ/YAAAACwEAAA8AAAAAAAAAAQAgAAAAIgAAAGRycy9kb3ducmV2Lnht&#10;bFBLAQIUABQAAAAIAIdO4kDh19OZpAIAAC0FAAAOAAAAAAAAAAEAIAAAACcBAABkcnMvZTJvRG9j&#10;LnhtbFBLBQYAAAAABgAGAFkBAAA9BgAAAAA=&#10;" adj="21447,67346">
                <v:fill on="f" focussize="0,0"/>
                <v:stroke color="#000000 [3213]" joinstyle="round"/>
                <v:imagedata o:title=""/>
                <o:lock v:ext="edit" aspectratio="f"/>
                <v:textbox>
                  <w:txbxContent>
                    <w:p w14:paraId="089601E8">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廊洞水库</w:t>
                      </w:r>
                    </w:p>
                  </w:txbxContent>
                </v:textbox>
              </v:shape>
            </w:pict>
          </mc:Fallback>
        </mc:AlternateContent>
      </w:r>
      <w:r>
        <w:rPr>
          <w:rFonts w:hint="default" w:ascii="Times New Roman" w:hAnsi="Times New Roman" w:cs="Times New Roman"/>
          <w:color w:val="auto"/>
          <w:u w:val="none" w:color="auto"/>
        </w:rPr>
        <w:drawing>
          <wp:inline distT="0" distB="0" distL="114300" distR="114300">
            <wp:extent cx="4973320" cy="7512050"/>
            <wp:effectExtent l="0" t="0" r="10160" b="127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5"/>
                    <a:srcRect l="3915" t="430" r="1268" b="833"/>
                    <a:stretch>
                      <a:fillRect/>
                    </a:stretch>
                  </pic:blipFill>
                  <pic:spPr>
                    <a:xfrm>
                      <a:off x="0" y="0"/>
                      <a:ext cx="4973320" cy="7512050"/>
                    </a:xfrm>
                    <a:prstGeom prst="rect">
                      <a:avLst/>
                    </a:prstGeom>
                    <a:noFill/>
                    <a:ln>
                      <a:noFill/>
                    </a:ln>
                  </pic:spPr>
                </pic:pic>
              </a:graphicData>
            </a:graphic>
          </wp:inline>
        </w:drawing>
      </w:r>
    </w:p>
    <w:p w14:paraId="53370876">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default" w:ascii="Times New Roman" w:hAnsi="Times New Roman" w:cs="Times New Roman"/>
          <w:b/>
          <w:bCs/>
          <w:color w:val="auto"/>
          <w:u w:val="none" w:color="auto"/>
          <w:lang w:val="en-US" w:eastAsia="zh-CN"/>
        </w:rPr>
        <w:t>3.</w:t>
      </w:r>
      <w:r>
        <w:rPr>
          <w:rFonts w:hint="default" w:ascii="Times New Roman" w:hAnsi="Times New Roman" w:cs="Times New Roman"/>
          <w:b/>
          <w:bCs/>
          <w:color w:val="auto"/>
          <w:u w:val="none" w:color="auto"/>
        </w:rPr>
        <w:t>2</w:t>
      </w:r>
      <w:r>
        <w:rPr>
          <w:rFonts w:hint="default"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lang w:eastAsia="zh-CN"/>
        </w:rPr>
        <w:t>廊洞水库</w:t>
      </w:r>
      <w:r>
        <w:rPr>
          <w:rFonts w:hint="default" w:ascii="Times New Roman" w:hAnsi="Times New Roman" w:cs="Times New Roman"/>
          <w:b/>
          <w:bCs/>
          <w:color w:val="auto"/>
          <w:u w:val="none" w:color="auto"/>
        </w:rPr>
        <w:t>水系图</w:t>
      </w:r>
    </w:p>
    <w:p w14:paraId="4E07B4CA">
      <w:pPr>
        <w:pStyle w:val="4"/>
        <w:bidi w:val="0"/>
        <w:rPr>
          <w:rFonts w:hint="default"/>
        </w:rPr>
      </w:pPr>
      <w:r>
        <w:rPr>
          <w:rFonts w:hint="eastAsia"/>
          <w:lang w:val="en-US" w:eastAsia="zh-CN"/>
        </w:rPr>
        <w:t>工程现状</w:t>
      </w:r>
    </w:p>
    <w:p w14:paraId="2CBA660D">
      <w:pPr>
        <w:bidi w:val="0"/>
        <w:rPr>
          <w:rFonts w:hint="default"/>
        </w:rPr>
      </w:pPr>
      <w:r>
        <w:rPr>
          <w:rFonts w:hint="default"/>
        </w:rPr>
        <w:t>该工程于1958年动工兴建，1961年建成小（1）型水库，后于1973年6月按中型水库扩建，1978年12月竣工。水库枢纽工程主要包括大坝、溢洪道、输水建筑物、坝后式电站。该水库枢纽工程是一座以灌溉为主，兼顾防洪、发电等综合利用的中型水利工程。</w:t>
      </w:r>
    </w:p>
    <w:p w14:paraId="0EDD72AE">
      <w:pPr>
        <w:bidi w:val="0"/>
        <w:rPr>
          <w:rFonts w:hint="default"/>
        </w:rPr>
      </w:pPr>
      <w:r>
        <w:rPr>
          <w:rFonts w:hint="default"/>
        </w:rPr>
        <w:t>大坝为黏土心墙坝，最大坝高45.39m，坝顶轴线长150.00m，坝顶高程294.17m，坝顶宽4.00m。坝顶设砼防护栏杆，高1.10m。大坝上游有3级平台，平台高程自上而下分别为287.56m，274.90m，266.47m，平台宽分别为3.13m，1.96m，2.50m；坡坡比自上而下分别为1:2.62，1:3.30，1:3.70，1:2.89，上游坝坡采用混凝土六方块护坡。大坝下游有5级平台，平台高程自上而下分别为284.60m，278.86m，271.20m，262.14m，253.45m，平台宽分别为4.50m，3.20m，2.80m，5.00m，2.30m；坡坡比自上而下分别为1:1.93，1:3.49，1:2.52，1:2.16，1:2.16，1:2.00，下游坝坡采用块石护坡。</w:t>
      </w:r>
    </w:p>
    <w:p w14:paraId="2C5725F4">
      <w:pPr>
        <w:bidi w:val="0"/>
        <w:rPr>
          <w:rFonts w:hint="default"/>
        </w:rPr>
      </w:pPr>
      <w:r>
        <w:rPr>
          <w:rFonts w:hint="default"/>
        </w:rPr>
        <w:t>溢洪道位于大坝左岸，为侧槽式溢洪道，由控制段、调整段、泄槽段、消力池段组成。控制段为折线型实用堰，堰轴线为弧形，堰顶高程289.85m，长41.00m。调整段长5.00m，宽24.00m；泄槽段，长166.17m，宽24.00m。消力池段长21.54m，池后接泄洪渠。</w:t>
      </w:r>
    </w:p>
    <w:p w14:paraId="3E8A4BC2">
      <w:pPr>
        <w:bidi w:val="0"/>
        <w:rPr>
          <w:rFonts w:hint="default"/>
        </w:rPr>
      </w:pPr>
      <w:r>
        <w:rPr>
          <w:rFonts w:hint="default"/>
        </w:rPr>
        <w:t>输水建筑物位于大坝左岸，由放水卧管和输水隧洞组成。卧管内径0.80m，壁厚0.15m，管身全长97.40m，放水孔每3m设一级，共11级，放水孔尺寸0.60×0.60m，采用铸铁闸门，闸门尺寸0.80×0.80m，3t卷样式启闭机启闭。卧管末端设消力井与隧洞相连接，0.15m，全长97.4m，采用铸铁闸门，闸门尺寸0.8×0.8m；消力井进口设闸门，尺寸1.0×1.0m。隧洞为钢筋砼圆管，内径1.20m，衬砌厚度0.35m，全长181.50m。</w:t>
      </w:r>
    </w:p>
    <w:p w14:paraId="1DE9C6FF">
      <w:pPr>
        <w:bidi w:val="0"/>
        <w:rPr>
          <w:rFonts w:hint="default"/>
        </w:rPr>
      </w:pPr>
      <w:r>
        <w:rPr>
          <w:rFonts w:hint="default"/>
        </w:rPr>
        <w:t>水库下游建两处电站，一处是坝后电站，装机容量为2×160kw，另一处是在距大坝900m处的右干渠上建有一落差式电站，装机120kw。两处电站总装机440kw，年发电量190万kwh。</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1"/>
        <w:gridCol w:w="4252"/>
      </w:tblGrid>
      <w:tr w14:paraId="44C3E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65BC5AA1">
            <w:pPr>
              <w:pStyle w:val="90"/>
              <w:bidi w:val="0"/>
              <w:rPr>
                <w:rFonts w:hint="eastAsia"/>
                <w:lang w:eastAsia="zh-CN"/>
              </w:rPr>
            </w:pPr>
            <w:r>
              <w:drawing>
                <wp:inline distT="0" distB="0" distL="114300" distR="114300">
                  <wp:extent cx="2567305" cy="1901190"/>
                  <wp:effectExtent l="0" t="0" r="4445" b="381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26"/>
                          <a:stretch>
                            <a:fillRect/>
                          </a:stretch>
                        </pic:blipFill>
                        <pic:spPr>
                          <a:xfrm>
                            <a:off x="0" y="0"/>
                            <a:ext cx="2567305" cy="1901190"/>
                          </a:xfrm>
                          <a:prstGeom prst="rect">
                            <a:avLst/>
                          </a:prstGeom>
                          <a:noFill/>
                          <a:ln>
                            <a:noFill/>
                          </a:ln>
                        </pic:spPr>
                      </pic:pic>
                    </a:graphicData>
                  </a:graphic>
                </wp:inline>
              </w:drawing>
            </w:r>
          </w:p>
        </w:tc>
        <w:tc>
          <w:tcPr>
            <w:tcW w:w="4267" w:type="dxa"/>
          </w:tcPr>
          <w:p w14:paraId="321BE2EC">
            <w:pPr>
              <w:pStyle w:val="90"/>
              <w:bidi w:val="0"/>
              <w:rPr>
                <w:rFonts w:hint="eastAsia"/>
                <w:lang w:eastAsia="zh-CN"/>
              </w:rPr>
            </w:pPr>
            <w:r>
              <w:drawing>
                <wp:inline distT="0" distB="0" distL="114300" distR="114300">
                  <wp:extent cx="2508250" cy="1880235"/>
                  <wp:effectExtent l="0" t="0" r="6350"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7"/>
                          <a:stretch>
                            <a:fillRect/>
                          </a:stretch>
                        </pic:blipFill>
                        <pic:spPr>
                          <a:xfrm>
                            <a:off x="0" y="0"/>
                            <a:ext cx="2508250" cy="1880235"/>
                          </a:xfrm>
                          <a:prstGeom prst="rect">
                            <a:avLst/>
                          </a:prstGeom>
                          <a:noFill/>
                          <a:ln>
                            <a:noFill/>
                          </a:ln>
                        </pic:spPr>
                      </pic:pic>
                    </a:graphicData>
                  </a:graphic>
                </wp:inline>
              </w:drawing>
            </w:r>
          </w:p>
        </w:tc>
      </w:tr>
      <w:tr w14:paraId="749A5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B18AC51">
            <w:pPr>
              <w:pStyle w:val="90"/>
              <w:bidi w:val="0"/>
              <w:rPr>
                <w:rFonts w:hint="eastAsia"/>
                <w:lang w:eastAsia="zh-CN"/>
              </w:rPr>
            </w:pPr>
            <w:r>
              <w:rPr>
                <w:rFonts w:hint="eastAsia"/>
                <w:lang w:eastAsia="zh-CN"/>
              </w:rPr>
              <w:t>廊洞水库鸟瞰航拍图</w:t>
            </w:r>
          </w:p>
        </w:tc>
        <w:tc>
          <w:tcPr>
            <w:tcW w:w="4267" w:type="dxa"/>
          </w:tcPr>
          <w:p w14:paraId="52D814AF">
            <w:pPr>
              <w:pStyle w:val="90"/>
              <w:bidi w:val="0"/>
              <w:rPr>
                <w:rFonts w:hint="eastAsia"/>
                <w:lang w:eastAsia="zh-CN"/>
              </w:rPr>
            </w:pPr>
            <w:r>
              <w:rPr>
                <w:rFonts w:hint="eastAsia"/>
                <w:lang w:eastAsia="zh-CN"/>
              </w:rPr>
              <w:t>大坝坝顶现状照片</w:t>
            </w:r>
          </w:p>
        </w:tc>
      </w:tr>
      <w:tr w14:paraId="38BE5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5BD056CB">
            <w:pPr>
              <w:pStyle w:val="90"/>
              <w:bidi w:val="0"/>
              <w:rPr>
                <w:rFonts w:hint="eastAsia"/>
                <w:lang w:eastAsia="zh-CN"/>
              </w:rPr>
            </w:pPr>
            <w:r>
              <w:drawing>
                <wp:inline distT="0" distB="0" distL="114300" distR="114300">
                  <wp:extent cx="2555875" cy="1916430"/>
                  <wp:effectExtent l="0" t="0" r="15875" b="762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28"/>
                          <a:stretch>
                            <a:fillRect/>
                          </a:stretch>
                        </pic:blipFill>
                        <pic:spPr>
                          <a:xfrm>
                            <a:off x="0" y="0"/>
                            <a:ext cx="2555875" cy="1916430"/>
                          </a:xfrm>
                          <a:prstGeom prst="rect">
                            <a:avLst/>
                          </a:prstGeom>
                          <a:noFill/>
                          <a:ln>
                            <a:noFill/>
                          </a:ln>
                        </pic:spPr>
                      </pic:pic>
                    </a:graphicData>
                  </a:graphic>
                </wp:inline>
              </w:drawing>
            </w:r>
          </w:p>
        </w:tc>
        <w:tc>
          <w:tcPr>
            <w:tcW w:w="4267" w:type="dxa"/>
          </w:tcPr>
          <w:p w14:paraId="0E122C41">
            <w:pPr>
              <w:pStyle w:val="90"/>
              <w:bidi w:val="0"/>
              <w:rPr>
                <w:rFonts w:hint="eastAsia"/>
                <w:lang w:eastAsia="zh-CN"/>
              </w:rPr>
            </w:pPr>
            <w:r>
              <w:drawing>
                <wp:inline distT="0" distB="0" distL="114300" distR="114300">
                  <wp:extent cx="2524125" cy="1892935"/>
                  <wp:effectExtent l="0" t="0" r="9525" b="1206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29"/>
                          <a:stretch>
                            <a:fillRect/>
                          </a:stretch>
                        </pic:blipFill>
                        <pic:spPr>
                          <a:xfrm>
                            <a:off x="0" y="0"/>
                            <a:ext cx="2524125" cy="1892935"/>
                          </a:xfrm>
                          <a:prstGeom prst="rect">
                            <a:avLst/>
                          </a:prstGeom>
                          <a:noFill/>
                          <a:ln>
                            <a:noFill/>
                          </a:ln>
                        </pic:spPr>
                      </pic:pic>
                    </a:graphicData>
                  </a:graphic>
                </wp:inline>
              </w:drawing>
            </w:r>
          </w:p>
        </w:tc>
      </w:tr>
      <w:tr w14:paraId="2600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740C01B5">
            <w:pPr>
              <w:pStyle w:val="90"/>
              <w:bidi w:val="0"/>
            </w:pPr>
            <w:r>
              <w:rPr>
                <w:rFonts w:hint="eastAsia"/>
              </w:rPr>
              <w:t>大坝上游坝坡现状照片</w:t>
            </w:r>
          </w:p>
        </w:tc>
        <w:tc>
          <w:tcPr>
            <w:tcW w:w="4267" w:type="dxa"/>
          </w:tcPr>
          <w:p w14:paraId="33D6CF95">
            <w:pPr>
              <w:pStyle w:val="90"/>
              <w:bidi w:val="0"/>
            </w:pPr>
            <w:r>
              <w:rPr>
                <w:rFonts w:hint="eastAsia"/>
              </w:rPr>
              <w:t>大坝下游坝坡现状照片</w:t>
            </w:r>
          </w:p>
        </w:tc>
      </w:tr>
      <w:tr w14:paraId="0E22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6042AED">
            <w:pPr>
              <w:pStyle w:val="90"/>
              <w:bidi w:val="0"/>
              <w:rPr>
                <w:rFonts w:hint="eastAsia"/>
                <w:lang w:eastAsia="zh-CN"/>
              </w:rPr>
            </w:pPr>
            <w:r>
              <w:drawing>
                <wp:inline distT="0" distB="0" distL="114300" distR="114300">
                  <wp:extent cx="2534285" cy="1900555"/>
                  <wp:effectExtent l="0" t="0" r="18415" b="444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30"/>
                          <a:stretch>
                            <a:fillRect/>
                          </a:stretch>
                        </pic:blipFill>
                        <pic:spPr>
                          <a:xfrm>
                            <a:off x="0" y="0"/>
                            <a:ext cx="2534285" cy="1900555"/>
                          </a:xfrm>
                          <a:prstGeom prst="rect">
                            <a:avLst/>
                          </a:prstGeom>
                          <a:noFill/>
                          <a:ln>
                            <a:noFill/>
                          </a:ln>
                        </pic:spPr>
                      </pic:pic>
                    </a:graphicData>
                  </a:graphic>
                </wp:inline>
              </w:drawing>
            </w:r>
          </w:p>
        </w:tc>
        <w:tc>
          <w:tcPr>
            <w:tcW w:w="4267" w:type="dxa"/>
          </w:tcPr>
          <w:p w14:paraId="718F8A23">
            <w:pPr>
              <w:pStyle w:val="90"/>
              <w:bidi w:val="0"/>
              <w:rPr>
                <w:rFonts w:hint="eastAsia"/>
                <w:lang w:eastAsia="zh-CN"/>
              </w:rPr>
            </w:pPr>
            <w:r>
              <w:drawing>
                <wp:inline distT="0" distB="0" distL="114300" distR="114300">
                  <wp:extent cx="2588260" cy="1940560"/>
                  <wp:effectExtent l="0" t="0" r="2540" b="254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1"/>
                          <a:stretch>
                            <a:fillRect/>
                          </a:stretch>
                        </pic:blipFill>
                        <pic:spPr>
                          <a:xfrm>
                            <a:off x="0" y="0"/>
                            <a:ext cx="2588260" cy="1940560"/>
                          </a:xfrm>
                          <a:prstGeom prst="rect">
                            <a:avLst/>
                          </a:prstGeom>
                          <a:noFill/>
                          <a:ln>
                            <a:noFill/>
                          </a:ln>
                        </pic:spPr>
                      </pic:pic>
                    </a:graphicData>
                  </a:graphic>
                </wp:inline>
              </w:drawing>
            </w:r>
          </w:p>
        </w:tc>
      </w:tr>
      <w:tr w14:paraId="4062A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19EB45C8">
            <w:pPr>
              <w:pStyle w:val="90"/>
              <w:bidi w:val="0"/>
            </w:pPr>
            <w:r>
              <w:rPr>
                <w:rFonts w:hint="eastAsia"/>
              </w:rPr>
              <w:t>溢洪道上游段现状照片</w:t>
            </w:r>
          </w:p>
        </w:tc>
        <w:tc>
          <w:tcPr>
            <w:tcW w:w="4267" w:type="dxa"/>
          </w:tcPr>
          <w:p w14:paraId="55ED50DC">
            <w:pPr>
              <w:pStyle w:val="90"/>
              <w:bidi w:val="0"/>
            </w:pPr>
            <w:r>
              <w:rPr>
                <w:rFonts w:hint="eastAsia"/>
              </w:rPr>
              <w:t>溢洪道中游段现状照片</w:t>
            </w:r>
          </w:p>
        </w:tc>
      </w:tr>
      <w:tr w14:paraId="5B4C4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71D1D6EC">
            <w:pPr>
              <w:pStyle w:val="90"/>
              <w:bidi w:val="0"/>
            </w:pPr>
            <w:r>
              <w:drawing>
                <wp:inline distT="0" distB="0" distL="114300" distR="114300">
                  <wp:extent cx="2609850" cy="1957705"/>
                  <wp:effectExtent l="0" t="0" r="0" b="444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2"/>
                          <a:stretch>
                            <a:fillRect/>
                          </a:stretch>
                        </pic:blipFill>
                        <pic:spPr>
                          <a:xfrm>
                            <a:off x="0" y="0"/>
                            <a:ext cx="2609850" cy="1957705"/>
                          </a:xfrm>
                          <a:prstGeom prst="rect">
                            <a:avLst/>
                          </a:prstGeom>
                          <a:noFill/>
                          <a:ln>
                            <a:noFill/>
                          </a:ln>
                        </pic:spPr>
                      </pic:pic>
                    </a:graphicData>
                  </a:graphic>
                </wp:inline>
              </w:drawing>
            </w:r>
          </w:p>
        </w:tc>
        <w:tc>
          <w:tcPr>
            <w:tcW w:w="4267" w:type="dxa"/>
          </w:tcPr>
          <w:p w14:paraId="4D9A9009">
            <w:pPr>
              <w:pStyle w:val="90"/>
              <w:bidi w:val="0"/>
            </w:pPr>
            <w:r>
              <w:drawing>
                <wp:inline distT="0" distB="0" distL="114300" distR="114300">
                  <wp:extent cx="2546350" cy="1909445"/>
                  <wp:effectExtent l="0" t="0" r="6350" b="1460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3"/>
                          <a:stretch>
                            <a:fillRect/>
                          </a:stretch>
                        </pic:blipFill>
                        <pic:spPr>
                          <a:xfrm>
                            <a:off x="0" y="0"/>
                            <a:ext cx="2546350" cy="1909445"/>
                          </a:xfrm>
                          <a:prstGeom prst="rect">
                            <a:avLst/>
                          </a:prstGeom>
                          <a:noFill/>
                          <a:ln>
                            <a:noFill/>
                          </a:ln>
                        </pic:spPr>
                      </pic:pic>
                    </a:graphicData>
                  </a:graphic>
                </wp:inline>
              </w:drawing>
            </w:r>
          </w:p>
        </w:tc>
      </w:tr>
      <w:tr w14:paraId="270A3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1AD752E">
            <w:pPr>
              <w:pStyle w:val="90"/>
              <w:bidi w:val="0"/>
            </w:pPr>
            <w:r>
              <w:rPr>
                <w:rFonts w:hint="eastAsia"/>
              </w:rPr>
              <w:t>溢洪道下游段现状照片</w:t>
            </w:r>
          </w:p>
        </w:tc>
        <w:tc>
          <w:tcPr>
            <w:tcW w:w="4267" w:type="dxa"/>
          </w:tcPr>
          <w:p w14:paraId="5803EE49">
            <w:pPr>
              <w:pStyle w:val="90"/>
              <w:bidi w:val="0"/>
            </w:pPr>
            <w:r>
              <w:rPr>
                <w:rFonts w:hint="eastAsia"/>
              </w:rPr>
              <w:t>斜拉闸现状照片</w:t>
            </w:r>
          </w:p>
        </w:tc>
      </w:tr>
    </w:tbl>
    <w:p w14:paraId="0A46353E">
      <w:pPr>
        <w:pStyle w:val="4"/>
        <w:bidi w:val="0"/>
        <w:rPr>
          <w:rFonts w:hint="default"/>
          <w:lang w:val="en-US" w:eastAsia="zh-CN"/>
        </w:rPr>
      </w:pPr>
      <w:r>
        <w:rPr>
          <w:rFonts w:hint="default"/>
          <w:lang w:val="en-US" w:eastAsia="zh-CN"/>
        </w:rPr>
        <w:t>廊洞水库环评手续履行情况</w:t>
      </w:r>
    </w:p>
    <w:p w14:paraId="6FA627D5">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廊洞水库始建于1958年，彼时未开展环评制度，2009年10月~2010年11月完成的除险加固也未履行环评手续。</w:t>
      </w:r>
    </w:p>
    <w:p w14:paraId="210AF5E2">
      <w:pPr>
        <w:pStyle w:val="4"/>
        <w:bidi w:val="0"/>
        <w:rPr>
          <w:rFonts w:hint="default"/>
          <w:lang w:val="en-US" w:eastAsia="zh-CN"/>
        </w:rPr>
      </w:pPr>
      <w:r>
        <w:rPr>
          <w:rFonts w:hint="default"/>
          <w:lang w:val="en-US" w:eastAsia="zh-CN"/>
        </w:rPr>
        <w:t>历史设计施工情况</w:t>
      </w:r>
    </w:p>
    <w:p w14:paraId="13372753">
      <w:pPr>
        <w:rPr>
          <w:rFonts w:hint="default"/>
          <w:lang w:val="en-US" w:eastAsia="zh-CN"/>
        </w:rPr>
      </w:pPr>
      <w:r>
        <w:rPr>
          <w:rFonts w:hint="default"/>
          <w:lang w:val="en-US" w:eastAsia="zh-CN"/>
        </w:rPr>
        <w:t>1958年水库动工兴建，1961年建成小（1）型水库，后于1973年6月按中型水库扩建，1978年12月竣工。</w:t>
      </w:r>
    </w:p>
    <w:p w14:paraId="29F6FA06">
      <w:pPr>
        <w:rPr>
          <w:rFonts w:hint="default"/>
          <w:lang w:val="en-US" w:eastAsia="zh-CN"/>
        </w:rPr>
      </w:pPr>
      <w:r>
        <w:rPr>
          <w:rFonts w:hint="default"/>
          <w:lang w:val="en-US" w:eastAsia="zh-CN"/>
        </w:rPr>
        <w:t>2002年6月，永州市水利水电勘测设计院进行廊洞水库安全鉴定工作。</w:t>
      </w:r>
    </w:p>
    <w:p w14:paraId="46BBA1A7">
      <w:pPr>
        <w:rPr>
          <w:rFonts w:hint="default"/>
          <w:lang w:val="en-US" w:eastAsia="zh-CN"/>
        </w:rPr>
      </w:pPr>
      <w:r>
        <w:rPr>
          <w:rFonts w:hint="default"/>
          <w:lang w:val="en-US" w:eastAsia="zh-CN"/>
        </w:rPr>
        <w:t>2002年11月，省水利厅组织的专家组对廊洞水库进行了安全鉴定审查并批准通过了《廊洞水库大坝安全鉴定书》，大坝安全类别评定为Ⅲ类坝。</w:t>
      </w:r>
    </w:p>
    <w:p w14:paraId="0BDAADC1">
      <w:pPr>
        <w:rPr>
          <w:rFonts w:hint="default"/>
          <w:lang w:val="en-US" w:eastAsia="zh-CN"/>
        </w:rPr>
      </w:pPr>
      <w:r>
        <w:rPr>
          <w:rFonts w:hint="default"/>
          <w:lang w:val="en-US" w:eastAsia="zh-CN"/>
        </w:rPr>
        <w:t>2008年3月，水利部大坝安全管理中心以坝函[2008]750号对道县廊洞水库大坝安全鉴定意见进行了核查，同意廊洞水库大坝为类坝的鉴定结论。</w:t>
      </w:r>
    </w:p>
    <w:p w14:paraId="6F72A935">
      <w:pPr>
        <w:rPr>
          <w:rFonts w:hint="default"/>
          <w:lang w:val="en-US" w:eastAsia="zh-CN"/>
        </w:rPr>
      </w:pPr>
      <w:r>
        <w:rPr>
          <w:rFonts w:hint="default"/>
          <w:lang w:val="en-US" w:eastAsia="zh-CN"/>
        </w:rPr>
        <w:t>2008年4月，永州市水利水电勘察设计院对廊洞水库进行了除险加固初步设计。</w:t>
      </w:r>
    </w:p>
    <w:p w14:paraId="7B092B4A">
      <w:pPr>
        <w:rPr>
          <w:rFonts w:hint="default"/>
          <w:lang w:val="en-US" w:eastAsia="zh-CN"/>
        </w:rPr>
      </w:pPr>
      <w:r>
        <w:rPr>
          <w:rFonts w:hint="default"/>
          <w:lang w:val="en-US" w:eastAsia="zh-CN"/>
        </w:rPr>
        <w:t>2008年10月，湖南省水利厅对永州市水利水电勘察设计院编制的廊洞水库初步设计报告进行了批复（湘水建管[2008]124号）。2008年10月，长江水利委员会对永州市水利水电勘察设计院编制的廊洞水库初步设计进行了复核（长规计[2008]513号）。</w:t>
      </w:r>
    </w:p>
    <w:p w14:paraId="77FCA767">
      <w:pPr>
        <w:rPr>
          <w:rFonts w:hint="default"/>
          <w:lang w:val="en-US" w:eastAsia="zh-CN"/>
        </w:rPr>
      </w:pPr>
      <w:r>
        <w:rPr>
          <w:rFonts w:hint="default"/>
          <w:lang w:val="en-US" w:eastAsia="zh-CN"/>
        </w:rPr>
        <w:t>2008年11月，省水利厅审查通过了湖南南方水利水电勘测设计院编制的技施设计并下达了实施计划（湘水计[2009]106号）。</w:t>
      </w:r>
    </w:p>
    <w:p w14:paraId="3AF792A3">
      <w:pPr>
        <w:rPr>
          <w:rFonts w:hint="default"/>
          <w:lang w:val="en-US" w:eastAsia="zh-CN"/>
        </w:rPr>
      </w:pPr>
      <w:r>
        <w:rPr>
          <w:rFonts w:hint="default"/>
          <w:lang w:val="en-US" w:eastAsia="zh-CN"/>
        </w:rPr>
        <w:t>2009年10月，永州市水利局批复成立了道县廊洞水库除险加固建设项目部（永水建管（2009）22号）。</w:t>
      </w:r>
    </w:p>
    <w:p w14:paraId="1A5261AF">
      <w:pPr>
        <w:rPr>
          <w:rFonts w:hint="default"/>
          <w:lang w:val="en-US" w:eastAsia="zh-CN"/>
        </w:rPr>
      </w:pPr>
      <w:r>
        <w:rPr>
          <w:rFonts w:hint="default"/>
          <w:lang w:val="en-US" w:eastAsia="zh-CN"/>
        </w:rPr>
        <w:t>2009年10月，廊洞水库除险加固工程开工，2010年11月基本完工，共完成投资1293.90万元。实施项目有：大坝坝体、坝基、坝肩采用高压旋喷灌浆以及帷幕灌浆；大坝上游坝坡六方块护坡；坝顶新建混凝土道路；下游坝坡整坡后块石护坡以及新建踏步排水沟；溢洪道控制段、斜槽段拆除重建以及新建消力池和尾水渠。卧管拆除重建；涵洞加固；更换原启闭设备；新建防汛道路；增设大坝观测设施；管理所生产生活用房改造、新建防汛仓库。</w:t>
      </w:r>
    </w:p>
    <w:p w14:paraId="083391B7">
      <w:pPr>
        <w:rPr>
          <w:rFonts w:hint="default"/>
          <w:lang w:val="en-US" w:eastAsia="zh-CN"/>
        </w:rPr>
      </w:pPr>
      <w:r>
        <w:rPr>
          <w:rFonts w:hint="default"/>
          <w:lang w:val="en-US" w:eastAsia="zh-CN"/>
        </w:rPr>
        <w:t>2010年12月，省水利厅在道县组织召开了廊洞水库除险加固工程主体工程投入使用验收会议，验收委员会通过现场检查，查阅资料和认真讨论，形成了廊洞水库除险加固工程主体工程投入使用验收鉴定书，加固工程验收合格同意投入使用。</w:t>
      </w:r>
    </w:p>
    <w:p w14:paraId="5847FDE5">
      <w:pPr>
        <w:pStyle w:val="4"/>
        <w:bidi w:val="0"/>
        <w:rPr>
          <w:rFonts w:hint="default"/>
          <w:lang w:val="en-US" w:eastAsia="zh-CN"/>
        </w:rPr>
      </w:pPr>
      <w:r>
        <w:rPr>
          <w:rFonts w:hint="default"/>
          <w:lang w:val="en-US" w:eastAsia="zh-CN"/>
        </w:rPr>
        <w:t>存在的主要问题</w:t>
      </w:r>
    </w:p>
    <w:p w14:paraId="2E3106EE">
      <w:pPr>
        <w:rPr>
          <w:rFonts w:hint="default"/>
          <w:lang w:val="en-US" w:eastAsia="zh-CN"/>
        </w:rPr>
      </w:pPr>
      <w:r>
        <w:rPr>
          <w:rFonts w:hint="eastAsia"/>
          <w:lang w:val="en-US" w:eastAsia="zh-CN"/>
        </w:rPr>
        <w:t>根据《道县廊洞水库除险加固工程初步设计报告》</w:t>
      </w:r>
      <w:r>
        <w:rPr>
          <w:rFonts w:hint="default"/>
          <w:lang w:val="en-US" w:eastAsia="zh-CN"/>
        </w:rPr>
        <w:t>，目前工程存在的主要问题有：</w:t>
      </w:r>
    </w:p>
    <w:p w14:paraId="5411040C">
      <w:pPr>
        <w:rPr>
          <w:rFonts w:hint="default"/>
          <w:lang w:val="en-US" w:eastAsia="zh-CN"/>
        </w:rPr>
      </w:pPr>
      <w:r>
        <w:rPr>
          <w:rFonts w:hint="default"/>
          <w:lang w:val="en-US" w:eastAsia="zh-CN"/>
        </w:rPr>
        <w:t>(1)大坝上游坝坡局部沉陷，砼六方块和防渗铺膜局部破损，坝体心墙渗透系数不满足规范要求，坝体存在渗漏隐患。钻孔显示大坝坝基砂砾石层存在渗漏，两岸坝肩绕坝渗漏，大坝左肩下游电站尾水渠边墙处存在渗漏，渗漏量约12L/s，随着水位升高而加大，大坝左肩下游坝面坡脚浆砌石壁缝隙中出现渗水。</w:t>
      </w:r>
    </w:p>
    <w:p w14:paraId="0BB276BC">
      <w:pPr>
        <w:rPr>
          <w:rFonts w:hint="default"/>
          <w:lang w:val="en-US" w:eastAsia="zh-CN"/>
        </w:rPr>
      </w:pPr>
      <w:r>
        <w:rPr>
          <w:rFonts w:hint="default"/>
          <w:lang w:val="en-US" w:eastAsia="zh-CN"/>
        </w:rPr>
        <w:t>(2)大坝下游坝坡排水沟淤堵且未延伸至坡脚。大坝下游左侧第4~5级平台间坝坡未护砌，左侧坡脚无排水设施。</w:t>
      </w:r>
    </w:p>
    <w:p w14:paraId="59FAFE7F">
      <w:pPr>
        <w:rPr>
          <w:rFonts w:hint="default"/>
          <w:lang w:val="en-US" w:eastAsia="zh-CN"/>
        </w:rPr>
      </w:pPr>
      <w:r>
        <w:rPr>
          <w:rFonts w:hint="default"/>
          <w:lang w:val="en-US" w:eastAsia="zh-CN"/>
        </w:rPr>
        <w:t>(3)溢洪道泄槽段底板表层冲刷脱皮、露筋、开裂，填缝以及止水失效，破损较严重，浆砌石边墙局部漏浆；消力池底板冲毁严重，尾水渠底板冲垮。</w:t>
      </w:r>
    </w:p>
    <w:p w14:paraId="710D695F">
      <w:pPr>
        <w:rPr>
          <w:rFonts w:hint="default"/>
          <w:lang w:val="en-US" w:eastAsia="zh-CN"/>
        </w:rPr>
      </w:pPr>
      <w:r>
        <w:rPr>
          <w:rFonts w:hint="default"/>
          <w:lang w:val="en-US" w:eastAsia="zh-CN"/>
        </w:rPr>
        <w:t>(4)卧管下部钢闸门、拉锁以及启闭设施老化以及锈蚀，闸门启闭困难；下库踏步较陡，两侧无防护栏杆，存在安全隐患；输水隧洞存在渗漏；无连接坝顶运行管理通行便道。</w:t>
      </w:r>
    </w:p>
    <w:p w14:paraId="51CDC094">
      <w:pPr>
        <w:rPr>
          <w:rFonts w:hint="default"/>
          <w:lang w:val="en-US" w:eastAsia="zh-CN"/>
        </w:rPr>
      </w:pPr>
      <w:r>
        <w:rPr>
          <w:rFonts w:hint="default"/>
          <w:lang w:val="en-US" w:eastAsia="zh-CN"/>
        </w:rPr>
        <w:t>(5)大坝右岸坝肩、岸坡坡度较陡，现状已有张拉变形的趋势，在长期气候影响，水流淘蚀及风化作用将会加剧岸坡变形破坏，左侧岸坡浅表层凤化强烈，局部岸披松散岩土体滑塌；进坝公路近坝段局部可见岩块松弛的现象，且无支护措施，存在一定的安全隐患。</w:t>
      </w:r>
    </w:p>
    <w:p w14:paraId="0AFB662C">
      <w:pPr>
        <w:rPr>
          <w:rFonts w:hint="default"/>
          <w:lang w:val="en-US" w:eastAsia="zh-CN"/>
        </w:rPr>
      </w:pPr>
      <w:r>
        <w:rPr>
          <w:rFonts w:hint="default"/>
          <w:lang w:val="en-US" w:eastAsia="zh-CN"/>
        </w:rPr>
        <w:t>(6)大坝有变形监测设施，局部设施已损坏，无渗流及水位监测设施。</w:t>
      </w:r>
    </w:p>
    <w:p w14:paraId="5C8AC928">
      <w:pPr>
        <w:rPr>
          <w:rFonts w:hint="default"/>
          <w:lang w:val="en-US" w:eastAsia="zh-CN"/>
        </w:rPr>
      </w:pPr>
      <w:r>
        <w:rPr>
          <w:rFonts w:hint="default"/>
          <w:lang w:val="en-US" w:eastAsia="zh-CN"/>
        </w:rPr>
        <w:t>(7)水库无防汛值班管理房及防汛砂石料场等管理设施。</w:t>
      </w:r>
    </w:p>
    <w:p w14:paraId="40281306">
      <w:pPr>
        <w:rPr>
          <w:rFonts w:hint="default"/>
          <w:lang w:val="en-US" w:eastAsia="zh-CN"/>
        </w:rPr>
      </w:pPr>
      <w:r>
        <w:rPr>
          <w:rFonts w:hint="default"/>
          <w:lang w:val="en-US" w:eastAsia="zh-CN"/>
        </w:rPr>
        <w:t>(8)大坝下游坝坡发现白蚁活动踪迹，蚁患较严重。</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5"/>
        <w:gridCol w:w="4338"/>
      </w:tblGrid>
      <w:tr w14:paraId="4BBA6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3168CCC0">
            <w:pPr>
              <w:pStyle w:val="85"/>
              <w:bidi w:val="0"/>
              <w:rPr>
                <w:rFonts w:hint="default"/>
                <w:lang w:val="en-US" w:eastAsia="zh-CN"/>
              </w:rPr>
            </w:pPr>
            <w:r>
              <w:drawing>
                <wp:inline distT="0" distB="0" distL="114300" distR="114300">
                  <wp:extent cx="2646045" cy="1984375"/>
                  <wp:effectExtent l="0" t="0" r="1905" b="1587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4"/>
                          <a:stretch>
                            <a:fillRect/>
                          </a:stretch>
                        </pic:blipFill>
                        <pic:spPr>
                          <a:xfrm>
                            <a:off x="0" y="0"/>
                            <a:ext cx="2646045" cy="1984375"/>
                          </a:xfrm>
                          <a:prstGeom prst="rect">
                            <a:avLst/>
                          </a:prstGeom>
                          <a:noFill/>
                          <a:ln>
                            <a:noFill/>
                          </a:ln>
                        </pic:spPr>
                      </pic:pic>
                    </a:graphicData>
                  </a:graphic>
                </wp:inline>
              </w:drawing>
            </w:r>
          </w:p>
        </w:tc>
        <w:tc>
          <w:tcPr>
            <w:tcW w:w="4267" w:type="dxa"/>
          </w:tcPr>
          <w:p w14:paraId="2DDF68CD">
            <w:pPr>
              <w:pStyle w:val="85"/>
              <w:bidi w:val="0"/>
              <w:rPr>
                <w:rFonts w:hint="default"/>
                <w:lang w:val="en-US" w:eastAsia="zh-CN"/>
              </w:rPr>
            </w:pPr>
            <w:r>
              <w:drawing>
                <wp:inline distT="0" distB="0" distL="114300" distR="114300">
                  <wp:extent cx="2628900" cy="1972945"/>
                  <wp:effectExtent l="0" t="0" r="0" b="825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35"/>
                          <a:stretch>
                            <a:fillRect/>
                          </a:stretch>
                        </pic:blipFill>
                        <pic:spPr>
                          <a:xfrm>
                            <a:off x="0" y="0"/>
                            <a:ext cx="2628900" cy="1972945"/>
                          </a:xfrm>
                          <a:prstGeom prst="rect">
                            <a:avLst/>
                          </a:prstGeom>
                          <a:noFill/>
                          <a:ln>
                            <a:noFill/>
                          </a:ln>
                        </pic:spPr>
                      </pic:pic>
                    </a:graphicData>
                  </a:graphic>
                </wp:inline>
              </w:drawing>
            </w:r>
          </w:p>
        </w:tc>
      </w:tr>
      <w:tr w14:paraId="51A7C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E344880">
            <w:pPr>
              <w:pStyle w:val="85"/>
              <w:bidi w:val="0"/>
              <w:rPr>
                <w:rFonts w:hint="default"/>
                <w:lang w:val="en-US" w:eastAsia="zh-CN"/>
              </w:rPr>
            </w:pPr>
            <w:r>
              <w:rPr>
                <w:rFonts w:hint="default"/>
                <w:lang w:val="en-US" w:eastAsia="zh-CN"/>
              </w:rPr>
              <w:t>大坝左坝肩下游右侧渗漏</w:t>
            </w:r>
          </w:p>
        </w:tc>
        <w:tc>
          <w:tcPr>
            <w:tcW w:w="4267" w:type="dxa"/>
          </w:tcPr>
          <w:p w14:paraId="189C5110">
            <w:pPr>
              <w:pStyle w:val="85"/>
              <w:bidi w:val="0"/>
              <w:rPr>
                <w:rFonts w:hint="default"/>
                <w:lang w:val="en-US" w:eastAsia="zh-CN"/>
              </w:rPr>
            </w:pPr>
            <w:r>
              <w:rPr>
                <w:rFonts w:hint="default"/>
                <w:lang w:val="en-US" w:eastAsia="zh-CN"/>
              </w:rPr>
              <w:t>大坝右侧防汛道路沿库岸边坡</w:t>
            </w:r>
          </w:p>
        </w:tc>
      </w:tr>
      <w:tr w14:paraId="18696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35A660F0">
            <w:pPr>
              <w:pStyle w:val="85"/>
              <w:bidi w:val="0"/>
              <w:rPr>
                <w:rFonts w:hint="default"/>
                <w:lang w:val="en-US" w:eastAsia="zh-CN"/>
              </w:rPr>
            </w:pPr>
            <w:r>
              <w:drawing>
                <wp:inline distT="0" distB="0" distL="114300" distR="114300">
                  <wp:extent cx="2569845" cy="2092960"/>
                  <wp:effectExtent l="0" t="0" r="1905" b="254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36"/>
                          <a:stretch>
                            <a:fillRect/>
                          </a:stretch>
                        </pic:blipFill>
                        <pic:spPr>
                          <a:xfrm>
                            <a:off x="0" y="0"/>
                            <a:ext cx="2569845" cy="2092960"/>
                          </a:xfrm>
                          <a:prstGeom prst="rect">
                            <a:avLst/>
                          </a:prstGeom>
                          <a:noFill/>
                          <a:ln>
                            <a:noFill/>
                          </a:ln>
                        </pic:spPr>
                      </pic:pic>
                    </a:graphicData>
                  </a:graphic>
                </wp:inline>
              </w:drawing>
            </w:r>
          </w:p>
        </w:tc>
        <w:tc>
          <w:tcPr>
            <w:tcW w:w="4267" w:type="dxa"/>
          </w:tcPr>
          <w:p w14:paraId="5949B518">
            <w:pPr>
              <w:pStyle w:val="85"/>
              <w:bidi w:val="0"/>
              <w:rPr>
                <w:rFonts w:hint="default"/>
                <w:lang w:val="en-US" w:eastAsia="zh-CN"/>
              </w:rPr>
            </w:pPr>
            <w:r>
              <w:drawing>
                <wp:inline distT="0" distB="0" distL="114300" distR="114300">
                  <wp:extent cx="2729230" cy="2045970"/>
                  <wp:effectExtent l="0" t="0" r="13970"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37"/>
                          <a:stretch>
                            <a:fillRect/>
                          </a:stretch>
                        </pic:blipFill>
                        <pic:spPr>
                          <a:xfrm>
                            <a:off x="0" y="0"/>
                            <a:ext cx="2729230" cy="2045970"/>
                          </a:xfrm>
                          <a:prstGeom prst="rect">
                            <a:avLst/>
                          </a:prstGeom>
                          <a:noFill/>
                          <a:ln>
                            <a:noFill/>
                          </a:ln>
                        </pic:spPr>
                      </pic:pic>
                    </a:graphicData>
                  </a:graphic>
                </wp:inline>
              </w:drawing>
            </w:r>
          </w:p>
        </w:tc>
      </w:tr>
      <w:tr w14:paraId="3B863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0FD246E4">
            <w:pPr>
              <w:pStyle w:val="85"/>
              <w:bidi w:val="0"/>
              <w:rPr>
                <w:rFonts w:hint="default"/>
                <w:lang w:val="en-US" w:eastAsia="zh-CN"/>
              </w:rPr>
            </w:pPr>
            <w:r>
              <w:rPr>
                <w:rFonts w:hint="default"/>
                <w:lang w:val="en-US" w:eastAsia="zh-CN"/>
              </w:rPr>
              <w:t>上游护坡局部破损</w:t>
            </w:r>
          </w:p>
        </w:tc>
        <w:tc>
          <w:tcPr>
            <w:tcW w:w="4267" w:type="dxa"/>
          </w:tcPr>
          <w:p w14:paraId="0197E195">
            <w:pPr>
              <w:pStyle w:val="85"/>
              <w:bidi w:val="0"/>
              <w:rPr>
                <w:rFonts w:hint="default"/>
                <w:lang w:val="en-US" w:eastAsia="zh-CN"/>
              </w:rPr>
            </w:pPr>
            <w:r>
              <w:rPr>
                <w:rFonts w:hint="default"/>
                <w:lang w:val="en-US" w:eastAsia="zh-CN"/>
              </w:rPr>
              <w:t>溢洪道泄槽段底板漏筋、止水失效</w:t>
            </w:r>
          </w:p>
        </w:tc>
      </w:tr>
      <w:tr w14:paraId="704A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2CBE09DB">
            <w:pPr>
              <w:pStyle w:val="85"/>
              <w:bidi w:val="0"/>
              <w:rPr>
                <w:rFonts w:hint="default"/>
                <w:lang w:val="en-US" w:eastAsia="zh-CN"/>
              </w:rPr>
            </w:pPr>
            <w:r>
              <w:drawing>
                <wp:inline distT="0" distB="0" distL="114300" distR="114300">
                  <wp:extent cx="2546985" cy="1951990"/>
                  <wp:effectExtent l="0" t="0" r="5715" b="1016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38"/>
                          <a:stretch>
                            <a:fillRect/>
                          </a:stretch>
                        </pic:blipFill>
                        <pic:spPr>
                          <a:xfrm>
                            <a:off x="0" y="0"/>
                            <a:ext cx="2546985" cy="1951990"/>
                          </a:xfrm>
                          <a:prstGeom prst="rect">
                            <a:avLst/>
                          </a:prstGeom>
                          <a:noFill/>
                          <a:ln>
                            <a:noFill/>
                          </a:ln>
                        </pic:spPr>
                      </pic:pic>
                    </a:graphicData>
                  </a:graphic>
                </wp:inline>
              </w:drawing>
            </w:r>
          </w:p>
        </w:tc>
        <w:tc>
          <w:tcPr>
            <w:tcW w:w="4267" w:type="dxa"/>
          </w:tcPr>
          <w:p w14:paraId="2D980F86">
            <w:pPr>
              <w:pStyle w:val="85"/>
              <w:bidi w:val="0"/>
              <w:rPr>
                <w:rFonts w:hint="default"/>
                <w:lang w:val="en-US" w:eastAsia="zh-CN"/>
              </w:rPr>
            </w:pPr>
            <w:r>
              <w:drawing>
                <wp:inline distT="0" distB="0" distL="114300" distR="114300">
                  <wp:extent cx="2633345" cy="1935480"/>
                  <wp:effectExtent l="0" t="0" r="14605" b="762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39"/>
                          <a:stretch>
                            <a:fillRect/>
                          </a:stretch>
                        </pic:blipFill>
                        <pic:spPr>
                          <a:xfrm>
                            <a:off x="0" y="0"/>
                            <a:ext cx="2633345" cy="1935480"/>
                          </a:xfrm>
                          <a:prstGeom prst="rect">
                            <a:avLst/>
                          </a:prstGeom>
                          <a:noFill/>
                          <a:ln>
                            <a:noFill/>
                          </a:ln>
                        </pic:spPr>
                      </pic:pic>
                    </a:graphicData>
                  </a:graphic>
                </wp:inline>
              </w:drawing>
            </w:r>
          </w:p>
        </w:tc>
      </w:tr>
      <w:tr w14:paraId="179BB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6" w:type="dxa"/>
          </w:tcPr>
          <w:p w14:paraId="5D646968">
            <w:pPr>
              <w:pStyle w:val="85"/>
              <w:bidi w:val="0"/>
            </w:pPr>
            <w:r>
              <w:rPr>
                <w:rFonts w:hint="eastAsia"/>
              </w:rPr>
              <w:t>溢洪道末端消力池冲垮</w:t>
            </w:r>
          </w:p>
        </w:tc>
        <w:tc>
          <w:tcPr>
            <w:tcW w:w="4267" w:type="dxa"/>
          </w:tcPr>
          <w:p w14:paraId="7E62FC3B">
            <w:pPr>
              <w:pStyle w:val="85"/>
              <w:bidi w:val="0"/>
            </w:pPr>
            <w:r>
              <w:rPr>
                <w:rFonts w:hint="eastAsia"/>
              </w:rPr>
              <w:t>尾水渠冲坑</w:t>
            </w:r>
          </w:p>
        </w:tc>
      </w:tr>
    </w:tbl>
    <w:p w14:paraId="53A76EE2">
      <w:pPr>
        <w:pStyle w:val="3"/>
        <w:bidi w:val="0"/>
        <w:rPr>
          <w:rStyle w:val="63"/>
          <w:rFonts w:hint="default"/>
          <w:b/>
          <w:bCs/>
          <w:lang w:val="en-US" w:eastAsia="zh-CN"/>
        </w:rPr>
      </w:pPr>
      <w:bookmarkStart w:id="123" w:name="_Toc24655"/>
      <w:r>
        <w:rPr>
          <w:rStyle w:val="63"/>
          <w:rFonts w:hint="default"/>
          <w:b/>
          <w:bCs/>
          <w:lang w:val="en-US" w:eastAsia="zh-CN"/>
        </w:rPr>
        <w:t>工程建设必要性</w:t>
      </w:r>
      <w:bookmarkEnd w:id="123"/>
    </w:p>
    <w:p w14:paraId="6A843F00">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廊洞水库工程各建筑物存在诸多安全隐患，已严重影响水库的安全运行，水库已处于带病状态，不能发挥应有的综合利用效益，应尽早进行除险加固。</w:t>
      </w:r>
    </w:p>
    <w:p w14:paraId="2BC8CDE2">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(1)除险加固是确保水库安全运行的需要</w:t>
      </w:r>
    </w:p>
    <w:p w14:paraId="12362F4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水库由大坝、溢洪道、输水管等部分组成，水库除险加固后至今已运行10年，受资金限制，除险加固不彻底，仍存在不少病险隐患，严重影响大坝的安全运行。</w:t>
      </w:r>
    </w:p>
    <w:p w14:paraId="1291BC7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一系列的工程质量问题使水库不能正常安全运用，一直带病运行，特别是近几年内情况更为严重，为尽快确保水库安全运行，对廊洞水库除险加固非常必要。</w:t>
      </w:r>
    </w:p>
    <w:p w14:paraId="02A0F7DB">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(2)除险加固是地区经济和社会发展的要求</w:t>
      </w:r>
    </w:p>
    <w:p w14:paraId="477485FC">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以灌溉为主，兼有防洪的中型水库，水库主要担负着道县的部分农业灌溉，保护坝址下游村庄的集中人口。因目前工程存在安全隐患，水库带病运行威胁下游的安全。除险加固后，排除了工程的安全隐患，枢纽工程能安全运行，水库的综合效益能正常发挥，为地区经济持续快速发展提供安全保障，工程加固实施后带来良好的社会效益和很大的经济效益。</w:t>
      </w:r>
    </w:p>
    <w:p w14:paraId="3252705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综上所述，为保证廊洞水库安全运行，确保工程综合利用效益充分发挥，为地区经济持续快速健康发展提供安全保障，水库除险加固非常必要，也十分紧迫。</w:t>
      </w:r>
    </w:p>
    <w:p w14:paraId="7C12B245">
      <w:pPr>
        <w:pStyle w:val="3"/>
        <w:bidi w:val="0"/>
        <w:rPr>
          <w:rFonts w:hint="default" w:ascii="Times New Roman" w:hAnsi="Times New Roman" w:cs="Times New Roman"/>
          <w:color w:val="auto"/>
          <w:u w:val="none" w:color="auto"/>
        </w:rPr>
      </w:pPr>
      <w:bookmarkStart w:id="124" w:name="_Toc130895369"/>
      <w:bookmarkStart w:id="125" w:name="_Toc26465"/>
      <w:r>
        <w:rPr>
          <w:rFonts w:hint="default" w:ascii="Times New Roman" w:hAnsi="Times New Roman" w:cs="Times New Roman"/>
          <w:color w:val="auto"/>
          <w:u w:val="none" w:color="auto"/>
        </w:rPr>
        <w:t>工程任务、规模及特性</w:t>
      </w:r>
      <w:bookmarkEnd w:id="124"/>
      <w:bookmarkEnd w:id="125"/>
    </w:p>
    <w:p w14:paraId="5B8C934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工程建设任务</w:t>
      </w:r>
    </w:p>
    <w:p w14:paraId="0E92175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lang w:eastAsia="zh-CN"/>
        </w:rPr>
        <w:t>廊洞水库是一处以灌溉为主，兼顾防洪的水库。目前水库大坝、溢洪道和输水建筑物等均存在问题，针对水库存在的问题，本工程建设内容是对水库进行除险加固，彻底根除水库病害，确保水库持续高效运行，并为当地带来经济效益。廊洞水库</w:t>
      </w:r>
      <w:r>
        <w:rPr>
          <w:rFonts w:hint="default" w:ascii="Times New Roman" w:hAnsi="Times New Roman" w:cs="Times New Roman"/>
          <w:color w:val="auto"/>
          <w:u w:val="none" w:color="auto"/>
        </w:rPr>
        <w:t>本次除险加固工程建设的主要任务如下</w:t>
      </w:r>
      <w:r>
        <w:rPr>
          <w:rFonts w:hint="eastAsia" w:cs="Times New Roman"/>
          <w:color w:val="auto"/>
          <w:u w:val="none" w:color="auto"/>
          <w:lang w:eastAsia="zh-CN"/>
        </w:rPr>
        <w:t>：</w:t>
      </w:r>
    </w:p>
    <w:p w14:paraId="716AB55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(1)大坝坝体、坝基、坝肩防渗加固处理设计；</w:t>
      </w:r>
    </w:p>
    <w:p w14:paraId="2BD3382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(2)上游坝坡局部塌坡整修设计；</w:t>
      </w:r>
    </w:p>
    <w:p w14:paraId="6D83A40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(3)大坝下游排水沟延伸重建；</w:t>
      </w:r>
    </w:p>
    <w:p w14:paraId="661564A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(4)溢洪道加固设计；</w:t>
      </w:r>
    </w:p>
    <w:p w14:paraId="3EC983C3">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(5)新建塔式取水设施以及原隧洞加固；</w:t>
      </w:r>
    </w:p>
    <w:p w14:paraId="55BCB83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(6)防汛道路沿库岸边坡支护设计；</w:t>
      </w:r>
    </w:p>
    <w:p w14:paraId="587621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(7)水库标准化建设:新建水位观测、变形监测、渗流监测设施，雨水情系统和视频监测系统；新建防汛仓库；新建相关标识标牌、工程建设永久责任牌、工程简介牌等</w:t>
      </w:r>
      <w:r>
        <w:rPr>
          <w:rFonts w:hint="default" w:ascii="Times New Roman" w:hAnsi="Times New Roman" w:cs="Times New Roman"/>
          <w:color w:val="auto"/>
          <w:u w:val="none" w:color="auto"/>
        </w:rPr>
        <w:t>。</w:t>
      </w:r>
    </w:p>
    <w:p w14:paraId="1CCDE12A">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工程规模</w:t>
      </w:r>
    </w:p>
    <w:p w14:paraId="27AB3F94">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根据《水利水电工程等级划分及洪水标准》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规定，</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正常蓄水库容为</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确定该水库枢纽工程为Ⅲ等，其主要建筑物为3级建筑物，次要建筑物为4级建筑物，临时建筑物为5级，水库枢纽永久性水工建筑物设计洪水标准为100年一遇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 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 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 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；永久性泄水建筑物消能防冲洪水标准为30年一遇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本次实施除险加固后不改变廊洞水库的规模。</w:t>
      </w:r>
    </w:p>
    <w:p w14:paraId="7F165AEC">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洪水调节</w:t>
      </w:r>
      <w:r>
        <w:rPr>
          <w:rFonts w:hint="default" w:ascii="Times New Roman" w:hAnsi="Times New Roman" w:cs="Times New Roman"/>
          <w:color w:val="auto"/>
          <w:u w:val="none" w:color="auto"/>
          <w:lang w:val="en-US" w:eastAsia="zh-CN"/>
        </w:rPr>
        <w:t>设置</w:t>
      </w:r>
    </w:p>
    <w:p w14:paraId="5A6C8D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根据项目初步设计报告，水位</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库容曲线及复核的泄流曲线，洪水起调水位为289.85m，采用试算法逐时段进行洪水调节计算，项目洪水调节设置情况见下表</w:t>
      </w:r>
      <w:r>
        <w:rPr>
          <w:rFonts w:hint="default" w:ascii="Times New Roman" w:hAnsi="Times New Roman" w:cs="Times New Roman"/>
          <w:color w:val="auto"/>
          <w:u w:val="none" w:color="auto"/>
        </w:rPr>
        <w:t>。</w:t>
      </w:r>
    </w:p>
    <w:p w14:paraId="018C308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3.4</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 xml:space="preserve">1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调洪演算成果表</w:t>
      </w:r>
    </w:p>
    <w:tbl>
      <w:tblPr>
        <w:tblStyle w:val="162"/>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59"/>
        <w:gridCol w:w="1862"/>
        <w:gridCol w:w="1361"/>
        <w:gridCol w:w="1868"/>
        <w:gridCol w:w="1873"/>
      </w:tblGrid>
      <w:tr w14:paraId="5ACFAE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3322" w:type="dxa"/>
            <w:gridSpan w:val="2"/>
            <w:vAlign w:val="center"/>
          </w:tcPr>
          <w:p w14:paraId="4E25355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8"/>
                <w:sz w:val="21"/>
                <w:szCs w:val="21"/>
                <w:u w:val="none" w:color="auto"/>
              </w:rPr>
              <w:t>成果</w:t>
            </w:r>
          </w:p>
        </w:tc>
        <w:tc>
          <w:tcPr>
            <w:tcW w:w="1404" w:type="dxa"/>
            <w:vAlign w:val="center"/>
          </w:tcPr>
          <w:p w14:paraId="2FC1047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本次设计</w:t>
            </w:r>
          </w:p>
        </w:tc>
        <w:tc>
          <w:tcPr>
            <w:tcW w:w="1927" w:type="dxa"/>
            <w:vAlign w:val="center"/>
          </w:tcPr>
          <w:p w14:paraId="4B96B16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2020年安全鉴定</w:t>
            </w:r>
          </w:p>
        </w:tc>
        <w:tc>
          <w:tcPr>
            <w:tcW w:w="1931" w:type="dxa"/>
            <w:vAlign w:val="center"/>
          </w:tcPr>
          <w:p w14:paraId="20CB2F3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2008年除险加固</w:t>
            </w:r>
          </w:p>
        </w:tc>
      </w:tr>
      <w:tr w14:paraId="490238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5629FE9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position w:val="2"/>
                <w:sz w:val="21"/>
                <w:szCs w:val="21"/>
                <w:u w:val="none" w:color="auto"/>
              </w:rPr>
              <w:t>P=0.10%</w:t>
            </w:r>
          </w:p>
        </w:tc>
        <w:tc>
          <w:tcPr>
            <w:tcW w:w="1920" w:type="dxa"/>
            <w:vAlign w:val="center"/>
          </w:tcPr>
          <w:p w14:paraId="6BB60B3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4C3E2AF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291.37</w:t>
            </w:r>
          </w:p>
        </w:tc>
        <w:tc>
          <w:tcPr>
            <w:tcW w:w="1927" w:type="dxa"/>
            <w:vAlign w:val="center"/>
          </w:tcPr>
          <w:p w14:paraId="15A1FCB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286.89</w:t>
            </w:r>
          </w:p>
        </w:tc>
        <w:tc>
          <w:tcPr>
            <w:tcW w:w="1931" w:type="dxa"/>
            <w:vAlign w:val="center"/>
          </w:tcPr>
          <w:p w14:paraId="111F95F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287.51</w:t>
            </w:r>
          </w:p>
        </w:tc>
      </w:tr>
      <w:tr w14:paraId="12AF3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003CEA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01A3220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22E5769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210.590</w:t>
            </w:r>
          </w:p>
        </w:tc>
        <w:tc>
          <w:tcPr>
            <w:tcW w:w="1927" w:type="dxa"/>
            <w:vAlign w:val="center"/>
          </w:tcPr>
          <w:p w14:paraId="003CEBC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189.99</w:t>
            </w:r>
          </w:p>
        </w:tc>
        <w:tc>
          <w:tcPr>
            <w:tcW w:w="1931" w:type="dxa"/>
            <w:vAlign w:val="center"/>
          </w:tcPr>
          <w:p w14:paraId="77D59C0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362.2</w:t>
            </w:r>
          </w:p>
        </w:tc>
      </w:tr>
      <w:tr w14:paraId="5A1D28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14403F3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4E6FE9C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437058D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980.40</w:t>
            </w:r>
          </w:p>
        </w:tc>
        <w:tc>
          <w:tcPr>
            <w:tcW w:w="1927" w:type="dxa"/>
            <w:vAlign w:val="center"/>
          </w:tcPr>
          <w:p w14:paraId="0C516B3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974.5</w:t>
            </w:r>
          </w:p>
        </w:tc>
        <w:tc>
          <w:tcPr>
            <w:tcW w:w="1931" w:type="dxa"/>
            <w:vAlign w:val="center"/>
          </w:tcPr>
          <w:p w14:paraId="35AA1B6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1012.1</w:t>
            </w:r>
          </w:p>
        </w:tc>
      </w:tr>
      <w:tr w14:paraId="056900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3500BB5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position w:val="2"/>
                <w:sz w:val="21"/>
                <w:szCs w:val="21"/>
                <w:u w:val="none" w:color="auto"/>
              </w:rPr>
              <w:t>P=1.00%</w:t>
            </w:r>
          </w:p>
        </w:tc>
        <w:tc>
          <w:tcPr>
            <w:tcW w:w="1920" w:type="dxa"/>
            <w:vAlign w:val="center"/>
          </w:tcPr>
          <w:p w14:paraId="2185F23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52984D7B">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291.10</w:t>
            </w:r>
          </w:p>
        </w:tc>
        <w:tc>
          <w:tcPr>
            <w:tcW w:w="1927" w:type="dxa"/>
            <w:vAlign w:val="center"/>
          </w:tcPr>
          <w:p w14:paraId="4AD5F35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286.70</w:t>
            </w:r>
          </w:p>
        </w:tc>
        <w:tc>
          <w:tcPr>
            <w:tcW w:w="1931" w:type="dxa"/>
            <w:vAlign w:val="center"/>
          </w:tcPr>
          <w:p w14:paraId="37BB4FF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286.98</w:t>
            </w:r>
          </w:p>
        </w:tc>
      </w:tr>
      <w:tr w14:paraId="110BD9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779F092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77C78057">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7A760EA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155.378</w:t>
            </w:r>
          </w:p>
        </w:tc>
        <w:tc>
          <w:tcPr>
            <w:tcW w:w="1927" w:type="dxa"/>
            <w:vAlign w:val="center"/>
          </w:tcPr>
          <w:p w14:paraId="12084E0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151.44</w:t>
            </w:r>
          </w:p>
        </w:tc>
        <w:tc>
          <w:tcPr>
            <w:tcW w:w="1931" w:type="dxa"/>
            <w:vAlign w:val="center"/>
          </w:tcPr>
          <w:p w14:paraId="5295F70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226.0</w:t>
            </w:r>
          </w:p>
        </w:tc>
      </w:tr>
      <w:tr w14:paraId="2D567A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132F4D2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4E4852D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6AC18A7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964.20</w:t>
            </w:r>
          </w:p>
        </w:tc>
        <w:tc>
          <w:tcPr>
            <w:tcW w:w="1927" w:type="dxa"/>
            <w:vAlign w:val="center"/>
          </w:tcPr>
          <w:p w14:paraId="686764D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963.2</w:t>
            </w:r>
          </w:p>
        </w:tc>
        <w:tc>
          <w:tcPr>
            <w:tcW w:w="1931" w:type="dxa"/>
            <w:vAlign w:val="center"/>
          </w:tcPr>
          <w:p w14:paraId="38A4CDCA">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979.7</w:t>
            </w:r>
          </w:p>
        </w:tc>
      </w:tr>
      <w:tr w14:paraId="088CF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restart"/>
            <w:tcBorders>
              <w:bottom w:val="nil"/>
            </w:tcBorders>
            <w:vAlign w:val="center"/>
          </w:tcPr>
          <w:p w14:paraId="26AFAEB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position w:val="2"/>
                <w:sz w:val="21"/>
                <w:szCs w:val="21"/>
                <w:u w:val="none" w:color="auto"/>
              </w:rPr>
              <w:t>P=3.33%</w:t>
            </w:r>
          </w:p>
        </w:tc>
        <w:tc>
          <w:tcPr>
            <w:tcW w:w="1920" w:type="dxa"/>
            <w:vAlign w:val="center"/>
          </w:tcPr>
          <w:p w14:paraId="36DE32A3">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4"/>
                <w:sz w:val="21"/>
                <w:szCs w:val="21"/>
                <w:u w:val="none" w:color="auto"/>
              </w:rPr>
              <w:t>洪水位</w:t>
            </w:r>
            <w:r>
              <w:rPr>
                <w:rFonts w:hint="default" w:ascii="Times New Roman" w:hAnsi="Times New Roman" w:cs="Times New Roman" w:eastAsiaTheme="minorEastAsia"/>
                <w:color w:val="auto"/>
                <w:spacing w:val="-4"/>
                <w:sz w:val="21"/>
                <w:szCs w:val="21"/>
                <w:highlight w:val="none"/>
                <w:u w:val="none" w:color="auto"/>
              </w:rPr>
              <w:t>(</w:t>
            </w:r>
            <w:r>
              <w:rPr>
                <w:rFonts w:hint="default" w:ascii="Times New Roman" w:hAnsi="Times New Roman" w:cs="Times New Roman" w:eastAsiaTheme="minorEastAsia"/>
                <w:color w:val="auto"/>
                <w:spacing w:val="-4"/>
                <w:sz w:val="21"/>
                <w:szCs w:val="21"/>
                <w:u w:val="none" w:color="auto"/>
              </w:rPr>
              <w:t>m</w:t>
            </w:r>
            <w:r>
              <w:rPr>
                <w:rFonts w:hint="default" w:ascii="Times New Roman" w:hAnsi="Times New Roman" w:cs="Times New Roman" w:eastAsiaTheme="minorEastAsia"/>
                <w:color w:val="auto"/>
                <w:spacing w:val="-4"/>
                <w:sz w:val="21"/>
                <w:szCs w:val="21"/>
                <w:highlight w:val="none"/>
                <w:u w:val="none" w:color="auto"/>
              </w:rPr>
              <w:t>)</w:t>
            </w:r>
          </w:p>
        </w:tc>
        <w:tc>
          <w:tcPr>
            <w:tcW w:w="1404" w:type="dxa"/>
            <w:vAlign w:val="center"/>
          </w:tcPr>
          <w:p w14:paraId="3A26AC59">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290.77</w:t>
            </w:r>
          </w:p>
        </w:tc>
        <w:tc>
          <w:tcPr>
            <w:tcW w:w="1927" w:type="dxa"/>
            <w:vAlign w:val="center"/>
          </w:tcPr>
          <w:p w14:paraId="62905CF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286.55</w:t>
            </w:r>
          </w:p>
        </w:tc>
        <w:tc>
          <w:tcPr>
            <w:tcW w:w="1931" w:type="dxa"/>
            <w:vAlign w:val="center"/>
          </w:tcPr>
          <w:p w14:paraId="068D7D9C">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286.68</w:t>
            </w:r>
          </w:p>
        </w:tc>
      </w:tr>
      <w:tr w14:paraId="0F45BC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bottom w:val="nil"/>
            </w:tcBorders>
            <w:vAlign w:val="center"/>
          </w:tcPr>
          <w:p w14:paraId="5BBDA42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50F172B8">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3"/>
                <w:sz w:val="21"/>
                <w:szCs w:val="21"/>
                <w:u w:val="none" w:color="auto"/>
              </w:rPr>
              <w:t>洪峰流量</w:t>
            </w:r>
            <w:r>
              <w:rPr>
                <w:rFonts w:hint="default" w:ascii="Times New Roman" w:hAnsi="Times New Roman" w:cs="Times New Roman" w:eastAsiaTheme="minorEastAsia"/>
                <w:color w:val="auto"/>
                <w:spacing w:val="-3"/>
                <w:sz w:val="21"/>
                <w:szCs w:val="21"/>
                <w:highlight w:val="none"/>
                <w:u w:val="none" w:color="auto"/>
              </w:rPr>
              <w:t>(</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3"/>
                <w:sz w:val="21"/>
                <w:szCs w:val="21"/>
                <w:u w:val="none" w:color="auto"/>
              </w:rPr>
              <w:t>/s</w:t>
            </w:r>
            <w:r>
              <w:rPr>
                <w:rFonts w:hint="default" w:ascii="Times New Roman" w:hAnsi="Times New Roman" w:cs="Times New Roman" w:eastAsiaTheme="minorEastAsia"/>
                <w:color w:val="auto"/>
                <w:spacing w:val="-3"/>
                <w:sz w:val="21"/>
                <w:szCs w:val="21"/>
                <w:highlight w:val="none"/>
                <w:u w:val="none" w:color="auto"/>
              </w:rPr>
              <w:t>)</w:t>
            </w:r>
          </w:p>
        </w:tc>
        <w:tc>
          <w:tcPr>
            <w:tcW w:w="1404" w:type="dxa"/>
            <w:vAlign w:val="center"/>
          </w:tcPr>
          <w:p w14:paraId="7AD86FC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127.565</w:t>
            </w:r>
          </w:p>
        </w:tc>
        <w:tc>
          <w:tcPr>
            <w:tcW w:w="1927" w:type="dxa"/>
            <w:vAlign w:val="center"/>
          </w:tcPr>
          <w:p w14:paraId="655BB4A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5"/>
                <w:sz w:val="21"/>
                <w:szCs w:val="21"/>
                <w:u w:val="none" w:color="auto"/>
              </w:rPr>
              <w:t>126.26</w:t>
            </w:r>
          </w:p>
        </w:tc>
        <w:tc>
          <w:tcPr>
            <w:tcW w:w="1931" w:type="dxa"/>
            <w:vAlign w:val="center"/>
          </w:tcPr>
          <w:p w14:paraId="451725A5">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6"/>
                <w:sz w:val="21"/>
                <w:szCs w:val="21"/>
                <w:u w:val="none" w:color="auto"/>
              </w:rPr>
              <w:t>167.8</w:t>
            </w:r>
          </w:p>
        </w:tc>
      </w:tr>
      <w:tr w14:paraId="1A3B4B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402" w:type="dxa"/>
            <w:vMerge w:val="continue"/>
            <w:tcBorders>
              <w:top w:val="nil"/>
            </w:tcBorders>
            <w:vAlign w:val="center"/>
          </w:tcPr>
          <w:p w14:paraId="6D91E6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920" w:type="dxa"/>
            <w:vAlign w:val="center"/>
          </w:tcPr>
          <w:p w14:paraId="55BAC321">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
                <w:sz w:val="21"/>
                <w:szCs w:val="21"/>
                <w:u w:val="none" w:color="auto"/>
              </w:rPr>
              <w:t>相应库容</w:t>
            </w:r>
            <w:r>
              <w:rPr>
                <w:rFonts w:hint="default" w:ascii="Times New Roman" w:hAnsi="Times New Roman" w:cs="Times New Roman" w:eastAsiaTheme="minorEastAsia"/>
                <w:color w:val="auto"/>
                <w:spacing w:val="-1"/>
                <w:sz w:val="21"/>
                <w:szCs w:val="21"/>
                <w:highlight w:val="none"/>
                <w:u w:val="none" w:color="auto"/>
              </w:rPr>
              <w:t>(</w:t>
            </w:r>
            <w:r>
              <w:rPr>
                <w:rFonts w:hint="default" w:ascii="Times New Roman" w:hAnsi="Times New Roman" w:cs="Times New Roman" w:eastAsiaTheme="minorEastAsia"/>
                <w:color w:val="auto"/>
                <w:spacing w:val="-1"/>
                <w:sz w:val="21"/>
                <w:szCs w:val="21"/>
                <w:u w:val="none" w:color="auto"/>
              </w:rPr>
              <w:t>万</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eastAsiaTheme="minorEastAsia"/>
                <w:color w:val="auto"/>
                <w:spacing w:val="-1"/>
                <w:sz w:val="21"/>
                <w:szCs w:val="21"/>
                <w:highlight w:val="none"/>
                <w:u w:val="none" w:color="auto"/>
              </w:rPr>
              <w:t>)</w:t>
            </w:r>
          </w:p>
        </w:tc>
        <w:tc>
          <w:tcPr>
            <w:tcW w:w="1404" w:type="dxa"/>
            <w:vAlign w:val="center"/>
          </w:tcPr>
          <w:p w14:paraId="72257303">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954.00</w:t>
            </w:r>
          </w:p>
        </w:tc>
        <w:tc>
          <w:tcPr>
            <w:tcW w:w="1927" w:type="dxa"/>
            <w:vAlign w:val="center"/>
          </w:tcPr>
          <w:p w14:paraId="78C31F2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953.7</w:t>
            </w:r>
          </w:p>
        </w:tc>
        <w:tc>
          <w:tcPr>
            <w:tcW w:w="1931" w:type="dxa"/>
            <w:vAlign w:val="center"/>
          </w:tcPr>
          <w:p w14:paraId="463D9986">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2"/>
                <w:sz w:val="21"/>
                <w:szCs w:val="21"/>
                <w:u w:val="none" w:color="auto"/>
              </w:rPr>
              <w:t>962.0</w:t>
            </w:r>
          </w:p>
        </w:tc>
      </w:tr>
    </w:tbl>
    <w:p w14:paraId="012EB53A">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p>
    <w:p w14:paraId="05A9927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水库特征水位</w:t>
      </w:r>
    </w:p>
    <w:p w14:paraId="1C440FA7">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水库特征水位值如下</w:t>
      </w:r>
      <w:r>
        <w:rPr>
          <w:rFonts w:hint="default" w:ascii="Times New Roman" w:hAnsi="Times New Roman" w:cs="Times New Roman"/>
          <w:color w:val="auto"/>
          <w:sz w:val="24"/>
          <w:szCs w:val="24"/>
          <w:u w:val="none" w:color="auto"/>
          <w:lang w:eastAsia="zh-CN"/>
        </w:rPr>
        <w:t>:</w:t>
      </w:r>
    </w:p>
    <w:p w14:paraId="310F0AD1">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死水位</w:t>
      </w:r>
      <w:r>
        <w:rPr>
          <w:rFonts w:hint="default" w:ascii="Times New Roman" w:hAnsi="Times New Roman" w:eastAsia="宋体" w:cs="Times New Roman"/>
          <w:color w:val="auto"/>
          <w:sz w:val="24"/>
          <w:szCs w:val="24"/>
          <w:u w:val="none" w:color="auto"/>
          <w:lang w:eastAsia="zh-CN"/>
        </w:rPr>
        <w:t>257.33m，</w:t>
      </w:r>
      <w:r>
        <w:rPr>
          <w:rFonts w:hint="default" w:ascii="Times New Roman" w:hAnsi="Times New Roman" w:eastAsia="宋体" w:cs="Times New Roman"/>
          <w:color w:val="auto"/>
          <w:sz w:val="24"/>
          <w:szCs w:val="24"/>
          <w:u w:val="none" w:color="auto"/>
        </w:rPr>
        <w:t>相应库容</w:t>
      </w:r>
      <w:r>
        <w:rPr>
          <w:rFonts w:hint="default" w:ascii="Times New Roman" w:hAnsi="Times New Roman" w:eastAsia="宋体" w:cs="Times New Roman"/>
          <w:color w:val="auto"/>
          <w:sz w:val="24"/>
          <w:szCs w:val="24"/>
          <w:u w:val="none" w:color="auto"/>
          <w:lang w:eastAsia="zh-CN"/>
        </w:rPr>
        <w:t>14.00万</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z w:val="24"/>
          <w:szCs w:val="24"/>
          <w:u w:val="none" w:color="auto"/>
          <w:lang w:eastAsia="zh-CN"/>
        </w:rPr>
        <w:t>。</w:t>
      </w:r>
    </w:p>
    <w:p w14:paraId="40EBE089">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正常蓄水位</w:t>
      </w:r>
      <w:r>
        <w:rPr>
          <w:rFonts w:hint="default" w:ascii="Times New Roman" w:hAnsi="Times New Roman" w:eastAsia="宋体" w:cs="Times New Roman"/>
          <w:color w:val="auto"/>
          <w:sz w:val="24"/>
          <w:szCs w:val="24"/>
          <w:u w:val="none" w:color="auto"/>
          <w:lang w:eastAsia="zh-CN"/>
        </w:rPr>
        <w:t>289.85m，</w:t>
      </w:r>
      <w:r>
        <w:rPr>
          <w:rFonts w:hint="default" w:ascii="Times New Roman" w:hAnsi="Times New Roman" w:eastAsia="宋体" w:cs="Times New Roman"/>
          <w:color w:val="auto"/>
          <w:sz w:val="24"/>
          <w:szCs w:val="24"/>
          <w:u w:val="none" w:color="auto"/>
        </w:rPr>
        <w:t>相应库容</w:t>
      </w:r>
      <w:r>
        <w:rPr>
          <w:rFonts w:hint="default" w:ascii="Times New Roman" w:hAnsi="Times New Roman" w:eastAsia="宋体" w:cs="Times New Roman"/>
          <w:color w:val="auto"/>
          <w:sz w:val="24"/>
          <w:szCs w:val="24"/>
          <w:u w:val="none" w:color="auto"/>
          <w:lang w:eastAsia="zh-CN"/>
        </w:rPr>
        <w:t>907.00万</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z w:val="24"/>
          <w:szCs w:val="24"/>
          <w:u w:val="none" w:color="auto"/>
          <w:lang w:eastAsia="zh-CN"/>
        </w:rPr>
        <w:t>。</w:t>
      </w:r>
    </w:p>
    <w:p w14:paraId="3709F9EF">
      <w:pPr>
        <w:bidi w:val="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pacing w:val="-7"/>
          <w:sz w:val="24"/>
          <w:szCs w:val="24"/>
          <w:u w:val="none" w:color="auto"/>
        </w:rPr>
        <w:t>30年一遇洪水位为291.01m，</w:t>
      </w:r>
      <w:r>
        <w:rPr>
          <w:rFonts w:hint="default" w:ascii="Times New Roman" w:hAnsi="Times New Roman" w:eastAsia="宋体" w:cs="Times New Roman"/>
          <w:color w:val="auto"/>
          <w:spacing w:val="-1"/>
          <w:sz w:val="24"/>
          <w:szCs w:val="24"/>
          <w:u w:val="none" w:color="auto"/>
        </w:rPr>
        <w:t>对应库容为958.80万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lang w:eastAsia="zh-CN"/>
        </w:rPr>
        <w:t>。</w:t>
      </w:r>
    </w:p>
    <w:p w14:paraId="44A1C88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w:t>
      </w:r>
      <w:r>
        <w:rPr>
          <w:rFonts w:hint="default" w:ascii="Times New Roman" w:hAnsi="Times New Roman" w:cs="Times New Roman"/>
          <w:color w:val="auto"/>
          <w:u w:val="none" w:color="auto"/>
          <w:lang w:val="en-US" w:eastAsia="zh-CN"/>
        </w:rPr>
        <w:t>除险</w:t>
      </w:r>
      <w:r>
        <w:rPr>
          <w:rFonts w:hint="default" w:ascii="Times New Roman" w:hAnsi="Times New Roman" w:cs="Times New Roman"/>
          <w:color w:val="auto"/>
          <w:u w:val="none" w:color="auto"/>
        </w:rPr>
        <w:t>加固项目</w:t>
      </w:r>
    </w:p>
    <w:p w14:paraId="27412D7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根据湖南省水利厅下发的</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大坝安全鉴定报告书和工程现状情况，本次除险加固的主要</w:t>
      </w:r>
      <w:r>
        <w:rPr>
          <w:rFonts w:hint="default" w:ascii="Times New Roman" w:hAnsi="Times New Roman" w:cs="Times New Roman"/>
          <w:color w:val="auto"/>
          <w:u w:val="none" w:color="auto"/>
          <w:lang w:val="en-US" w:eastAsia="zh-CN"/>
        </w:rPr>
        <w:t>实施</w:t>
      </w:r>
      <w:r>
        <w:rPr>
          <w:rFonts w:hint="default" w:ascii="Times New Roman" w:hAnsi="Times New Roman" w:cs="Times New Roman"/>
          <w:color w:val="auto"/>
          <w:u w:val="none" w:color="auto"/>
        </w:rPr>
        <w:t>内容为</w:t>
      </w:r>
      <w:r>
        <w:rPr>
          <w:rFonts w:hint="default" w:ascii="Times New Roman" w:hAnsi="Times New Roman" w:cs="Times New Roman"/>
          <w:color w:val="auto"/>
          <w:u w:val="none" w:color="auto"/>
          <w:lang w:eastAsia="zh-CN"/>
        </w:rPr>
        <w:t>:</w:t>
      </w:r>
    </w:p>
    <w:p w14:paraId="157A6B9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(1)大坝坝体、坝基、坝肩防渗加固处理设计；</w:t>
      </w:r>
    </w:p>
    <w:p w14:paraId="0C20625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(2)上游坝坡局部塌坡整修设计；</w:t>
      </w:r>
    </w:p>
    <w:p w14:paraId="121CB5D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(3)大坝下游排水沟延伸重建；</w:t>
      </w:r>
    </w:p>
    <w:p w14:paraId="0F1E34C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(4)溢洪道加固设计；</w:t>
      </w:r>
    </w:p>
    <w:p w14:paraId="26EDC5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(5)新建塔式取水设施以及原隧洞加固；</w:t>
      </w:r>
    </w:p>
    <w:p w14:paraId="7F08CDC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(6)防汛道路沿库岸边坡支护设计；</w:t>
      </w:r>
    </w:p>
    <w:p w14:paraId="71736DB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(7)水库标准化建设:新建水位观测、变形监测、渗流监测设施，雨水情系统和视频监测系统；新建防汛仓库；新建相关标识标牌、工程建设永久责任牌、工程简介牌等。</w:t>
      </w:r>
    </w:p>
    <w:p w14:paraId="40B41CF5">
      <w:pPr>
        <w:pStyle w:val="3"/>
        <w:bidi w:val="0"/>
        <w:rPr>
          <w:rFonts w:hint="default" w:ascii="Times New Roman" w:hAnsi="Times New Roman" w:cs="Times New Roman"/>
          <w:color w:val="auto"/>
          <w:u w:val="none" w:color="auto"/>
          <w:lang w:val="en-US" w:eastAsia="zh-CN"/>
        </w:rPr>
      </w:pPr>
      <w:bookmarkStart w:id="126" w:name="_Toc9320"/>
      <w:r>
        <w:rPr>
          <w:rFonts w:hint="default" w:ascii="Times New Roman" w:hAnsi="Times New Roman" w:cs="Times New Roman"/>
          <w:color w:val="auto"/>
          <w:u w:val="none" w:color="auto"/>
          <w:lang w:val="en-US" w:eastAsia="zh-CN"/>
        </w:rPr>
        <w:t>工程特性表</w:t>
      </w:r>
      <w:bookmarkEnd w:id="126"/>
    </w:p>
    <w:p w14:paraId="016B323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廊洞水库大坝改建前后工程特性如下:</w:t>
      </w:r>
    </w:p>
    <w:p w14:paraId="76EA34F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lang w:val="en-US" w:eastAsia="zh-CN"/>
        </w:rPr>
        <w:t>表3.5-1  廊洞水库</w:t>
      </w:r>
      <w:r>
        <w:rPr>
          <w:rFonts w:hint="default" w:ascii="Times New Roman" w:hAnsi="Times New Roman" w:cs="Times New Roman"/>
          <w:b/>
          <w:bCs/>
          <w:color w:val="auto"/>
          <w:sz w:val="21"/>
          <w:szCs w:val="21"/>
          <w:u w:val="none" w:color="auto"/>
        </w:rPr>
        <w:t>工程特性表</w:t>
      </w:r>
    </w:p>
    <w:tbl>
      <w:tblPr>
        <w:tblStyle w:val="37"/>
        <w:tblW w:w="87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39"/>
        <w:gridCol w:w="1980"/>
        <w:gridCol w:w="912"/>
        <w:gridCol w:w="1024"/>
        <w:gridCol w:w="1064"/>
        <w:gridCol w:w="1590"/>
        <w:gridCol w:w="1572"/>
      </w:tblGrid>
      <w:tr w14:paraId="26D016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907EC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序号</w:t>
            </w:r>
          </w:p>
        </w:tc>
        <w:tc>
          <w:tcPr>
            <w:tcW w:w="1980" w:type="dxa"/>
            <w:tcBorders>
              <w:tl2br w:val="nil"/>
              <w:tr2bl w:val="nil"/>
            </w:tcBorders>
            <w:shd w:val="clear" w:color="auto" w:fill="auto"/>
            <w:vAlign w:val="center"/>
          </w:tcPr>
          <w:p w14:paraId="5F6422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指标名称</w:t>
            </w:r>
          </w:p>
        </w:tc>
        <w:tc>
          <w:tcPr>
            <w:tcW w:w="912" w:type="dxa"/>
            <w:tcBorders>
              <w:tl2br w:val="nil"/>
              <w:tr2bl w:val="nil"/>
            </w:tcBorders>
            <w:shd w:val="clear" w:color="auto" w:fill="auto"/>
            <w:vAlign w:val="center"/>
          </w:tcPr>
          <w:p w14:paraId="2F5652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单位</w:t>
            </w:r>
          </w:p>
        </w:tc>
        <w:tc>
          <w:tcPr>
            <w:tcW w:w="1024" w:type="dxa"/>
            <w:tcBorders>
              <w:tl2br w:val="nil"/>
              <w:tr2bl w:val="nil"/>
            </w:tcBorders>
            <w:shd w:val="clear" w:color="auto" w:fill="auto"/>
            <w:vAlign w:val="center"/>
          </w:tcPr>
          <w:p w14:paraId="58BA65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原设计</w:t>
            </w:r>
          </w:p>
        </w:tc>
        <w:tc>
          <w:tcPr>
            <w:tcW w:w="1064" w:type="dxa"/>
            <w:tcBorders>
              <w:tl2br w:val="nil"/>
              <w:tr2bl w:val="nil"/>
            </w:tcBorders>
            <w:shd w:val="clear" w:color="auto" w:fill="auto"/>
            <w:vAlign w:val="center"/>
          </w:tcPr>
          <w:p w14:paraId="699E8B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2008年加固设计</w:t>
            </w:r>
          </w:p>
        </w:tc>
        <w:tc>
          <w:tcPr>
            <w:tcW w:w="1590" w:type="dxa"/>
            <w:tcBorders>
              <w:tl2br w:val="nil"/>
              <w:tr2bl w:val="nil"/>
            </w:tcBorders>
            <w:shd w:val="clear" w:color="auto" w:fill="auto"/>
            <w:vAlign w:val="center"/>
          </w:tcPr>
          <w:p w14:paraId="722849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2020年安全鉴定采用值(计算值)</w:t>
            </w:r>
          </w:p>
        </w:tc>
        <w:tc>
          <w:tcPr>
            <w:tcW w:w="1572" w:type="dxa"/>
            <w:tcBorders>
              <w:tl2br w:val="nil"/>
              <w:tr2bl w:val="nil"/>
            </w:tcBorders>
            <w:shd w:val="clear" w:color="auto" w:fill="auto"/>
            <w:vAlign w:val="center"/>
          </w:tcPr>
          <w:p w14:paraId="376213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本次初步设计采用值(计算值)</w:t>
            </w:r>
          </w:p>
        </w:tc>
      </w:tr>
      <w:tr w14:paraId="5C142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64E1B9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一、水文</w:t>
            </w:r>
          </w:p>
        </w:tc>
      </w:tr>
      <w:tr w14:paraId="59CC95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FBD9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1A0C87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坝址控制集雨面积</w:t>
            </w:r>
          </w:p>
        </w:tc>
        <w:tc>
          <w:tcPr>
            <w:tcW w:w="912" w:type="dxa"/>
            <w:tcBorders>
              <w:tl2br w:val="nil"/>
              <w:tr2bl w:val="nil"/>
            </w:tcBorders>
            <w:shd w:val="clear" w:color="auto" w:fill="auto"/>
            <w:vAlign w:val="center"/>
          </w:tcPr>
          <w:p w14:paraId="6AB106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w:t>
            </w: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48E83E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w:t>
            </w:r>
          </w:p>
        </w:tc>
        <w:tc>
          <w:tcPr>
            <w:tcW w:w="1064" w:type="dxa"/>
            <w:tcBorders>
              <w:tl2br w:val="nil"/>
              <w:tr2bl w:val="nil"/>
            </w:tcBorders>
            <w:shd w:val="clear" w:color="auto" w:fill="auto"/>
            <w:vAlign w:val="center"/>
          </w:tcPr>
          <w:p w14:paraId="7DF342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35.59</w:t>
            </w:r>
          </w:p>
        </w:tc>
        <w:tc>
          <w:tcPr>
            <w:tcW w:w="1590" w:type="dxa"/>
            <w:tcBorders>
              <w:tl2br w:val="nil"/>
              <w:tr2bl w:val="nil"/>
            </w:tcBorders>
            <w:shd w:val="clear" w:color="auto" w:fill="auto"/>
            <w:vAlign w:val="center"/>
          </w:tcPr>
          <w:p w14:paraId="1999D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35.6</w:t>
            </w:r>
          </w:p>
        </w:tc>
        <w:tc>
          <w:tcPr>
            <w:tcW w:w="1572" w:type="dxa"/>
            <w:tcBorders>
              <w:tl2br w:val="nil"/>
              <w:tr2bl w:val="nil"/>
            </w:tcBorders>
            <w:shd w:val="clear" w:color="auto" w:fill="auto"/>
            <w:vAlign w:val="center"/>
          </w:tcPr>
          <w:p w14:paraId="188A70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35.6</w:t>
            </w:r>
          </w:p>
        </w:tc>
      </w:tr>
      <w:tr w14:paraId="10CE53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C8771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430CBF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干流长度</w:t>
            </w:r>
          </w:p>
        </w:tc>
        <w:tc>
          <w:tcPr>
            <w:tcW w:w="912" w:type="dxa"/>
            <w:tcBorders>
              <w:tl2br w:val="nil"/>
              <w:tr2bl w:val="nil"/>
            </w:tcBorders>
            <w:shd w:val="clear" w:color="auto" w:fill="auto"/>
            <w:vAlign w:val="center"/>
          </w:tcPr>
          <w:p w14:paraId="54C2EA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141F31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14.85</w:t>
            </w:r>
          </w:p>
        </w:tc>
        <w:tc>
          <w:tcPr>
            <w:tcW w:w="1064" w:type="dxa"/>
            <w:tcBorders>
              <w:tl2br w:val="nil"/>
              <w:tr2bl w:val="nil"/>
            </w:tcBorders>
            <w:shd w:val="clear" w:color="auto" w:fill="auto"/>
            <w:vAlign w:val="center"/>
          </w:tcPr>
          <w:p w14:paraId="02BD2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c>
          <w:tcPr>
            <w:tcW w:w="1590" w:type="dxa"/>
            <w:tcBorders>
              <w:tl2br w:val="nil"/>
              <w:tr2bl w:val="nil"/>
            </w:tcBorders>
            <w:shd w:val="clear" w:color="auto" w:fill="auto"/>
            <w:vAlign w:val="center"/>
          </w:tcPr>
          <w:p w14:paraId="375FA3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c>
          <w:tcPr>
            <w:tcW w:w="1572" w:type="dxa"/>
            <w:tcBorders>
              <w:tl2br w:val="nil"/>
              <w:tr2bl w:val="nil"/>
            </w:tcBorders>
            <w:shd w:val="clear" w:color="auto" w:fill="auto"/>
            <w:vAlign w:val="center"/>
          </w:tcPr>
          <w:p w14:paraId="2EE15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17.78</w:t>
            </w:r>
          </w:p>
        </w:tc>
      </w:tr>
      <w:tr w14:paraId="67A3EC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4F0D6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5E0CE8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干流平均坡降</w:t>
            </w:r>
          </w:p>
        </w:tc>
        <w:tc>
          <w:tcPr>
            <w:tcW w:w="912" w:type="dxa"/>
            <w:tcBorders>
              <w:tl2br w:val="nil"/>
              <w:tr2bl w:val="nil"/>
            </w:tcBorders>
            <w:shd w:val="clear" w:color="auto" w:fill="auto"/>
            <w:vAlign w:val="center"/>
          </w:tcPr>
          <w:p w14:paraId="02065C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110E9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1064" w:type="dxa"/>
            <w:tcBorders>
              <w:tl2br w:val="nil"/>
              <w:tr2bl w:val="nil"/>
            </w:tcBorders>
            <w:shd w:val="clear" w:color="auto" w:fill="auto"/>
            <w:vAlign w:val="center"/>
          </w:tcPr>
          <w:p w14:paraId="6E47B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c>
          <w:tcPr>
            <w:tcW w:w="1590" w:type="dxa"/>
            <w:tcBorders>
              <w:tl2br w:val="nil"/>
              <w:tr2bl w:val="nil"/>
            </w:tcBorders>
            <w:shd w:val="clear" w:color="auto" w:fill="auto"/>
            <w:vAlign w:val="center"/>
          </w:tcPr>
          <w:p w14:paraId="6BE5B7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c>
          <w:tcPr>
            <w:tcW w:w="1572" w:type="dxa"/>
            <w:tcBorders>
              <w:tl2br w:val="nil"/>
              <w:tr2bl w:val="nil"/>
            </w:tcBorders>
            <w:shd w:val="clear" w:color="auto" w:fill="auto"/>
            <w:vAlign w:val="center"/>
          </w:tcPr>
          <w:p w14:paraId="50AFD7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20.91</w:t>
            </w:r>
          </w:p>
        </w:tc>
      </w:tr>
      <w:tr w14:paraId="0BA0DF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F904C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35CAD7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多年平均降雨量</w:t>
            </w:r>
          </w:p>
        </w:tc>
        <w:tc>
          <w:tcPr>
            <w:tcW w:w="912" w:type="dxa"/>
            <w:tcBorders>
              <w:tl2br w:val="nil"/>
              <w:tr2bl w:val="nil"/>
            </w:tcBorders>
            <w:shd w:val="clear" w:color="auto" w:fill="auto"/>
            <w:vAlign w:val="center"/>
          </w:tcPr>
          <w:p w14:paraId="6F8BB1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mm</w:t>
            </w:r>
          </w:p>
        </w:tc>
        <w:tc>
          <w:tcPr>
            <w:tcW w:w="1024" w:type="dxa"/>
            <w:tcBorders>
              <w:tl2br w:val="nil"/>
              <w:tr2bl w:val="nil"/>
            </w:tcBorders>
            <w:shd w:val="clear" w:color="auto" w:fill="auto"/>
            <w:vAlign w:val="center"/>
          </w:tcPr>
          <w:p w14:paraId="50EEEE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1544.5</w:t>
            </w:r>
          </w:p>
        </w:tc>
        <w:tc>
          <w:tcPr>
            <w:tcW w:w="1064" w:type="dxa"/>
            <w:tcBorders>
              <w:tl2br w:val="nil"/>
              <w:tr2bl w:val="nil"/>
            </w:tcBorders>
            <w:shd w:val="clear" w:color="auto" w:fill="auto"/>
            <w:vAlign w:val="center"/>
          </w:tcPr>
          <w:p w14:paraId="719BC1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1509.3</w:t>
            </w:r>
          </w:p>
        </w:tc>
        <w:tc>
          <w:tcPr>
            <w:tcW w:w="1590" w:type="dxa"/>
            <w:tcBorders>
              <w:tl2br w:val="nil"/>
              <w:tr2bl w:val="nil"/>
            </w:tcBorders>
            <w:shd w:val="clear" w:color="auto" w:fill="auto"/>
            <w:vAlign w:val="center"/>
          </w:tcPr>
          <w:p w14:paraId="33E365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5B1A3C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1509.3</w:t>
            </w:r>
          </w:p>
        </w:tc>
      </w:tr>
      <w:tr w14:paraId="5C839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2" w:hRule="atLeast"/>
          <w:jc w:val="center"/>
        </w:trPr>
        <w:tc>
          <w:tcPr>
            <w:tcW w:w="639" w:type="dxa"/>
            <w:tcBorders>
              <w:tl2br w:val="nil"/>
              <w:tr2bl w:val="nil"/>
            </w:tcBorders>
            <w:shd w:val="clear" w:color="auto" w:fill="auto"/>
            <w:vAlign w:val="center"/>
          </w:tcPr>
          <w:p w14:paraId="1772BA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119EB1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多年平均径流量</w:t>
            </w:r>
          </w:p>
        </w:tc>
        <w:tc>
          <w:tcPr>
            <w:tcW w:w="912" w:type="dxa"/>
            <w:tcBorders>
              <w:tl2br w:val="nil"/>
              <w:tr2bl w:val="nil"/>
            </w:tcBorders>
            <w:shd w:val="clear" w:color="auto" w:fill="auto"/>
            <w:vAlign w:val="center"/>
          </w:tcPr>
          <w:p w14:paraId="753420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104</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C3FFC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3304</w:t>
            </w:r>
          </w:p>
        </w:tc>
        <w:tc>
          <w:tcPr>
            <w:tcW w:w="1064" w:type="dxa"/>
            <w:tcBorders>
              <w:tl2br w:val="nil"/>
              <w:tr2bl w:val="nil"/>
            </w:tcBorders>
            <w:shd w:val="clear" w:color="auto" w:fill="auto"/>
            <w:vAlign w:val="center"/>
          </w:tcPr>
          <w:p w14:paraId="6FE908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3052.3</w:t>
            </w:r>
          </w:p>
        </w:tc>
        <w:tc>
          <w:tcPr>
            <w:tcW w:w="1590" w:type="dxa"/>
            <w:tcBorders>
              <w:tl2br w:val="nil"/>
              <w:tr2bl w:val="nil"/>
            </w:tcBorders>
            <w:shd w:val="clear" w:color="auto" w:fill="auto"/>
            <w:vAlign w:val="center"/>
          </w:tcPr>
          <w:p w14:paraId="3DBFFC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25FE0C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3043.51</w:t>
            </w:r>
          </w:p>
        </w:tc>
      </w:tr>
      <w:tr w14:paraId="71CD67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892A0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1CBA27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多年平均流量</w:t>
            </w:r>
          </w:p>
        </w:tc>
        <w:tc>
          <w:tcPr>
            <w:tcW w:w="912" w:type="dxa"/>
            <w:tcBorders>
              <w:tl2br w:val="nil"/>
              <w:tr2bl w:val="nil"/>
            </w:tcBorders>
            <w:shd w:val="clear" w:color="auto" w:fill="auto"/>
            <w:vAlign w:val="center"/>
          </w:tcPr>
          <w:p w14:paraId="600603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3BF59E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w:t>
            </w:r>
          </w:p>
        </w:tc>
        <w:tc>
          <w:tcPr>
            <w:tcW w:w="1064" w:type="dxa"/>
            <w:tcBorders>
              <w:tl2br w:val="nil"/>
              <w:tr2bl w:val="nil"/>
            </w:tcBorders>
            <w:shd w:val="clear" w:color="auto" w:fill="auto"/>
            <w:vAlign w:val="center"/>
          </w:tcPr>
          <w:p w14:paraId="08514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0.97</w:t>
            </w:r>
          </w:p>
        </w:tc>
        <w:tc>
          <w:tcPr>
            <w:tcW w:w="1590" w:type="dxa"/>
            <w:tcBorders>
              <w:tl2br w:val="nil"/>
              <w:tr2bl w:val="nil"/>
            </w:tcBorders>
            <w:shd w:val="clear" w:color="auto" w:fill="auto"/>
            <w:vAlign w:val="center"/>
          </w:tcPr>
          <w:p w14:paraId="5636E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72" w:type="dxa"/>
            <w:tcBorders>
              <w:tl2br w:val="nil"/>
              <w:tr2bl w:val="nil"/>
            </w:tcBorders>
            <w:shd w:val="clear" w:color="auto" w:fill="auto"/>
            <w:vAlign w:val="center"/>
          </w:tcPr>
          <w:p w14:paraId="5FA232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0.965</w:t>
            </w:r>
          </w:p>
        </w:tc>
      </w:tr>
      <w:tr w14:paraId="38B573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34447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1980" w:type="dxa"/>
            <w:tcBorders>
              <w:tl2br w:val="nil"/>
              <w:tr2bl w:val="nil"/>
            </w:tcBorders>
            <w:shd w:val="clear" w:color="auto" w:fill="auto"/>
            <w:vAlign w:val="center"/>
          </w:tcPr>
          <w:p w14:paraId="17643F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洪水</w:t>
            </w:r>
          </w:p>
        </w:tc>
        <w:tc>
          <w:tcPr>
            <w:tcW w:w="912" w:type="dxa"/>
            <w:tcBorders>
              <w:tl2br w:val="nil"/>
              <w:tr2bl w:val="nil"/>
            </w:tcBorders>
            <w:shd w:val="clear" w:color="auto" w:fill="auto"/>
            <w:vAlign w:val="center"/>
          </w:tcPr>
          <w:p w14:paraId="582B1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167E36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EF9BD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B99F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07A2C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D156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9979A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B2AED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设计洪水标准</w:t>
            </w:r>
          </w:p>
        </w:tc>
        <w:tc>
          <w:tcPr>
            <w:tcW w:w="912" w:type="dxa"/>
            <w:tcBorders>
              <w:tl2br w:val="nil"/>
              <w:tr2bl w:val="nil"/>
            </w:tcBorders>
            <w:shd w:val="clear" w:color="auto" w:fill="auto"/>
            <w:vAlign w:val="center"/>
          </w:tcPr>
          <w:p w14:paraId="16B5F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759D26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64" w:type="dxa"/>
            <w:tcBorders>
              <w:tl2br w:val="nil"/>
              <w:tr2bl w:val="nil"/>
            </w:tcBorders>
            <w:shd w:val="clear" w:color="auto" w:fill="auto"/>
            <w:vAlign w:val="center"/>
          </w:tcPr>
          <w:p w14:paraId="203DE1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90" w:type="dxa"/>
            <w:tcBorders>
              <w:tl2br w:val="nil"/>
              <w:tr2bl w:val="nil"/>
            </w:tcBorders>
            <w:shd w:val="clear" w:color="auto" w:fill="auto"/>
            <w:vAlign w:val="center"/>
          </w:tcPr>
          <w:p w14:paraId="4769EE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72" w:type="dxa"/>
            <w:tcBorders>
              <w:tl2br w:val="nil"/>
              <w:tr2bl w:val="nil"/>
            </w:tcBorders>
            <w:shd w:val="clear" w:color="auto" w:fill="auto"/>
            <w:vAlign w:val="center"/>
          </w:tcPr>
          <w:p w14:paraId="7BDBF8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r>
      <w:tr w14:paraId="0454DA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3F275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09F94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设计洪峰流量</w:t>
            </w:r>
          </w:p>
        </w:tc>
        <w:tc>
          <w:tcPr>
            <w:tcW w:w="912" w:type="dxa"/>
            <w:tcBorders>
              <w:tl2br w:val="nil"/>
              <w:tr2bl w:val="nil"/>
            </w:tcBorders>
            <w:shd w:val="clear" w:color="auto" w:fill="auto"/>
            <w:vAlign w:val="center"/>
          </w:tcPr>
          <w:p w14:paraId="1164AD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56EE6E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405.7</w:t>
            </w:r>
          </w:p>
        </w:tc>
        <w:tc>
          <w:tcPr>
            <w:tcW w:w="1064" w:type="dxa"/>
            <w:tcBorders>
              <w:tl2br w:val="nil"/>
              <w:tr2bl w:val="nil"/>
            </w:tcBorders>
            <w:shd w:val="clear" w:color="auto" w:fill="auto"/>
            <w:vAlign w:val="center"/>
          </w:tcPr>
          <w:p w14:paraId="0BE75A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w:t>
            </w:r>
          </w:p>
        </w:tc>
        <w:tc>
          <w:tcPr>
            <w:tcW w:w="1590" w:type="dxa"/>
            <w:tcBorders>
              <w:tl2br w:val="nil"/>
              <w:tr2bl w:val="nil"/>
            </w:tcBorders>
            <w:shd w:val="clear" w:color="auto" w:fill="auto"/>
            <w:vAlign w:val="center"/>
          </w:tcPr>
          <w:p w14:paraId="432ACB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151.44</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3B651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226.0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161.29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511DB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4A241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6E381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设计下泄流量</w:t>
            </w:r>
          </w:p>
        </w:tc>
        <w:tc>
          <w:tcPr>
            <w:tcW w:w="912" w:type="dxa"/>
            <w:tcBorders>
              <w:tl2br w:val="nil"/>
              <w:tr2bl w:val="nil"/>
            </w:tcBorders>
            <w:shd w:val="clear" w:color="auto" w:fill="auto"/>
            <w:vAlign w:val="center"/>
          </w:tcPr>
          <w:p w14:paraId="2627AC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26DBB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331</w:t>
            </w:r>
          </w:p>
        </w:tc>
        <w:tc>
          <w:tcPr>
            <w:tcW w:w="1064" w:type="dxa"/>
            <w:tcBorders>
              <w:tl2br w:val="nil"/>
              <w:tr2bl w:val="nil"/>
            </w:tcBorders>
            <w:shd w:val="clear" w:color="auto" w:fill="auto"/>
            <w:vAlign w:val="center"/>
          </w:tcPr>
          <w:p w14:paraId="6737C7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188.5</w:t>
            </w:r>
          </w:p>
        </w:tc>
        <w:tc>
          <w:tcPr>
            <w:tcW w:w="1590" w:type="dxa"/>
            <w:tcBorders>
              <w:tl2br w:val="nil"/>
              <w:tr2bl w:val="nil"/>
            </w:tcBorders>
            <w:shd w:val="clear" w:color="auto" w:fill="auto"/>
            <w:vAlign w:val="center"/>
          </w:tcPr>
          <w:p w14:paraId="23207B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188.5</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133.68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22F21C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189.01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189.01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1804FB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89742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A10C9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校核洪水标准</w:t>
            </w:r>
          </w:p>
        </w:tc>
        <w:tc>
          <w:tcPr>
            <w:tcW w:w="912" w:type="dxa"/>
            <w:tcBorders>
              <w:tl2br w:val="nil"/>
              <w:tr2bl w:val="nil"/>
            </w:tcBorders>
            <w:shd w:val="clear" w:color="auto" w:fill="auto"/>
            <w:vAlign w:val="center"/>
          </w:tcPr>
          <w:p w14:paraId="543534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6C8090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064" w:type="dxa"/>
            <w:tcBorders>
              <w:tl2br w:val="nil"/>
              <w:tr2bl w:val="nil"/>
            </w:tcBorders>
            <w:shd w:val="clear" w:color="auto" w:fill="auto"/>
            <w:vAlign w:val="center"/>
          </w:tcPr>
          <w:p w14:paraId="780DE9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590" w:type="dxa"/>
            <w:tcBorders>
              <w:tl2br w:val="nil"/>
              <w:tr2bl w:val="nil"/>
            </w:tcBorders>
            <w:shd w:val="clear" w:color="auto" w:fill="auto"/>
            <w:vAlign w:val="center"/>
          </w:tcPr>
          <w:p w14:paraId="4F546D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1572" w:type="dxa"/>
            <w:tcBorders>
              <w:tl2br w:val="nil"/>
              <w:tr2bl w:val="nil"/>
            </w:tcBorders>
            <w:shd w:val="clear" w:color="auto" w:fill="auto"/>
            <w:vAlign w:val="center"/>
          </w:tcPr>
          <w:p w14:paraId="329C75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r>
      <w:tr w14:paraId="5050AC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13142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242A7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校核洪峰流量</w:t>
            </w:r>
          </w:p>
        </w:tc>
        <w:tc>
          <w:tcPr>
            <w:tcW w:w="912" w:type="dxa"/>
            <w:tcBorders>
              <w:tl2br w:val="nil"/>
              <w:tr2bl w:val="nil"/>
            </w:tcBorders>
            <w:shd w:val="clear" w:color="auto" w:fill="auto"/>
            <w:vAlign w:val="center"/>
          </w:tcPr>
          <w:p w14:paraId="587A26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E89F0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519.8</w:t>
            </w:r>
          </w:p>
        </w:tc>
        <w:tc>
          <w:tcPr>
            <w:tcW w:w="1064" w:type="dxa"/>
            <w:tcBorders>
              <w:tl2br w:val="nil"/>
              <w:tr2bl w:val="nil"/>
            </w:tcBorders>
            <w:shd w:val="clear" w:color="auto" w:fill="auto"/>
            <w:vAlign w:val="center"/>
          </w:tcPr>
          <w:p w14:paraId="1A7D4F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p>
        </w:tc>
        <w:tc>
          <w:tcPr>
            <w:tcW w:w="1590" w:type="dxa"/>
            <w:tcBorders>
              <w:tl2br w:val="nil"/>
              <w:tr2bl w:val="nil"/>
            </w:tcBorders>
            <w:shd w:val="clear" w:color="auto" w:fill="auto"/>
            <w:vAlign w:val="center"/>
          </w:tcPr>
          <w:p w14:paraId="397AC1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189.99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1EF2B2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362.2</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218.18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7E443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88E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6E5BB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校核下泄流量</w:t>
            </w:r>
          </w:p>
        </w:tc>
        <w:tc>
          <w:tcPr>
            <w:tcW w:w="912" w:type="dxa"/>
            <w:tcBorders>
              <w:tl2br w:val="nil"/>
              <w:tr2bl w:val="nil"/>
            </w:tcBorders>
            <w:shd w:val="clear" w:color="auto" w:fill="auto"/>
            <w:vAlign w:val="center"/>
          </w:tcPr>
          <w:p w14:paraId="29E016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65DF5F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w:t>
            </w:r>
          </w:p>
        </w:tc>
        <w:tc>
          <w:tcPr>
            <w:tcW w:w="1064" w:type="dxa"/>
            <w:tcBorders>
              <w:tl2br w:val="nil"/>
              <w:tr2bl w:val="nil"/>
            </w:tcBorders>
            <w:shd w:val="clear" w:color="auto" w:fill="auto"/>
            <w:vAlign w:val="center"/>
          </w:tcPr>
          <w:p w14:paraId="0880F6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314.9</w:t>
            </w:r>
          </w:p>
        </w:tc>
        <w:tc>
          <w:tcPr>
            <w:tcW w:w="1590" w:type="dxa"/>
            <w:tcBorders>
              <w:tl2br w:val="nil"/>
              <w:tr2bl w:val="nil"/>
            </w:tcBorders>
            <w:shd w:val="clear" w:color="auto" w:fill="auto"/>
            <w:vAlign w:val="center"/>
          </w:tcPr>
          <w:p w14:paraId="1E3579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314.9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170.38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7595C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315.21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315.21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40E811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EFCF8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658D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消能防冲洪水标准</w:t>
            </w:r>
          </w:p>
        </w:tc>
        <w:tc>
          <w:tcPr>
            <w:tcW w:w="912" w:type="dxa"/>
            <w:tcBorders>
              <w:tl2br w:val="nil"/>
              <w:tr2bl w:val="nil"/>
            </w:tcBorders>
            <w:shd w:val="clear" w:color="auto" w:fill="auto"/>
            <w:vAlign w:val="center"/>
          </w:tcPr>
          <w:p w14:paraId="0C5366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66DF90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064" w:type="dxa"/>
            <w:tcBorders>
              <w:tl2br w:val="nil"/>
              <w:tr2bl w:val="nil"/>
            </w:tcBorders>
            <w:shd w:val="clear" w:color="auto" w:fill="auto"/>
            <w:vAlign w:val="center"/>
          </w:tcPr>
          <w:p w14:paraId="25E177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590" w:type="dxa"/>
            <w:tcBorders>
              <w:tl2br w:val="nil"/>
              <w:tr2bl w:val="nil"/>
            </w:tcBorders>
            <w:shd w:val="clear" w:color="auto" w:fill="auto"/>
            <w:vAlign w:val="center"/>
          </w:tcPr>
          <w:p w14:paraId="742878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c>
          <w:tcPr>
            <w:tcW w:w="1572" w:type="dxa"/>
            <w:tcBorders>
              <w:tl2br w:val="nil"/>
              <w:tr2bl w:val="nil"/>
            </w:tcBorders>
            <w:shd w:val="clear" w:color="auto" w:fill="auto"/>
            <w:vAlign w:val="center"/>
          </w:tcPr>
          <w:p w14:paraId="0A49AA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3.33</w:t>
            </w:r>
          </w:p>
        </w:tc>
      </w:tr>
      <w:tr w14:paraId="620D4C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9A02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8A49E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消能防冲下泄流量</w:t>
            </w:r>
          </w:p>
        </w:tc>
        <w:tc>
          <w:tcPr>
            <w:tcW w:w="912" w:type="dxa"/>
            <w:tcBorders>
              <w:tl2br w:val="nil"/>
              <w:tr2bl w:val="nil"/>
            </w:tcBorders>
            <w:shd w:val="clear" w:color="auto" w:fill="auto"/>
            <w:vAlign w:val="center"/>
          </w:tcPr>
          <w:p w14:paraId="46D83D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70B13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64" w:type="dxa"/>
            <w:tcBorders>
              <w:tl2br w:val="nil"/>
              <w:tr2bl w:val="nil"/>
            </w:tcBorders>
            <w:shd w:val="clear" w:color="auto" w:fill="auto"/>
            <w:vAlign w:val="center"/>
          </w:tcPr>
          <w:p w14:paraId="6FEC15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130.1</w:t>
            </w:r>
          </w:p>
        </w:tc>
        <w:tc>
          <w:tcPr>
            <w:tcW w:w="1590" w:type="dxa"/>
            <w:tcBorders>
              <w:tl2br w:val="nil"/>
              <w:tr2bl w:val="nil"/>
            </w:tcBorders>
            <w:shd w:val="clear" w:color="auto" w:fill="auto"/>
            <w:vAlign w:val="center"/>
          </w:tcPr>
          <w:p w14:paraId="774429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106.39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414115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130.28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130.28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3AF1D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2AF407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二、水库(中型)</w:t>
            </w:r>
          </w:p>
        </w:tc>
      </w:tr>
      <w:tr w14:paraId="097D99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113D0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3053BC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水库水位</w:t>
            </w:r>
          </w:p>
        </w:tc>
        <w:tc>
          <w:tcPr>
            <w:tcW w:w="912" w:type="dxa"/>
            <w:tcBorders>
              <w:tl2br w:val="nil"/>
              <w:tr2bl w:val="nil"/>
            </w:tcBorders>
            <w:shd w:val="clear" w:color="auto" w:fill="auto"/>
            <w:vAlign w:val="center"/>
          </w:tcPr>
          <w:p w14:paraId="598857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509A3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022D5D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AC96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AD45E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55365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11BC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2921A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校核洪水位</w:t>
            </w:r>
          </w:p>
        </w:tc>
        <w:tc>
          <w:tcPr>
            <w:tcW w:w="912" w:type="dxa"/>
            <w:tcBorders>
              <w:tl2br w:val="nil"/>
              <w:tr2bl w:val="nil"/>
            </w:tcBorders>
            <w:shd w:val="clear" w:color="auto" w:fill="auto"/>
            <w:vAlign w:val="center"/>
          </w:tcPr>
          <w:p w14:paraId="4A8C4A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0C0505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288.06</w:t>
            </w:r>
          </w:p>
        </w:tc>
        <w:tc>
          <w:tcPr>
            <w:tcW w:w="1064" w:type="dxa"/>
            <w:tcBorders>
              <w:tl2br w:val="nil"/>
              <w:tr2bl w:val="nil"/>
            </w:tcBorders>
            <w:shd w:val="clear" w:color="auto" w:fill="auto"/>
            <w:vAlign w:val="center"/>
          </w:tcPr>
          <w:p w14:paraId="6F93BA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287.51</w:t>
            </w:r>
          </w:p>
        </w:tc>
        <w:tc>
          <w:tcPr>
            <w:tcW w:w="1590" w:type="dxa"/>
            <w:tcBorders>
              <w:tl2br w:val="nil"/>
              <w:tr2bl w:val="nil"/>
            </w:tcBorders>
            <w:shd w:val="clear" w:color="auto" w:fill="auto"/>
            <w:vAlign w:val="center"/>
          </w:tcPr>
          <w:p w14:paraId="3B379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287.51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286.89</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088492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291.84</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291.37</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719F8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9CD8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C0285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设计洪水位</w:t>
            </w:r>
          </w:p>
        </w:tc>
        <w:tc>
          <w:tcPr>
            <w:tcW w:w="912" w:type="dxa"/>
            <w:tcBorders>
              <w:tl2br w:val="nil"/>
              <w:tr2bl w:val="nil"/>
            </w:tcBorders>
            <w:shd w:val="clear" w:color="auto" w:fill="auto"/>
            <w:vAlign w:val="center"/>
          </w:tcPr>
          <w:p w14:paraId="3860B0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59384F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287.66</w:t>
            </w:r>
          </w:p>
        </w:tc>
        <w:tc>
          <w:tcPr>
            <w:tcW w:w="1064" w:type="dxa"/>
            <w:tcBorders>
              <w:tl2br w:val="nil"/>
              <w:tr2bl w:val="nil"/>
            </w:tcBorders>
            <w:shd w:val="clear" w:color="auto" w:fill="auto"/>
            <w:vAlign w:val="center"/>
          </w:tcPr>
          <w:p w14:paraId="1078A8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286.98</w:t>
            </w:r>
          </w:p>
        </w:tc>
        <w:tc>
          <w:tcPr>
            <w:tcW w:w="1590" w:type="dxa"/>
            <w:tcBorders>
              <w:tl2br w:val="nil"/>
              <w:tr2bl w:val="nil"/>
            </w:tcBorders>
            <w:shd w:val="clear" w:color="auto" w:fill="auto"/>
            <w:vAlign w:val="center"/>
          </w:tcPr>
          <w:p w14:paraId="5A5B45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286.98</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286.70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c>
          <w:tcPr>
            <w:tcW w:w="1572" w:type="dxa"/>
            <w:tcBorders>
              <w:tl2br w:val="nil"/>
              <w:tr2bl w:val="nil"/>
            </w:tcBorders>
            <w:shd w:val="clear" w:color="auto" w:fill="auto"/>
            <w:vAlign w:val="center"/>
          </w:tcPr>
          <w:p w14:paraId="5B9544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291.31</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291.10</w:t>
            </w:r>
            <w:r>
              <w:rPr>
                <w:rFonts w:hint="default" w:ascii="Times New Roman" w:hAnsi="Times New Roman" w:eastAsia="宋体" w:cs="Times New Roman"/>
                <w:i w:val="0"/>
                <w:iCs w:val="0"/>
                <w:color w:val="auto"/>
                <w:kern w:val="0"/>
                <w:sz w:val="21"/>
                <w:szCs w:val="21"/>
                <w:highlight w:val="none"/>
                <w:u w:val="none" w:color="auto"/>
                <w:lang w:val="en-US" w:eastAsia="zh-CN" w:bidi="ar"/>
              </w:rPr>
              <w:t>)</w:t>
            </w:r>
          </w:p>
        </w:tc>
      </w:tr>
      <w:tr w14:paraId="1F7F0A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4D31B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CDE4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正常水位</w:t>
            </w:r>
          </w:p>
        </w:tc>
        <w:tc>
          <w:tcPr>
            <w:tcW w:w="912" w:type="dxa"/>
            <w:tcBorders>
              <w:tl2br w:val="nil"/>
              <w:tr2bl w:val="nil"/>
            </w:tcBorders>
            <w:shd w:val="clear" w:color="auto" w:fill="auto"/>
            <w:vAlign w:val="center"/>
          </w:tcPr>
          <w:p w14:paraId="63C36A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22D9BA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064" w:type="dxa"/>
            <w:tcBorders>
              <w:tl2br w:val="nil"/>
              <w:tr2bl w:val="nil"/>
            </w:tcBorders>
            <w:shd w:val="clear" w:color="auto" w:fill="auto"/>
            <w:vAlign w:val="center"/>
          </w:tcPr>
          <w:p w14:paraId="165819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90" w:type="dxa"/>
            <w:tcBorders>
              <w:tl2br w:val="nil"/>
              <w:tr2bl w:val="nil"/>
            </w:tcBorders>
            <w:shd w:val="clear" w:color="auto" w:fill="auto"/>
            <w:vAlign w:val="center"/>
          </w:tcPr>
          <w:p w14:paraId="108C5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72" w:type="dxa"/>
            <w:tcBorders>
              <w:tl2br w:val="nil"/>
              <w:tr2bl w:val="nil"/>
            </w:tcBorders>
            <w:shd w:val="clear" w:color="auto" w:fill="auto"/>
            <w:vAlign w:val="center"/>
          </w:tcPr>
          <w:p w14:paraId="1AA92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289.85</w:t>
            </w:r>
          </w:p>
        </w:tc>
      </w:tr>
      <w:tr w14:paraId="0B672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361A2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9765A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死水位</w:t>
            </w:r>
          </w:p>
        </w:tc>
        <w:tc>
          <w:tcPr>
            <w:tcW w:w="912" w:type="dxa"/>
            <w:tcBorders>
              <w:tl2br w:val="nil"/>
              <w:tr2bl w:val="nil"/>
            </w:tcBorders>
            <w:shd w:val="clear" w:color="auto" w:fill="auto"/>
            <w:vAlign w:val="center"/>
          </w:tcPr>
          <w:p w14:paraId="4385AC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0F2710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064" w:type="dxa"/>
            <w:tcBorders>
              <w:tl2br w:val="nil"/>
              <w:tr2bl w:val="nil"/>
            </w:tcBorders>
            <w:shd w:val="clear" w:color="auto" w:fill="auto"/>
            <w:vAlign w:val="center"/>
          </w:tcPr>
          <w:p w14:paraId="1C9709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590" w:type="dxa"/>
            <w:tcBorders>
              <w:tl2br w:val="nil"/>
              <w:tr2bl w:val="nil"/>
            </w:tcBorders>
            <w:shd w:val="clear" w:color="auto" w:fill="auto"/>
            <w:vAlign w:val="center"/>
          </w:tcPr>
          <w:p w14:paraId="40CB8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253</w:t>
            </w:r>
          </w:p>
        </w:tc>
        <w:tc>
          <w:tcPr>
            <w:tcW w:w="1572" w:type="dxa"/>
            <w:tcBorders>
              <w:tl2br w:val="nil"/>
              <w:tr2bl w:val="nil"/>
            </w:tcBorders>
            <w:shd w:val="clear" w:color="auto" w:fill="auto"/>
            <w:vAlign w:val="center"/>
          </w:tcPr>
          <w:p w14:paraId="4A86F9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257.33</w:t>
            </w:r>
          </w:p>
        </w:tc>
      </w:tr>
      <w:tr w14:paraId="759CF3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0DAA0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610814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水库库容</w:t>
            </w:r>
          </w:p>
        </w:tc>
        <w:tc>
          <w:tcPr>
            <w:tcW w:w="912" w:type="dxa"/>
            <w:tcBorders>
              <w:tl2br w:val="nil"/>
              <w:tr2bl w:val="nil"/>
            </w:tcBorders>
            <w:shd w:val="clear" w:color="auto" w:fill="auto"/>
            <w:vAlign w:val="center"/>
          </w:tcPr>
          <w:p w14:paraId="622D00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4188C5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1A507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C580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1744D7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CD55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F9839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D586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总库容</w:t>
            </w:r>
          </w:p>
        </w:tc>
        <w:tc>
          <w:tcPr>
            <w:tcW w:w="912" w:type="dxa"/>
            <w:tcBorders>
              <w:tl2br w:val="nil"/>
              <w:tr2bl w:val="nil"/>
            </w:tcBorders>
            <w:shd w:val="clear" w:color="auto" w:fill="auto"/>
            <w:vAlign w:val="center"/>
          </w:tcPr>
          <w:p w14:paraId="4A262C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7C59B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1050</w:t>
            </w:r>
          </w:p>
        </w:tc>
        <w:tc>
          <w:tcPr>
            <w:tcW w:w="1064" w:type="dxa"/>
            <w:tcBorders>
              <w:tl2br w:val="nil"/>
              <w:tr2bl w:val="nil"/>
            </w:tcBorders>
            <w:shd w:val="clear" w:color="auto" w:fill="auto"/>
            <w:vAlign w:val="center"/>
          </w:tcPr>
          <w:p w14:paraId="54EAFC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1012.1</w:t>
            </w:r>
          </w:p>
        </w:tc>
        <w:tc>
          <w:tcPr>
            <w:tcW w:w="1590" w:type="dxa"/>
            <w:tcBorders>
              <w:tl2br w:val="nil"/>
              <w:tr2bl w:val="nil"/>
            </w:tcBorders>
            <w:shd w:val="clear" w:color="auto" w:fill="auto"/>
            <w:vAlign w:val="center"/>
          </w:tcPr>
          <w:p w14:paraId="733263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1012.1</w:t>
            </w:r>
          </w:p>
        </w:tc>
        <w:tc>
          <w:tcPr>
            <w:tcW w:w="1572" w:type="dxa"/>
            <w:tcBorders>
              <w:tl2br w:val="nil"/>
              <w:tr2bl w:val="nil"/>
            </w:tcBorders>
            <w:shd w:val="clear" w:color="auto" w:fill="auto"/>
            <w:vAlign w:val="center"/>
          </w:tcPr>
          <w:p w14:paraId="3DBC79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1008.6</w:t>
            </w:r>
          </w:p>
        </w:tc>
      </w:tr>
      <w:tr w14:paraId="1AB8D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C141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DD554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正常库容</w:t>
            </w:r>
          </w:p>
        </w:tc>
        <w:tc>
          <w:tcPr>
            <w:tcW w:w="912" w:type="dxa"/>
            <w:tcBorders>
              <w:tl2br w:val="nil"/>
              <w:tr2bl w:val="nil"/>
            </w:tcBorders>
            <w:shd w:val="clear" w:color="auto" w:fill="auto"/>
            <w:vAlign w:val="center"/>
          </w:tcPr>
          <w:p w14:paraId="1E0E1B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4E3EA9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064" w:type="dxa"/>
            <w:tcBorders>
              <w:tl2br w:val="nil"/>
              <w:tr2bl w:val="nil"/>
            </w:tcBorders>
            <w:shd w:val="clear" w:color="auto" w:fill="auto"/>
            <w:vAlign w:val="center"/>
          </w:tcPr>
          <w:p w14:paraId="3F36E9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590" w:type="dxa"/>
            <w:tcBorders>
              <w:tl2br w:val="nil"/>
              <w:tr2bl w:val="nil"/>
            </w:tcBorders>
            <w:shd w:val="clear" w:color="auto" w:fill="auto"/>
            <w:vAlign w:val="center"/>
          </w:tcPr>
          <w:p w14:paraId="0BBDD9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910</w:t>
            </w:r>
          </w:p>
        </w:tc>
        <w:tc>
          <w:tcPr>
            <w:tcW w:w="1572" w:type="dxa"/>
            <w:tcBorders>
              <w:tl2br w:val="nil"/>
              <w:tr2bl w:val="nil"/>
            </w:tcBorders>
            <w:shd w:val="clear" w:color="auto" w:fill="auto"/>
            <w:vAlign w:val="center"/>
          </w:tcPr>
          <w:p w14:paraId="6EB9A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907</w:t>
            </w:r>
          </w:p>
        </w:tc>
      </w:tr>
      <w:tr w14:paraId="119ED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FB15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0B2F9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死库容</w:t>
            </w:r>
          </w:p>
        </w:tc>
        <w:tc>
          <w:tcPr>
            <w:tcW w:w="912" w:type="dxa"/>
            <w:tcBorders>
              <w:tl2br w:val="nil"/>
              <w:tr2bl w:val="nil"/>
            </w:tcBorders>
            <w:shd w:val="clear" w:color="auto" w:fill="auto"/>
            <w:vAlign w:val="center"/>
          </w:tcPr>
          <w:p w14:paraId="651097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5E8CB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064" w:type="dxa"/>
            <w:tcBorders>
              <w:tl2br w:val="nil"/>
              <w:tr2bl w:val="nil"/>
            </w:tcBorders>
            <w:shd w:val="clear" w:color="auto" w:fill="auto"/>
            <w:vAlign w:val="center"/>
          </w:tcPr>
          <w:p w14:paraId="7D83EB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590" w:type="dxa"/>
            <w:tcBorders>
              <w:tl2br w:val="nil"/>
              <w:tr2bl w:val="nil"/>
            </w:tcBorders>
            <w:shd w:val="clear" w:color="auto" w:fill="auto"/>
            <w:vAlign w:val="center"/>
          </w:tcPr>
          <w:p w14:paraId="107FC9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572" w:type="dxa"/>
            <w:tcBorders>
              <w:tl2br w:val="nil"/>
              <w:tr2bl w:val="nil"/>
            </w:tcBorders>
            <w:shd w:val="clear" w:color="auto" w:fill="auto"/>
            <w:vAlign w:val="center"/>
          </w:tcPr>
          <w:p w14:paraId="44D88F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r>
      <w:tr w14:paraId="416CEB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C5FD2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FB667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有效库容</w:t>
            </w:r>
          </w:p>
        </w:tc>
        <w:tc>
          <w:tcPr>
            <w:tcW w:w="912" w:type="dxa"/>
            <w:tcBorders>
              <w:tl2br w:val="nil"/>
              <w:tr2bl w:val="nil"/>
            </w:tcBorders>
            <w:shd w:val="clear" w:color="auto" w:fill="auto"/>
            <w:vAlign w:val="center"/>
          </w:tcPr>
          <w:p w14:paraId="7E28F2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76DD6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064" w:type="dxa"/>
            <w:tcBorders>
              <w:tl2br w:val="nil"/>
              <w:tr2bl w:val="nil"/>
            </w:tcBorders>
            <w:shd w:val="clear" w:color="auto" w:fill="auto"/>
            <w:vAlign w:val="center"/>
          </w:tcPr>
          <w:p w14:paraId="74F913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590" w:type="dxa"/>
            <w:tcBorders>
              <w:tl2br w:val="nil"/>
              <w:tr2bl w:val="nil"/>
            </w:tcBorders>
            <w:shd w:val="clear" w:color="auto" w:fill="auto"/>
            <w:vAlign w:val="center"/>
          </w:tcPr>
          <w:p w14:paraId="1F4A0C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895</w:t>
            </w:r>
          </w:p>
        </w:tc>
        <w:tc>
          <w:tcPr>
            <w:tcW w:w="1572" w:type="dxa"/>
            <w:tcBorders>
              <w:tl2br w:val="nil"/>
              <w:tr2bl w:val="nil"/>
            </w:tcBorders>
            <w:shd w:val="clear" w:color="auto" w:fill="auto"/>
            <w:vAlign w:val="center"/>
          </w:tcPr>
          <w:p w14:paraId="1F5903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893</w:t>
            </w:r>
          </w:p>
        </w:tc>
      </w:tr>
      <w:tr w14:paraId="560CD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70FE7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4A0BB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调洪库容</w:t>
            </w:r>
          </w:p>
        </w:tc>
        <w:tc>
          <w:tcPr>
            <w:tcW w:w="912" w:type="dxa"/>
            <w:tcBorders>
              <w:tl2br w:val="nil"/>
              <w:tr2bl w:val="nil"/>
            </w:tcBorders>
            <w:shd w:val="clear" w:color="auto" w:fill="auto"/>
            <w:vAlign w:val="center"/>
          </w:tcPr>
          <w:p w14:paraId="58148D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594985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140</w:t>
            </w:r>
          </w:p>
        </w:tc>
        <w:tc>
          <w:tcPr>
            <w:tcW w:w="1064" w:type="dxa"/>
            <w:tcBorders>
              <w:tl2br w:val="nil"/>
              <w:tr2bl w:val="nil"/>
            </w:tcBorders>
            <w:shd w:val="clear" w:color="auto" w:fill="auto"/>
            <w:vAlign w:val="center"/>
          </w:tcPr>
          <w:p w14:paraId="204B43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102.1</w:t>
            </w:r>
          </w:p>
        </w:tc>
        <w:tc>
          <w:tcPr>
            <w:tcW w:w="1590" w:type="dxa"/>
            <w:tcBorders>
              <w:tl2br w:val="nil"/>
              <w:tr2bl w:val="nil"/>
            </w:tcBorders>
            <w:shd w:val="clear" w:color="auto" w:fill="auto"/>
            <w:vAlign w:val="center"/>
          </w:tcPr>
          <w:p w14:paraId="6F341D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102.1</w:t>
            </w:r>
          </w:p>
        </w:tc>
        <w:tc>
          <w:tcPr>
            <w:tcW w:w="1572" w:type="dxa"/>
            <w:tcBorders>
              <w:tl2br w:val="nil"/>
              <w:tr2bl w:val="nil"/>
            </w:tcBorders>
            <w:shd w:val="clear" w:color="auto" w:fill="auto"/>
            <w:vAlign w:val="center"/>
          </w:tcPr>
          <w:p w14:paraId="621D1D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101.6</w:t>
            </w:r>
          </w:p>
        </w:tc>
      </w:tr>
      <w:tr w14:paraId="4643C7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19E6B2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三、工程效益</w:t>
            </w:r>
          </w:p>
        </w:tc>
      </w:tr>
      <w:tr w14:paraId="7E98F3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C3E45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63FB12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灌溉面积</w:t>
            </w:r>
          </w:p>
        </w:tc>
        <w:tc>
          <w:tcPr>
            <w:tcW w:w="912" w:type="dxa"/>
            <w:tcBorders>
              <w:tl2br w:val="nil"/>
              <w:tr2bl w:val="nil"/>
            </w:tcBorders>
            <w:shd w:val="clear" w:color="auto" w:fill="auto"/>
            <w:vAlign w:val="center"/>
          </w:tcPr>
          <w:p w14:paraId="50C506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万亩</w:t>
            </w:r>
          </w:p>
        </w:tc>
        <w:tc>
          <w:tcPr>
            <w:tcW w:w="1024" w:type="dxa"/>
            <w:tcBorders>
              <w:tl2br w:val="nil"/>
              <w:tr2bl w:val="nil"/>
            </w:tcBorders>
            <w:shd w:val="clear" w:color="auto" w:fill="auto"/>
            <w:vAlign w:val="center"/>
          </w:tcPr>
          <w:p w14:paraId="622C3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4F9D4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37BFF7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w:t>
            </w:r>
          </w:p>
        </w:tc>
        <w:tc>
          <w:tcPr>
            <w:tcW w:w="1572" w:type="dxa"/>
            <w:tcBorders>
              <w:tl2br w:val="nil"/>
              <w:tr2bl w:val="nil"/>
            </w:tcBorders>
            <w:shd w:val="clear" w:color="auto" w:fill="auto"/>
            <w:vAlign w:val="center"/>
          </w:tcPr>
          <w:p w14:paraId="1DB01B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w:t>
            </w:r>
          </w:p>
        </w:tc>
      </w:tr>
      <w:tr w14:paraId="228981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07E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733EC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装机容量</w:t>
            </w:r>
          </w:p>
        </w:tc>
        <w:tc>
          <w:tcPr>
            <w:tcW w:w="912" w:type="dxa"/>
            <w:tcBorders>
              <w:tl2br w:val="nil"/>
              <w:tr2bl w:val="nil"/>
            </w:tcBorders>
            <w:shd w:val="clear" w:color="auto" w:fill="auto"/>
            <w:vAlign w:val="center"/>
          </w:tcPr>
          <w:p w14:paraId="48ABD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highlight w:val="none"/>
                <w:u w:val="none" w:color="auto"/>
                <w:lang w:val="en-US" w:eastAsia="zh-CN" w:bidi="ar"/>
              </w:rPr>
              <w:t>kW</w:t>
            </w:r>
          </w:p>
        </w:tc>
        <w:tc>
          <w:tcPr>
            <w:tcW w:w="1024" w:type="dxa"/>
            <w:tcBorders>
              <w:tl2br w:val="nil"/>
              <w:tr2bl w:val="nil"/>
            </w:tcBorders>
            <w:shd w:val="clear" w:color="auto" w:fill="auto"/>
            <w:vAlign w:val="center"/>
          </w:tcPr>
          <w:p w14:paraId="2D39AB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2B63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5ACA9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440</w:t>
            </w:r>
          </w:p>
        </w:tc>
        <w:tc>
          <w:tcPr>
            <w:tcW w:w="1572" w:type="dxa"/>
            <w:tcBorders>
              <w:tl2br w:val="nil"/>
              <w:tr2bl w:val="nil"/>
            </w:tcBorders>
            <w:shd w:val="clear" w:color="auto" w:fill="auto"/>
            <w:vAlign w:val="center"/>
          </w:tcPr>
          <w:p w14:paraId="45EAAB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440</w:t>
            </w:r>
          </w:p>
        </w:tc>
      </w:tr>
      <w:tr w14:paraId="0C4BDE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4C919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4E25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城镇供水</w:t>
            </w:r>
          </w:p>
        </w:tc>
        <w:tc>
          <w:tcPr>
            <w:tcW w:w="912" w:type="dxa"/>
            <w:tcBorders>
              <w:tl2br w:val="nil"/>
              <w:tr2bl w:val="nil"/>
            </w:tcBorders>
            <w:shd w:val="clear" w:color="auto" w:fill="auto"/>
            <w:vAlign w:val="center"/>
          </w:tcPr>
          <w:p w14:paraId="3DBCB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/d</w:t>
            </w:r>
          </w:p>
        </w:tc>
        <w:tc>
          <w:tcPr>
            <w:tcW w:w="1024" w:type="dxa"/>
            <w:tcBorders>
              <w:tl2br w:val="nil"/>
              <w:tr2bl w:val="nil"/>
            </w:tcBorders>
            <w:shd w:val="clear" w:color="auto" w:fill="auto"/>
            <w:vAlign w:val="center"/>
          </w:tcPr>
          <w:p w14:paraId="1C5C9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0147E2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D5A7A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1572" w:type="dxa"/>
            <w:tcBorders>
              <w:tl2br w:val="nil"/>
              <w:tr2bl w:val="nil"/>
            </w:tcBorders>
            <w:shd w:val="clear" w:color="auto" w:fill="auto"/>
            <w:vAlign w:val="center"/>
          </w:tcPr>
          <w:p w14:paraId="384AFE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r>
      <w:tr w14:paraId="47C97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9AB1F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23E015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多年均发电量</w:t>
            </w:r>
          </w:p>
        </w:tc>
        <w:tc>
          <w:tcPr>
            <w:tcW w:w="912" w:type="dxa"/>
            <w:tcBorders>
              <w:tl2br w:val="nil"/>
              <w:tr2bl w:val="nil"/>
            </w:tcBorders>
            <w:shd w:val="clear" w:color="auto" w:fill="auto"/>
            <w:vAlign w:val="center"/>
          </w:tcPr>
          <w:p w14:paraId="6899EA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w:t>
            </w:r>
            <w:r>
              <w:rPr>
                <w:rFonts w:hint="default" w:ascii="Times New Roman" w:hAnsi="Times New Roman" w:cs="Times New Roman"/>
                <w:i w:val="0"/>
                <w:iCs w:val="0"/>
                <w:color w:val="auto"/>
                <w:kern w:val="0"/>
                <w:sz w:val="21"/>
                <w:szCs w:val="21"/>
                <w:u w:val="none" w:color="auto"/>
                <w:lang w:val="en-US" w:eastAsia="zh-CN" w:bidi="ar"/>
              </w:rPr>
              <w:t>kW</w:t>
            </w:r>
            <w:r>
              <w:rPr>
                <w:rFonts w:hint="default" w:ascii="Times New Roman" w:hAnsi="Times New Roman" w:eastAsia="宋体" w:cs="Times New Roman"/>
                <w:i w:val="0"/>
                <w:iCs w:val="0"/>
                <w:color w:val="auto"/>
                <w:kern w:val="0"/>
                <w:sz w:val="21"/>
                <w:szCs w:val="21"/>
                <w:u w:val="none" w:color="auto"/>
                <w:lang w:val="en-US" w:eastAsia="zh-CN" w:bidi="ar"/>
              </w:rPr>
              <w:t>h</w:t>
            </w:r>
          </w:p>
        </w:tc>
        <w:tc>
          <w:tcPr>
            <w:tcW w:w="1024" w:type="dxa"/>
            <w:tcBorders>
              <w:tl2br w:val="nil"/>
              <w:tr2bl w:val="nil"/>
            </w:tcBorders>
            <w:shd w:val="clear" w:color="auto" w:fill="auto"/>
            <w:vAlign w:val="center"/>
          </w:tcPr>
          <w:p w14:paraId="016B9E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773A9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4C9A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190</w:t>
            </w:r>
          </w:p>
        </w:tc>
        <w:tc>
          <w:tcPr>
            <w:tcW w:w="1572" w:type="dxa"/>
            <w:tcBorders>
              <w:tl2br w:val="nil"/>
              <w:tr2bl w:val="nil"/>
            </w:tcBorders>
            <w:shd w:val="clear" w:color="auto" w:fill="auto"/>
            <w:vAlign w:val="center"/>
          </w:tcPr>
          <w:p w14:paraId="552438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190</w:t>
            </w:r>
          </w:p>
        </w:tc>
      </w:tr>
      <w:tr w14:paraId="150A3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A71A2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1DAE1D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防洪保护人口</w:t>
            </w:r>
          </w:p>
        </w:tc>
        <w:tc>
          <w:tcPr>
            <w:tcW w:w="912" w:type="dxa"/>
            <w:tcBorders>
              <w:tl2br w:val="nil"/>
              <w:tr2bl w:val="nil"/>
            </w:tcBorders>
            <w:shd w:val="clear" w:color="auto" w:fill="auto"/>
            <w:vAlign w:val="center"/>
          </w:tcPr>
          <w:p w14:paraId="06A55E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万人</w:t>
            </w:r>
          </w:p>
        </w:tc>
        <w:tc>
          <w:tcPr>
            <w:tcW w:w="1024" w:type="dxa"/>
            <w:tcBorders>
              <w:tl2br w:val="nil"/>
              <w:tr2bl w:val="nil"/>
            </w:tcBorders>
            <w:shd w:val="clear" w:color="auto" w:fill="auto"/>
            <w:vAlign w:val="center"/>
          </w:tcPr>
          <w:p w14:paraId="7D9532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A0CE7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C72C1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1572" w:type="dxa"/>
            <w:tcBorders>
              <w:tl2br w:val="nil"/>
              <w:tr2bl w:val="nil"/>
            </w:tcBorders>
            <w:shd w:val="clear" w:color="auto" w:fill="auto"/>
            <w:vAlign w:val="center"/>
          </w:tcPr>
          <w:p w14:paraId="6567C0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r>
      <w:tr w14:paraId="38FA3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00A78C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四、地震与工程等级</w:t>
            </w:r>
          </w:p>
        </w:tc>
      </w:tr>
      <w:tr w14:paraId="075B7B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7C144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72C0F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地震基本烈度</w:t>
            </w:r>
          </w:p>
        </w:tc>
        <w:tc>
          <w:tcPr>
            <w:tcW w:w="912" w:type="dxa"/>
            <w:tcBorders>
              <w:tl2br w:val="nil"/>
              <w:tr2bl w:val="nil"/>
            </w:tcBorders>
            <w:shd w:val="clear" w:color="auto" w:fill="auto"/>
            <w:vAlign w:val="center"/>
          </w:tcPr>
          <w:p w14:paraId="77318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度</w:t>
            </w:r>
          </w:p>
        </w:tc>
        <w:tc>
          <w:tcPr>
            <w:tcW w:w="1024" w:type="dxa"/>
            <w:tcBorders>
              <w:tl2br w:val="nil"/>
              <w:tr2bl w:val="nil"/>
            </w:tcBorders>
            <w:shd w:val="clear" w:color="auto" w:fill="auto"/>
            <w:vAlign w:val="center"/>
          </w:tcPr>
          <w:p w14:paraId="39D726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064" w:type="dxa"/>
            <w:tcBorders>
              <w:tl2br w:val="nil"/>
              <w:tr2bl w:val="nil"/>
            </w:tcBorders>
            <w:shd w:val="clear" w:color="auto" w:fill="auto"/>
            <w:vAlign w:val="center"/>
          </w:tcPr>
          <w:p w14:paraId="2B1204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590" w:type="dxa"/>
            <w:tcBorders>
              <w:tl2br w:val="nil"/>
              <w:tr2bl w:val="nil"/>
            </w:tcBorders>
            <w:shd w:val="clear" w:color="auto" w:fill="auto"/>
            <w:vAlign w:val="center"/>
          </w:tcPr>
          <w:p w14:paraId="794FA2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c>
          <w:tcPr>
            <w:tcW w:w="1572" w:type="dxa"/>
            <w:tcBorders>
              <w:tl2br w:val="nil"/>
              <w:tr2bl w:val="nil"/>
            </w:tcBorders>
            <w:shd w:val="clear" w:color="auto" w:fill="auto"/>
            <w:vAlign w:val="center"/>
          </w:tcPr>
          <w:p w14:paraId="2AD208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VI</w:t>
            </w:r>
          </w:p>
        </w:tc>
      </w:tr>
      <w:tr w14:paraId="4E8DE7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19731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24EAFF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工程等别</w:t>
            </w:r>
          </w:p>
        </w:tc>
        <w:tc>
          <w:tcPr>
            <w:tcW w:w="912" w:type="dxa"/>
            <w:tcBorders>
              <w:tl2br w:val="nil"/>
              <w:tr2bl w:val="nil"/>
            </w:tcBorders>
            <w:shd w:val="clear" w:color="auto" w:fill="auto"/>
            <w:vAlign w:val="center"/>
          </w:tcPr>
          <w:p w14:paraId="14054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等</w:t>
            </w:r>
          </w:p>
        </w:tc>
        <w:tc>
          <w:tcPr>
            <w:tcW w:w="1024" w:type="dxa"/>
            <w:tcBorders>
              <w:tl2br w:val="nil"/>
              <w:tr2bl w:val="nil"/>
            </w:tcBorders>
            <w:shd w:val="clear" w:color="auto" w:fill="auto"/>
            <w:vAlign w:val="center"/>
          </w:tcPr>
          <w:p w14:paraId="4C1D8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Ⅳ</w:t>
            </w:r>
          </w:p>
        </w:tc>
        <w:tc>
          <w:tcPr>
            <w:tcW w:w="1064" w:type="dxa"/>
            <w:tcBorders>
              <w:tl2br w:val="nil"/>
              <w:tr2bl w:val="nil"/>
            </w:tcBorders>
            <w:shd w:val="clear" w:color="auto" w:fill="auto"/>
            <w:vAlign w:val="center"/>
          </w:tcPr>
          <w:p w14:paraId="2D469A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c>
          <w:tcPr>
            <w:tcW w:w="1590" w:type="dxa"/>
            <w:tcBorders>
              <w:tl2br w:val="nil"/>
              <w:tr2bl w:val="nil"/>
            </w:tcBorders>
            <w:shd w:val="clear" w:color="auto" w:fill="auto"/>
            <w:vAlign w:val="center"/>
          </w:tcPr>
          <w:p w14:paraId="560F81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c>
          <w:tcPr>
            <w:tcW w:w="1572" w:type="dxa"/>
            <w:tcBorders>
              <w:tl2br w:val="nil"/>
              <w:tr2bl w:val="nil"/>
            </w:tcBorders>
            <w:shd w:val="clear" w:color="auto" w:fill="auto"/>
            <w:vAlign w:val="center"/>
          </w:tcPr>
          <w:p w14:paraId="795851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Ⅲ</w:t>
            </w:r>
          </w:p>
        </w:tc>
      </w:tr>
      <w:tr w14:paraId="41A31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48A39E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五、主要建筑物及设备</w:t>
            </w:r>
          </w:p>
        </w:tc>
      </w:tr>
      <w:tr w14:paraId="548D14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3B9FAB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28315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大坝</w:t>
            </w:r>
          </w:p>
        </w:tc>
        <w:tc>
          <w:tcPr>
            <w:tcW w:w="912" w:type="dxa"/>
            <w:tcBorders>
              <w:tl2br w:val="nil"/>
              <w:tr2bl w:val="nil"/>
            </w:tcBorders>
            <w:shd w:val="clear" w:color="auto" w:fill="auto"/>
            <w:vAlign w:val="center"/>
          </w:tcPr>
          <w:p w14:paraId="52A3FD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5250" w:type="dxa"/>
            <w:gridSpan w:val="4"/>
            <w:tcBorders>
              <w:tl2br w:val="nil"/>
              <w:tr2bl w:val="nil"/>
            </w:tcBorders>
            <w:shd w:val="clear" w:color="auto" w:fill="auto"/>
            <w:vAlign w:val="center"/>
          </w:tcPr>
          <w:p w14:paraId="2CE16B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粘土心墙</w:t>
            </w:r>
            <w:r>
              <w:rPr>
                <w:rFonts w:hint="default" w:ascii="Times New Roman" w:hAnsi="Times New Roman" w:eastAsia="宋体" w:cs="Times New Roman"/>
                <w:i w:val="0"/>
                <w:iCs w:val="0"/>
                <w:color w:val="auto"/>
                <w:kern w:val="0"/>
                <w:sz w:val="21"/>
                <w:szCs w:val="21"/>
                <w:u w:val="none" w:color="auto"/>
                <w:lang w:val="en-US" w:eastAsia="zh-CN" w:bidi="ar"/>
              </w:rPr>
              <w:t>坝</w:t>
            </w:r>
          </w:p>
        </w:tc>
      </w:tr>
      <w:tr w14:paraId="35CA1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8A383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EF8DF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最大坝高</w:t>
            </w:r>
          </w:p>
        </w:tc>
        <w:tc>
          <w:tcPr>
            <w:tcW w:w="912" w:type="dxa"/>
            <w:tcBorders>
              <w:tl2br w:val="nil"/>
              <w:tr2bl w:val="nil"/>
            </w:tcBorders>
            <w:shd w:val="clear" w:color="auto" w:fill="auto"/>
            <w:vAlign w:val="center"/>
          </w:tcPr>
          <w:p w14:paraId="75D5DC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36C8B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26.39</w:t>
            </w:r>
          </w:p>
        </w:tc>
        <w:tc>
          <w:tcPr>
            <w:tcW w:w="1064" w:type="dxa"/>
            <w:tcBorders>
              <w:tl2br w:val="nil"/>
              <w:tr2bl w:val="nil"/>
            </w:tcBorders>
            <w:shd w:val="clear" w:color="auto" w:fill="auto"/>
            <w:vAlign w:val="center"/>
          </w:tcPr>
          <w:p w14:paraId="76D60F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c>
          <w:tcPr>
            <w:tcW w:w="1590" w:type="dxa"/>
            <w:tcBorders>
              <w:tl2br w:val="nil"/>
              <w:tr2bl w:val="nil"/>
            </w:tcBorders>
            <w:shd w:val="clear" w:color="auto" w:fill="auto"/>
            <w:vAlign w:val="center"/>
          </w:tcPr>
          <w:p w14:paraId="13FE51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c>
          <w:tcPr>
            <w:tcW w:w="1572" w:type="dxa"/>
            <w:tcBorders>
              <w:tl2br w:val="nil"/>
              <w:tr2bl w:val="nil"/>
            </w:tcBorders>
            <w:shd w:val="clear" w:color="auto" w:fill="auto"/>
            <w:vAlign w:val="center"/>
          </w:tcPr>
          <w:p w14:paraId="179B2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45.39</w:t>
            </w:r>
          </w:p>
        </w:tc>
      </w:tr>
      <w:tr w14:paraId="2C733A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404BE3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AAC43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坝顶高程</w:t>
            </w:r>
          </w:p>
        </w:tc>
        <w:tc>
          <w:tcPr>
            <w:tcW w:w="912" w:type="dxa"/>
            <w:tcBorders>
              <w:tl2br w:val="nil"/>
              <w:tr2bl w:val="nil"/>
            </w:tcBorders>
            <w:shd w:val="clear" w:color="auto" w:fill="auto"/>
            <w:vAlign w:val="center"/>
          </w:tcPr>
          <w:p w14:paraId="4EF87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F5D82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275</w:t>
            </w:r>
          </w:p>
        </w:tc>
        <w:tc>
          <w:tcPr>
            <w:tcW w:w="1064" w:type="dxa"/>
            <w:tcBorders>
              <w:tl2br w:val="nil"/>
              <w:tr2bl w:val="nil"/>
            </w:tcBorders>
            <w:shd w:val="clear" w:color="auto" w:fill="auto"/>
            <w:vAlign w:val="center"/>
          </w:tcPr>
          <w:p w14:paraId="136F84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289.84</w:t>
            </w:r>
          </w:p>
        </w:tc>
        <w:tc>
          <w:tcPr>
            <w:tcW w:w="1590" w:type="dxa"/>
            <w:tcBorders>
              <w:tl2br w:val="nil"/>
              <w:tr2bl w:val="nil"/>
            </w:tcBorders>
            <w:shd w:val="clear" w:color="auto" w:fill="auto"/>
            <w:vAlign w:val="center"/>
          </w:tcPr>
          <w:p w14:paraId="4F6B8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289.84</w:t>
            </w:r>
          </w:p>
        </w:tc>
        <w:tc>
          <w:tcPr>
            <w:tcW w:w="1572" w:type="dxa"/>
            <w:tcBorders>
              <w:tl2br w:val="nil"/>
              <w:tr2bl w:val="nil"/>
            </w:tcBorders>
            <w:shd w:val="clear" w:color="auto" w:fill="auto"/>
            <w:vAlign w:val="center"/>
          </w:tcPr>
          <w:p w14:paraId="6B20B0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294.17</w:t>
            </w:r>
          </w:p>
        </w:tc>
      </w:tr>
      <w:tr w14:paraId="0C1A9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1447E9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294F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坝顶宽</w:t>
            </w:r>
          </w:p>
        </w:tc>
        <w:tc>
          <w:tcPr>
            <w:tcW w:w="912" w:type="dxa"/>
            <w:tcBorders>
              <w:tl2br w:val="nil"/>
              <w:tr2bl w:val="nil"/>
            </w:tcBorders>
            <w:shd w:val="clear" w:color="auto" w:fill="auto"/>
            <w:vAlign w:val="center"/>
          </w:tcPr>
          <w:p w14:paraId="1D425B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2137AB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064" w:type="dxa"/>
            <w:tcBorders>
              <w:tl2br w:val="nil"/>
              <w:tr2bl w:val="nil"/>
            </w:tcBorders>
            <w:shd w:val="clear" w:color="auto" w:fill="auto"/>
            <w:vAlign w:val="center"/>
          </w:tcPr>
          <w:p w14:paraId="616162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590" w:type="dxa"/>
            <w:tcBorders>
              <w:tl2br w:val="nil"/>
              <w:tr2bl w:val="nil"/>
            </w:tcBorders>
            <w:shd w:val="clear" w:color="auto" w:fill="auto"/>
            <w:vAlign w:val="center"/>
          </w:tcPr>
          <w:p w14:paraId="504CE1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572" w:type="dxa"/>
            <w:tcBorders>
              <w:tl2br w:val="nil"/>
              <w:tr2bl w:val="nil"/>
            </w:tcBorders>
            <w:shd w:val="clear" w:color="auto" w:fill="auto"/>
            <w:vAlign w:val="center"/>
          </w:tcPr>
          <w:p w14:paraId="0B2D7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r>
      <w:tr w14:paraId="54EF0D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65191B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0FE0E8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坝轴线长</w:t>
            </w:r>
          </w:p>
        </w:tc>
        <w:tc>
          <w:tcPr>
            <w:tcW w:w="912" w:type="dxa"/>
            <w:tcBorders>
              <w:tl2br w:val="nil"/>
              <w:tr2bl w:val="nil"/>
            </w:tcBorders>
            <w:shd w:val="clear" w:color="auto" w:fill="auto"/>
            <w:vAlign w:val="center"/>
          </w:tcPr>
          <w:p w14:paraId="0E5869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4D5256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064" w:type="dxa"/>
            <w:tcBorders>
              <w:tl2br w:val="nil"/>
              <w:tr2bl w:val="nil"/>
            </w:tcBorders>
            <w:shd w:val="clear" w:color="auto" w:fill="auto"/>
            <w:vAlign w:val="center"/>
          </w:tcPr>
          <w:p w14:paraId="71F1D7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590" w:type="dxa"/>
            <w:tcBorders>
              <w:tl2br w:val="nil"/>
              <w:tr2bl w:val="nil"/>
            </w:tcBorders>
            <w:shd w:val="clear" w:color="auto" w:fill="auto"/>
            <w:vAlign w:val="center"/>
          </w:tcPr>
          <w:p w14:paraId="3A5ACB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1572" w:type="dxa"/>
            <w:tcBorders>
              <w:tl2br w:val="nil"/>
              <w:tr2bl w:val="nil"/>
            </w:tcBorders>
            <w:shd w:val="clear" w:color="auto" w:fill="auto"/>
            <w:vAlign w:val="center"/>
          </w:tcPr>
          <w:p w14:paraId="74BA2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w:t>
            </w:r>
          </w:p>
        </w:tc>
      </w:tr>
      <w:tr w14:paraId="091A8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F89A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10256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泄水建筑物</w:t>
            </w:r>
          </w:p>
        </w:tc>
        <w:tc>
          <w:tcPr>
            <w:tcW w:w="912" w:type="dxa"/>
            <w:tcBorders>
              <w:tl2br w:val="nil"/>
              <w:tr2bl w:val="nil"/>
            </w:tcBorders>
            <w:shd w:val="clear" w:color="auto" w:fill="auto"/>
            <w:vAlign w:val="center"/>
          </w:tcPr>
          <w:p w14:paraId="18CAA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5250" w:type="dxa"/>
            <w:gridSpan w:val="4"/>
            <w:tcBorders>
              <w:tl2br w:val="nil"/>
              <w:tr2bl w:val="nil"/>
            </w:tcBorders>
            <w:shd w:val="clear" w:color="auto" w:fill="auto"/>
            <w:vAlign w:val="center"/>
          </w:tcPr>
          <w:p w14:paraId="072E4C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侧槽式梯形溢流堰</w:t>
            </w:r>
          </w:p>
        </w:tc>
      </w:tr>
      <w:tr w14:paraId="61BB44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0499AD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01CFC9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溢洪道长</w:t>
            </w:r>
          </w:p>
        </w:tc>
        <w:tc>
          <w:tcPr>
            <w:tcW w:w="912" w:type="dxa"/>
            <w:tcBorders>
              <w:tl2br w:val="nil"/>
              <w:tr2bl w:val="nil"/>
            </w:tcBorders>
            <w:shd w:val="clear" w:color="auto" w:fill="auto"/>
            <w:vAlign w:val="center"/>
          </w:tcPr>
          <w:p w14:paraId="4250BE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346FDF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08F47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225.12</w:t>
            </w:r>
          </w:p>
        </w:tc>
        <w:tc>
          <w:tcPr>
            <w:tcW w:w="1590" w:type="dxa"/>
            <w:tcBorders>
              <w:tl2br w:val="nil"/>
              <w:tr2bl w:val="nil"/>
            </w:tcBorders>
            <w:shd w:val="clear" w:color="auto" w:fill="auto"/>
            <w:vAlign w:val="center"/>
          </w:tcPr>
          <w:p w14:paraId="41CC8A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225.12</w:t>
            </w:r>
          </w:p>
        </w:tc>
        <w:tc>
          <w:tcPr>
            <w:tcW w:w="1572" w:type="dxa"/>
            <w:tcBorders>
              <w:tl2br w:val="nil"/>
              <w:tr2bl w:val="nil"/>
            </w:tcBorders>
            <w:shd w:val="clear" w:color="auto" w:fill="auto"/>
            <w:vAlign w:val="center"/>
          </w:tcPr>
          <w:p w14:paraId="6FF7C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233.33</w:t>
            </w:r>
          </w:p>
        </w:tc>
      </w:tr>
      <w:tr w14:paraId="08099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E9486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42E82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堰顶高程</w:t>
            </w:r>
          </w:p>
        </w:tc>
        <w:tc>
          <w:tcPr>
            <w:tcW w:w="912" w:type="dxa"/>
            <w:tcBorders>
              <w:tl2br w:val="nil"/>
              <w:tr2bl w:val="nil"/>
            </w:tcBorders>
            <w:shd w:val="clear" w:color="auto" w:fill="auto"/>
            <w:vAlign w:val="center"/>
          </w:tcPr>
          <w:p w14:paraId="4C3997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461B68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46D9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90" w:type="dxa"/>
            <w:tcBorders>
              <w:tl2br w:val="nil"/>
              <w:tr2bl w:val="nil"/>
            </w:tcBorders>
            <w:shd w:val="clear" w:color="auto" w:fill="auto"/>
            <w:vAlign w:val="center"/>
          </w:tcPr>
          <w:p w14:paraId="237E34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285.52</w:t>
            </w:r>
          </w:p>
        </w:tc>
        <w:tc>
          <w:tcPr>
            <w:tcW w:w="1572" w:type="dxa"/>
            <w:tcBorders>
              <w:tl2br w:val="nil"/>
              <w:tr2bl w:val="nil"/>
            </w:tcBorders>
            <w:shd w:val="clear" w:color="auto" w:fill="auto"/>
            <w:vAlign w:val="center"/>
          </w:tcPr>
          <w:p w14:paraId="5E347B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289.85</w:t>
            </w:r>
          </w:p>
        </w:tc>
      </w:tr>
      <w:tr w14:paraId="13551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3E1B97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6FDC2D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溢流长度</w:t>
            </w:r>
          </w:p>
        </w:tc>
        <w:tc>
          <w:tcPr>
            <w:tcW w:w="912" w:type="dxa"/>
            <w:tcBorders>
              <w:tl2br w:val="nil"/>
              <w:tr2bl w:val="nil"/>
            </w:tcBorders>
            <w:shd w:val="clear" w:color="auto" w:fill="auto"/>
            <w:vAlign w:val="center"/>
          </w:tcPr>
          <w:p w14:paraId="555497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69A83F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BA4C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c>
          <w:tcPr>
            <w:tcW w:w="1590" w:type="dxa"/>
            <w:tcBorders>
              <w:tl2br w:val="nil"/>
              <w:tr2bl w:val="nil"/>
            </w:tcBorders>
            <w:shd w:val="clear" w:color="auto" w:fill="auto"/>
            <w:vAlign w:val="center"/>
          </w:tcPr>
          <w:p w14:paraId="5E3B8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c>
          <w:tcPr>
            <w:tcW w:w="1572" w:type="dxa"/>
            <w:tcBorders>
              <w:tl2br w:val="nil"/>
              <w:tr2bl w:val="nil"/>
            </w:tcBorders>
            <w:shd w:val="clear" w:color="auto" w:fill="auto"/>
            <w:vAlign w:val="center"/>
          </w:tcPr>
          <w:p w14:paraId="2831CF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70</w:t>
            </w:r>
          </w:p>
        </w:tc>
      </w:tr>
      <w:tr w14:paraId="19EACF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1B9175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CAE6D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消能方式</w:t>
            </w:r>
          </w:p>
        </w:tc>
        <w:tc>
          <w:tcPr>
            <w:tcW w:w="912" w:type="dxa"/>
            <w:tcBorders>
              <w:tl2br w:val="nil"/>
              <w:tr2bl w:val="nil"/>
            </w:tcBorders>
            <w:shd w:val="clear" w:color="auto" w:fill="auto"/>
            <w:vAlign w:val="center"/>
          </w:tcPr>
          <w:p w14:paraId="0FC751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62779D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挑流式</w:t>
            </w:r>
          </w:p>
        </w:tc>
        <w:tc>
          <w:tcPr>
            <w:tcW w:w="1064" w:type="dxa"/>
            <w:tcBorders>
              <w:tl2br w:val="nil"/>
              <w:tr2bl w:val="nil"/>
            </w:tcBorders>
            <w:shd w:val="clear" w:color="auto" w:fill="auto"/>
            <w:vAlign w:val="center"/>
          </w:tcPr>
          <w:p w14:paraId="2F99C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c>
          <w:tcPr>
            <w:tcW w:w="1590" w:type="dxa"/>
            <w:tcBorders>
              <w:tl2br w:val="nil"/>
              <w:tr2bl w:val="nil"/>
            </w:tcBorders>
            <w:shd w:val="clear" w:color="auto" w:fill="auto"/>
            <w:vAlign w:val="center"/>
          </w:tcPr>
          <w:p w14:paraId="2A75C5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c>
          <w:tcPr>
            <w:tcW w:w="1572" w:type="dxa"/>
            <w:tcBorders>
              <w:tl2br w:val="nil"/>
              <w:tr2bl w:val="nil"/>
            </w:tcBorders>
            <w:shd w:val="clear" w:color="auto" w:fill="auto"/>
            <w:vAlign w:val="center"/>
          </w:tcPr>
          <w:p w14:paraId="4A2C32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底流式</w:t>
            </w:r>
          </w:p>
        </w:tc>
      </w:tr>
      <w:tr w14:paraId="37C6D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BFDBF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078328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输水建筑物</w:t>
            </w:r>
          </w:p>
        </w:tc>
        <w:tc>
          <w:tcPr>
            <w:tcW w:w="912" w:type="dxa"/>
            <w:tcBorders>
              <w:tl2br w:val="nil"/>
              <w:tr2bl w:val="nil"/>
            </w:tcBorders>
            <w:shd w:val="clear" w:color="auto" w:fill="auto"/>
            <w:vAlign w:val="center"/>
          </w:tcPr>
          <w:p w14:paraId="6EBCC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65A13F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868E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F65C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F7DAC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4592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3576E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4DF5A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取水型式</w:t>
            </w:r>
          </w:p>
        </w:tc>
        <w:tc>
          <w:tcPr>
            <w:tcW w:w="6162" w:type="dxa"/>
            <w:gridSpan w:val="5"/>
            <w:tcBorders>
              <w:tl2br w:val="nil"/>
              <w:tr2bl w:val="nil"/>
            </w:tcBorders>
            <w:shd w:val="clear" w:color="auto" w:fill="auto"/>
            <w:vAlign w:val="center"/>
          </w:tcPr>
          <w:p w14:paraId="4654C2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卧管、岸塔式取水塔</w:t>
            </w:r>
          </w:p>
        </w:tc>
      </w:tr>
      <w:tr w14:paraId="02E88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A9CD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7DA28D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放水型式</w:t>
            </w:r>
          </w:p>
        </w:tc>
        <w:tc>
          <w:tcPr>
            <w:tcW w:w="6162" w:type="dxa"/>
            <w:gridSpan w:val="5"/>
            <w:tcBorders>
              <w:tl2br w:val="nil"/>
              <w:tr2bl w:val="nil"/>
            </w:tcBorders>
            <w:shd w:val="clear" w:color="auto" w:fill="auto"/>
            <w:vAlign w:val="center"/>
          </w:tcPr>
          <w:p w14:paraId="1B7D3A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隧洞</w:t>
            </w:r>
          </w:p>
        </w:tc>
      </w:tr>
      <w:tr w14:paraId="28737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restart"/>
            <w:tcBorders>
              <w:tl2br w:val="nil"/>
              <w:tr2bl w:val="nil"/>
            </w:tcBorders>
            <w:shd w:val="clear" w:color="auto" w:fill="auto"/>
            <w:vAlign w:val="center"/>
          </w:tcPr>
          <w:p w14:paraId="3C24D3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98D6B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长度/内径</w:t>
            </w:r>
          </w:p>
        </w:tc>
        <w:tc>
          <w:tcPr>
            <w:tcW w:w="912" w:type="dxa"/>
            <w:tcBorders>
              <w:tl2br w:val="nil"/>
              <w:tr2bl w:val="nil"/>
            </w:tcBorders>
            <w:shd w:val="clear" w:color="auto" w:fill="auto"/>
            <w:vAlign w:val="center"/>
          </w:tcPr>
          <w:p w14:paraId="042CB6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1345A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61.5/1.0</w:t>
            </w:r>
          </w:p>
        </w:tc>
        <w:tc>
          <w:tcPr>
            <w:tcW w:w="1064" w:type="dxa"/>
            <w:tcBorders>
              <w:tl2br w:val="nil"/>
              <w:tr2bl w:val="nil"/>
            </w:tcBorders>
            <w:shd w:val="clear" w:color="auto" w:fill="auto"/>
            <w:vAlign w:val="center"/>
          </w:tcPr>
          <w:p w14:paraId="1A10AF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61.5/0.9</w:t>
            </w:r>
          </w:p>
        </w:tc>
        <w:tc>
          <w:tcPr>
            <w:tcW w:w="1590" w:type="dxa"/>
            <w:tcBorders>
              <w:tl2br w:val="nil"/>
              <w:tr2bl w:val="nil"/>
            </w:tcBorders>
            <w:shd w:val="clear" w:color="auto" w:fill="auto"/>
            <w:vAlign w:val="center"/>
          </w:tcPr>
          <w:p w14:paraId="375629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181.50/1.2</w:t>
            </w:r>
          </w:p>
        </w:tc>
        <w:tc>
          <w:tcPr>
            <w:tcW w:w="1572" w:type="dxa"/>
            <w:tcBorders>
              <w:tl2br w:val="nil"/>
              <w:tr2bl w:val="nil"/>
            </w:tcBorders>
            <w:shd w:val="clear" w:color="auto" w:fill="auto"/>
            <w:vAlign w:val="center"/>
          </w:tcPr>
          <w:p w14:paraId="250326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193/1.2</w:t>
            </w:r>
          </w:p>
        </w:tc>
      </w:tr>
      <w:tr w14:paraId="1FA96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0E2FA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3526D2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闸门个数</w:t>
            </w:r>
          </w:p>
        </w:tc>
        <w:tc>
          <w:tcPr>
            <w:tcW w:w="912" w:type="dxa"/>
            <w:tcBorders>
              <w:tl2br w:val="nil"/>
              <w:tr2bl w:val="nil"/>
            </w:tcBorders>
            <w:shd w:val="clear" w:color="auto" w:fill="auto"/>
            <w:vAlign w:val="center"/>
          </w:tcPr>
          <w:p w14:paraId="5DEC5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1024" w:type="dxa"/>
            <w:tcBorders>
              <w:tl2br w:val="nil"/>
              <w:tr2bl w:val="nil"/>
            </w:tcBorders>
            <w:shd w:val="clear" w:color="auto" w:fill="auto"/>
            <w:vAlign w:val="center"/>
          </w:tcPr>
          <w:p w14:paraId="7A6631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1064" w:type="dxa"/>
            <w:tcBorders>
              <w:tl2br w:val="nil"/>
              <w:tr2bl w:val="nil"/>
            </w:tcBorders>
            <w:shd w:val="clear" w:color="auto" w:fill="auto"/>
            <w:vAlign w:val="center"/>
          </w:tcPr>
          <w:p w14:paraId="67C0EF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590" w:type="dxa"/>
            <w:tcBorders>
              <w:tl2br w:val="nil"/>
              <w:tr2bl w:val="nil"/>
            </w:tcBorders>
            <w:shd w:val="clear" w:color="auto" w:fill="auto"/>
            <w:vAlign w:val="center"/>
          </w:tcPr>
          <w:p w14:paraId="76C545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572" w:type="dxa"/>
            <w:tcBorders>
              <w:tl2br w:val="nil"/>
              <w:tr2bl w:val="nil"/>
            </w:tcBorders>
            <w:shd w:val="clear" w:color="auto" w:fill="auto"/>
            <w:vAlign w:val="center"/>
          </w:tcPr>
          <w:p w14:paraId="272B3B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C67C5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vMerge w:val="continue"/>
            <w:tcBorders>
              <w:tl2br w:val="nil"/>
              <w:tr2bl w:val="nil"/>
            </w:tcBorders>
            <w:shd w:val="clear" w:color="auto" w:fill="auto"/>
            <w:vAlign w:val="center"/>
          </w:tcPr>
          <w:p w14:paraId="5FC21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266241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孔口尺寸</w:t>
            </w:r>
          </w:p>
        </w:tc>
        <w:tc>
          <w:tcPr>
            <w:tcW w:w="912" w:type="dxa"/>
            <w:tcBorders>
              <w:tl2br w:val="nil"/>
              <w:tr2bl w:val="nil"/>
            </w:tcBorders>
            <w:shd w:val="clear" w:color="auto" w:fill="auto"/>
            <w:vAlign w:val="center"/>
          </w:tcPr>
          <w:p w14:paraId="68373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m×m</w:t>
            </w:r>
          </w:p>
        </w:tc>
        <w:tc>
          <w:tcPr>
            <w:tcW w:w="1024" w:type="dxa"/>
            <w:tcBorders>
              <w:tl2br w:val="nil"/>
              <w:tr2bl w:val="nil"/>
            </w:tcBorders>
            <w:shd w:val="clear" w:color="auto" w:fill="auto"/>
            <w:vAlign w:val="center"/>
          </w:tcPr>
          <w:p w14:paraId="048212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0.8×0.8</w:t>
            </w:r>
          </w:p>
        </w:tc>
        <w:tc>
          <w:tcPr>
            <w:tcW w:w="1064" w:type="dxa"/>
            <w:tcBorders>
              <w:tl2br w:val="nil"/>
              <w:tr2bl w:val="nil"/>
            </w:tcBorders>
            <w:shd w:val="clear" w:color="auto" w:fill="auto"/>
            <w:vAlign w:val="center"/>
          </w:tcPr>
          <w:p w14:paraId="0B041D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0.72×0.72</w:t>
            </w:r>
          </w:p>
        </w:tc>
        <w:tc>
          <w:tcPr>
            <w:tcW w:w="1590" w:type="dxa"/>
            <w:tcBorders>
              <w:tl2br w:val="nil"/>
              <w:tr2bl w:val="nil"/>
            </w:tcBorders>
            <w:shd w:val="clear" w:color="auto" w:fill="auto"/>
            <w:vAlign w:val="center"/>
          </w:tcPr>
          <w:p w14:paraId="75D0D3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0.8×0.8</w:t>
            </w:r>
          </w:p>
        </w:tc>
        <w:tc>
          <w:tcPr>
            <w:tcW w:w="1572" w:type="dxa"/>
            <w:tcBorders>
              <w:tl2br w:val="nil"/>
              <w:tr2bl w:val="nil"/>
            </w:tcBorders>
            <w:shd w:val="clear" w:color="auto" w:fill="auto"/>
            <w:vAlign w:val="center"/>
          </w:tcPr>
          <w:p w14:paraId="619ACB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D=1.20</w:t>
            </w:r>
          </w:p>
        </w:tc>
      </w:tr>
      <w:tr w14:paraId="12C2C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8A11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5233AA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启闭机</w:t>
            </w:r>
          </w:p>
        </w:tc>
        <w:tc>
          <w:tcPr>
            <w:tcW w:w="912" w:type="dxa"/>
            <w:tcBorders>
              <w:tl2br w:val="nil"/>
              <w:tr2bl w:val="nil"/>
            </w:tcBorders>
            <w:shd w:val="clear" w:color="auto" w:fill="auto"/>
            <w:vAlign w:val="center"/>
          </w:tcPr>
          <w:p w14:paraId="5C4ECE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T/台</w:t>
            </w:r>
          </w:p>
        </w:tc>
        <w:tc>
          <w:tcPr>
            <w:tcW w:w="1024" w:type="dxa"/>
            <w:tcBorders>
              <w:tl2br w:val="nil"/>
              <w:tr2bl w:val="nil"/>
            </w:tcBorders>
            <w:shd w:val="clear" w:color="auto" w:fill="auto"/>
            <w:vAlign w:val="center"/>
          </w:tcPr>
          <w:p w14:paraId="6C054C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064" w:type="dxa"/>
            <w:tcBorders>
              <w:tl2br w:val="nil"/>
              <w:tr2bl w:val="nil"/>
            </w:tcBorders>
            <w:shd w:val="clear" w:color="auto" w:fill="auto"/>
            <w:vAlign w:val="center"/>
          </w:tcPr>
          <w:p w14:paraId="07C0DE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590" w:type="dxa"/>
            <w:tcBorders>
              <w:tl2br w:val="nil"/>
              <w:tr2bl w:val="nil"/>
            </w:tcBorders>
            <w:shd w:val="clear" w:color="auto" w:fill="auto"/>
            <w:vAlign w:val="center"/>
          </w:tcPr>
          <w:p w14:paraId="5C0EB3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3月1日</w:t>
            </w:r>
          </w:p>
        </w:tc>
        <w:tc>
          <w:tcPr>
            <w:tcW w:w="1572" w:type="dxa"/>
            <w:tcBorders>
              <w:tl2br w:val="nil"/>
              <w:tr2bl w:val="nil"/>
            </w:tcBorders>
            <w:shd w:val="clear" w:color="auto" w:fill="auto"/>
            <w:vAlign w:val="center"/>
          </w:tcPr>
          <w:p w14:paraId="5D05A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C69A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3567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80" w:type="dxa"/>
            <w:tcBorders>
              <w:tl2br w:val="nil"/>
              <w:tr2bl w:val="nil"/>
            </w:tcBorders>
            <w:shd w:val="clear" w:color="auto" w:fill="auto"/>
            <w:vAlign w:val="center"/>
          </w:tcPr>
          <w:p w14:paraId="4C81DF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设计流量</w:t>
            </w:r>
          </w:p>
        </w:tc>
        <w:tc>
          <w:tcPr>
            <w:tcW w:w="912" w:type="dxa"/>
            <w:tcBorders>
              <w:tl2br w:val="nil"/>
              <w:tr2bl w:val="nil"/>
            </w:tcBorders>
            <w:shd w:val="clear" w:color="auto" w:fill="auto"/>
            <w:vAlign w:val="center"/>
          </w:tcPr>
          <w:p w14:paraId="3F343C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r>
              <w:rPr>
                <w:rFonts w:hint="default" w:ascii="Times New Roman" w:hAnsi="Times New Roman" w:eastAsia="宋体" w:cs="Times New Roman"/>
                <w:i w:val="0"/>
                <w:iCs w:val="0"/>
                <w:color w:val="auto"/>
                <w:kern w:val="0"/>
                <w:sz w:val="21"/>
                <w:szCs w:val="21"/>
                <w:u w:val="none" w:color="auto"/>
                <w:lang w:val="en-US" w:eastAsia="zh-CN" w:bidi="ar"/>
              </w:rPr>
              <w:t>/s</w:t>
            </w:r>
          </w:p>
        </w:tc>
        <w:tc>
          <w:tcPr>
            <w:tcW w:w="1024" w:type="dxa"/>
            <w:tcBorders>
              <w:tl2br w:val="nil"/>
              <w:tr2bl w:val="nil"/>
            </w:tcBorders>
            <w:shd w:val="clear" w:color="auto" w:fill="auto"/>
            <w:vAlign w:val="center"/>
          </w:tcPr>
          <w:p w14:paraId="6E09EA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064" w:type="dxa"/>
            <w:tcBorders>
              <w:tl2br w:val="nil"/>
              <w:tr2bl w:val="nil"/>
            </w:tcBorders>
            <w:shd w:val="clear" w:color="auto" w:fill="auto"/>
            <w:vAlign w:val="center"/>
          </w:tcPr>
          <w:p w14:paraId="43A4C0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590" w:type="dxa"/>
            <w:tcBorders>
              <w:tl2br w:val="nil"/>
              <w:tr2bl w:val="nil"/>
            </w:tcBorders>
            <w:shd w:val="clear" w:color="auto" w:fill="auto"/>
            <w:vAlign w:val="center"/>
          </w:tcPr>
          <w:p w14:paraId="723F12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c>
          <w:tcPr>
            <w:tcW w:w="1572" w:type="dxa"/>
            <w:tcBorders>
              <w:tl2br w:val="nil"/>
              <w:tr2bl w:val="nil"/>
            </w:tcBorders>
            <w:shd w:val="clear" w:color="auto" w:fill="auto"/>
            <w:vAlign w:val="center"/>
          </w:tcPr>
          <w:p w14:paraId="688953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w:t>
            </w:r>
          </w:p>
        </w:tc>
      </w:tr>
      <w:tr w14:paraId="444AC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77B065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六、施工</w:t>
            </w:r>
          </w:p>
        </w:tc>
      </w:tr>
      <w:tr w14:paraId="23484A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6480A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142" w:type="dxa"/>
            <w:gridSpan w:val="6"/>
            <w:tcBorders>
              <w:tl2br w:val="nil"/>
              <w:tr2bl w:val="nil"/>
            </w:tcBorders>
            <w:shd w:val="clear" w:color="auto" w:fill="auto"/>
            <w:vAlign w:val="center"/>
          </w:tcPr>
          <w:p w14:paraId="094282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主体工程量</w:t>
            </w:r>
          </w:p>
        </w:tc>
      </w:tr>
      <w:tr w14:paraId="71F076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A0DEB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213F32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土方明挖</w:t>
            </w:r>
          </w:p>
        </w:tc>
        <w:tc>
          <w:tcPr>
            <w:tcW w:w="912" w:type="dxa"/>
            <w:tcBorders>
              <w:tl2br w:val="nil"/>
              <w:tr2bl w:val="nil"/>
            </w:tcBorders>
            <w:shd w:val="clear" w:color="auto" w:fill="auto"/>
            <w:vAlign w:val="center"/>
          </w:tcPr>
          <w:p w14:paraId="66B5B2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11C177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07F2E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1A074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36930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5428</w:t>
            </w:r>
          </w:p>
        </w:tc>
      </w:tr>
      <w:tr w14:paraId="0BE63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40964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D36A5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石方明挖</w:t>
            </w:r>
          </w:p>
        </w:tc>
        <w:tc>
          <w:tcPr>
            <w:tcW w:w="912" w:type="dxa"/>
            <w:tcBorders>
              <w:tl2br w:val="nil"/>
              <w:tr2bl w:val="nil"/>
            </w:tcBorders>
            <w:shd w:val="clear" w:color="auto" w:fill="auto"/>
            <w:vAlign w:val="center"/>
          </w:tcPr>
          <w:p w14:paraId="2DF1C1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06CFF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6A55D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16452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228EF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8641</w:t>
            </w:r>
          </w:p>
        </w:tc>
      </w:tr>
      <w:tr w14:paraId="387F7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0BB07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32499A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土方填筑</w:t>
            </w:r>
          </w:p>
        </w:tc>
        <w:tc>
          <w:tcPr>
            <w:tcW w:w="912" w:type="dxa"/>
            <w:tcBorders>
              <w:tl2br w:val="nil"/>
              <w:tr2bl w:val="nil"/>
            </w:tcBorders>
            <w:shd w:val="clear" w:color="auto" w:fill="auto"/>
            <w:vAlign w:val="center"/>
          </w:tcPr>
          <w:p w14:paraId="1A8BA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48B2AA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2D205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AB984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AE8C6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6710</w:t>
            </w:r>
          </w:p>
        </w:tc>
      </w:tr>
      <w:tr w14:paraId="4F0E6A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498F5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53E32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混凝土</w:t>
            </w:r>
          </w:p>
        </w:tc>
        <w:tc>
          <w:tcPr>
            <w:tcW w:w="912" w:type="dxa"/>
            <w:tcBorders>
              <w:tl2br w:val="nil"/>
              <w:tr2bl w:val="nil"/>
            </w:tcBorders>
            <w:shd w:val="clear" w:color="auto" w:fill="auto"/>
            <w:vAlign w:val="center"/>
          </w:tcPr>
          <w:p w14:paraId="01AE8F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3A93FF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5ECA5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D82F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0C33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8324</w:t>
            </w:r>
          </w:p>
        </w:tc>
      </w:tr>
      <w:tr w14:paraId="372CEB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7724C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03D091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石方填筑</w:t>
            </w:r>
          </w:p>
        </w:tc>
        <w:tc>
          <w:tcPr>
            <w:tcW w:w="912" w:type="dxa"/>
            <w:tcBorders>
              <w:tl2br w:val="nil"/>
              <w:tr2bl w:val="nil"/>
            </w:tcBorders>
            <w:shd w:val="clear" w:color="auto" w:fill="auto"/>
            <w:vAlign w:val="center"/>
          </w:tcPr>
          <w:p w14:paraId="401039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m³</w:t>
            </w:r>
          </w:p>
        </w:tc>
        <w:tc>
          <w:tcPr>
            <w:tcW w:w="1024" w:type="dxa"/>
            <w:tcBorders>
              <w:tl2br w:val="nil"/>
              <w:tr2bl w:val="nil"/>
            </w:tcBorders>
            <w:shd w:val="clear" w:color="auto" w:fill="auto"/>
            <w:vAlign w:val="center"/>
          </w:tcPr>
          <w:p w14:paraId="6CF925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E990F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8430D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53D32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w:t>
            </w:r>
          </w:p>
        </w:tc>
      </w:tr>
      <w:tr w14:paraId="36AC9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53F7D2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4EA935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塑性砼防渗墙</w:t>
            </w:r>
          </w:p>
        </w:tc>
        <w:tc>
          <w:tcPr>
            <w:tcW w:w="912" w:type="dxa"/>
            <w:tcBorders>
              <w:tl2br w:val="nil"/>
              <w:tr2bl w:val="nil"/>
            </w:tcBorders>
            <w:shd w:val="clear" w:color="auto" w:fill="auto"/>
            <w:vAlign w:val="center"/>
          </w:tcPr>
          <w:p w14:paraId="555A22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0C16AD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EE486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7DF8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55966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5364</w:t>
            </w:r>
          </w:p>
        </w:tc>
      </w:tr>
      <w:tr w14:paraId="39E3D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84C2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1980" w:type="dxa"/>
            <w:tcBorders>
              <w:tl2br w:val="nil"/>
              <w:tr2bl w:val="nil"/>
            </w:tcBorders>
            <w:shd w:val="clear" w:color="auto" w:fill="auto"/>
            <w:vAlign w:val="center"/>
          </w:tcPr>
          <w:p w14:paraId="70FD51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帷幕灌浆</w:t>
            </w:r>
          </w:p>
        </w:tc>
        <w:tc>
          <w:tcPr>
            <w:tcW w:w="912" w:type="dxa"/>
            <w:tcBorders>
              <w:tl2br w:val="nil"/>
              <w:tr2bl w:val="nil"/>
            </w:tcBorders>
            <w:shd w:val="clear" w:color="auto" w:fill="auto"/>
            <w:vAlign w:val="center"/>
          </w:tcPr>
          <w:p w14:paraId="4AC212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79CD90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6B32B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B47A6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D136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3303</w:t>
            </w:r>
          </w:p>
        </w:tc>
      </w:tr>
      <w:tr w14:paraId="1E8C2E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2B39B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1980" w:type="dxa"/>
            <w:tcBorders>
              <w:tl2br w:val="nil"/>
              <w:tr2bl w:val="nil"/>
            </w:tcBorders>
            <w:shd w:val="clear" w:color="auto" w:fill="auto"/>
            <w:vAlign w:val="center"/>
          </w:tcPr>
          <w:p w14:paraId="73D648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固结灌浆</w:t>
            </w:r>
          </w:p>
        </w:tc>
        <w:tc>
          <w:tcPr>
            <w:tcW w:w="912" w:type="dxa"/>
            <w:tcBorders>
              <w:tl2br w:val="nil"/>
              <w:tr2bl w:val="nil"/>
            </w:tcBorders>
            <w:shd w:val="clear" w:color="auto" w:fill="auto"/>
            <w:vAlign w:val="center"/>
          </w:tcPr>
          <w:p w14:paraId="629873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1024" w:type="dxa"/>
            <w:tcBorders>
              <w:tl2br w:val="nil"/>
              <w:tr2bl w:val="nil"/>
            </w:tcBorders>
            <w:shd w:val="clear" w:color="auto" w:fill="auto"/>
            <w:vAlign w:val="center"/>
          </w:tcPr>
          <w:p w14:paraId="5D4FA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5F5EF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8F7EF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024C7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248</w:t>
            </w:r>
          </w:p>
        </w:tc>
      </w:tr>
      <w:tr w14:paraId="79ADE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8446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1980" w:type="dxa"/>
            <w:tcBorders>
              <w:tl2br w:val="nil"/>
              <w:tr2bl w:val="nil"/>
            </w:tcBorders>
            <w:shd w:val="clear" w:color="auto" w:fill="auto"/>
            <w:vAlign w:val="center"/>
          </w:tcPr>
          <w:p w14:paraId="300B2F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钢筋</w:t>
            </w:r>
          </w:p>
        </w:tc>
        <w:tc>
          <w:tcPr>
            <w:tcW w:w="912" w:type="dxa"/>
            <w:tcBorders>
              <w:tl2br w:val="nil"/>
              <w:tr2bl w:val="nil"/>
            </w:tcBorders>
            <w:shd w:val="clear" w:color="auto" w:fill="auto"/>
            <w:vAlign w:val="center"/>
          </w:tcPr>
          <w:p w14:paraId="08063A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w:t>
            </w:r>
          </w:p>
        </w:tc>
        <w:tc>
          <w:tcPr>
            <w:tcW w:w="1024" w:type="dxa"/>
            <w:tcBorders>
              <w:tl2br w:val="nil"/>
              <w:tr2bl w:val="nil"/>
            </w:tcBorders>
            <w:shd w:val="clear" w:color="auto" w:fill="auto"/>
            <w:vAlign w:val="center"/>
          </w:tcPr>
          <w:p w14:paraId="00AA25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B9E4D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69B05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523A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592.81</w:t>
            </w:r>
          </w:p>
        </w:tc>
      </w:tr>
      <w:tr w14:paraId="72F8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75AE0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980" w:type="dxa"/>
            <w:tcBorders>
              <w:tl2br w:val="nil"/>
              <w:tr2bl w:val="nil"/>
            </w:tcBorders>
            <w:shd w:val="clear" w:color="auto" w:fill="auto"/>
            <w:vAlign w:val="center"/>
          </w:tcPr>
          <w:p w14:paraId="26354D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模板</w:t>
            </w:r>
          </w:p>
        </w:tc>
        <w:tc>
          <w:tcPr>
            <w:tcW w:w="912" w:type="dxa"/>
            <w:tcBorders>
              <w:tl2br w:val="nil"/>
              <w:tr2bl w:val="nil"/>
            </w:tcBorders>
            <w:shd w:val="clear" w:color="auto" w:fill="auto"/>
            <w:vAlign w:val="center"/>
          </w:tcPr>
          <w:p w14:paraId="6F9BC7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m</w:t>
            </w:r>
            <w:r>
              <w:rPr>
                <w:rFonts w:hint="eastAsia" w:cs="Times New Roman"/>
                <w:i w:val="0"/>
                <w:iCs w:val="0"/>
                <w:color w:val="auto"/>
                <w:kern w:val="0"/>
                <w:sz w:val="21"/>
                <w:szCs w:val="21"/>
                <w:u w:val="none" w:color="auto"/>
                <w:vertAlign w:val="superscript"/>
                <w:lang w:val="en-US" w:eastAsia="zh-CN" w:bidi="ar"/>
              </w:rPr>
              <w:t>2</w:t>
            </w:r>
          </w:p>
        </w:tc>
        <w:tc>
          <w:tcPr>
            <w:tcW w:w="1024" w:type="dxa"/>
            <w:tcBorders>
              <w:tl2br w:val="nil"/>
              <w:tr2bl w:val="nil"/>
            </w:tcBorders>
            <w:shd w:val="clear" w:color="auto" w:fill="auto"/>
            <w:vAlign w:val="center"/>
          </w:tcPr>
          <w:p w14:paraId="313BE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AB2C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1F6FC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91B50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9172</w:t>
            </w:r>
          </w:p>
        </w:tc>
      </w:tr>
      <w:tr w14:paraId="1102FC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3D4D9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142" w:type="dxa"/>
            <w:gridSpan w:val="6"/>
            <w:tcBorders>
              <w:tl2br w:val="nil"/>
              <w:tr2bl w:val="nil"/>
            </w:tcBorders>
            <w:shd w:val="clear" w:color="auto" w:fill="auto"/>
            <w:vAlign w:val="center"/>
          </w:tcPr>
          <w:p w14:paraId="4D3152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施工工期</w:t>
            </w:r>
          </w:p>
        </w:tc>
      </w:tr>
      <w:tr w14:paraId="78A7B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C64B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52550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施工劳动总工日</w:t>
            </w:r>
          </w:p>
        </w:tc>
        <w:tc>
          <w:tcPr>
            <w:tcW w:w="912" w:type="dxa"/>
            <w:tcBorders>
              <w:tl2br w:val="nil"/>
              <w:tr2bl w:val="nil"/>
            </w:tcBorders>
            <w:shd w:val="clear" w:color="auto" w:fill="auto"/>
            <w:vAlign w:val="center"/>
          </w:tcPr>
          <w:p w14:paraId="168B5C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万个</w:t>
            </w:r>
          </w:p>
        </w:tc>
        <w:tc>
          <w:tcPr>
            <w:tcW w:w="1024" w:type="dxa"/>
            <w:tcBorders>
              <w:tl2br w:val="nil"/>
              <w:tr2bl w:val="nil"/>
            </w:tcBorders>
            <w:shd w:val="clear" w:color="auto" w:fill="auto"/>
            <w:vAlign w:val="center"/>
          </w:tcPr>
          <w:p w14:paraId="63A2A3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FCB44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BB346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507E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5.33</w:t>
            </w:r>
          </w:p>
        </w:tc>
      </w:tr>
      <w:tr w14:paraId="660A7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725BD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7CC8A3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施工总工期</w:t>
            </w:r>
          </w:p>
        </w:tc>
        <w:tc>
          <w:tcPr>
            <w:tcW w:w="912" w:type="dxa"/>
            <w:tcBorders>
              <w:tl2br w:val="nil"/>
              <w:tr2bl w:val="nil"/>
            </w:tcBorders>
            <w:shd w:val="clear" w:color="auto" w:fill="auto"/>
            <w:vAlign w:val="center"/>
          </w:tcPr>
          <w:p w14:paraId="3C9A0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个月</w:t>
            </w:r>
          </w:p>
        </w:tc>
        <w:tc>
          <w:tcPr>
            <w:tcW w:w="1024" w:type="dxa"/>
            <w:tcBorders>
              <w:tl2br w:val="nil"/>
              <w:tr2bl w:val="nil"/>
            </w:tcBorders>
            <w:shd w:val="clear" w:color="auto" w:fill="auto"/>
            <w:vAlign w:val="center"/>
          </w:tcPr>
          <w:p w14:paraId="549987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6F6858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1DB6E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3D30BC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r>
      <w:tr w14:paraId="6F0396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8AC3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1432D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施工准备期</w:t>
            </w:r>
          </w:p>
        </w:tc>
        <w:tc>
          <w:tcPr>
            <w:tcW w:w="912" w:type="dxa"/>
            <w:tcBorders>
              <w:tl2br w:val="nil"/>
              <w:tr2bl w:val="nil"/>
            </w:tcBorders>
            <w:shd w:val="clear" w:color="auto" w:fill="auto"/>
            <w:vAlign w:val="center"/>
          </w:tcPr>
          <w:p w14:paraId="7D656F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个月</w:t>
            </w:r>
          </w:p>
        </w:tc>
        <w:tc>
          <w:tcPr>
            <w:tcW w:w="1024" w:type="dxa"/>
            <w:tcBorders>
              <w:tl2br w:val="nil"/>
              <w:tr2bl w:val="nil"/>
            </w:tcBorders>
            <w:shd w:val="clear" w:color="auto" w:fill="auto"/>
            <w:vAlign w:val="center"/>
          </w:tcPr>
          <w:p w14:paraId="165FD2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C6F89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9FBA9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40CED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r>
      <w:tr w14:paraId="55A8B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7FC8BB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七、工程占地</w:t>
            </w:r>
          </w:p>
        </w:tc>
      </w:tr>
      <w:tr w14:paraId="2D353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8171F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01EAD7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永久占地</w:t>
            </w:r>
          </w:p>
        </w:tc>
        <w:tc>
          <w:tcPr>
            <w:tcW w:w="912" w:type="dxa"/>
            <w:tcBorders>
              <w:tl2br w:val="nil"/>
              <w:tr2bl w:val="nil"/>
            </w:tcBorders>
            <w:shd w:val="clear" w:color="auto" w:fill="auto"/>
            <w:vAlign w:val="center"/>
          </w:tcPr>
          <w:p w14:paraId="732DA6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亩</w:t>
            </w:r>
          </w:p>
        </w:tc>
        <w:tc>
          <w:tcPr>
            <w:tcW w:w="1024" w:type="dxa"/>
            <w:tcBorders>
              <w:tl2br w:val="nil"/>
              <w:tr2bl w:val="nil"/>
            </w:tcBorders>
            <w:shd w:val="clear" w:color="auto" w:fill="auto"/>
            <w:vAlign w:val="center"/>
          </w:tcPr>
          <w:p w14:paraId="18432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5CE303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40680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2619D1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4.609</w:t>
            </w:r>
          </w:p>
        </w:tc>
      </w:tr>
      <w:tr w14:paraId="01A9B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C821B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5AB05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临时占地</w:t>
            </w:r>
          </w:p>
        </w:tc>
        <w:tc>
          <w:tcPr>
            <w:tcW w:w="912" w:type="dxa"/>
            <w:tcBorders>
              <w:tl2br w:val="nil"/>
              <w:tr2bl w:val="nil"/>
            </w:tcBorders>
            <w:shd w:val="clear" w:color="auto" w:fill="auto"/>
            <w:vAlign w:val="center"/>
          </w:tcPr>
          <w:p w14:paraId="4DA83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亩</w:t>
            </w:r>
          </w:p>
        </w:tc>
        <w:tc>
          <w:tcPr>
            <w:tcW w:w="1024" w:type="dxa"/>
            <w:tcBorders>
              <w:tl2br w:val="nil"/>
              <w:tr2bl w:val="nil"/>
            </w:tcBorders>
            <w:shd w:val="clear" w:color="auto" w:fill="auto"/>
            <w:vAlign w:val="center"/>
          </w:tcPr>
          <w:p w14:paraId="371055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2D1AAE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00F54E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D0D6F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eastAsia" w:cs="Times New Roman"/>
                <w:i w:val="0"/>
                <w:iCs w:val="0"/>
                <w:color w:val="auto"/>
                <w:kern w:val="0"/>
                <w:sz w:val="21"/>
                <w:szCs w:val="21"/>
                <w:u w:val="none" w:color="auto"/>
                <w:lang w:val="en-US" w:eastAsia="zh-CN" w:bidi="ar"/>
              </w:rPr>
              <w:t>0.4421</w:t>
            </w:r>
          </w:p>
        </w:tc>
      </w:tr>
      <w:tr w14:paraId="3205D1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242D9B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八、经济指标</w:t>
            </w:r>
          </w:p>
        </w:tc>
      </w:tr>
      <w:tr w14:paraId="6CA50C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E8FB0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5216A2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工程部分投资</w:t>
            </w:r>
          </w:p>
        </w:tc>
        <w:tc>
          <w:tcPr>
            <w:tcW w:w="912" w:type="dxa"/>
            <w:tcBorders>
              <w:tl2br w:val="nil"/>
              <w:tr2bl w:val="nil"/>
            </w:tcBorders>
            <w:shd w:val="clear" w:color="auto" w:fill="auto"/>
            <w:vAlign w:val="center"/>
          </w:tcPr>
          <w:p w14:paraId="4DEE1A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57D3B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36FEF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96C2B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FA88F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3797.72</w:t>
            </w:r>
          </w:p>
        </w:tc>
      </w:tr>
      <w:tr w14:paraId="22FCF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2AAA0E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68DDB6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征地移民补偿投资</w:t>
            </w:r>
          </w:p>
        </w:tc>
        <w:tc>
          <w:tcPr>
            <w:tcW w:w="912" w:type="dxa"/>
            <w:tcBorders>
              <w:tl2br w:val="nil"/>
              <w:tr2bl w:val="nil"/>
            </w:tcBorders>
            <w:shd w:val="clear" w:color="auto" w:fill="auto"/>
            <w:vAlign w:val="center"/>
          </w:tcPr>
          <w:p w14:paraId="032511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440ED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6A673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E34FB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D0DA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54.38</w:t>
            </w:r>
          </w:p>
        </w:tc>
      </w:tr>
      <w:tr w14:paraId="0EF60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6B3669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530AB7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环境保护工程投资</w:t>
            </w:r>
          </w:p>
        </w:tc>
        <w:tc>
          <w:tcPr>
            <w:tcW w:w="912" w:type="dxa"/>
            <w:tcBorders>
              <w:tl2br w:val="nil"/>
              <w:tr2bl w:val="nil"/>
            </w:tcBorders>
            <w:shd w:val="clear" w:color="auto" w:fill="auto"/>
            <w:vAlign w:val="center"/>
          </w:tcPr>
          <w:p w14:paraId="2C8CA6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138DD5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14CC1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34DD4A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07D185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56.88</w:t>
            </w:r>
          </w:p>
        </w:tc>
      </w:tr>
      <w:tr w14:paraId="644DA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73BA0C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1980" w:type="dxa"/>
            <w:tcBorders>
              <w:tl2br w:val="nil"/>
              <w:tr2bl w:val="nil"/>
            </w:tcBorders>
            <w:shd w:val="clear" w:color="auto" w:fill="auto"/>
            <w:vAlign w:val="center"/>
          </w:tcPr>
          <w:p w14:paraId="723565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水土保持工程投资</w:t>
            </w:r>
          </w:p>
        </w:tc>
        <w:tc>
          <w:tcPr>
            <w:tcW w:w="912" w:type="dxa"/>
            <w:tcBorders>
              <w:tl2br w:val="nil"/>
              <w:tr2bl w:val="nil"/>
            </w:tcBorders>
            <w:shd w:val="clear" w:color="auto" w:fill="auto"/>
            <w:vAlign w:val="center"/>
          </w:tcPr>
          <w:p w14:paraId="5A6397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182D46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67C24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E5C4E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C6296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115.04</w:t>
            </w:r>
          </w:p>
        </w:tc>
      </w:tr>
      <w:tr w14:paraId="5711B6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C73C3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980" w:type="dxa"/>
            <w:tcBorders>
              <w:tl2br w:val="nil"/>
              <w:tr2bl w:val="nil"/>
            </w:tcBorders>
            <w:shd w:val="clear" w:color="auto" w:fill="auto"/>
            <w:vAlign w:val="center"/>
          </w:tcPr>
          <w:p w14:paraId="35DF2A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静态总投资</w:t>
            </w:r>
          </w:p>
        </w:tc>
        <w:tc>
          <w:tcPr>
            <w:tcW w:w="912" w:type="dxa"/>
            <w:tcBorders>
              <w:tl2br w:val="nil"/>
              <w:tr2bl w:val="nil"/>
            </w:tcBorders>
            <w:shd w:val="clear" w:color="auto" w:fill="auto"/>
            <w:vAlign w:val="center"/>
          </w:tcPr>
          <w:p w14:paraId="6F206C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0B7A48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7A524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67F43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27477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4024.02</w:t>
            </w:r>
          </w:p>
        </w:tc>
      </w:tr>
      <w:tr w14:paraId="71A1E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4A29EF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1980" w:type="dxa"/>
            <w:tcBorders>
              <w:tl2br w:val="nil"/>
              <w:tr2bl w:val="nil"/>
            </w:tcBorders>
            <w:shd w:val="clear" w:color="auto" w:fill="auto"/>
            <w:vAlign w:val="center"/>
          </w:tcPr>
          <w:p w14:paraId="3D0C23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总投资</w:t>
            </w:r>
          </w:p>
        </w:tc>
        <w:tc>
          <w:tcPr>
            <w:tcW w:w="912" w:type="dxa"/>
            <w:tcBorders>
              <w:tl2br w:val="nil"/>
              <w:tr2bl w:val="nil"/>
            </w:tcBorders>
            <w:shd w:val="clear" w:color="auto" w:fill="auto"/>
            <w:vAlign w:val="center"/>
          </w:tcPr>
          <w:p w14:paraId="3A404A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6E348E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4AA5A4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25953F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6785A7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4024.02</w:t>
            </w:r>
          </w:p>
        </w:tc>
      </w:tr>
      <w:tr w14:paraId="52B9C5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781" w:type="dxa"/>
            <w:gridSpan w:val="7"/>
            <w:tcBorders>
              <w:tl2br w:val="nil"/>
              <w:tr2bl w:val="nil"/>
            </w:tcBorders>
            <w:shd w:val="clear" w:color="auto" w:fill="auto"/>
            <w:vAlign w:val="center"/>
          </w:tcPr>
          <w:p w14:paraId="03253D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九、综合利用经济指标</w:t>
            </w:r>
          </w:p>
        </w:tc>
      </w:tr>
      <w:tr w14:paraId="68CD4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05FAE2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980" w:type="dxa"/>
            <w:tcBorders>
              <w:tl2br w:val="nil"/>
              <w:tr2bl w:val="nil"/>
            </w:tcBorders>
            <w:shd w:val="clear" w:color="auto" w:fill="auto"/>
            <w:vAlign w:val="center"/>
          </w:tcPr>
          <w:p w14:paraId="6A5464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经济内部收益率</w:t>
            </w:r>
          </w:p>
        </w:tc>
        <w:tc>
          <w:tcPr>
            <w:tcW w:w="912" w:type="dxa"/>
            <w:tcBorders>
              <w:tl2br w:val="nil"/>
              <w:tr2bl w:val="nil"/>
            </w:tcBorders>
            <w:shd w:val="clear" w:color="auto" w:fill="auto"/>
            <w:vAlign w:val="center"/>
          </w:tcPr>
          <w:p w14:paraId="4E6AB6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024" w:type="dxa"/>
            <w:tcBorders>
              <w:tl2br w:val="nil"/>
              <w:tr2bl w:val="nil"/>
            </w:tcBorders>
            <w:shd w:val="clear" w:color="auto" w:fill="auto"/>
            <w:vAlign w:val="center"/>
          </w:tcPr>
          <w:p w14:paraId="3C3B7F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37F1C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45A794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4A9744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6.06</w:t>
            </w:r>
          </w:p>
        </w:tc>
      </w:tr>
      <w:tr w14:paraId="11082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3F2EB4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1980" w:type="dxa"/>
            <w:tcBorders>
              <w:tl2br w:val="nil"/>
              <w:tr2bl w:val="nil"/>
            </w:tcBorders>
            <w:shd w:val="clear" w:color="auto" w:fill="auto"/>
            <w:vAlign w:val="center"/>
          </w:tcPr>
          <w:p w14:paraId="2A4D4A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经济净现值</w:t>
            </w:r>
          </w:p>
        </w:tc>
        <w:tc>
          <w:tcPr>
            <w:tcW w:w="912" w:type="dxa"/>
            <w:tcBorders>
              <w:tl2br w:val="nil"/>
              <w:tr2bl w:val="nil"/>
            </w:tcBorders>
            <w:shd w:val="clear" w:color="auto" w:fill="auto"/>
            <w:vAlign w:val="center"/>
          </w:tcPr>
          <w:p w14:paraId="34073F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万元</w:t>
            </w:r>
          </w:p>
        </w:tc>
        <w:tc>
          <w:tcPr>
            <w:tcW w:w="1024" w:type="dxa"/>
            <w:tcBorders>
              <w:tl2br w:val="nil"/>
              <w:tr2bl w:val="nil"/>
            </w:tcBorders>
            <w:shd w:val="clear" w:color="auto" w:fill="auto"/>
            <w:vAlign w:val="center"/>
          </w:tcPr>
          <w:p w14:paraId="3A97D3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77B630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599A5A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59C775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31.76</w:t>
            </w:r>
          </w:p>
        </w:tc>
      </w:tr>
      <w:tr w14:paraId="74DE6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9" w:type="dxa"/>
            <w:tcBorders>
              <w:tl2br w:val="nil"/>
              <w:tr2bl w:val="nil"/>
            </w:tcBorders>
            <w:shd w:val="clear" w:color="auto" w:fill="auto"/>
            <w:vAlign w:val="center"/>
          </w:tcPr>
          <w:p w14:paraId="1428A9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1980" w:type="dxa"/>
            <w:tcBorders>
              <w:tl2br w:val="nil"/>
              <w:tr2bl w:val="nil"/>
            </w:tcBorders>
            <w:shd w:val="clear" w:color="auto" w:fill="auto"/>
            <w:vAlign w:val="center"/>
          </w:tcPr>
          <w:p w14:paraId="19A1E1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效益比</w:t>
            </w:r>
          </w:p>
        </w:tc>
        <w:tc>
          <w:tcPr>
            <w:tcW w:w="912" w:type="dxa"/>
            <w:tcBorders>
              <w:tl2br w:val="nil"/>
              <w:tr2bl w:val="nil"/>
            </w:tcBorders>
            <w:shd w:val="clear" w:color="auto" w:fill="auto"/>
            <w:vAlign w:val="center"/>
          </w:tcPr>
          <w:p w14:paraId="6F09FA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24" w:type="dxa"/>
            <w:tcBorders>
              <w:tl2br w:val="nil"/>
              <w:tr2bl w:val="nil"/>
            </w:tcBorders>
            <w:shd w:val="clear" w:color="auto" w:fill="auto"/>
            <w:vAlign w:val="center"/>
          </w:tcPr>
          <w:p w14:paraId="538B5B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064" w:type="dxa"/>
            <w:tcBorders>
              <w:tl2br w:val="nil"/>
              <w:tr2bl w:val="nil"/>
            </w:tcBorders>
            <w:shd w:val="clear" w:color="auto" w:fill="auto"/>
            <w:vAlign w:val="center"/>
          </w:tcPr>
          <w:p w14:paraId="1A2862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90" w:type="dxa"/>
            <w:tcBorders>
              <w:tl2br w:val="nil"/>
              <w:tr2bl w:val="nil"/>
            </w:tcBorders>
            <w:shd w:val="clear" w:color="auto" w:fill="auto"/>
            <w:vAlign w:val="center"/>
          </w:tcPr>
          <w:p w14:paraId="7B3A10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572" w:type="dxa"/>
            <w:tcBorders>
              <w:tl2br w:val="nil"/>
              <w:tr2bl w:val="nil"/>
            </w:tcBorders>
            <w:shd w:val="clear" w:color="auto" w:fill="auto"/>
            <w:vAlign w:val="center"/>
          </w:tcPr>
          <w:p w14:paraId="707137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w:t>
            </w:r>
          </w:p>
        </w:tc>
      </w:tr>
    </w:tbl>
    <w:p w14:paraId="2C428246">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p>
    <w:p w14:paraId="150B2F9D">
      <w:pPr>
        <w:spacing w:line="48" w:lineRule="exact"/>
        <w:rPr>
          <w:rFonts w:hint="default" w:ascii="Times New Roman" w:hAnsi="Times New Roman" w:cs="Times New Roman"/>
          <w:color w:val="auto"/>
          <w:u w:val="none" w:color="auto"/>
        </w:rPr>
      </w:pPr>
    </w:p>
    <w:p w14:paraId="367A67EF">
      <w:pPr>
        <w:pStyle w:val="3"/>
        <w:bidi w:val="0"/>
        <w:rPr>
          <w:rFonts w:hint="default" w:ascii="Times New Roman" w:hAnsi="Times New Roman" w:cs="Times New Roman"/>
          <w:color w:val="auto"/>
          <w:u w:val="none" w:color="auto"/>
        </w:rPr>
      </w:pPr>
      <w:bookmarkStart w:id="127" w:name="_Toc20239"/>
      <w:r>
        <w:rPr>
          <w:rFonts w:hint="default" w:ascii="Times New Roman" w:hAnsi="Times New Roman" w:cs="Times New Roman"/>
          <w:color w:val="auto"/>
          <w:u w:val="none" w:color="auto"/>
        </w:rPr>
        <w:t>项目组成</w:t>
      </w:r>
      <w:bookmarkEnd w:id="127"/>
    </w:p>
    <w:p w14:paraId="348CEFA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本次除险加固的主要内容包括</w:t>
      </w:r>
      <w:r>
        <w:rPr>
          <w:rFonts w:hint="default" w:ascii="Times New Roman" w:hAnsi="Times New Roman" w:cs="Times New Roman"/>
          <w:color w:val="auto"/>
          <w:u w:val="none" w:color="auto"/>
          <w:lang w:eastAsia="zh-CN"/>
        </w:rPr>
        <w:t>:(1)大坝坝体、坝基、坝肩防渗加固处理设计；(2)上游坝坡局部塌坡整修设计；(3)大坝下游排水沟延伸重建；(4)溢洪道加固设计；(5)新建塔式取水设施以及原隧洞加固；(6)防汛道路沿库岸边坡支护设计；(7)水库标准化建设:新建水位观测、变形监测、渗流监测设施，雨水情系统和视频监测系统；新建防汛仓库；新建相关标识标牌、工程建设永久责任牌、工程简介牌</w:t>
      </w:r>
      <w:r>
        <w:rPr>
          <w:rFonts w:hint="default" w:ascii="Times New Roman" w:hAnsi="Times New Roman" w:cs="Times New Roman"/>
          <w:color w:val="auto"/>
          <w:u w:val="none" w:color="auto"/>
        </w:rPr>
        <w:t>等项目。</w:t>
      </w:r>
    </w:p>
    <w:p w14:paraId="0FC2306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具体项目组成见表3.6-1。</w:t>
      </w:r>
    </w:p>
    <w:p w14:paraId="0100AD24">
      <w:pPr>
        <w:spacing w:line="240" w:lineRule="auto"/>
        <w:ind w:firstLine="422"/>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eastAsia="zh-CN"/>
        </w:rPr>
        <w:t>3.6-</w:t>
      </w:r>
      <w:r>
        <w:rPr>
          <w:rFonts w:hint="default" w:ascii="Times New Roman" w:hAnsi="Times New Roman" w:cs="Times New Roman"/>
          <w:b/>
          <w:bCs/>
          <w:color w:val="auto"/>
          <w:sz w:val="21"/>
          <w:szCs w:val="21"/>
          <w:u w:val="none" w:color="auto"/>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项目组成一览表</w:t>
      </w:r>
    </w:p>
    <w:tbl>
      <w:tblPr>
        <w:tblStyle w:val="37"/>
        <w:tblW w:w="895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73"/>
        <w:gridCol w:w="1344"/>
        <w:gridCol w:w="6074"/>
        <w:gridCol w:w="859"/>
      </w:tblGrid>
      <w:tr w14:paraId="3C0C43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Align w:val="center"/>
          </w:tcPr>
          <w:p w14:paraId="42D81A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1344" w:type="dxa"/>
            <w:tcBorders>
              <w:right w:val="single" w:color="auto" w:sz="4" w:space="0"/>
            </w:tcBorders>
            <w:vAlign w:val="center"/>
          </w:tcPr>
          <w:p w14:paraId="565A0F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6074" w:type="dxa"/>
            <w:tcBorders>
              <w:left w:val="single" w:color="auto" w:sz="4" w:space="0"/>
            </w:tcBorders>
            <w:vAlign w:val="center"/>
          </w:tcPr>
          <w:p w14:paraId="59A50B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工程内容及规模</w:t>
            </w:r>
          </w:p>
        </w:tc>
        <w:tc>
          <w:tcPr>
            <w:tcW w:w="859" w:type="dxa"/>
            <w:tcBorders>
              <w:left w:val="single" w:color="auto" w:sz="4" w:space="0"/>
            </w:tcBorders>
            <w:vAlign w:val="center"/>
          </w:tcPr>
          <w:p w14:paraId="51287B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备注</w:t>
            </w:r>
          </w:p>
        </w:tc>
      </w:tr>
      <w:tr w14:paraId="4341AC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43" w:hRule="atLeast"/>
          <w:jc w:val="center"/>
        </w:trPr>
        <w:tc>
          <w:tcPr>
            <w:tcW w:w="673" w:type="dxa"/>
            <w:vMerge w:val="restart"/>
            <w:vAlign w:val="center"/>
          </w:tcPr>
          <w:p w14:paraId="0A9997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主体工程</w:t>
            </w:r>
          </w:p>
        </w:tc>
        <w:tc>
          <w:tcPr>
            <w:tcW w:w="1344" w:type="dxa"/>
            <w:tcBorders>
              <w:right w:val="single" w:color="auto" w:sz="4" w:space="0"/>
            </w:tcBorders>
            <w:vAlign w:val="center"/>
          </w:tcPr>
          <w:p w14:paraId="60A763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lang w:val="en-US" w:eastAsia="zh-CN"/>
              </w:rPr>
              <w:t>坝体渗漏加固工程</w:t>
            </w:r>
          </w:p>
        </w:tc>
        <w:tc>
          <w:tcPr>
            <w:tcW w:w="6074" w:type="dxa"/>
            <w:tcBorders>
              <w:left w:val="single" w:color="auto" w:sz="4" w:space="0"/>
            </w:tcBorders>
            <w:vAlign w:val="center"/>
          </w:tcPr>
          <w:p w14:paraId="6D3367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cs="Times New Roman" w:eastAsiaTheme="minorEastAsia"/>
                <w:color w:val="auto"/>
                <w:spacing w:val="1"/>
                <w:sz w:val="21"/>
                <w:szCs w:val="21"/>
                <w:u w:val="none" w:color="auto"/>
              </w:rPr>
              <w:t>先将坝顶</w:t>
            </w:r>
            <w:r>
              <w:rPr>
                <w:rFonts w:hint="default" w:ascii="Times New Roman" w:hAnsi="Times New Roman" w:cs="Times New Roman" w:eastAsiaTheme="minorEastAsia"/>
                <w:color w:val="auto"/>
                <w:spacing w:val="1"/>
                <w:sz w:val="21"/>
                <w:szCs w:val="21"/>
                <w:highlight w:val="none"/>
                <w:u w:val="none" w:color="auto"/>
              </w:rPr>
              <w:t>高程</w:t>
            </w:r>
            <w:r>
              <w:rPr>
                <w:rFonts w:hint="default" w:ascii="Times New Roman" w:hAnsi="Times New Roman" w:cs="Times New Roman" w:eastAsiaTheme="minorEastAsia"/>
                <w:color w:val="auto"/>
                <w:spacing w:val="1"/>
                <w:sz w:val="21"/>
                <w:szCs w:val="21"/>
                <w:u w:val="none" w:color="auto"/>
              </w:rPr>
              <w:t>降低至291.96m高程，</w:t>
            </w:r>
            <w:r>
              <w:rPr>
                <w:rFonts w:hint="default" w:ascii="Times New Roman" w:hAnsi="Times New Roman" w:cs="Times New Roman" w:eastAsiaTheme="minorEastAsia"/>
                <w:color w:val="auto"/>
                <w:sz w:val="21"/>
                <w:szCs w:val="21"/>
                <w:u w:val="none" w:color="auto"/>
              </w:rPr>
              <w:t>形成一个14.00m的施工平</w:t>
            </w:r>
            <w:r>
              <w:rPr>
                <w:rFonts w:hint="default" w:ascii="Times New Roman" w:hAnsi="Times New Roman" w:cs="Times New Roman" w:eastAsiaTheme="minorEastAsia"/>
                <w:color w:val="auto"/>
                <w:spacing w:val="-1"/>
                <w:sz w:val="21"/>
                <w:szCs w:val="21"/>
                <w:u w:val="none" w:color="auto"/>
              </w:rPr>
              <w:t>台，坝体采用塑性砼进行防渗，坝基、坝肩采用帷幕灌浆进行防渗，</w:t>
            </w:r>
            <w:r>
              <w:rPr>
                <w:rFonts w:hint="default" w:ascii="Times New Roman" w:hAnsi="Times New Roman" w:cs="Times New Roman" w:eastAsiaTheme="minorEastAsia"/>
                <w:color w:val="auto"/>
                <w:spacing w:val="-3"/>
                <w:sz w:val="21"/>
                <w:szCs w:val="21"/>
                <w:u w:val="none" w:color="auto"/>
              </w:rPr>
              <w:t>无效孔洞采用水泥浆封堵；防渗施工完成后，</w:t>
            </w:r>
            <w:r>
              <w:rPr>
                <w:rFonts w:hint="default" w:ascii="Times New Roman" w:hAnsi="Times New Roman" w:cs="Times New Roman" w:eastAsiaTheme="minorEastAsia"/>
                <w:color w:val="auto"/>
                <w:spacing w:val="-4"/>
                <w:sz w:val="21"/>
                <w:szCs w:val="21"/>
                <w:u w:val="none" w:color="auto"/>
              </w:rPr>
              <w:t>按设计坡比对上下游坝</w:t>
            </w:r>
            <w:r>
              <w:rPr>
                <w:rFonts w:hint="default" w:ascii="Times New Roman" w:hAnsi="Times New Roman" w:cs="Times New Roman" w:eastAsiaTheme="minorEastAsia"/>
                <w:color w:val="auto"/>
                <w:spacing w:val="-1"/>
                <w:sz w:val="21"/>
                <w:szCs w:val="21"/>
                <w:u w:val="none" w:color="auto"/>
              </w:rPr>
              <w:t>坡、踏步等进行恢复，新建仿木栏杆；大坝下游右坝肩新建排水沟，</w:t>
            </w:r>
            <w:r>
              <w:rPr>
                <w:rFonts w:hint="default" w:ascii="Times New Roman" w:hAnsi="Times New Roman" w:cs="Times New Roman" w:eastAsiaTheme="minorEastAsia"/>
                <w:color w:val="auto"/>
                <w:spacing w:val="-3"/>
                <w:sz w:val="21"/>
                <w:szCs w:val="21"/>
                <w:u w:val="none" w:color="auto"/>
              </w:rPr>
              <w:t>左坝肩排水沟清淤后延伸至电站后池塘；下游</w:t>
            </w:r>
            <w:r>
              <w:rPr>
                <w:rFonts w:hint="default" w:ascii="Times New Roman" w:hAnsi="Times New Roman" w:cs="Times New Roman" w:eastAsiaTheme="minorEastAsia"/>
                <w:color w:val="auto"/>
                <w:spacing w:val="-4"/>
                <w:sz w:val="21"/>
                <w:szCs w:val="21"/>
                <w:u w:val="none" w:color="auto"/>
              </w:rPr>
              <w:t>坝坡四级平台拓宽，四</w:t>
            </w:r>
            <w:r>
              <w:rPr>
                <w:rFonts w:hint="default" w:ascii="Times New Roman" w:hAnsi="Times New Roman" w:cs="Times New Roman" w:eastAsiaTheme="minorEastAsia"/>
                <w:color w:val="auto"/>
                <w:spacing w:val="-10"/>
                <w:sz w:val="21"/>
                <w:szCs w:val="21"/>
                <w:u w:val="none" w:color="auto"/>
              </w:rPr>
              <w:t>级平台至五级平台之间坝坡用块石填筑；新建五级平台，用块石填筑，</w:t>
            </w:r>
            <w:r>
              <w:rPr>
                <w:rFonts w:hint="default" w:ascii="Times New Roman" w:hAnsi="Times New Roman" w:cs="Times New Roman" w:eastAsiaTheme="minorEastAsia"/>
                <w:color w:val="auto"/>
                <w:spacing w:val="-2"/>
                <w:sz w:val="21"/>
                <w:szCs w:val="21"/>
                <w:u w:val="none" w:color="auto"/>
              </w:rPr>
              <w:t>与天然地面相接</w:t>
            </w:r>
            <w:r>
              <w:rPr>
                <w:rFonts w:hint="eastAsia"/>
                <w:lang w:eastAsia="zh-CN"/>
              </w:rPr>
              <w:t>。</w:t>
            </w:r>
          </w:p>
        </w:tc>
        <w:tc>
          <w:tcPr>
            <w:tcW w:w="859" w:type="dxa"/>
            <w:tcBorders>
              <w:left w:val="single" w:color="auto" w:sz="4" w:space="0"/>
              <w:bottom w:val="single" w:color="000000" w:sz="2" w:space="0"/>
            </w:tcBorders>
            <w:vAlign w:val="center"/>
          </w:tcPr>
          <w:p w14:paraId="0ECFCB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lang w:val="en-US" w:eastAsia="zh-CN"/>
              </w:rPr>
              <w:t>改建</w:t>
            </w:r>
          </w:p>
        </w:tc>
      </w:tr>
      <w:tr w14:paraId="51F4AB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179064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335D1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溢洪道</w:t>
            </w:r>
            <w:r>
              <w:rPr>
                <w:rFonts w:hint="default" w:ascii="Times New Roman" w:hAnsi="Times New Roman" w:cs="Times New Roman" w:eastAsiaTheme="minorEastAsia"/>
                <w:color w:val="auto"/>
                <w:sz w:val="21"/>
                <w:szCs w:val="21"/>
                <w:u w:val="none" w:color="auto"/>
                <w:lang w:val="en-US" w:eastAsia="zh-CN"/>
              </w:rPr>
              <w:t>加固工程</w:t>
            </w:r>
          </w:p>
        </w:tc>
        <w:tc>
          <w:tcPr>
            <w:tcW w:w="6074" w:type="dxa"/>
            <w:tcBorders>
              <w:top w:val="single" w:color="000000" w:sz="2" w:space="0"/>
              <w:left w:val="single" w:color="auto" w:sz="4" w:space="0"/>
              <w:bottom w:val="single" w:color="000000" w:sz="2" w:space="0"/>
            </w:tcBorders>
            <w:vAlign w:val="center"/>
          </w:tcPr>
          <w:p w14:paraId="640F2B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11"/>
                <w:sz w:val="21"/>
                <w:szCs w:val="21"/>
                <w:u w:val="none" w:color="auto"/>
              </w:rPr>
              <w:t>拆除重建溢洪道泄槽底板，底板采用锚杆进行加固，梅花形布置，</w:t>
            </w:r>
            <w:r>
              <w:rPr>
                <w:rFonts w:hint="default" w:ascii="Times New Roman" w:hAnsi="Times New Roman" w:cs="Times New Roman" w:eastAsiaTheme="minorEastAsia"/>
                <w:color w:val="auto"/>
                <w:spacing w:val="-3"/>
                <w:sz w:val="21"/>
                <w:szCs w:val="21"/>
                <w:u w:val="none" w:color="auto"/>
              </w:rPr>
              <w:t>间排距2m，消力池拆除重建，消力池后新建60m钢筋砼</w:t>
            </w:r>
            <w:r>
              <w:rPr>
                <w:rFonts w:hint="eastAsia" w:cs="Times New Roman" w:eastAsiaTheme="minorEastAsia"/>
                <w:color w:val="auto"/>
                <w:spacing w:val="-3"/>
                <w:sz w:val="21"/>
                <w:szCs w:val="21"/>
                <w:u w:val="none" w:color="auto"/>
                <w:lang w:eastAsia="zh-CN"/>
              </w:rPr>
              <w:t>护坡</w:t>
            </w:r>
            <w:r>
              <w:rPr>
                <w:rFonts w:hint="default" w:ascii="Times New Roman" w:hAnsi="Times New Roman" w:cs="Times New Roman" w:eastAsiaTheme="minorEastAsia"/>
                <w:color w:val="auto"/>
                <w:spacing w:val="-3"/>
                <w:sz w:val="21"/>
                <w:szCs w:val="21"/>
                <w:u w:val="none" w:color="auto"/>
              </w:rPr>
              <w:t>和10m干</w:t>
            </w:r>
            <w:r>
              <w:rPr>
                <w:rFonts w:hint="default" w:ascii="Times New Roman" w:hAnsi="Times New Roman" w:cs="Times New Roman" w:eastAsiaTheme="minorEastAsia"/>
                <w:color w:val="auto"/>
                <w:spacing w:val="-2"/>
                <w:sz w:val="21"/>
                <w:szCs w:val="21"/>
                <w:u w:val="none" w:color="auto"/>
              </w:rPr>
              <w:t>砌石</w:t>
            </w:r>
            <w:r>
              <w:rPr>
                <w:rFonts w:hint="default" w:ascii="Times New Roman" w:hAnsi="Times New Roman" w:cs="Times New Roman" w:eastAsiaTheme="minorEastAsia"/>
                <w:color w:val="auto"/>
                <w:spacing w:val="-2"/>
                <w:sz w:val="21"/>
                <w:szCs w:val="21"/>
                <w:u w:val="none" w:color="auto"/>
                <w:lang w:eastAsia="zh-CN"/>
              </w:rPr>
              <w:t>海漫</w:t>
            </w:r>
            <w:r>
              <w:rPr>
                <w:rFonts w:hint="default" w:ascii="Times New Roman" w:hAnsi="Times New Roman" w:cs="Times New Roman" w:eastAsiaTheme="minorEastAsia"/>
                <w:color w:val="auto"/>
                <w:spacing w:val="-2"/>
                <w:sz w:val="21"/>
                <w:szCs w:val="21"/>
                <w:u w:val="none" w:color="auto"/>
              </w:rPr>
              <w:t>接入下游河道</w:t>
            </w:r>
          </w:p>
        </w:tc>
        <w:tc>
          <w:tcPr>
            <w:tcW w:w="859" w:type="dxa"/>
            <w:tcBorders>
              <w:top w:val="single" w:color="000000" w:sz="2" w:space="0"/>
              <w:left w:val="single" w:color="auto" w:sz="4" w:space="0"/>
              <w:bottom w:val="single" w:color="000000" w:sz="2" w:space="0"/>
            </w:tcBorders>
            <w:vAlign w:val="center"/>
          </w:tcPr>
          <w:p w14:paraId="76C443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11"/>
                <w:sz w:val="21"/>
                <w:szCs w:val="21"/>
                <w:u w:val="none" w:color="auto"/>
              </w:rPr>
              <w:t>拆除重建</w:t>
            </w:r>
          </w:p>
        </w:tc>
      </w:tr>
      <w:tr w14:paraId="52175A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580490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75928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输水建筑物</w:t>
            </w:r>
          </w:p>
        </w:tc>
        <w:tc>
          <w:tcPr>
            <w:tcW w:w="6074" w:type="dxa"/>
            <w:tcBorders>
              <w:top w:val="single" w:color="000000" w:sz="2" w:space="0"/>
              <w:left w:val="single" w:color="auto" w:sz="4" w:space="0"/>
              <w:bottom w:val="single" w:color="000000" w:sz="2" w:space="0"/>
            </w:tcBorders>
            <w:vAlign w:val="center"/>
          </w:tcPr>
          <w:p w14:paraId="444CCF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拆除原取水卧管，原卧管消力井处新建取水塔，取水塔上设启闭</w:t>
            </w:r>
            <w:r>
              <w:rPr>
                <w:rFonts w:hint="default" w:ascii="Times New Roman" w:hAnsi="Times New Roman" w:cs="Times New Roman" w:eastAsiaTheme="minorEastAsia"/>
                <w:color w:val="auto"/>
                <w:spacing w:val="-8"/>
                <w:sz w:val="21"/>
                <w:szCs w:val="21"/>
                <w:u w:val="none" w:color="auto"/>
              </w:rPr>
              <w:t>室，采用3.5m宽工作桥与坝顶道路相连，取水塔取水钢管与原涵</w:t>
            </w:r>
            <w:r>
              <w:rPr>
                <w:rFonts w:hint="default" w:ascii="Times New Roman" w:hAnsi="Times New Roman" w:cs="Times New Roman" w:eastAsiaTheme="minorEastAsia"/>
                <w:color w:val="auto"/>
                <w:spacing w:val="-8"/>
                <w:sz w:val="21"/>
                <w:szCs w:val="21"/>
                <w:u w:val="none" w:color="auto"/>
                <w:lang w:eastAsia="zh-CN"/>
              </w:rPr>
              <w:t>(</w:t>
            </w:r>
            <w:r>
              <w:rPr>
                <w:rFonts w:hint="default" w:ascii="Times New Roman" w:hAnsi="Times New Roman" w:cs="Times New Roman" w:eastAsiaTheme="minorEastAsia"/>
                <w:color w:val="auto"/>
                <w:spacing w:val="-8"/>
                <w:sz w:val="21"/>
                <w:szCs w:val="21"/>
                <w:u w:val="none" w:color="auto"/>
              </w:rPr>
              <w:t>隧</w:t>
            </w:r>
            <w:r>
              <w:rPr>
                <w:rFonts w:hint="default" w:ascii="Times New Roman" w:hAnsi="Times New Roman" w:cs="Times New Roman" w:eastAsiaTheme="minorEastAsia"/>
                <w:color w:val="auto"/>
                <w:spacing w:val="-8"/>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洞相接</w:t>
            </w:r>
            <w:r>
              <w:rPr>
                <w:rFonts w:hint="eastAsia" w:cs="Times New Roman" w:eastAsiaTheme="minorEastAsia"/>
                <w:color w:val="auto"/>
                <w:spacing w:val="-1"/>
                <w:sz w:val="21"/>
                <w:szCs w:val="21"/>
                <w:u w:val="none" w:color="auto"/>
                <w:lang w:eastAsia="zh-CN"/>
              </w:rPr>
              <w:t>，</w:t>
            </w:r>
            <w:r>
              <w:rPr>
                <w:rFonts w:hint="default" w:ascii="Times New Roman" w:hAnsi="Times New Roman" w:cs="Times New Roman"/>
                <w:color w:val="auto"/>
                <w:sz w:val="21"/>
                <w:szCs w:val="21"/>
                <w:u w:val="none" w:color="auto"/>
                <w:lang w:val="en-US" w:eastAsia="zh-CN"/>
              </w:rPr>
              <w:t>输水隧洞加固</w:t>
            </w:r>
            <w:r>
              <w:rPr>
                <w:rFonts w:hint="default" w:ascii="Times New Roman" w:hAnsi="Times New Roman" w:cs="Times New Roman" w:eastAsiaTheme="minorEastAsia"/>
                <w:color w:val="auto"/>
                <w:spacing w:val="-1"/>
                <w:sz w:val="21"/>
                <w:szCs w:val="21"/>
                <w:u w:val="none" w:color="auto"/>
              </w:rPr>
              <w:t>。采用钢板内衬的方法解决输水涵</w:t>
            </w:r>
            <w:r>
              <w:rPr>
                <w:rFonts w:hint="default" w:ascii="Times New Roman" w:hAnsi="Times New Roman" w:cs="Times New Roman" w:eastAsiaTheme="minorEastAsia"/>
                <w:color w:val="auto"/>
                <w:spacing w:val="-1"/>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隧</w:t>
            </w:r>
            <w:r>
              <w:rPr>
                <w:rFonts w:hint="default" w:ascii="Times New Roman" w:hAnsi="Times New Roman" w:cs="Times New Roman" w:eastAsiaTheme="minorEastAsia"/>
                <w:color w:val="auto"/>
                <w:spacing w:val="-1"/>
                <w:sz w:val="21"/>
                <w:szCs w:val="21"/>
                <w:u w:val="none" w:color="auto"/>
                <w:lang w:eastAsia="zh-CN"/>
              </w:rPr>
              <w:t>)</w:t>
            </w:r>
            <w:r>
              <w:rPr>
                <w:rFonts w:hint="default" w:ascii="Times New Roman" w:hAnsi="Times New Roman" w:cs="Times New Roman" w:eastAsiaTheme="minorEastAsia"/>
                <w:color w:val="auto"/>
                <w:spacing w:val="-1"/>
                <w:sz w:val="21"/>
                <w:szCs w:val="21"/>
                <w:u w:val="none" w:color="auto"/>
              </w:rPr>
              <w:t>洞渗漏问题</w:t>
            </w:r>
          </w:p>
        </w:tc>
        <w:tc>
          <w:tcPr>
            <w:tcW w:w="859" w:type="dxa"/>
            <w:tcBorders>
              <w:top w:val="single" w:color="000000" w:sz="2" w:space="0"/>
              <w:left w:val="single" w:color="auto" w:sz="4" w:space="0"/>
              <w:bottom w:val="single" w:color="000000" w:sz="2" w:space="0"/>
            </w:tcBorders>
            <w:vAlign w:val="center"/>
          </w:tcPr>
          <w:p w14:paraId="319452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拆除</w:t>
            </w:r>
            <w:r>
              <w:rPr>
                <w:rFonts w:hint="default" w:ascii="Times New Roman" w:hAnsi="Times New Roman" w:cs="Times New Roman" w:eastAsiaTheme="minorEastAsia"/>
                <w:color w:val="auto"/>
                <w:spacing w:val="-4"/>
                <w:sz w:val="21"/>
                <w:szCs w:val="21"/>
                <w:u w:val="none" w:color="auto"/>
                <w:lang w:val="en-US" w:eastAsia="zh-CN"/>
              </w:rPr>
              <w:t>并新建</w:t>
            </w:r>
          </w:p>
        </w:tc>
      </w:tr>
      <w:tr w14:paraId="7268C6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220AC7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bottom w:val="single" w:color="000000" w:sz="2" w:space="0"/>
              <w:right w:val="single" w:color="auto" w:sz="4" w:space="0"/>
            </w:tcBorders>
            <w:vAlign w:val="center"/>
          </w:tcPr>
          <w:p w14:paraId="185601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安全监测</w:t>
            </w:r>
          </w:p>
        </w:tc>
        <w:tc>
          <w:tcPr>
            <w:tcW w:w="6074" w:type="dxa"/>
            <w:tcBorders>
              <w:top w:val="single" w:color="000000" w:sz="2" w:space="0"/>
              <w:left w:val="single" w:color="auto" w:sz="4" w:space="0"/>
              <w:bottom w:val="single" w:color="000000" w:sz="2" w:space="0"/>
            </w:tcBorders>
            <w:vAlign w:val="center"/>
          </w:tcPr>
          <w:p w14:paraId="647326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新增安全监测设施</w:t>
            </w:r>
            <w:r>
              <w:rPr>
                <w:rFonts w:hint="default" w:ascii="Times New Roman" w:hAnsi="Times New Roman" w:cs="Times New Roman" w:eastAsiaTheme="minorEastAsia"/>
                <w:color w:val="auto"/>
                <w:spacing w:val="-2"/>
                <w:sz w:val="21"/>
                <w:szCs w:val="21"/>
                <w:u w:val="none" w:color="auto"/>
                <w:lang w:eastAsia="zh-CN"/>
              </w:rPr>
              <w:t>:</w:t>
            </w:r>
            <w:r>
              <w:rPr>
                <w:rFonts w:hint="default" w:ascii="Times New Roman" w:hAnsi="Times New Roman" w:cs="Times New Roman"/>
                <w:color w:val="auto"/>
                <w:sz w:val="21"/>
                <w:szCs w:val="21"/>
                <w:u w:val="none" w:color="auto"/>
                <w:lang w:val="en-US" w:eastAsia="zh-CN"/>
              </w:rPr>
              <w:t>新建水位观测、变形监测、渗流监测设施，雨水情系统和视频监测系统</w:t>
            </w:r>
          </w:p>
        </w:tc>
        <w:tc>
          <w:tcPr>
            <w:tcW w:w="859" w:type="dxa"/>
            <w:tcBorders>
              <w:top w:val="single" w:color="000000" w:sz="2" w:space="0"/>
              <w:left w:val="single" w:color="auto" w:sz="4" w:space="0"/>
              <w:bottom w:val="single" w:color="000000" w:sz="2" w:space="0"/>
            </w:tcBorders>
            <w:vAlign w:val="center"/>
          </w:tcPr>
          <w:p w14:paraId="74F6C0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w:t>
            </w:r>
          </w:p>
        </w:tc>
      </w:tr>
      <w:tr w14:paraId="3E2C91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085927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44" w:type="dxa"/>
            <w:tcBorders>
              <w:top w:val="single" w:color="000000" w:sz="2" w:space="0"/>
              <w:right w:val="single" w:color="auto" w:sz="4" w:space="0"/>
            </w:tcBorders>
            <w:vAlign w:val="center"/>
          </w:tcPr>
          <w:p w14:paraId="4837E4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其他</w:t>
            </w:r>
            <w:r>
              <w:rPr>
                <w:rFonts w:hint="default" w:ascii="Times New Roman" w:hAnsi="Times New Roman" w:cs="Times New Roman" w:eastAsiaTheme="minorEastAsia"/>
                <w:color w:val="auto"/>
                <w:sz w:val="21"/>
                <w:szCs w:val="21"/>
                <w:u w:val="none" w:color="auto"/>
                <w:lang w:val="en-US" w:eastAsia="zh-CN"/>
              </w:rPr>
              <w:t>工程</w:t>
            </w:r>
          </w:p>
        </w:tc>
        <w:tc>
          <w:tcPr>
            <w:tcW w:w="6074" w:type="dxa"/>
            <w:tcBorders>
              <w:top w:val="single" w:color="000000" w:sz="2" w:space="0"/>
              <w:left w:val="single" w:color="auto" w:sz="4" w:space="0"/>
              <w:bottom w:val="single" w:color="000000" w:sz="2" w:space="0"/>
            </w:tcBorders>
            <w:shd w:val="clear" w:color="auto" w:fill="auto"/>
            <w:vAlign w:val="center"/>
          </w:tcPr>
          <w:p w14:paraId="7A3A28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新建防汛仓库；</w:t>
            </w:r>
            <w:r>
              <w:rPr>
                <w:rFonts w:hint="default" w:ascii="Times New Roman" w:hAnsi="Times New Roman" w:cs="Times New Roman" w:eastAsiaTheme="minorEastAsia"/>
                <w:color w:val="auto"/>
                <w:spacing w:val="-4"/>
                <w:sz w:val="21"/>
                <w:szCs w:val="21"/>
                <w:u w:val="none" w:color="auto"/>
              </w:rPr>
              <w:t>新建安全警示牌、责任牌，公示牌等标识标牌，大坝范围内白蚁</w:t>
            </w:r>
            <w:r>
              <w:rPr>
                <w:rFonts w:hint="default" w:ascii="Times New Roman" w:hAnsi="Times New Roman" w:cs="Times New Roman" w:eastAsiaTheme="minorEastAsia"/>
                <w:color w:val="auto"/>
                <w:spacing w:val="-12"/>
                <w:sz w:val="21"/>
                <w:szCs w:val="21"/>
                <w:u w:val="none" w:color="auto"/>
              </w:rPr>
              <w:t>防治</w:t>
            </w:r>
          </w:p>
        </w:tc>
        <w:tc>
          <w:tcPr>
            <w:tcW w:w="859" w:type="dxa"/>
            <w:tcBorders>
              <w:top w:val="single" w:color="000000" w:sz="2" w:space="0"/>
              <w:left w:val="single" w:color="auto" w:sz="4" w:space="0"/>
              <w:bottom w:val="single" w:color="000000" w:sz="2" w:space="0"/>
            </w:tcBorders>
            <w:shd w:val="clear" w:color="auto" w:fill="auto"/>
            <w:vAlign w:val="center"/>
          </w:tcPr>
          <w:p w14:paraId="35C3F6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pacing w:val="-4"/>
                <w:sz w:val="21"/>
                <w:szCs w:val="21"/>
                <w:u w:val="none" w:color="auto"/>
              </w:rPr>
              <w:t>新建</w:t>
            </w:r>
          </w:p>
        </w:tc>
      </w:tr>
      <w:tr w14:paraId="1B7788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tcBorders>
              <w:top w:val="single" w:color="000000" w:sz="2" w:space="0"/>
            </w:tcBorders>
            <w:vAlign w:val="center"/>
          </w:tcPr>
          <w:p w14:paraId="609DEE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施工辅助工程</w:t>
            </w:r>
          </w:p>
        </w:tc>
        <w:tc>
          <w:tcPr>
            <w:tcW w:w="1344" w:type="dxa"/>
            <w:vMerge w:val="restart"/>
            <w:tcBorders>
              <w:top w:val="single" w:color="000000" w:sz="2" w:space="0"/>
              <w:right w:val="single" w:color="auto" w:sz="4" w:space="0"/>
            </w:tcBorders>
            <w:vAlign w:val="center"/>
          </w:tcPr>
          <w:p w14:paraId="1C3CEC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围堰</w:t>
            </w:r>
          </w:p>
        </w:tc>
        <w:tc>
          <w:tcPr>
            <w:tcW w:w="6074" w:type="dxa"/>
            <w:tcBorders>
              <w:top w:val="single" w:color="000000" w:sz="2" w:space="0"/>
              <w:left w:val="single" w:color="auto" w:sz="4" w:space="0"/>
              <w:bottom w:val="single" w:color="000000" w:sz="2" w:space="0"/>
            </w:tcBorders>
            <w:vAlign w:val="center"/>
          </w:tcPr>
          <w:p w14:paraId="04E2DD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坝下游围堰</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坝下游围堰设计流量为22.9m³/s</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根据坝下游水位流量关系曲线，相应水位为239.28m。该围堰采用袋装土围堰，轴线长38m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围堰顶高程240.0m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最大围堰高度3.0m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堰顶宽度2m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上下游坡比均为1</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0.5</w:t>
            </w:r>
          </w:p>
        </w:tc>
        <w:tc>
          <w:tcPr>
            <w:tcW w:w="859" w:type="dxa"/>
            <w:tcBorders>
              <w:top w:val="single" w:color="000000" w:sz="2" w:space="0"/>
              <w:left w:val="single" w:color="auto" w:sz="4" w:space="0"/>
              <w:bottom w:val="single" w:color="000000" w:sz="2" w:space="0"/>
            </w:tcBorders>
            <w:vAlign w:val="center"/>
          </w:tcPr>
          <w:p w14:paraId="2312E7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03A05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6" w:hRule="atLeast"/>
          <w:jc w:val="center"/>
        </w:trPr>
        <w:tc>
          <w:tcPr>
            <w:tcW w:w="673" w:type="dxa"/>
            <w:vMerge w:val="continue"/>
            <w:vAlign w:val="center"/>
          </w:tcPr>
          <w:p w14:paraId="490EFE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p>
        </w:tc>
        <w:tc>
          <w:tcPr>
            <w:tcW w:w="1344" w:type="dxa"/>
            <w:vMerge w:val="continue"/>
            <w:tcBorders>
              <w:right w:val="single" w:color="auto" w:sz="4" w:space="0"/>
            </w:tcBorders>
            <w:vAlign w:val="center"/>
          </w:tcPr>
          <w:p w14:paraId="44AE08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6074" w:type="dxa"/>
            <w:tcBorders>
              <w:top w:val="single" w:color="000000" w:sz="2" w:space="0"/>
              <w:left w:val="single" w:color="auto" w:sz="4" w:space="0"/>
            </w:tcBorders>
            <w:vAlign w:val="center"/>
          </w:tcPr>
          <w:p w14:paraId="5745D5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明槽进口围堰</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明槽进口围堰设计洪峰流量20.9</w:t>
            </w:r>
            <w:r>
              <w:rPr>
                <w:rFonts w:hint="default" w:ascii="Times New Roman" w:hAnsi="Times New Roman" w:cs="Times New Roman"/>
                <w:color w:val="auto"/>
                <w:sz w:val="21"/>
                <w:szCs w:val="21"/>
                <w:u w:val="none" w:color="auto"/>
                <w:lang w:val="en-US" w:eastAsia="zh-CN"/>
              </w:rPr>
              <w:t>m³</w:t>
            </w:r>
            <w:r>
              <w:rPr>
                <w:rFonts w:hint="default" w:ascii="Times New Roman" w:hAnsi="Times New Roman" w:eastAsia="宋体" w:cs="Times New Roman"/>
                <w:color w:val="auto"/>
                <w:sz w:val="21"/>
                <w:szCs w:val="21"/>
                <w:u w:val="none" w:color="auto"/>
                <w:lang w:val="en-US" w:eastAsia="zh-CN"/>
              </w:rPr>
              <w:t>/s</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明槽进口钢筋混凝土管内径为1.8m，考虑其泄流能力及相应水库库容，相应水位为249.2m。该围堰采用袋装土围堰，部分置于明槽内，轴线长3.2m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围堰顶高程250.5m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最大围堰高度6m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堰顶宽度2m</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迎水面、背水面坡比采用1</w:t>
            </w:r>
            <w:r>
              <w:rPr>
                <w:rFonts w:hint="default" w:ascii="Times New Roman" w:hAnsi="Times New Roman"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0.5</w:t>
            </w:r>
          </w:p>
        </w:tc>
        <w:tc>
          <w:tcPr>
            <w:tcW w:w="859" w:type="dxa"/>
            <w:tcBorders>
              <w:top w:val="single" w:color="000000" w:sz="2" w:space="0"/>
              <w:left w:val="single" w:color="auto" w:sz="4" w:space="0"/>
              <w:bottom w:val="single" w:color="000000" w:sz="2" w:space="0"/>
            </w:tcBorders>
            <w:vAlign w:val="center"/>
          </w:tcPr>
          <w:p w14:paraId="17D6B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6C3CB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EEB1B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2" w:space="0"/>
              <w:bottom w:val="single" w:color="000000" w:sz="6" w:space="0"/>
              <w:right w:val="single" w:color="auto" w:sz="4" w:space="0"/>
            </w:tcBorders>
            <w:vAlign w:val="center"/>
          </w:tcPr>
          <w:p w14:paraId="38653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料场</w:t>
            </w:r>
          </w:p>
        </w:tc>
        <w:tc>
          <w:tcPr>
            <w:tcW w:w="6074" w:type="dxa"/>
            <w:tcBorders>
              <w:top w:val="single" w:color="000000" w:sz="2" w:space="0"/>
              <w:left w:val="single" w:color="auto" w:sz="4" w:space="0"/>
              <w:bottom w:val="single" w:color="000000" w:sz="6" w:space="0"/>
            </w:tcBorders>
            <w:vAlign w:val="center"/>
          </w:tcPr>
          <w:p w14:paraId="38F4DF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项目施工所需砂石土料全部外购，不设置单独的料场。</w:t>
            </w:r>
          </w:p>
          <w:p w14:paraId="633BFF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土料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本工程所需土料主要用于袋装土围堰填筑，土料设计需要量为765m³，可全部利用本工程主体工程开挖料。</w:t>
            </w:r>
          </w:p>
          <w:p w14:paraId="112E48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砂砾石料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本工程所需砂石料主要用于喷混凝土</w:t>
            </w:r>
            <w:r>
              <w:rPr>
                <w:rFonts w:hint="eastAsia" w:cs="Times New Roman"/>
                <w:color w:val="auto"/>
                <w:sz w:val="21"/>
                <w:szCs w:val="21"/>
                <w:u w:val="none" w:color="auto"/>
                <w:lang w:val="en-US" w:eastAsia="zh-CN"/>
              </w:rPr>
              <w:t>拌合</w:t>
            </w:r>
            <w:r>
              <w:rPr>
                <w:rFonts w:hint="default" w:ascii="Times New Roman" w:hAnsi="Times New Roman" w:cs="Times New Roman"/>
                <w:color w:val="auto"/>
                <w:sz w:val="21"/>
                <w:szCs w:val="21"/>
                <w:u w:val="none" w:color="auto"/>
                <w:lang w:val="en-US" w:eastAsia="zh-CN"/>
              </w:rPr>
              <w:t>，从道县</w:t>
            </w:r>
            <w:r>
              <w:rPr>
                <w:rFonts w:hint="eastAsia" w:cs="Times New Roman"/>
                <w:color w:val="auto"/>
                <w:sz w:val="21"/>
                <w:szCs w:val="21"/>
                <w:u w:val="none" w:color="auto"/>
                <w:lang w:val="en-US" w:eastAsia="zh-CN"/>
              </w:rPr>
              <w:t>梅花镇</w:t>
            </w:r>
            <w:r>
              <w:rPr>
                <w:rFonts w:hint="default" w:ascii="Times New Roman" w:hAnsi="Times New Roman" w:cs="Times New Roman"/>
                <w:color w:val="auto"/>
                <w:sz w:val="21"/>
                <w:szCs w:val="21"/>
                <w:u w:val="none" w:color="auto"/>
                <w:lang w:val="en-US" w:eastAsia="zh-CN"/>
              </w:rPr>
              <w:t>购买，为宜水河天然河砂开采，运距15km。</w:t>
            </w:r>
          </w:p>
          <w:p w14:paraId="6075E9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块石料</w:t>
            </w:r>
            <w:r>
              <w:rPr>
                <w:rFonts w:hint="eastAsia"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lang w:val="en-US" w:eastAsia="zh-CN"/>
              </w:rPr>
              <w:t>块石料主要用于大坝下游冲坑回填，块石设计需要量为417m³，可利用闸门井石方开挖料，无需块石料场。</w:t>
            </w:r>
          </w:p>
        </w:tc>
        <w:tc>
          <w:tcPr>
            <w:tcW w:w="859" w:type="dxa"/>
            <w:tcBorders>
              <w:top w:val="single" w:color="000000" w:sz="2" w:space="0"/>
              <w:left w:val="single" w:color="auto" w:sz="4" w:space="0"/>
              <w:bottom w:val="single" w:color="000000" w:sz="6" w:space="0"/>
            </w:tcBorders>
            <w:vAlign w:val="center"/>
          </w:tcPr>
          <w:p w14:paraId="1C2FD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E9CE7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7C981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6" w:space="0"/>
              <w:right w:val="single" w:color="auto" w:sz="4" w:space="0"/>
            </w:tcBorders>
            <w:vAlign w:val="center"/>
          </w:tcPr>
          <w:p w14:paraId="7EC404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施工工厂</w:t>
            </w:r>
          </w:p>
        </w:tc>
        <w:tc>
          <w:tcPr>
            <w:tcW w:w="6074" w:type="dxa"/>
            <w:tcBorders>
              <w:top w:val="single" w:color="000000" w:sz="6" w:space="0"/>
              <w:left w:val="single" w:color="auto" w:sz="4" w:space="0"/>
              <w:bottom w:val="single" w:color="000000" w:sz="6" w:space="0"/>
            </w:tcBorders>
            <w:vAlign w:val="center"/>
          </w:tcPr>
          <w:p w14:paraId="0ACC0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工程右坝头现有平坦地集中布置综合仓库、水泥仓库、综合</w:t>
            </w:r>
            <w:r>
              <w:rPr>
                <w:rFonts w:hint="default" w:ascii="Times New Roman" w:hAnsi="Times New Roman" w:cs="Times New Roman"/>
                <w:color w:val="auto"/>
                <w:sz w:val="21"/>
                <w:szCs w:val="21"/>
                <w:highlight w:val="none"/>
                <w:u w:val="none" w:color="auto"/>
                <w:lang w:val="en-US" w:eastAsia="zh-CN"/>
              </w:rPr>
              <w:t>加工厂</w:t>
            </w:r>
            <w:r>
              <w:rPr>
                <w:rFonts w:hint="default" w:ascii="Times New Roman" w:hAnsi="Times New Roman" w:cs="Times New Roman"/>
                <w:color w:val="auto"/>
                <w:sz w:val="21"/>
                <w:szCs w:val="21"/>
                <w:u w:val="none" w:color="auto"/>
                <w:lang w:val="en-US" w:eastAsia="zh-CN"/>
              </w:rPr>
              <w:t>、金结拼装场；施工机械设备就近停放在现有办公区内水泥坪，新建临建设施建筑面积830</w:t>
            </w:r>
            <w:r>
              <w:rPr>
                <w:rFonts w:hint="eastAsia" w:cs="Times New Roman"/>
                <w:color w:val="auto"/>
                <w:sz w:val="21"/>
                <w:szCs w:val="21"/>
                <w:u w:val="none" w:color="auto"/>
                <w:lang w:val="en-US" w:eastAsia="zh-CN"/>
              </w:rPr>
              <w:t>m</w:t>
            </w:r>
            <w:r>
              <w:rPr>
                <w:rFonts w:hint="eastAsia" w:cs="Times New Roman"/>
                <w:color w:val="auto"/>
                <w:sz w:val="21"/>
                <w:szCs w:val="21"/>
                <w:u w:val="none" w:color="auto"/>
                <w:vertAlign w:val="superscript"/>
                <w:lang w:val="en-US" w:eastAsia="zh-CN"/>
              </w:rPr>
              <w:t>2</w:t>
            </w:r>
            <w:r>
              <w:rPr>
                <w:rFonts w:hint="default" w:ascii="Times New Roman" w:hAnsi="Times New Roman" w:cs="Times New Roman"/>
                <w:color w:val="auto"/>
                <w:sz w:val="21"/>
                <w:szCs w:val="21"/>
                <w:u w:val="none" w:color="auto"/>
                <w:lang w:val="en-US" w:eastAsia="zh-CN"/>
              </w:rPr>
              <w:t>。</w:t>
            </w:r>
          </w:p>
        </w:tc>
        <w:tc>
          <w:tcPr>
            <w:tcW w:w="859" w:type="dxa"/>
            <w:tcBorders>
              <w:top w:val="single" w:color="000000" w:sz="6" w:space="0"/>
              <w:left w:val="single" w:color="auto" w:sz="4" w:space="0"/>
              <w:bottom w:val="single" w:color="000000" w:sz="6" w:space="0"/>
            </w:tcBorders>
            <w:vAlign w:val="center"/>
          </w:tcPr>
          <w:p w14:paraId="0BFB4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0427A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21207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6" w:space="0"/>
              <w:right w:val="single" w:color="auto" w:sz="4" w:space="0"/>
            </w:tcBorders>
            <w:vAlign w:val="center"/>
          </w:tcPr>
          <w:p w14:paraId="5B0EAC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施工生活临建场地</w:t>
            </w:r>
          </w:p>
        </w:tc>
        <w:tc>
          <w:tcPr>
            <w:tcW w:w="6074" w:type="dxa"/>
            <w:tcBorders>
              <w:top w:val="single" w:color="000000" w:sz="6" w:space="0"/>
              <w:left w:val="single" w:color="auto" w:sz="4" w:space="0"/>
              <w:bottom w:val="single" w:color="000000" w:sz="6" w:space="0"/>
            </w:tcBorders>
            <w:vAlign w:val="center"/>
          </w:tcPr>
          <w:p w14:paraId="3294F5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临时办公生活设施考虑全部租用电站现有管理及生活用房或当地民房</w:t>
            </w:r>
          </w:p>
        </w:tc>
        <w:tc>
          <w:tcPr>
            <w:tcW w:w="859" w:type="dxa"/>
            <w:tcBorders>
              <w:top w:val="single" w:color="000000" w:sz="6" w:space="0"/>
              <w:left w:val="single" w:color="auto" w:sz="4" w:space="0"/>
              <w:bottom w:val="single" w:color="000000" w:sz="6" w:space="0"/>
            </w:tcBorders>
            <w:vAlign w:val="center"/>
          </w:tcPr>
          <w:p w14:paraId="6743E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2143AC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7197B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6" w:space="0"/>
              <w:bottom w:val="single" w:color="000000" w:sz="2" w:space="0"/>
              <w:right w:val="single" w:color="auto" w:sz="4" w:space="0"/>
            </w:tcBorders>
            <w:vAlign w:val="center"/>
          </w:tcPr>
          <w:p w14:paraId="511488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施工道</w:t>
            </w:r>
            <w:r>
              <w:rPr>
                <w:rFonts w:hint="default" w:ascii="Times New Roman" w:hAnsi="Times New Roman" w:cs="Times New Roman"/>
                <w:color w:val="auto"/>
                <w:sz w:val="21"/>
                <w:szCs w:val="21"/>
                <w:u w:val="none" w:color="auto"/>
                <w:lang w:val="en-US" w:eastAsia="zh-CN"/>
              </w:rPr>
              <w:t>路</w:t>
            </w:r>
          </w:p>
        </w:tc>
        <w:tc>
          <w:tcPr>
            <w:tcW w:w="6074" w:type="dxa"/>
            <w:tcBorders>
              <w:top w:val="single" w:color="000000" w:sz="6" w:space="0"/>
              <w:left w:val="single" w:color="auto" w:sz="4" w:space="0"/>
              <w:bottom w:val="single" w:color="000000" w:sz="2" w:space="0"/>
            </w:tcBorders>
            <w:vAlign w:val="center"/>
          </w:tcPr>
          <w:p w14:paraId="13F6C8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主体工程施工范围内改建四段临时道路约1025m，弃渣场改建一段临时道路约300m</w:t>
            </w:r>
          </w:p>
        </w:tc>
        <w:tc>
          <w:tcPr>
            <w:tcW w:w="859" w:type="dxa"/>
            <w:tcBorders>
              <w:top w:val="single" w:color="000000" w:sz="6" w:space="0"/>
              <w:left w:val="single" w:color="auto" w:sz="4" w:space="0"/>
              <w:bottom w:val="single" w:color="000000" w:sz="2" w:space="0"/>
            </w:tcBorders>
            <w:vAlign w:val="center"/>
          </w:tcPr>
          <w:p w14:paraId="54D65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23FC7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4" w:hRule="atLeast"/>
          <w:jc w:val="center"/>
        </w:trPr>
        <w:tc>
          <w:tcPr>
            <w:tcW w:w="673" w:type="dxa"/>
            <w:vMerge w:val="continue"/>
            <w:tcBorders>
              <w:bottom w:val="single" w:color="000000" w:sz="2" w:space="0"/>
            </w:tcBorders>
            <w:vAlign w:val="center"/>
          </w:tcPr>
          <w:p w14:paraId="4AEDC8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p>
        </w:tc>
        <w:tc>
          <w:tcPr>
            <w:tcW w:w="1344" w:type="dxa"/>
            <w:tcBorders>
              <w:top w:val="single" w:color="000000" w:sz="2" w:space="0"/>
              <w:bottom w:val="single" w:color="000000" w:sz="2" w:space="0"/>
              <w:right w:val="single" w:color="auto" w:sz="4" w:space="0"/>
            </w:tcBorders>
            <w:vAlign w:val="center"/>
          </w:tcPr>
          <w:p w14:paraId="798911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移民安置</w:t>
            </w:r>
          </w:p>
        </w:tc>
        <w:tc>
          <w:tcPr>
            <w:tcW w:w="6074" w:type="dxa"/>
            <w:tcBorders>
              <w:top w:val="single" w:color="000000" w:sz="2" w:space="0"/>
              <w:left w:val="single" w:color="auto" w:sz="4" w:space="0"/>
              <w:bottom w:val="single" w:color="000000" w:sz="2" w:space="0"/>
            </w:tcBorders>
            <w:vAlign w:val="center"/>
          </w:tcPr>
          <w:p w14:paraId="25DA44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本项目为除险加固工程，不增加淹没和影响范围，故不存在拆迁安置问题</w:t>
            </w:r>
          </w:p>
        </w:tc>
        <w:tc>
          <w:tcPr>
            <w:tcW w:w="859" w:type="dxa"/>
            <w:tcBorders>
              <w:top w:val="single" w:color="000000" w:sz="2" w:space="0"/>
              <w:left w:val="single" w:color="auto" w:sz="4" w:space="0"/>
              <w:bottom w:val="single" w:color="000000" w:sz="2" w:space="0"/>
            </w:tcBorders>
            <w:vAlign w:val="center"/>
          </w:tcPr>
          <w:p w14:paraId="7A8E7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5A21F2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673" w:type="dxa"/>
            <w:tcBorders>
              <w:top w:val="single" w:color="000000" w:sz="2" w:space="0"/>
            </w:tcBorders>
            <w:vAlign w:val="center"/>
          </w:tcPr>
          <w:p w14:paraId="5722E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临时工程</w:t>
            </w:r>
          </w:p>
        </w:tc>
        <w:tc>
          <w:tcPr>
            <w:tcW w:w="1344" w:type="dxa"/>
            <w:tcBorders>
              <w:top w:val="single" w:color="000000" w:sz="2" w:space="0"/>
              <w:right w:val="single" w:color="auto" w:sz="4" w:space="0"/>
            </w:tcBorders>
            <w:shd w:val="clear" w:color="auto" w:fill="auto"/>
            <w:vAlign w:val="center"/>
          </w:tcPr>
          <w:p w14:paraId="7B395D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弃渣场</w:t>
            </w:r>
          </w:p>
        </w:tc>
        <w:tc>
          <w:tcPr>
            <w:tcW w:w="6074" w:type="dxa"/>
            <w:tcBorders>
              <w:top w:val="single" w:color="000000" w:sz="2" w:space="0"/>
              <w:left w:val="single" w:color="auto" w:sz="4" w:space="0"/>
            </w:tcBorders>
            <w:shd w:val="clear" w:color="auto" w:fill="auto"/>
            <w:vAlign w:val="center"/>
          </w:tcPr>
          <w:p w14:paraId="56D812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lang w:val="en-US" w:eastAsia="zh-CN"/>
              </w:rPr>
              <w:t>弃渣场位于大坝下游二级电站附近空闲低洼地，距大坝直线距离2.50km，主要堆放土石方、拆除料。渣场面积0.4421万</w:t>
            </w:r>
            <w:r>
              <w:rPr>
                <w:rFonts w:hint="eastAsia" w:cs="Times New Roman"/>
                <w:color w:val="auto"/>
                <w:sz w:val="21"/>
                <w:szCs w:val="21"/>
                <w:u w:val="none" w:color="auto"/>
                <w:lang w:val="en-US" w:eastAsia="zh-CN"/>
              </w:rPr>
              <w:t>m</w:t>
            </w:r>
            <w:r>
              <w:rPr>
                <w:rFonts w:hint="eastAsia" w:cs="Times New Roman"/>
                <w:color w:val="auto"/>
                <w:sz w:val="21"/>
                <w:szCs w:val="21"/>
                <w:u w:val="none" w:color="auto"/>
                <w:vertAlign w:val="superscript"/>
                <w:lang w:val="en-US" w:eastAsia="zh-CN"/>
              </w:rPr>
              <w:t>2</w:t>
            </w:r>
            <w:r>
              <w:rPr>
                <w:rFonts w:hint="default" w:ascii="Times New Roman" w:hAnsi="Times New Roman" w:cs="Times New Roman"/>
                <w:color w:val="auto"/>
                <w:sz w:val="21"/>
                <w:szCs w:val="21"/>
                <w:u w:val="none" w:color="auto"/>
                <w:lang w:val="en-US" w:eastAsia="zh-CN"/>
              </w:rPr>
              <w:t>，规划弃渣容量2.65万m³，最大堆高6.0m，弃渣顶高程264</w:t>
            </w:r>
            <w:r>
              <w:rPr>
                <w:rFonts w:hint="eastAsia" w:cs="Times New Roman"/>
                <w:color w:val="auto"/>
                <w:sz w:val="21"/>
                <w:szCs w:val="21"/>
                <w:u w:val="none" w:color="auto"/>
                <w:lang w:val="en-US" w:eastAsia="zh-CN"/>
              </w:rPr>
              <w:t>.0</w:t>
            </w:r>
            <w:r>
              <w:rPr>
                <w:rFonts w:hint="default" w:ascii="Times New Roman" w:hAnsi="Times New Roman" w:cs="Times New Roman"/>
                <w:color w:val="auto"/>
                <w:sz w:val="21"/>
                <w:szCs w:val="21"/>
                <w:u w:val="none" w:color="auto"/>
                <w:lang w:val="en-US" w:eastAsia="zh-CN"/>
              </w:rPr>
              <w:t>m</w:t>
            </w:r>
          </w:p>
        </w:tc>
        <w:tc>
          <w:tcPr>
            <w:tcW w:w="859" w:type="dxa"/>
            <w:tcBorders>
              <w:top w:val="single" w:color="000000" w:sz="2" w:space="0"/>
              <w:left w:val="single" w:color="auto" w:sz="4" w:space="0"/>
            </w:tcBorders>
            <w:vAlign w:val="center"/>
          </w:tcPr>
          <w:p w14:paraId="30A5C9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eastAsiaTheme="minorEastAsia"/>
                <w:color w:val="auto"/>
                <w:spacing w:val="-2"/>
                <w:sz w:val="21"/>
                <w:szCs w:val="21"/>
                <w:u w:val="none" w:color="auto"/>
              </w:rPr>
              <w:t>新增</w:t>
            </w:r>
          </w:p>
        </w:tc>
      </w:tr>
      <w:tr w14:paraId="47B5AA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1B6A1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公用工程</w:t>
            </w:r>
          </w:p>
        </w:tc>
        <w:tc>
          <w:tcPr>
            <w:tcW w:w="1344" w:type="dxa"/>
            <w:tcBorders>
              <w:right w:val="single" w:color="auto" w:sz="4" w:space="0"/>
            </w:tcBorders>
            <w:vAlign w:val="center"/>
          </w:tcPr>
          <w:p w14:paraId="6F1A72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供电</w:t>
            </w:r>
          </w:p>
        </w:tc>
        <w:tc>
          <w:tcPr>
            <w:tcW w:w="6074" w:type="dxa"/>
            <w:tcBorders>
              <w:left w:val="single" w:color="auto" w:sz="4" w:space="0"/>
            </w:tcBorders>
            <w:vAlign w:val="center"/>
          </w:tcPr>
          <w:p w14:paraId="54F329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现有电站电网接线</w:t>
            </w:r>
          </w:p>
        </w:tc>
        <w:tc>
          <w:tcPr>
            <w:tcW w:w="859" w:type="dxa"/>
            <w:tcBorders>
              <w:left w:val="single" w:color="auto" w:sz="4" w:space="0"/>
            </w:tcBorders>
            <w:vAlign w:val="center"/>
          </w:tcPr>
          <w:p w14:paraId="4E380B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1C5C53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tcBorders>
              <w:bottom w:val="single" w:color="auto" w:sz="4" w:space="0"/>
            </w:tcBorders>
            <w:vAlign w:val="center"/>
          </w:tcPr>
          <w:p w14:paraId="2553C4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bottom w:val="single" w:color="auto" w:sz="4" w:space="0"/>
              <w:right w:val="single" w:color="auto" w:sz="4" w:space="0"/>
            </w:tcBorders>
            <w:vAlign w:val="center"/>
          </w:tcPr>
          <w:p w14:paraId="2A2DF3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供水</w:t>
            </w:r>
          </w:p>
        </w:tc>
        <w:tc>
          <w:tcPr>
            <w:tcW w:w="6074" w:type="dxa"/>
            <w:tcBorders>
              <w:left w:val="single" w:color="auto" w:sz="4" w:space="0"/>
              <w:bottom w:val="single" w:color="auto" w:sz="4" w:space="0"/>
            </w:tcBorders>
            <w:vAlign w:val="center"/>
          </w:tcPr>
          <w:p w14:paraId="4CCC2B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廊洞水库供水</w:t>
            </w:r>
          </w:p>
        </w:tc>
        <w:tc>
          <w:tcPr>
            <w:tcW w:w="859" w:type="dxa"/>
            <w:tcBorders>
              <w:left w:val="single" w:color="auto" w:sz="4" w:space="0"/>
              <w:bottom w:val="single" w:color="auto" w:sz="4" w:space="0"/>
            </w:tcBorders>
            <w:vAlign w:val="center"/>
          </w:tcPr>
          <w:p w14:paraId="4FFDCB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7B4EF5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79EA31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环保措施</w:t>
            </w:r>
          </w:p>
        </w:tc>
        <w:tc>
          <w:tcPr>
            <w:tcW w:w="1344" w:type="dxa"/>
            <w:tcBorders>
              <w:right w:val="single" w:color="auto" w:sz="4" w:space="0"/>
            </w:tcBorders>
            <w:vAlign w:val="center"/>
          </w:tcPr>
          <w:p w14:paraId="6ABC26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废气治理</w:t>
            </w:r>
          </w:p>
        </w:tc>
        <w:tc>
          <w:tcPr>
            <w:tcW w:w="6074" w:type="dxa"/>
            <w:tcBorders>
              <w:left w:val="single" w:color="auto" w:sz="4" w:space="0"/>
              <w:bottom w:val="single" w:color="auto" w:sz="4" w:space="0"/>
            </w:tcBorders>
            <w:vAlign w:val="center"/>
          </w:tcPr>
          <w:p w14:paraId="0598A2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裸露地面采用加盖篷布措施，避免大风天气作业，施工作业面、道路、裸露地面定时洒水抑尘</w:t>
            </w:r>
          </w:p>
        </w:tc>
        <w:tc>
          <w:tcPr>
            <w:tcW w:w="859" w:type="dxa"/>
            <w:tcBorders>
              <w:left w:val="single" w:color="auto" w:sz="4" w:space="0"/>
              <w:bottom w:val="single" w:color="auto" w:sz="4" w:space="0"/>
            </w:tcBorders>
            <w:vAlign w:val="center"/>
          </w:tcPr>
          <w:p w14:paraId="4854F8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351ACC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8D6D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top w:val="single" w:color="auto" w:sz="4" w:space="0"/>
              <w:right w:val="single" w:color="auto" w:sz="4" w:space="0"/>
            </w:tcBorders>
            <w:vAlign w:val="center"/>
          </w:tcPr>
          <w:p w14:paraId="5918B2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废水治理</w:t>
            </w:r>
          </w:p>
        </w:tc>
        <w:tc>
          <w:tcPr>
            <w:tcW w:w="6074" w:type="dxa"/>
            <w:tcBorders>
              <w:top w:val="single" w:color="auto" w:sz="4" w:space="0"/>
              <w:left w:val="single" w:color="auto" w:sz="4" w:space="0"/>
            </w:tcBorders>
            <w:vAlign w:val="center"/>
          </w:tcPr>
          <w:p w14:paraId="4554D1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施工废水处理后回用不外排</w:t>
            </w:r>
          </w:p>
        </w:tc>
        <w:tc>
          <w:tcPr>
            <w:tcW w:w="859" w:type="dxa"/>
            <w:tcBorders>
              <w:top w:val="single" w:color="auto" w:sz="4" w:space="0"/>
              <w:left w:val="single" w:color="auto" w:sz="4" w:space="0"/>
            </w:tcBorders>
            <w:vAlign w:val="center"/>
          </w:tcPr>
          <w:p w14:paraId="45E10E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6752D5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11658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top w:val="single" w:color="auto" w:sz="4" w:space="0"/>
              <w:right w:val="single" w:color="auto" w:sz="4" w:space="0"/>
            </w:tcBorders>
            <w:vAlign w:val="center"/>
          </w:tcPr>
          <w:p w14:paraId="21273C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噪声治理</w:t>
            </w:r>
          </w:p>
        </w:tc>
        <w:tc>
          <w:tcPr>
            <w:tcW w:w="6074" w:type="dxa"/>
            <w:tcBorders>
              <w:top w:val="single" w:color="auto" w:sz="4" w:space="0"/>
              <w:left w:val="single" w:color="auto" w:sz="4" w:space="0"/>
            </w:tcBorders>
            <w:vAlign w:val="center"/>
          </w:tcPr>
          <w:p w14:paraId="5EDB20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val="en-US" w:eastAsia="zh-CN"/>
              </w:rPr>
              <w:t>加</w:t>
            </w:r>
            <w:r>
              <w:rPr>
                <w:rFonts w:hint="default" w:ascii="Times New Roman" w:hAnsi="Times New Roman" w:eastAsia="宋体" w:cs="Times New Roman"/>
                <w:color w:val="auto"/>
                <w:sz w:val="21"/>
                <w:szCs w:val="21"/>
                <w:u w:val="none" w:color="auto"/>
                <w:lang w:val="en-US" w:eastAsia="zh-CN"/>
              </w:rPr>
              <w:t>强施工区噪声管理，对高噪声的机械设备采取降噪措施，加强高噪声施工设备的维修管理</w:t>
            </w:r>
          </w:p>
        </w:tc>
        <w:tc>
          <w:tcPr>
            <w:tcW w:w="859" w:type="dxa"/>
            <w:tcBorders>
              <w:top w:val="single" w:color="auto" w:sz="4" w:space="0"/>
              <w:left w:val="single" w:color="auto" w:sz="4" w:space="0"/>
            </w:tcBorders>
            <w:vAlign w:val="center"/>
          </w:tcPr>
          <w:p w14:paraId="26C988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D0F24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D85CF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restart"/>
            <w:tcBorders>
              <w:right w:val="single" w:color="auto" w:sz="4" w:space="0"/>
            </w:tcBorders>
            <w:vAlign w:val="center"/>
          </w:tcPr>
          <w:p w14:paraId="5D3313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固体废物治理</w:t>
            </w:r>
          </w:p>
        </w:tc>
        <w:tc>
          <w:tcPr>
            <w:tcW w:w="6074" w:type="dxa"/>
            <w:tcBorders>
              <w:left w:val="single" w:color="auto" w:sz="4" w:space="0"/>
              <w:bottom w:val="single" w:color="auto" w:sz="4" w:space="0"/>
            </w:tcBorders>
            <w:vAlign w:val="center"/>
          </w:tcPr>
          <w:p w14:paraId="1C6D38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生活垃圾统一收集交环卫部门处置</w:t>
            </w:r>
          </w:p>
        </w:tc>
        <w:tc>
          <w:tcPr>
            <w:tcW w:w="859" w:type="dxa"/>
            <w:tcBorders>
              <w:left w:val="single" w:color="auto" w:sz="4" w:space="0"/>
              <w:bottom w:val="single" w:color="auto" w:sz="4" w:space="0"/>
            </w:tcBorders>
            <w:vAlign w:val="center"/>
          </w:tcPr>
          <w:p w14:paraId="6A3A39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w:t>
            </w:r>
          </w:p>
        </w:tc>
      </w:tr>
      <w:tr w14:paraId="001BC7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0369DE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continue"/>
            <w:tcBorders>
              <w:right w:val="single" w:color="auto" w:sz="4" w:space="0"/>
            </w:tcBorders>
            <w:vAlign w:val="center"/>
          </w:tcPr>
          <w:p w14:paraId="37DCD5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6074" w:type="dxa"/>
            <w:tcBorders>
              <w:top w:val="single" w:color="auto" w:sz="4" w:space="0"/>
              <w:left w:val="single" w:color="auto" w:sz="4" w:space="0"/>
              <w:bottom w:val="single" w:color="000000" w:sz="6" w:space="0"/>
            </w:tcBorders>
            <w:vAlign w:val="center"/>
          </w:tcPr>
          <w:p w14:paraId="3ED0F3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建筑垃圾中的废钢筋可进行回收再利用，碎石块、废石料、水泥块及混凝土残渣等、可以在施工附企的建设中综合利用</w:t>
            </w:r>
          </w:p>
        </w:tc>
        <w:tc>
          <w:tcPr>
            <w:tcW w:w="859" w:type="dxa"/>
            <w:tcBorders>
              <w:top w:val="single" w:color="auto" w:sz="4" w:space="0"/>
              <w:left w:val="single" w:color="auto" w:sz="4" w:space="0"/>
              <w:bottom w:val="single" w:color="000000" w:sz="6" w:space="0"/>
            </w:tcBorders>
            <w:vAlign w:val="center"/>
          </w:tcPr>
          <w:p w14:paraId="327545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r w14:paraId="48A814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3A9DF3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vMerge w:val="continue"/>
            <w:tcBorders>
              <w:right w:val="single" w:color="auto" w:sz="4" w:space="0"/>
            </w:tcBorders>
            <w:vAlign w:val="center"/>
          </w:tcPr>
          <w:p w14:paraId="61F77A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6074" w:type="dxa"/>
            <w:tcBorders>
              <w:top w:val="single" w:color="000000" w:sz="6" w:space="0"/>
              <w:left w:val="single" w:color="auto" w:sz="4" w:space="0"/>
              <w:bottom w:val="single" w:color="000000" w:sz="6" w:space="0"/>
            </w:tcBorders>
            <w:vAlign w:val="center"/>
          </w:tcPr>
          <w:p w14:paraId="56C649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施工产生多余的土石方堆放至弃渣场</w:t>
            </w:r>
          </w:p>
        </w:tc>
        <w:tc>
          <w:tcPr>
            <w:tcW w:w="859" w:type="dxa"/>
            <w:tcBorders>
              <w:top w:val="single" w:color="000000" w:sz="6" w:space="0"/>
              <w:left w:val="single" w:color="auto" w:sz="4" w:space="0"/>
              <w:bottom w:val="single" w:color="000000" w:sz="6" w:space="0"/>
            </w:tcBorders>
            <w:vAlign w:val="center"/>
          </w:tcPr>
          <w:p w14:paraId="42195C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r w14:paraId="1CBBF4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2D9C84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color="auto"/>
              </w:rPr>
            </w:pPr>
          </w:p>
        </w:tc>
        <w:tc>
          <w:tcPr>
            <w:tcW w:w="1344" w:type="dxa"/>
            <w:tcBorders>
              <w:right w:val="single" w:color="auto" w:sz="4" w:space="0"/>
            </w:tcBorders>
            <w:vAlign w:val="center"/>
          </w:tcPr>
          <w:p w14:paraId="133AE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生态</w:t>
            </w:r>
          </w:p>
        </w:tc>
        <w:tc>
          <w:tcPr>
            <w:tcW w:w="6074" w:type="dxa"/>
            <w:tcBorders>
              <w:top w:val="single" w:color="000000" w:sz="6" w:space="0"/>
              <w:left w:val="single" w:color="auto" w:sz="4" w:space="0"/>
            </w:tcBorders>
            <w:vAlign w:val="center"/>
          </w:tcPr>
          <w:p w14:paraId="5031EB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1</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工程竣工后需对施工迹地采取植树、种草、复耕等方式进行绿化，防止水土流失；</w:t>
            </w:r>
          </w:p>
          <w:p w14:paraId="1D54D3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施工期间禁止施工人员猎捕蛙类、蛇类、鸟类等野生动物和从事</w:t>
            </w:r>
            <w:r>
              <w:rPr>
                <w:rFonts w:hint="default" w:ascii="Times New Roman" w:hAnsi="Times New Roman" w:eastAsia="宋体" w:cs="Times New Roman"/>
                <w:color w:val="auto"/>
                <w:sz w:val="21"/>
                <w:szCs w:val="21"/>
                <w:highlight w:val="none"/>
                <w:u w:val="none" w:color="auto"/>
                <w:lang w:val="en-US" w:eastAsia="zh-CN"/>
              </w:rPr>
              <w:t>其它有碍</w:t>
            </w:r>
            <w:r>
              <w:rPr>
                <w:rFonts w:hint="default" w:ascii="Times New Roman" w:hAnsi="Times New Roman" w:eastAsia="宋体" w:cs="Times New Roman"/>
                <w:color w:val="auto"/>
                <w:sz w:val="21"/>
                <w:szCs w:val="21"/>
                <w:u w:val="none" w:color="auto"/>
                <w:lang w:val="en-US" w:eastAsia="zh-CN"/>
              </w:rPr>
              <w:t>生态环境保护的活动，发现珍稀野生动物立即上报林业管理部门。</w:t>
            </w:r>
          </w:p>
          <w:p w14:paraId="594938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施工期间，加强施工管理，禁止施工人员非法捕捞</w:t>
            </w:r>
            <w:r>
              <w:rPr>
                <w:rFonts w:hint="default" w:ascii="Times New Roman" w:hAnsi="Times New Roman" w:cs="Times New Roman"/>
                <w:color w:val="auto"/>
                <w:sz w:val="21"/>
                <w:szCs w:val="21"/>
                <w:u w:val="none" w:color="auto"/>
                <w:lang w:val="en-US" w:eastAsia="zh-CN"/>
              </w:rPr>
              <w:t>水库及宜阳河</w:t>
            </w:r>
            <w:r>
              <w:rPr>
                <w:rFonts w:hint="default" w:ascii="Times New Roman" w:hAnsi="Times New Roman" w:eastAsia="宋体" w:cs="Times New Roman"/>
                <w:color w:val="auto"/>
                <w:sz w:val="21"/>
                <w:szCs w:val="21"/>
                <w:u w:val="none" w:color="auto"/>
                <w:lang w:val="en-US" w:eastAsia="zh-CN"/>
              </w:rPr>
              <w:t>内的鱼类或伤害</w:t>
            </w:r>
            <w:r>
              <w:rPr>
                <w:rFonts w:hint="default" w:ascii="Times New Roman" w:hAnsi="Times New Roman" w:eastAsia="宋体" w:cs="Times New Roman"/>
                <w:color w:val="auto"/>
                <w:sz w:val="21"/>
                <w:szCs w:val="21"/>
                <w:highlight w:val="none"/>
                <w:u w:val="none" w:color="auto"/>
                <w:lang w:val="en-US" w:eastAsia="zh-CN"/>
              </w:rPr>
              <w:t>其它</w:t>
            </w:r>
            <w:r>
              <w:rPr>
                <w:rFonts w:hint="default" w:ascii="Times New Roman" w:hAnsi="Times New Roman" w:eastAsia="宋体" w:cs="Times New Roman"/>
                <w:color w:val="auto"/>
                <w:sz w:val="21"/>
                <w:szCs w:val="21"/>
                <w:u w:val="none" w:color="auto"/>
                <w:lang w:val="en-US" w:eastAsia="zh-CN"/>
              </w:rPr>
              <w:t>水生动物。</w:t>
            </w:r>
          </w:p>
        </w:tc>
        <w:tc>
          <w:tcPr>
            <w:tcW w:w="859" w:type="dxa"/>
            <w:tcBorders>
              <w:top w:val="single" w:color="000000" w:sz="6" w:space="0"/>
              <w:left w:val="single" w:color="auto" w:sz="4" w:space="0"/>
            </w:tcBorders>
            <w:vAlign w:val="center"/>
          </w:tcPr>
          <w:p w14:paraId="6F745C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r>
    </w:tbl>
    <w:p w14:paraId="2124EB9C">
      <w:pPr>
        <w:pStyle w:val="3"/>
        <w:bidi w:val="0"/>
        <w:rPr>
          <w:rFonts w:hint="default" w:ascii="Times New Roman" w:hAnsi="Times New Roman" w:cs="Times New Roman"/>
          <w:color w:val="auto"/>
          <w:u w:val="none" w:color="auto"/>
        </w:rPr>
      </w:pPr>
      <w:bookmarkStart w:id="128" w:name="_Toc24720"/>
      <w:r>
        <w:rPr>
          <w:rFonts w:hint="default" w:ascii="Times New Roman" w:hAnsi="Times New Roman" w:cs="Times New Roman"/>
          <w:color w:val="auto"/>
          <w:u w:val="none" w:color="auto"/>
        </w:rPr>
        <w:t>工程</w:t>
      </w:r>
      <w:r>
        <w:rPr>
          <w:rFonts w:hint="default" w:ascii="Times New Roman" w:hAnsi="Times New Roman" w:cs="Times New Roman"/>
          <w:color w:val="auto"/>
          <w:u w:val="none" w:color="auto"/>
          <w:lang w:val="en-US" w:eastAsia="zh-CN"/>
        </w:rPr>
        <w:t>除险</w:t>
      </w:r>
      <w:r>
        <w:rPr>
          <w:rFonts w:hint="default" w:ascii="Times New Roman" w:hAnsi="Times New Roman" w:cs="Times New Roman"/>
          <w:color w:val="auto"/>
          <w:u w:val="none" w:color="auto"/>
        </w:rPr>
        <w:t>加固</w:t>
      </w:r>
      <w:r>
        <w:rPr>
          <w:rFonts w:hint="default" w:ascii="Times New Roman" w:hAnsi="Times New Roman" w:cs="Times New Roman"/>
          <w:color w:val="auto"/>
          <w:u w:val="none" w:color="auto"/>
          <w:lang w:val="en-US" w:eastAsia="zh-CN"/>
        </w:rPr>
        <w:t>施工设计</w:t>
      </w:r>
      <w:bookmarkEnd w:id="128"/>
    </w:p>
    <w:p w14:paraId="3848346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本工程为除险加固工程，主要建筑物</w:t>
      </w:r>
      <w:r>
        <w:rPr>
          <w:rFonts w:hint="eastAsia" w:cs="Times New Roman"/>
          <w:color w:val="auto"/>
          <w:u w:val="none" w:color="auto"/>
          <w:lang w:eastAsia="zh-CN"/>
        </w:rPr>
        <w:t>：</w:t>
      </w:r>
      <w:r>
        <w:rPr>
          <w:rFonts w:hint="default" w:ascii="Times New Roman" w:hAnsi="Times New Roman" w:cs="Times New Roman"/>
          <w:color w:val="auto"/>
          <w:u w:val="none" w:color="auto"/>
        </w:rPr>
        <w:t>大坝、溢洪道建设内容为加固设计，输水建筑物考虑隧洞与电站相接，因此输水建筑物布置在大坝左侧。</w:t>
      </w:r>
    </w:p>
    <w:p w14:paraId="1A12F85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w:t>
      </w:r>
      <w:r>
        <w:rPr>
          <w:rFonts w:hint="default" w:ascii="Times New Roman" w:hAnsi="Times New Roman" w:cs="Times New Roman"/>
          <w:color w:val="auto"/>
          <w:u w:val="none" w:color="auto"/>
          <w:lang w:val="en-US" w:eastAsia="zh-CN"/>
        </w:rPr>
        <w:t>防渗</w:t>
      </w:r>
      <w:r>
        <w:rPr>
          <w:rFonts w:hint="default" w:ascii="Times New Roman" w:hAnsi="Times New Roman" w:cs="Times New Roman"/>
          <w:color w:val="auto"/>
          <w:u w:val="none" w:color="auto"/>
        </w:rPr>
        <w:t>加固</w:t>
      </w:r>
    </w:p>
    <w:p w14:paraId="2BB197E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坝体渗漏加固</w:t>
      </w:r>
      <w:r>
        <w:rPr>
          <w:rFonts w:hint="default" w:ascii="Times New Roman" w:hAnsi="Times New Roman" w:cs="Times New Roman"/>
          <w:color w:val="auto"/>
          <w:u w:val="none" w:color="auto"/>
        </w:rPr>
        <w:t>选择上游防渗面板裂缝修补、涂刷防渗材料+坝体充填灌浆</w:t>
      </w:r>
      <w:r>
        <w:rPr>
          <w:rFonts w:hint="default" w:ascii="Times New Roman" w:hAnsi="Times New Roman" w:cs="Times New Roman"/>
          <w:color w:val="auto"/>
          <w:u w:val="none" w:color="auto"/>
          <w:lang w:val="en-US" w:eastAsia="zh-CN"/>
        </w:rPr>
        <w:t>的</w:t>
      </w:r>
      <w:r>
        <w:rPr>
          <w:rFonts w:hint="default" w:ascii="Times New Roman" w:hAnsi="Times New Roman" w:cs="Times New Roman"/>
          <w:color w:val="auto"/>
          <w:u w:val="none" w:color="auto"/>
        </w:rPr>
        <w:t>方案。</w:t>
      </w:r>
    </w:p>
    <w:p w14:paraId="6D798BD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rPr>
        <w:t>大坝防渗处理</w:t>
      </w:r>
    </w:p>
    <w:p w14:paraId="2A4B72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正常蓄水位为289.85m，校核洪水位291.84m。防渗范围为桩号K0+000~K0+238，长238m。桩号K0+062~K0+228段，长166.00m，坝体采用塑性砼防渗墙、坝基采用帷幕灌浆防渗处理，两岸坝肩采用帷幕灌浆防渗处理，延伸至正常蓄水位和相对不透水层相交处，其中左右岸分别延伸62.00m和10.00m。</w:t>
      </w:r>
    </w:p>
    <w:p w14:paraId="105072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坝体塑性砼防渗墙墙墙厚0.6m，位于坝轴线上游侧1.60m，墙底深入基岩按0.50m控制，如遇岩体较破碎，则防渗墙应加深，墙顶高程为219.96m，防渗墙分2序施工。</w:t>
      </w:r>
    </w:p>
    <w:p w14:paraId="6D2667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帷幕灌浆底线至相对不透水层q=10Lu线下5m。帷幕灌浆孔孔距为2.0m，灌浆分二序施工，同序孔孔距4.0m，共计120孔。为加强帷幕灌浆防渗效果，对断层处采用双排帷幕灌浆进行处理，梅花形布置，间排距2m。</w:t>
      </w:r>
    </w:p>
    <w:p w14:paraId="398A8FF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大坝防渗灌浆后，对上下游坝坡、踏步等进行恢复设计；大坝下游坝坡块石护坡设计；新建下游排水沟等。</w:t>
      </w:r>
    </w:p>
    <w:p w14:paraId="34364397">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泄水建筑物</w:t>
      </w:r>
      <w:r>
        <w:rPr>
          <w:rFonts w:hint="default" w:ascii="Times New Roman" w:hAnsi="Times New Roman" w:cs="Times New Roman"/>
          <w:color w:val="auto"/>
          <w:u w:val="none" w:color="auto"/>
          <w:lang w:val="en-US" w:eastAsia="zh-CN"/>
        </w:rPr>
        <w:t>加固设计</w:t>
      </w:r>
    </w:p>
    <w:p w14:paraId="572EF9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溢洪道布置于大坝左岸，为侧槽式溢洪道，无闸门控制。由控制段、泄槽段、消能防冲段、护坦段组成。</w:t>
      </w:r>
    </w:p>
    <w:p w14:paraId="139046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溢洪道建筑物级别为3级，设计洪水标准为100年一遇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，相应溢洪道下泄流量分别为189.01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/s、315.21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/s。溢洪道消能防冲建筑物设计洪水标准为30年一遇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，相应下泄流量130.28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w:t>
      </w:r>
    </w:p>
    <w:p w14:paraId="50BA1F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根据本次现场踏勘以及安全鉴定结论，溢洪道存在的主要问题有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溢洪道泄槽段底板表层冲刷脱皮、露筋、开裂，填缝以及止水失效，破损较严重；消力池底板破损，尾水渠底板冲垮。</w:t>
      </w:r>
    </w:p>
    <w:p w14:paraId="391D00D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本次溢洪道除险加固的主要内容有</w:t>
      </w:r>
      <w:r>
        <w:rPr>
          <w:rFonts w:hint="eastAsia" w:cs="Times New Roman"/>
          <w:color w:val="auto"/>
          <w:u w:val="none" w:color="auto"/>
          <w:lang w:eastAsia="zh-CN"/>
        </w:rPr>
        <w:t>：</w:t>
      </w:r>
      <w:r>
        <w:rPr>
          <w:rFonts w:hint="default" w:ascii="Times New Roman" w:hAnsi="Times New Roman" w:cs="Times New Roman"/>
          <w:color w:val="auto"/>
          <w:u w:val="none" w:color="auto"/>
        </w:rPr>
        <w:t>溢洪道泄槽段底板拆除重建；拆除重建消力池段；新建护坦段。</w:t>
      </w:r>
    </w:p>
    <w:p w14:paraId="5316BF8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输水建筑物</w:t>
      </w:r>
      <w:r>
        <w:rPr>
          <w:rFonts w:hint="default" w:ascii="Times New Roman" w:hAnsi="Times New Roman" w:cs="Times New Roman"/>
          <w:color w:val="auto"/>
          <w:u w:val="none" w:color="auto"/>
          <w:lang w:val="en-US" w:eastAsia="zh-CN"/>
        </w:rPr>
        <w:t>设计</w:t>
      </w:r>
    </w:p>
    <w:p w14:paraId="5C455C2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是一个以灌溉为主，兼顾防洪、发电等综合利用的中型水利工程，灌溉功能优先保障，根据《廊洞水库大坝安全鉴定报告书》(2022年)及本次除险加固地质勘察成果复核中指出，此处围岩稳定性差，且历次加固效果不佳，上次除险加固2010年11月完工，距今仅十余年时间，启闭设施及闸门已锈蚀无法启闭，对下游灌溉及发电造成一定的影响。输水建筑物布置于大坝左岸，由进水渠、取水塔和输水隧洞组成。引水渠和进水塔位于溢洪道左侧，进水塔后接隧洞，隧洞穿过山脚，轴线与溢洪道轴线交叉，出口接入下游电站。</w:t>
      </w:r>
    </w:p>
    <w:p w14:paraId="081B8F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引水渠</w:t>
      </w:r>
    </w:p>
    <w:p w14:paraId="27A44C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引水渠长6.5m，采用C25钢筋砼底板，底板宽2.60m，厚0.30m，底板高程为256.53m。渠道边坡采用浆砌石护坡，坡比1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1.25，厚度0.4m，高1.8m，其上边坡开挖采用锚喷支护，坡比1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0.75，0.1m厚C20混凝土，挂网钢筋φ6@200。</w:t>
      </w:r>
    </w:p>
    <w:p w14:paraId="41AF0F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新建</w:t>
      </w:r>
      <w:r>
        <w:rPr>
          <w:rFonts w:hint="default" w:ascii="Times New Roman" w:hAnsi="Times New Roman" w:cs="Times New Roman"/>
          <w:color w:val="auto"/>
          <w:u w:val="none" w:color="auto"/>
        </w:rPr>
        <w:t>取水塔</w:t>
      </w:r>
    </w:p>
    <w:p w14:paraId="190001C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新建</w:t>
      </w:r>
      <w:r>
        <w:rPr>
          <w:rFonts w:hint="eastAsia" w:cs="Times New Roman"/>
          <w:color w:val="auto"/>
          <w:u w:val="none" w:color="auto"/>
          <w:lang w:val="en-US" w:eastAsia="zh-CN"/>
        </w:rPr>
        <w:t>岸塔式</w:t>
      </w:r>
      <w:r>
        <w:rPr>
          <w:rFonts w:hint="default" w:ascii="Times New Roman" w:hAnsi="Times New Roman" w:cs="Times New Roman"/>
          <w:color w:val="auto"/>
          <w:u w:val="none" w:color="auto"/>
        </w:rPr>
        <w:t>取水塔左右侧及下游侧山体开挖坡比1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w:t>
      </w:r>
      <w:r>
        <w:rPr>
          <w:rFonts w:ascii="Arial" w:hAnsi="Arial" w:eastAsia="Arial" w:cs="Arial"/>
          <w:b w:val="0"/>
          <w:bCs w:val="0"/>
          <w:i w:val="0"/>
          <w:iCs w:val="0"/>
          <w:caps w:val="0"/>
          <w:color w:val="333333"/>
          <w:spacing w:val="0"/>
          <w:sz w:val="24"/>
          <w:szCs w:val="24"/>
          <w:shd w:val="clear" w:fill="FFFFFF"/>
        </w:rPr>
        <w:t>‌</w:t>
      </w:r>
      <w:r>
        <w:rPr>
          <w:rStyle w:val="41"/>
          <w:rFonts w:hint="default" w:ascii="Arial" w:hAnsi="Arial" w:eastAsia="Arial" w:cs="Arial"/>
          <w:b w:val="0"/>
          <w:bCs w:val="0"/>
          <w:i w:val="0"/>
          <w:iCs w:val="0"/>
          <w:caps w:val="0"/>
          <w:color w:val="333333"/>
          <w:spacing w:val="0"/>
          <w:sz w:val="24"/>
          <w:szCs w:val="24"/>
          <w:shd w:val="clear" w:fill="FFFFFF"/>
        </w:rPr>
        <w:t>分级削坡</w:t>
      </w:r>
      <w:r>
        <w:rPr>
          <w:rStyle w:val="41"/>
          <w:rFonts w:hint="eastAsia" w:ascii="Arial" w:hAnsi="Arial" w:eastAsia="宋体" w:cs="Arial"/>
          <w:b w:val="0"/>
          <w:bCs w:val="0"/>
          <w:i w:val="0"/>
          <w:iCs w:val="0"/>
          <w:caps w:val="0"/>
          <w:color w:val="333333"/>
          <w:spacing w:val="0"/>
          <w:sz w:val="24"/>
          <w:szCs w:val="24"/>
          <w:shd w:val="clear" w:fill="FFFFFF"/>
          <w:lang w:eastAsia="zh-CN"/>
        </w:rPr>
        <w:t>，</w:t>
      </w:r>
      <w:r>
        <w:rPr>
          <w:rStyle w:val="41"/>
          <w:rFonts w:hint="eastAsia" w:ascii="Arial" w:hAnsi="Arial" w:eastAsia="宋体" w:cs="Arial"/>
          <w:b w:val="0"/>
          <w:bCs w:val="0"/>
          <w:i w:val="0"/>
          <w:iCs w:val="0"/>
          <w:caps w:val="0"/>
          <w:color w:val="333333"/>
          <w:spacing w:val="0"/>
          <w:sz w:val="24"/>
          <w:szCs w:val="24"/>
          <w:shd w:val="clear" w:fill="FFFFFF"/>
          <w:lang w:val="en-US" w:eastAsia="zh-CN"/>
        </w:rPr>
        <w:t>并</w:t>
      </w:r>
      <w:r>
        <w:rPr>
          <w:rFonts w:hint="default" w:ascii="Times New Roman" w:hAnsi="Times New Roman" w:cs="Times New Roman"/>
          <w:color w:val="auto"/>
          <w:u w:val="none" w:color="auto"/>
        </w:rPr>
        <w:t>对边坡进行挂网喷混凝土处理，混凝土厚0.1m，强度等级C20，挂网钢筋φ6@200，锚杆采用φ25@2000锚杆，L=4.5m，间排距2.0m。</w:t>
      </w:r>
    </w:p>
    <w:p w14:paraId="256BDA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输水涵</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洞洞身加固设计</w:t>
      </w:r>
    </w:p>
    <w:p w14:paraId="0363235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针对输水涵</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隧</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洞洞径D=1.2m，能进人进行施工，本次采用钢板内衬的方法解决其渗漏问题。钢板内衬前先对原洞身衬砌砼与山体之间回填灌浆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回填灌浆长度61.5m，桩号K0+000~K0+061.5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，再人工凿除涵管管身表面2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3cm砼层，然后在凿除段两端抹</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0水泥砂浆，用厚度为8mm的钢板内衬。衬砌完成后，再进行洞身与钢衬之间接触灌浆，使钢板和原有管之间灌满砂浆</w:t>
      </w:r>
      <w:r>
        <w:rPr>
          <w:rFonts w:hint="default" w:ascii="Times New Roman" w:hAnsi="Times New Roman" w:cs="Times New Roman"/>
          <w:color w:val="auto"/>
          <w:u w:val="none" w:color="auto"/>
          <w:lang w:eastAsia="zh-CN"/>
        </w:rPr>
        <w:t>。</w:t>
      </w:r>
    </w:p>
    <w:p w14:paraId="40797F9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其它建筑物设计</w:t>
      </w:r>
    </w:p>
    <w:p w14:paraId="2A58DEB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边坡支护设计</w:t>
      </w:r>
    </w:p>
    <w:p w14:paraId="2384950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本次设计对坝肩接头处山体落石处理采用清基+防护措施处理。</w:t>
      </w:r>
    </w:p>
    <w:p w14:paraId="4A5128A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清基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w:t>
      </w:r>
      <w:r>
        <w:rPr>
          <w:rFonts w:hint="default" w:ascii="Times New Roman" w:hAnsi="Times New Roman" w:cs="Times New Roman"/>
          <w:color w:val="auto"/>
          <w:u w:val="none" w:color="auto"/>
          <w:lang w:val="en-US" w:eastAsia="zh-CN"/>
        </w:rPr>
        <w:t>次改建</w:t>
      </w:r>
      <w:r>
        <w:rPr>
          <w:rFonts w:hint="default" w:ascii="Times New Roman" w:hAnsi="Times New Roman" w:cs="Times New Roman"/>
          <w:color w:val="auto"/>
          <w:u w:val="none" w:color="auto"/>
        </w:rPr>
        <w:t>对高程340m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300m山体自然边坡凸出松动的破碎岩体及滚石清除，并沿山体自然边坡清基。</w:t>
      </w:r>
    </w:p>
    <w:p w14:paraId="493EB6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防护</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对临近大坝段一级和二级边坡长100m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设计开挖坡比为1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0.75~1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1.62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采用锚喷支护方案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系统锚杆φ25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L=4.5m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外露0.1m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挂钢筋网φ8@200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喷0.1m厚C20混凝土；其余200m段一级边坡采用喷混凝土支护方案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挂钢筋网φ8@200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喷0.1m厚C20混凝土。</w:t>
      </w:r>
    </w:p>
    <w:p w14:paraId="61C9C6E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大坝安全监测设计</w:t>
      </w:r>
    </w:p>
    <w:p w14:paraId="6295C4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新增水库水雨情、水文测报、安全监测等设施。</w:t>
      </w:r>
    </w:p>
    <w:p w14:paraId="0446D71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附属建筑物设计</w:t>
      </w:r>
    </w:p>
    <w:p w14:paraId="5A9A956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新建</w:t>
      </w:r>
      <w:r>
        <w:rPr>
          <w:rFonts w:hint="default" w:ascii="Times New Roman" w:hAnsi="Times New Roman" w:cs="Times New Roman"/>
          <w:color w:val="auto"/>
          <w:u w:val="none" w:color="auto"/>
        </w:rPr>
        <w:t>工程牌</w:t>
      </w:r>
    </w:p>
    <w:p w14:paraId="5B4F48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水库管理用房修缮</w:t>
      </w:r>
    </w:p>
    <w:p w14:paraId="05B946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按照湖南省中型水库大坝管理用房统一标准设计，按中型水库标准每人办公面积按10~15</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计算，廊洞水库在册人员为</w:t>
      </w:r>
      <w:r>
        <w:rPr>
          <w:rFonts w:hint="default" w:ascii="Times New Roman" w:hAnsi="Times New Roman" w:cs="Times New Roman"/>
          <w:color w:val="auto"/>
          <w:u w:val="none" w:color="auto"/>
          <w:lang w:val="en-US" w:eastAsia="zh-CN"/>
        </w:rPr>
        <w:t>30人</w:t>
      </w:r>
      <w:r>
        <w:rPr>
          <w:rFonts w:hint="default" w:ascii="Times New Roman" w:hAnsi="Times New Roman" w:cs="Times New Roman"/>
          <w:color w:val="auto"/>
          <w:u w:val="none" w:color="auto"/>
        </w:rPr>
        <w:t>，现有管理房门窗破损、墙面老化，管理及生活房建筑面积按500</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进行维修。</w:t>
      </w:r>
    </w:p>
    <w:p w14:paraId="5AF9ED2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防汛值班室设计</w:t>
      </w:r>
    </w:p>
    <w:p w14:paraId="2A960D9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大坝防汛值班室布置在廊洞水库坝顶。按照湖南省水库大坝管理用房统一标准的设计方案及外观设计标准，建筑面积40</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，为一层砖混结构</w:t>
      </w:r>
      <w:r>
        <w:rPr>
          <w:rFonts w:hint="default" w:ascii="Times New Roman" w:hAnsi="Times New Roman" w:cs="Times New Roman"/>
          <w:color w:val="auto"/>
          <w:u w:val="none" w:color="auto"/>
          <w:lang w:eastAsia="zh-CN"/>
        </w:rPr>
        <w:t>。</w:t>
      </w:r>
    </w:p>
    <w:p w14:paraId="5E0E7CF1">
      <w:pPr>
        <w:pStyle w:val="4"/>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安全监测项目</w:t>
      </w:r>
    </w:p>
    <w:p w14:paraId="7C36619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廊洞水库工程由大坝、溢洪道、输水设施等建筑物组成。工程等别为Ⅲ等，主要建筑物为3级，次要建筑物为4级。坝顶高程294.17m，最大坝高45.39m，坝顶宽度4.00m，坝轴线长150.00m。根据《土石坝安全监测技术规范》(SL551-2012)、《水利水电工程安全监测设计规范》(SL725-2016)等规范的要求，3级土石坝必设安全监测项目包括巡视检查、坝体表面位移、渗流量、上下游水位、降水量、气温等。</w:t>
      </w:r>
    </w:p>
    <w:p w14:paraId="716CCBA8">
      <w:pPr>
        <w:bidi w:val="0"/>
        <w:spacing w:line="240" w:lineRule="auto"/>
        <w:jc w:val="center"/>
        <w:rPr>
          <w:rFonts w:hint="default" w:ascii="Times New Roman" w:hAnsi="Times New Roman" w:cs="Times New Roman"/>
          <w:color w:val="auto"/>
          <w:u w:val="none" w:color="auto"/>
          <w:lang w:eastAsia="zh-CN"/>
        </w:rPr>
      </w:pPr>
      <w:r>
        <w:rPr>
          <w:rFonts w:hint="default" w:ascii="Times New Roman" w:hAnsi="Times New Roman" w:cs="Times New Roman"/>
          <w:b/>
          <w:bCs/>
          <w:color w:val="auto"/>
          <w:u w:val="none" w:color="auto"/>
          <w:lang w:eastAsia="zh-CN"/>
        </w:rPr>
        <w:t>表</w:t>
      </w:r>
      <w:r>
        <w:rPr>
          <w:rFonts w:hint="default" w:ascii="Times New Roman" w:hAnsi="Times New Roman" w:cs="Times New Roman"/>
          <w:b/>
          <w:bCs/>
          <w:color w:val="auto"/>
          <w:u w:val="none" w:color="auto"/>
          <w:lang w:val="en-US" w:eastAsia="zh-CN"/>
        </w:rPr>
        <w:t>3.7-</w:t>
      </w:r>
      <w:r>
        <w:rPr>
          <w:rFonts w:hint="default" w:ascii="Times New Roman" w:hAnsi="Times New Roman" w:cs="Times New Roman"/>
          <w:b/>
          <w:bCs/>
          <w:color w:val="auto"/>
          <w:u w:val="none" w:color="auto"/>
          <w:lang w:eastAsia="zh-CN"/>
        </w:rPr>
        <w:t>2</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lang w:eastAsia="zh-CN"/>
        </w:rPr>
        <w:t>大坝安全监测工程量清单</w:t>
      </w:r>
    </w:p>
    <w:tbl>
      <w:tblPr>
        <w:tblStyle w:val="37"/>
        <w:tblW w:w="506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46"/>
        <w:gridCol w:w="2423"/>
        <w:gridCol w:w="927"/>
        <w:gridCol w:w="876"/>
        <w:gridCol w:w="3667"/>
      </w:tblGrid>
      <w:tr w14:paraId="3D71A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39" w:hRule="atLeast"/>
          <w:jc w:val="center"/>
        </w:trPr>
        <w:tc>
          <w:tcPr>
            <w:tcW w:w="746" w:type="dxa"/>
            <w:tcBorders>
              <w:tl2br w:val="nil"/>
              <w:tr2bl w:val="nil"/>
            </w:tcBorders>
            <w:shd w:val="clear" w:color="auto" w:fill="auto"/>
            <w:vAlign w:val="center"/>
          </w:tcPr>
          <w:p w14:paraId="586862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编号</w:t>
            </w:r>
          </w:p>
        </w:tc>
        <w:tc>
          <w:tcPr>
            <w:tcW w:w="2423" w:type="dxa"/>
            <w:tcBorders>
              <w:tl2br w:val="nil"/>
              <w:tr2bl w:val="nil"/>
            </w:tcBorders>
            <w:shd w:val="clear" w:color="auto" w:fill="auto"/>
            <w:vAlign w:val="center"/>
          </w:tcPr>
          <w:p w14:paraId="7036DE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项 目名称</w:t>
            </w:r>
          </w:p>
        </w:tc>
        <w:tc>
          <w:tcPr>
            <w:tcW w:w="927" w:type="dxa"/>
            <w:tcBorders>
              <w:tl2br w:val="nil"/>
              <w:tr2bl w:val="nil"/>
            </w:tcBorders>
            <w:shd w:val="clear" w:color="auto" w:fill="auto"/>
            <w:vAlign w:val="center"/>
          </w:tcPr>
          <w:p w14:paraId="5D7490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单位</w:t>
            </w:r>
          </w:p>
        </w:tc>
        <w:tc>
          <w:tcPr>
            <w:tcW w:w="876" w:type="dxa"/>
            <w:tcBorders>
              <w:tl2br w:val="nil"/>
              <w:tr2bl w:val="nil"/>
            </w:tcBorders>
            <w:shd w:val="clear" w:color="auto" w:fill="auto"/>
            <w:vAlign w:val="center"/>
          </w:tcPr>
          <w:p w14:paraId="61B882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数量</w:t>
            </w:r>
          </w:p>
        </w:tc>
        <w:tc>
          <w:tcPr>
            <w:tcW w:w="3667" w:type="dxa"/>
            <w:tcBorders>
              <w:tl2br w:val="nil"/>
              <w:tr2bl w:val="nil"/>
            </w:tcBorders>
            <w:shd w:val="clear" w:color="auto" w:fill="auto"/>
            <w:vAlign w:val="center"/>
          </w:tcPr>
          <w:p w14:paraId="4E60E0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备注</w:t>
            </w:r>
          </w:p>
        </w:tc>
      </w:tr>
      <w:tr w14:paraId="0F17BE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746" w:type="dxa"/>
            <w:tcBorders>
              <w:tl2br w:val="nil"/>
              <w:tr2bl w:val="nil"/>
            </w:tcBorders>
            <w:shd w:val="clear" w:color="auto" w:fill="auto"/>
            <w:vAlign w:val="center"/>
          </w:tcPr>
          <w:p w14:paraId="1350E3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2423" w:type="dxa"/>
            <w:tcBorders>
              <w:tl2br w:val="nil"/>
              <w:tr2bl w:val="nil"/>
            </w:tcBorders>
            <w:shd w:val="clear" w:color="auto" w:fill="auto"/>
            <w:vAlign w:val="center"/>
          </w:tcPr>
          <w:p w14:paraId="5466FD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变形监测</w:t>
            </w:r>
          </w:p>
        </w:tc>
        <w:tc>
          <w:tcPr>
            <w:tcW w:w="927" w:type="dxa"/>
            <w:tcBorders>
              <w:tl2br w:val="nil"/>
              <w:tr2bl w:val="nil"/>
            </w:tcBorders>
            <w:shd w:val="clear" w:color="auto" w:fill="auto"/>
            <w:vAlign w:val="center"/>
          </w:tcPr>
          <w:p w14:paraId="10BFA3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09FBDE2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C6AECA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724C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59471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2423" w:type="dxa"/>
            <w:tcBorders>
              <w:tl2br w:val="nil"/>
              <w:tr2bl w:val="nil"/>
            </w:tcBorders>
            <w:shd w:val="clear" w:color="auto" w:fill="auto"/>
            <w:vAlign w:val="center"/>
          </w:tcPr>
          <w:p w14:paraId="6D74B5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水准基点</w:t>
            </w:r>
          </w:p>
        </w:tc>
        <w:tc>
          <w:tcPr>
            <w:tcW w:w="927" w:type="dxa"/>
            <w:tcBorders>
              <w:tl2br w:val="nil"/>
              <w:tr2bl w:val="nil"/>
            </w:tcBorders>
            <w:shd w:val="clear" w:color="auto" w:fill="auto"/>
            <w:vAlign w:val="center"/>
          </w:tcPr>
          <w:p w14:paraId="0590A6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FA1BB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44AC5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现场确定</w:t>
            </w:r>
          </w:p>
        </w:tc>
      </w:tr>
      <w:tr w14:paraId="5CD073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9" w:hRule="atLeast"/>
          <w:jc w:val="center"/>
        </w:trPr>
        <w:tc>
          <w:tcPr>
            <w:tcW w:w="746" w:type="dxa"/>
            <w:tcBorders>
              <w:tl2br w:val="nil"/>
              <w:tr2bl w:val="nil"/>
            </w:tcBorders>
            <w:shd w:val="clear" w:color="auto" w:fill="auto"/>
            <w:vAlign w:val="center"/>
          </w:tcPr>
          <w:p w14:paraId="435404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2423" w:type="dxa"/>
            <w:tcBorders>
              <w:tl2br w:val="nil"/>
              <w:tr2bl w:val="nil"/>
            </w:tcBorders>
            <w:shd w:val="clear" w:color="auto" w:fill="auto"/>
            <w:vAlign w:val="center"/>
          </w:tcPr>
          <w:p w14:paraId="0E9E5C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水准工作基点</w:t>
            </w:r>
          </w:p>
        </w:tc>
        <w:tc>
          <w:tcPr>
            <w:tcW w:w="927" w:type="dxa"/>
            <w:tcBorders>
              <w:tl2br w:val="nil"/>
              <w:tr2bl w:val="nil"/>
            </w:tcBorders>
            <w:shd w:val="clear" w:color="auto" w:fill="auto"/>
            <w:vAlign w:val="center"/>
          </w:tcPr>
          <w:p w14:paraId="71C32C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2164CC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3667" w:type="dxa"/>
            <w:tcBorders>
              <w:tl2br w:val="nil"/>
              <w:tr2bl w:val="nil"/>
            </w:tcBorders>
            <w:shd w:val="clear" w:color="auto" w:fill="auto"/>
            <w:vAlign w:val="center"/>
          </w:tcPr>
          <w:p w14:paraId="407AFB7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EE07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jc w:val="center"/>
        </w:trPr>
        <w:tc>
          <w:tcPr>
            <w:tcW w:w="746" w:type="dxa"/>
            <w:tcBorders>
              <w:tl2br w:val="nil"/>
              <w:tr2bl w:val="nil"/>
            </w:tcBorders>
            <w:shd w:val="clear" w:color="auto" w:fill="auto"/>
            <w:vAlign w:val="center"/>
          </w:tcPr>
          <w:p w14:paraId="032D6D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2423" w:type="dxa"/>
            <w:tcBorders>
              <w:tl2br w:val="nil"/>
              <w:tr2bl w:val="nil"/>
            </w:tcBorders>
            <w:shd w:val="clear" w:color="auto" w:fill="auto"/>
            <w:vAlign w:val="center"/>
          </w:tcPr>
          <w:p w14:paraId="2DFED6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水平位移工作基点</w:t>
            </w:r>
          </w:p>
        </w:tc>
        <w:tc>
          <w:tcPr>
            <w:tcW w:w="927" w:type="dxa"/>
            <w:tcBorders>
              <w:tl2br w:val="nil"/>
              <w:tr2bl w:val="nil"/>
            </w:tcBorders>
            <w:shd w:val="clear" w:color="auto" w:fill="auto"/>
            <w:vAlign w:val="center"/>
          </w:tcPr>
          <w:p w14:paraId="0694D2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2D6AC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3667" w:type="dxa"/>
            <w:tcBorders>
              <w:tl2br w:val="nil"/>
              <w:tr2bl w:val="nil"/>
            </w:tcBorders>
            <w:shd w:val="clear" w:color="auto" w:fill="auto"/>
            <w:vAlign w:val="center"/>
          </w:tcPr>
          <w:p w14:paraId="6A60EA2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1491C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4" w:hRule="atLeast"/>
          <w:jc w:val="center"/>
        </w:trPr>
        <w:tc>
          <w:tcPr>
            <w:tcW w:w="746" w:type="dxa"/>
            <w:tcBorders>
              <w:tl2br w:val="nil"/>
              <w:tr2bl w:val="nil"/>
            </w:tcBorders>
            <w:shd w:val="clear" w:color="auto" w:fill="auto"/>
            <w:vAlign w:val="center"/>
          </w:tcPr>
          <w:p w14:paraId="5BE98A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2423" w:type="dxa"/>
            <w:tcBorders>
              <w:tl2br w:val="nil"/>
              <w:tr2bl w:val="nil"/>
            </w:tcBorders>
            <w:shd w:val="clear" w:color="auto" w:fill="auto"/>
            <w:vAlign w:val="center"/>
          </w:tcPr>
          <w:p w14:paraId="672D97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水平位移校核基点</w:t>
            </w:r>
          </w:p>
        </w:tc>
        <w:tc>
          <w:tcPr>
            <w:tcW w:w="927" w:type="dxa"/>
            <w:tcBorders>
              <w:tl2br w:val="nil"/>
              <w:tr2bl w:val="nil"/>
            </w:tcBorders>
            <w:shd w:val="clear" w:color="auto" w:fill="auto"/>
            <w:vAlign w:val="center"/>
          </w:tcPr>
          <w:p w14:paraId="22410C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05E081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3667" w:type="dxa"/>
            <w:tcBorders>
              <w:tl2br w:val="nil"/>
              <w:tr2bl w:val="nil"/>
            </w:tcBorders>
            <w:shd w:val="clear" w:color="auto" w:fill="auto"/>
            <w:vAlign w:val="center"/>
          </w:tcPr>
          <w:p w14:paraId="58D9804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5120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1" w:hRule="atLeast"/>
          <w:jc w:val="center"/>
        </w:trPr>
        <w:tc>
          <w:tcPr>
            <w:tcW w:w="746" w:type="dxa"/>
            <w:tcBorders>
              <w:tl2br w:val="nil"/>
              <w:tr2bl w:val="nil"/>
            </w:tcBorders>
            <w:shd w:val="clear" w:color="auto" w:fill="auto"/>
            <w:vAlign w:val="center"/>
          </w:tcPr>
          <w:p w14:paraId="69F29A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2423" w:type="dxa"/>
            <w:tcBorders>
              <w:tl2br w:val="nil"/>
              <w:tr2bl w:val="nil"/>
            </w:tcBorders>
            <w:shd w:val="clear" w:color="auto" w:fill="auto"/>
            <w:vAlign w:val="center"/>
          </w:tcPr>
          <w:p w14:paraId="423F3A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水平、垂直位移兼测点</w:t>
            </w:r>
          </w:p>
        </w:tc>
        <w:tc>
          <w:tcPr>
            <w:tcW w:w="927" w:type="dxa"/>
            <w:tcBorders>
              <w:tl2br w:val="nil"/>
              <w:tr2bl w:val="nil"/>
            </w:tcBorders>
            <w:shd w:val="clear" w:color="auto" w:fill="auto"/>
            <w:vAlign w:val="center"/>
          </w:tcPr>
          <w:p w14:paraId="5042F6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71F9E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w:t>
            </w:r>
          </w:p>
        </w:tc>
        <w:tc>
          <w:tcPr>
            <w:tcW w:w="3667" w:type="dxa"/>
            <w:tcBorders>
              <w:tl2br w:val="nil"/>
              <w:tr2bl w:val="nil"/>
            </w:tcBorders>
            <w:shd w:val="clear" w:color="auto" w:fill="auto"/>
            <w:vAlign w:val="center"/>
          </w:tcPr>
          <w:p w14:paraId="2B4BFC1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C57E4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9" w:hRule="atLeast"/>
          <w:jc w:val="center"/>
        </w:trPr>
        <w:tc>
          <w:tcPr>
            <w:tcW w:w="746" w:type="dxa"/>
            <w:tcBorders>
              <w:tl2br w:val="nil"/>
              <w:tr2bl w:val="nil"/>
            </w:tcBorders>
            <w:shd w:val="clear" w:color="auto" w:fill="auto"/>
            <w:vAlign w:val="center"/>
          </w:tcPr>
          <w:p w14:paraId="58272E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2423" w:type="dxa"/>
            <w:tcBorders>
              <w:tl2br w:val="nil"/>
              <w:tr2bl w:val="nil"/>
            </w:tcBorders>
            <w:shd w:val="clear" w:color="auto" w:fill="auto"/>
            <w:vAlign w:val="center"/>
          </w:tcPr>
          <w:p w14:paraId="126DC8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渗流监测仪器设备</w:t>
            </w:r>
          </w:p>
        </w:tc>
        <w:tc>
          <w:tcPr>
            <w:tcW w:w="927" w:type="dxa"/>
            <w:tcBorders>
              <w:tl2br w:val="nil"/>
              <w:tr2bl w:val="nil"/>
            </w:tcBorders>
            <w:shd w:val="clear" w:color="auto" w:fill="auto"/>
            <w:vAlign w:val="center"/>
          </w:tcPr>
          <w:p w14:paraId="41C73B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310F107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7EB7C97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EA86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01098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2.1</w:t>
            </w:r>
          </w:p>
        </w:tc>
        <w:tc>
          <w:tcPr>
            <w:tcW w:w="2423" w:type="dxa"/>
            <w:tcBorders>
              <w:tl2br w:val="nil"/>
              <w:tr2bl w:val="nil"/>
            </w:tcBorders>
            <w:shd w:val="clear" w:color="auto" w:fill="auto"/>
            <w:vAlign w:val="center"/>
          </w:tcPr>
          <w:p w14:paraId="645B2C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渗压计</w:t>
            </w:r>
          </w:p>
        </w:tc>
        <w:tc>
          <w:tcPr>
            <w:tcW w:w="927" w:type="dxa"/>
            <w:tcBorders>
              <w:tl2br w:val="nil"/>
              <w:tr2bl w:val="nil"/>
            </w:tcBorders>
            <w:shd w:val="clear" w:color="auto" w:fill="auto"/>
            <w:vAlign w:val="center"/>
          </w:tcPr>
          <w:p w14:paraId="70122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141EAA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0D9D8B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0.35Mpa~0.7Mpa，精度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1%FS，</w:t>
            </w:r>
          </w:p>
        </w:tc>
      </w:tr>
      <w:tr w14:paraId="5DA89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1" w:hRule="atLeast"/>
          <w:jc w:val="center"/>
        </w:trPr>
        <w:tc>
          <w:tcPr>
            <w:tcW w:w="746" w:type="dxa"/>
            <w:tcBorders>
              <w:tl2br w:val="nil"/>
              <w:tr2bl w:val="nil"/>
            </w:tcBorders>
            <w:shd w:val="clear" w:color="auto" w:fill="auto"/>
            <w:vAlign w:val="center"/>
          </w:tcPr>
          <w:p w14:paraId="2BEAB4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w:t>
            </w:r>
          </w:p>
        </w:tc>
        <w:tc>
          <w:tcPr>
            <w:tcW w:w="2423" w:type="dxa"/>
            <w:tcBorders>
              <w:tl2br w:val="nil"/>
              <w:tr2bl w:val="nil"/>
            </w:tcBorders>
            <w:shd w:val="clear" w:color="auto" w:fill="auto"/>
            <w:vAlign w:val="center"/>
          </w:tcPr>
          <w:p w14:paraId="57F080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测压孔</w:t>
            </w:r>
          </w:p>
        </w:tc>
        <w:tc>
          <w:tcPr>
            <w:tcW w:w="927" w:type="dxa"/>
            <w:tcBorders>
              <w:tl2br w:val="nil"/>
              <w:tr2bl w:val="nil"/>
            </w:tcBorders>
            <w:shd w:val="clear" w:color="auto" w:fill="auto"/>
            <w:vAlign w:val="center"/>
          </w:tcPr>
          <w:p w14:paraId="340A23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764B68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11017B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45AF69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1" w:hRule="atLeast"/>
          <w:jc w:val="center"/>
        </w:trPr>
        <w:tc>
          <w:tcPr>
            <w:tcW w:w="746" w:type="dxa"/>
            <w:tcBorders>
              <w:tl2br w:val="nil"/>
              <w:tr2bl w:val="nil"/>
            </w:tcBorders>
            <w:shd w:val="clear" w:color="auto" w:fill="auto"/>
            <w:vAlign w:val="center"/>
          </w:tcPr>
          <w:p w14:paraId="111D82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2.3</w:t>
            </w:r>
          </w:p>
        </w:tc>
        <w:tc>
          <w:tcPr>
            <w:tcW w:w="2423" w:type="dxa"/>
            <w:tcBorders>
              <w:tl2br w:val="nil"/>
              <w:tr2bl w:val="nil"/>
            </w:tcBorders>
            <w:shd w:val="clear" w:color="auto" w:fill="auto"/>
            <w:vAlign w:val="center"/>
          </w:tcPr>
          <w:p w14:paraId="1E89B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测压管</w:t>
            </w:r>
          </w:p>
        </w:tc>
        <w:tc>
          <w:tcPr>
            <w:tcW w:w="927" w:type="dxa"/>
            <w:tcBorders>
              <w:tl2br w:val="nil"/>
              <w:tr2bl w:val="nil"/>
            </w:tcBorders>
            <w:shd w:val="clear" w:color="auto" w:fill="auto"/>
            <w:vAlign w:val="center"/>
          </w:tcPr>
          <w:p w14:paraId="61C56E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根</w:t>
            </w:r>
          </w:p>
        </w:tc>
        <w:tc>
          <w:tcPr>
            <w:tcW w:w="876" w:type="dxa"/>
            <w:tcBorders>
              <w:tl2br w:val="nil"/>
              <w:tr2bl w:val="nil"/>
            </w:tcBorders>
            <w:shd w:val="clear" w:color="auto" w:fill="auto"/>
            <w:vAlign w:val="center"/>
          </w:tcPr>
          <w:p w14:paraId="662D1C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463A93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9A4F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746" w:type="dxa"/>
            <w:tcBorders>
              <w:tl2br w:val="nil"/>
              <w:tr2bl w:val="nil"/>
            </w:tcBorders>
            <w:shd w:val="clear" w:color="auto" w:fill="auto"/>
            <w:vAlign w:val="center"/>
          </w:tcPr>
          <w:p w14:paraId="3AF9B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w:t>
            </w:r>
          </w:p>
        </w:tc>
        <w:tc>
          <w:tcPr>
            <w:tcW w:w="2423" w:type="dxa"/>
            <w:tcBorders>
              <w:tl2br w:val="nil"/>
              <w:tr2bl w:val="nil"/>
            </w:tcBorders>
            <w:shd w:val="clear" w:color="auto" w:fill="auto"/>
            <w:vAlign w:val="center"/>
          </w:tcPr>
          <w:p w14:paraId="0D9BA0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测压管孔口装置</w:t>
            </w:r>
          </w:p>
        </w:tc>
        <w:tc>
          <w:tcPr>
            <w:tcW w:w="927" w:type="dxa"/>
            <w:tcBorders>
              <w:tl2br w:val="nil"/>
              <w:tr2bl w:val="nil"/>
            </w:tcBorders>
            <w:shd w:val="clear" w:color="auto" w:fill="auto"/>
            <w:vAlign w:val="center"/>
          </w:tcPr>
          <w:p w14:paraId="7D8EB5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103357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3667" w:type="dxa"/>
            <w:tcBorders>
              <w:tl2br w:val="nil"/>
              <w:tr2bl w:val="nil"/>
            </w:tcBorders>
            <w:shd w:val="clear" w:color="auto" w:fill="auto"/>
            <w:vAlign w:val="center"/>
          </w:tcPr>
          <w:p w14:paraId="4489E7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E35C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D7C03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2423" w:type="dxa"/>
            <w:tcBorders>
              <w:tl2br w:val="nil"/>
              <w:tr2bl w:val="nil"/>
            </w:tcBorders>
            <w:shd w:val="clear" w:color="auto" w:fill="auto"/>
            <w:vAlign w:val="center"/>
          </w:tcPr>
          <w:p w14:paraId="49F33E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量水堰</w:t>
            </w:r>
          </w:p>
        </w:tc>
        <w:tc>
          <w:tcPr>
            <w:tcW w:w="927" w:type="dxa"/>
            <w:tcBorders>
              <w:tl2br w:val="nil"/>
              <w:tr2bl w:val="nil"/>
            </w:tcBorders>
            <w:shd w:val="clear" w:color="auto" w:fill="auto"/>
            <w:vAlign w:val="center"/>
          </w:tcPr>
          <w:p w14:paraId="42C009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34F33F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2932FD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150mm，精度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±0</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1%FS</w:t>
            </w:r>
          </w:p>
        </w:tc>
      </w:tr>
      <w:tr w14:paraId="48AF45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3DCD09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2423" w:type="dxa"/>
            <w:tcBorders>
              <w:tl2br w:val="nil"/>
              <w:tr2bl w:val="nil"/>
            </w:tcBorders>
            <w:shd w:val="clear" w:color="auto" w:fill="auto"/>
            <w:vAlign w:val="center"/>
          </w:tcPr>
          <w:p w14:paraId="102A2F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量水堰计</w:t>
            </w:r>
          </w:p>
        </w:tc>
        <w:tc>
          <w:tcPr>
            <w:tcW w:w="927" w:type="dxa"/>
            <w:tcBorders>
              <w:tl2br w:val="nil"/>
              <w:tr2bl w:val="nil"/>
            </w:tcBorders>
            <w:shd w:val="clear" w:color="auto" w:fill="auto"/>
            <w:vAlign w:val="center"/>
          </w:tcPr>
          <w:p w14:paraId="46278A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33CA6B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59204D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45EC0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9" w:hRule="atLeast"/>
          <w:jc w:val="center"/>
        </w:trPr>
        <w:tc>
          <w:tcPr>
            <w:tcW w:w="746" w:type="dxa"/>
            <w:tcBorders>
              <w:tl2br w:val="nil"/>
              <w:tr2bl w:val="nil"/>
            </w:tcBorders>
            <w:shd w:val="clear" w:color="auto" w:fill="auto"/>
            <w:vAlign w:val="center"/>
          </w:tcPr>
          <w:p w14:paraId="73975D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w:t>
            </w:r>
          </w:p>
        </w:tc>
        <w:tc>
          <w:tcPr>
            <w:tcW w:w="2423" w:type="dxa"/>
            <w:tcBorders>
              <w:tl2br w:val="nil"/>
              <w:tr2bl w:val="nil"/>
            </w:tcBorders>
            <w:shd w:val="clear" w:color="auto" w:fill="auto"/>
            <w:vAlign w:val="center"/>
          </w:tcPr>
          <w:p w14:paraId="7A8B4A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水质分析仪</w:t>
            </w:r>
          </w:p>
        </w:tc>
        <w:tc>
          <w:tcPr>
            <w:tcW w:w="927" w:type="dxa"/>
            <w:tcBorders>
              <w:tl2br w:val="nil"/>
              <w:tr2bl w:val="nil"/>
            </w:tcBorders>
            <w:shd w:val="clear" w:color="auto" w:fill="auto"/>
            <w:vAlign w:val="center"/>
          </w:tcPr>
          <w:p w14:paraId="0CAE7E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13AC06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EA7510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1CCA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9" w:hRule="atLeast"/>
          <w:jc w:val="center"/>
        </w:trPr>
        <w:tc>
          <w:tcPr>
            <w:tcW w:w="746" w:type="dxa"/>
            <w:tcBorders>
              <w:tl2br w:val="nil"/>
              <w:tr2bl w:val="nil"/>
            </w:tcBorders>
            <w:shd w:val="clear" w:color="auto" w:fill="auto"/>
            <w:vAlign w:val="center"/>
          </w:tcPr>
          <w:p w14:paraId="112762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2423" w:type="dxa"/>
            <w:tcBorders>
              <w:tl2br w:val="nil"/>
              <w:tr2bl w:val="nil"/>
            </w:tcBorders>
            <w:shd w:val="clear" w:color="auto" w:fill="auto"/>
            <w:vAlign w:val="center"/>
          </w:tcPr>
          <w:p w14:paraId="58464A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环境量监测</w:t>
            </w:r>
          </w:p>
        </w:tc>
        <w:tc>
          <w:tcPr>
            <w:tcW w:w="927" w:type="dxa"/>
            <w:tcBorders>
              <w:tl2br w:val="nil"/>
              <w:tr2bl w:val="nil"/>
            </w:tcBorders>
            <w:shd w:val="clear" w:color="auto" w:fill="auto"/>
            <w:vAlign w:val="center"/>
          </w:tcPr>
          <w:p w14:paraId="4DB499C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27FEA1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9EBD77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B7B9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348E6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w:t>
            </w:r>
          </w:p>
        </w:tc>
        <w:tc>
          <w:tcPr>
            <w:tcW w:w="2423" w:type="dxa"/>
            <w:tcBorders>
              <w:tl2br w:val="nil"/>
              <w:tr2bl w:val="nil"/>
            </w:tcBorders>
            <w:shd w:val="clear" w:color="auto" w:fill="auto"/>
            <w:vAlign w:val="center"/>
          </w:tcPr>
          <w:p w14:paraId="125991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水尺</w:t>
            </w:r>
          </w:p>
        </w:tc>
        <w:tc>
          <w:tcPr>
            <w:tcW w:w="927" w:type="dxa"/>
            <w:tcBorders>
              <w:tl2br w:val="nil"/>
              <w:tr2bl w:val="nil"/>
            </w:tcBorders>
            <w:shd w:val="clear" w:color="auto" w:fill="auto"/>
            <w:vAlign w:val="center"/>
          </w:tcPr>
          <w:p w14:paraId="169190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套/m</w:t>
            </w:r>
          </w:p>
        </w:tc>
        <w:tc>
          <w:tcPr>
            <w:tcW w:w="876" w:type="dxa"/>
            <w:tcBorders>
              <w:tl2br w:val="nil"/>
              <w:tr2bl w:val="nil"/>
            </w:tcBorders>
            <w:shd w:val="clear" w:color="auto" w:fill="auto"/>
            <w:vAlign w:val="center"/>
          </w:tcPr>
          <w:p w14:paraId="7AFDEA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1/50</w:t>
            </w:r>
          </w:p>
        </w:tc>
        <w:tc>
          <w:tcPr>
            <w:tcW w:w="3667" w:type="dxa"/>
            <w:tcBorders>
              <w:tl2br w:val="nil"/>
              <w:tr2bl w:val="nil"/>
            </w:tcBorders>
            <w:shd w:val="clear" w:color="auto" w:fill="auto"/>
            <w:vAlign w:val="center"/>
          </w:tcPr>
          <w:p w14:paraId="1BB3735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C41BA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688A4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3.2</w:t>
            </w:r>
          </w:p>
        </w:tc>
        <w:tc>
          <w:tcPr>
            <w:tcW w:w="2423" w:type="dxa"/>
            <w:tcBorders>
              <w:tl2br w:val="nil"/>
              <w:tr2bl w:val="nil"/>
            </w:tcBorders>
            <w:shd w:val="clear" w:color="auto" w:fill="auto"/>
            <w:vAlign w:val="center"/>
          </w:tcPr>
          <w:p w14:paraId="6437D1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水位计</w:t>
            </w:r>
          </w:p>
        </w:tc>
        <w:tc>
          <w:tcPr>
            <w:tcW w:w="927" w:type="dxa"/>
            <w:tcBorders>
              <w:tl2br w:val="nil"/>
              <w:tr2bl w:val="nil"/>
            </w:tcBorders>
            <w:shd w:val="clear" w:color="auto" w:fill="auto"/>
            <w:vAlign w:val="center"/>
          </w:tcPr>
          <w:p w14:paraId="0D6FD8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7CA550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noWrap/>
            <w:vAlign w:val="center"/>
          </w:tcPr>
          <w:p w14:paraId="3BFE808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8558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A3A3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w:t>
            </w:r>
          </w:p>
        </w:tc>
        <w:tc>
          <w:tcPr>
            <w:tcW w:w="2423" w:type="dxa"/>
            <w:tcBorders>
              <w:tl2br w:val="nil"/>
              <w:tr2bl w:val="nil"/>
            </w:tcBorders>
            <w:shd w:val="clear" w:color="auto" w:fill="auto"/>
            <w:vAlign w:val="center"/>
          </w:tcPr>
          <w:p w14:paraId="4399C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雨量计</w:t>
            </w:r>
          </w:p>
        </w:tc>
        <w:tc>
          <w:tcPr>
            <w:tcW w:w="927" w:type="dxa"/>
            <w:tcBorders>
              <w:tl2br w:val="nil"/>
              <w:tr2bl w:val="nil"/>
            </w:tcBorders>
            <w:shd w:val="clear" w:color="auto" w:fill="auto"/>
            <w:vAlign w:val="center"/>
          </w:tcPr>
          <w:p w14:paraId="12A8D9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080A42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49A5C5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09D9A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93335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3.4</w:t>
            </w:r>
          </w:p>
        </w:tc>
        <w:tc>
          <w:tcPr>
            <w:tcW w:w="2423" w:type="dxa"/>
            <w:tcBorders>
              <w:tl2br w:val="nil"/>
              <w:tr2bl w:val="nil"/>
            </w:tcBorders>
            <w:shd w:val="clear" w:color="auto" w:fill="auto"/>
            <w:vAlign w:val="center"/>
          </w:tcPr>
          <w:p w14:paraId="24BB0F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百叶箱</w:t>
            </w:r>
          </w:p>
        </w:tc>
        <w:tc>
          <w:tcPr>
            <w:tcW w:w="927" w:type="dxa"/>
            <w:tcBorders>
              <w:tl2br w:val="nil"/>
              <w:tr2bl w:val="nil"/>
            </w:tcBorders>
            <w:shd w:val="clear" w:color="auto" w:fill="auto"/>
            <w:vAlign w:val="center"/>
          </w:tcPr>
          <w:p w14:paraId="754BD3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7C1497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2602C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DFE2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3" w:hRule="atLeast"/>
          <w:jc w:val="center"/>
        </w:trPr>
        <w:tc>
          <w:tcPr>
            <w:tcW w:w="746" w:type="dxa"/>
            <w:tcBorders>
              <w:tl2br w:val="nil"/>
              <w:tr2bl w:val="nil"/>
            </w:tcBorders>
            <w:shd w:val="clear" w:color="auto" w:fill="auto"/>
            <w:vAlign w:val="center"/>
          </w:tcPr>
          <w:p w14:paraId="1BADD3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w:t>
            </w:r>
          </w:p>
        </w:tc>
        <w:tc>
          <w:tcPr>
            <w:tcW w:w="2423" w:type="dxa"/>
            <w:tcBorders>
              <w:tl2br w:val="nil"/>
              <w:tr2bl w:val="nil"/>
            </w:tcBorders>
            <w:shd w:val="clear" w:color="auto" w:fill="auto"/>
            <w:vAlign w:val="center"/>
          </w:tcPr>
          <w:p w14:paraId="7D23E9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温度计</w:t>
            </w:r>
          </w:p>
        </w:tc>
        <w:tc>
          <w:tcPr>
            <w:tcW w:w="927" w:type="dxa"/>
            <w:tcBorders>
              <w:tl2br w:val="nil"/>
              <w:tr2bl w:val="nil"/>
            </w:tcBorders>
            <w:shd w:val="clear" w:color="auto" w:fill="auto"/>
            <w:vAlign w:val="center"/>
          </w:tcPr>
          <w:p w14:paraId="3D85AC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2B4AE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6B756E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-30~70℃，精度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0.5℃</w:t>
            </w:r>
          </w:p>
        </w:tc>
      </w:tr>
      <w:tr w14:paraId="235E54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6" w:hRule="atLeast"/>
          <w:jc w:val="center"/>
        </w:trPr>
        <w:tc>
          <w:tcPr>
            <w:tcW w:w="746" w:type="dxa"/>
            <w:tcBorders>
              <w:tl2br w:val="nil"/>
              <w:tr2bl w:val="nil"/>
            </w:tcBorders>
            <w:shd w:val="clear" w:color="auto" w:fill="auto"/>
            <w:vAlign w:val="center"/>
          </w:tcPr>
          <w:p w14:paraId="697C33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3.6</w:t>
            </w:r>
          </w:p>
        </w:tc>
        <w:tc>
          <w:tcPr>
            <w:tcW w:w="2423" w:type="dxa"/>
            <w:tcBorders>
              <w:tl2br w:val="nil"/>
              <w:tr2bl w:val="nil"/>
            </w:tcBorders>
            <w:shd w:val="clear" w:color="auto" w:fill="auto"/>
            <w:vAlign w:val="center"/>
          </w:tcPr>
          <w:p w14:paraId="77E0D9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直读式温度计</w:t>
            </w:r>
          </w:p>
        </w:tc>
        <w:tc>
          <w:tcPr>
            <w:tcW w:w="927" w:type="dxa"/>
            <w:tcBorders>
              <w:tl2br w:val="nil"/>
              <w:tr2bl w:val="nil"/>
            </w:tcBorders>
            <w:shd w:val="clear" w:color="auto" w:fill="auto"/>
            <w:vAlign w:val="center"/>
          </w:tcPr>
          <w:p w14:paraId="684D6D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4205F5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2E401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在百叶箱内，量程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-30~70℃</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0.5℃</w:t>
            </w:r>
          </w:p>
        </w:tc>
      </w:tr>
      <w:tr w14:paraId="5A0CE2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FD220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3.7</w:t>
            </w:r>
          </w:p>
        </w:tc>
        <w:tc>
          <w:tcPr>
            <w:tcW w:w="2423" w:type="dxa"/>
            <w:tcBorders>
              <w:tl2br w:val="nil"/>
              <w:tr2bl w:val="nil"/>
            </w:tcBorders>
            <w:shd w:val="clear" w:color="auto" w:fill="auto"/>
            <w:vAlign w:val="center"/>
          </w:tcPr>
          <w:p w14:paraId="4B02A1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气压计</w:t>
            </w:r>
          </w:p>
        </w:tc>
        <w:tc>
          <w:tcPr>
            <w:tcW w:w="927" w:type="dxa"/>
            <w:tcBorders>
              <w:tl2br w:val="nil"/>
              <w:tr2bl w:val="nil"/>
            </w:tcBorders>
            <w:shd w:val="clear" w:color="auto" w:fill="auto"/>
            <w:vAlign w:val="center"/>
          </w:tcPr>
          <w:p w14:paraId="1F5CF2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34595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6BF9325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2449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1" w:hRule="atLeast"/>
          <w:jc w:val="center"/>
        </w:trPr>
        <w:tc>
          <w:tcPr>
            <w:tcW w:w="746" w:type="dxa"/>
            <w:tcBorders>
              <w:tl2br w:val="nil"/>
              <w:tr2bl w:val="nil"/>
            </w:tcBorders>
            <w:shd w:val="clear" w:color="auto" w:fill="auto"/>
            <w:vAlign w:val="center"/>
          </w:tcPr>
          <w:p w14:paraId="1B43AA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2423" w:type="dxa"/>
            <w:tcBorders>
              <w:tl2br w:val="nil"/>
              <w:tr2bl w:val="nil"/>
            </w:tcBorders>
            <w:shd w:val="clear" w:color="auto" w:fill="auto"/>
            <w:vAlign w:val="center"/>
          </w:tcPr>
          <w:p w14:paraId="67D7AE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测量仪器及其它接收仪</w:t>
            </w:r>
          </w:p>
        </w:tc>
        <w:tc>
          <w:tcPr>
            <w:tcW w:w="927" w:type="dxa"/>
            <w:tcBorders>
              <w:tl2br w:val="nil"/>
              <w:tr2bl w:val="nil"/>
            </w:tcBorders>
            <w:shd w:val="clear" w:color="auto" w:fill="auto"/>
            <w:vAlign w:val="center"/>
          </w:tcPr>
          <w:p w14:paraId="64522BE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2D944D3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AA161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4DEE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35DCF3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4.1</w:t>
            </w:r>
          </w:p>
        </w:tc>
        <w:tc>
          <w:tcPr>
            <w:tcW w:w="2423" w:type="dxa"/>
            <w:tcBorders>
              <w:tl2br w:val="nil"/>
              <w:tr2bl w:val="nil"/>
            </w:tcBorders>
            <w:shd w:val="clear" w:color="auto" w:fill="auto"/>
            <w:vAlign w:val="center"/>
          </w:tcPr>
          <w:p w14:paraId="42FFC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全站仪</w:t>
            </w:r>
          </w:p>
        </w:tc>
        <w:tc>
          <w:tcPr>
            <w:tcW w:w="927" w:type="dxa"/>
            <w:tcBorders>
              <w:tl2br w:val="nil"/>
              <w:tr2bl w:val="nil"/>
            </w:tcBorders>
            <w:shd w:val="clear" w:color="auto" w:fill="auto"/>
            <w:vAlign w:val="center"/>
          </w:tcPr>
          <w:p w14:paraId="543BBF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72610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17D70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测角精度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1，测距精度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2mm+2x10-6D</w:t>
            </w:r>
          </w:p>
        </w:tc>
      </w:tr>
      <w:tr w14:paraId="15D0B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09308C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4.2</w:t>
            </w:r>
          </w:p>
        </w:tc>
        <w:tc>
          <w:tcPr>
            <w:tcW w:w="2423" w:type="dxa"/>
            <w:tcBorders>
              <w:tl2br w:val="nil"/>
              <w:tr2bl w:val="nil"/>
            </w:tcBorders>
            <w:shd w:val="clear" w:color="auto" w:fill="auto"/>
            <w:vAlign w:val="center"/>
          </w:tcPr>
          <w:p w14:paraId="6B99E5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活动觇标</w:t>
            </w:r>
          </w:p>
        </w:tc>
        <w:tc>
          <w:tcPr>
            <w:tcW w:w="927" w:type="dxa"/>
            <w:tcBorders>
              <w:tl2br w:val="nil"/>
              <w:tr2bl w:val="nil"/>
            </w:tcBorders>
            <w:shd w:val="clear" w:color="auto" w:fill="auto"/>
            <w:vAlign w:val="center"/>
          </w:tcPr>
          <w:p w14:paraId="171020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36DD73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3667" w:type="dxa"/>
            <w:tcBorders>
              <w:tl2br w:val="nil"/>
              <w:tr2bl w:val="nil"/>
            </w:tcBorders>
            <w:shd w:val="clear" w:color="auto" w:fill="auto"/>
            <w:vAlign w:val="center"/>
          </w:tcPr>
          <w:p w14:paraId="4499EC0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3CEFB0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57D0C0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4.3</w:t>
            </w:r>
          </w:p>
        </w:tc>
        <w:tc>
          <w:tcPr>
            <w:tcW w:w="2423" w:type="dxa"/>
            <w:tcBorders>
              <w:tl2br w:val="nil"/>
              <w:tr2bl w:val="nil"/>
            </w:tcBorders>
            <w:shd w:val="clear" w:color="auto" w:fill="auto"/>
            <w:vAlign w:val="center"/>
          </w:tcPr>
          <w:p w14:paraId="67A4BD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水准仪</w:t>
            </w:r>
          </w:p>
        </w:tc>
        <w:tc>
          <w:tcPr>
            <w:tcW w:w="927" w:type="dxa"/>
            <w:tcBorders>
              <w:tl2br w:val="nil"/>
              <w:tr2bl w:val="nil"/>
            </w:tcBorders>
            <w:shd w:val="clear" w:color="auto" w:fill="auto"/>
            <w:vAlign w:val="center"/>
          </w:tcPr>
          <w:p w14:paraId="44B068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5B7D5F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27E02A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量程</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2~100 m，精度</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 xml:space="preserve"> ±1.0mm/km</w:t>
            </w:r>
          </w:p>
        </w:tc>
      </w:tr>
      <w:tr w14:paraId="1A3876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746" w:type="dxa"/>
            <w:tcBorders>
              <w:tl2br w:val="nil"/>
              <w:tr2bl w:val="nil"/>
            </w:tcBorders>
            <w:shd w:val="clear" w:color="auto" w:fill="auto"/>
            <w:vAlign w:val="center"/>
          </w:tcPr>
          <w:p w14:paraId="508DA0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4.4</w:t>
            </w:r>
          </w:p>
        </w:tc>
        <w:tc>
          <w:tcPr>
            <w:tcW w:w="2423" w:type="dxa"/>
            <w:tcBorders>
              <w:tl2br w:val="nil"/>
              <w:tr2bl w:val="nil"/>
            </w:tcBorders>
            <w:shd w:val="clear" w:color="auto" w:fill="auto"/>
            <w:vAlign w:val="center"/>
          </w:tcPr>
          <w:p w14:paraId="16396F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振弦读数仪</w:t>
            </w:r>
          </w:p>
        </w:tc>
        <w:tc>
          <w:tcPr>
            <w:tcW w:w="927" w:type="dxa"/>
            <w:tcBorders>
              <w:tl2br w:val="nil"/>
              <w:tr2bl w:val="nil"/>
            </w:tcBorders>
            <w:shd w:val="clear" w:color="auto" w:fill="auto"/>
            <w:vAlign w:val="center"/>
          </w:tcPr>
          <w:p w14:paraId="41289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343B1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49E1B9B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65C96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jc w:val="center"/>
        </w:trPr>
        <w:tc>
          <w:tcPr>
            <w:tcW w:w="746" w:type="dxa"/>
            <w:tcBorders>
              <w:tl2br w:val="nil"/>
              <w:tr2bl w:val="nil"/>
            </w:tcBorders>
            <w:shd w:val="clear" w:color="auto" w:fill="auto"/>
            <w:vAlign w:val="center"/>
          </w:tcPr>
          <w:p w14:paraId="345090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4.5</w:t>
            </w:r>
          </w:p>
        </w:tc>
        <w:tc>
          <w:tcPr>
            <w:tcW w:w="2423" w:type="dxa"/>
            <w:tcBorders>
              <w:tl2br w:val="nil"/>
              <w:tr2bl w:val="nil"/>
            </w:tcBorders>
            <w:shd w:val="clear" w:color="auto" w:fill="auto"/>
            <w:vAlign w:val="center"/>
          </w:tcPr>
          <w:p w14:paraId="3F4E68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电测水位计</w:t>
            </w:r>
          </w:p>
        </w:tc>
        <w:tc>
          <w:tcPr>
            <w:tcW w:w="927" w:type="dxa"/>
            <w:tcBorders>
              <w:tl2br w:val="nil"/>
              <w:tr2bl w:val="nil"/>
            </w:tcBorders>
            <w:shd w:val="clear" w:color="auto" w:fill="auto"/>
            <w:vAlign w:val="center"/>
          </w:tcPr>
          <w:p w14:paraId="059273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支</w:t>
            </w:r>
          </w:p>
        </w:tc>
        <w:tc>
          <w:tcPr>
            <w:tcW w:w="876" w:type="dxa"/>
            <w:tcBorders>
              <w:tl2br w:val="nil"/>
              <w:tr2bl w:val="nil"/>
            </w:tcBorders>
            <w:shd w:val="clear" w:color="auto" w:fill="auto"/>
            <w:vAlign w:val="center"/>
          </w:tcPr>
          <w:p w14:paraId="19B893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CBC62A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471274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133E85D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2423" w:type="dxa"/>
            <w:tcBorders>
              <w:tl2br w:val="nil"/>
              <w:tr2bl w:val="nil"/>
            </w:tcBorders>
            <w:shd w:val="clear" w:color="auto" w:fill="auto"/>
            <w:vAlign w:val="center"/>
          </w:tcPr>
          <w:p w14:paraId="3E99BB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数据采集系统及监控中心站设备</w:t>
            </w:r>
          </w:p>
        </w:tc>
        <w:tc>
          <w:tcPr>
            <w:tcW w:w="927" w:type="dxa"/>
            <w:tcBorders>
              <w:tl2br w:val="nil"/>
              <w:tr2bl w:val="nil"/>
            </w:tcBorders>
            <w:shd w:val="clear" w:color="auto" w:fill="auto"/>
            <w:vAlign w:val="center"/>
          </w:tcPr>
          <w:p w14:paraId="6443CC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876" w:type="dxa"/>
            <w:tcBorders>
              <w:tl2br w:val="nil"/>
              <w:tr2bl w:val="nil"/>
            </w:tcBorders>
            <w:shd w:val="clear" w:color="auto" w:fill="auto"/>
            <w:vAlign w:val="center"/>
          </w:tcPr>
          <w:p w14:paraId="03A4996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667" w:type="dxa"/>
            <w:tcBorders>
              <w:tl2br w:val="nil"/>
              <w:tr2bl w:val="nil"/>
            </w:tcBorders>
            <w:shd w:val="clear" w:color="auto" w:fill="auto"/>
            <w:vAlign w:val="center"/>
          </w:tcPr>
          <w:p w14:paraId="6B10019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0F918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1" w:hRule="atLeast"/>
          <w:jc w:val="center"/>
        </w:trPr>
        <w:tc>
          <w:tcPr>
            <w:tcW w:w="746" w:type="dxa"/>
            <w:tcBorders>
              <w:tl2br w:val="nil"/>
              <w:tr2bl w:val="nil"/>
            </w:tcBorders>
            <w:shd w:val="clear" w:color="auto" w:fill="auto"/>
            <w:vAlign w:val="center"/>
          </w:tcPr>
          <w:p w14:paraId="23191D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5.1</w:t>
            </w:r>
          </w:p>
        </w:tc>
        <w:tc>
          <w:tcPr>
            <w:tcW w:w="2423" w:type="dxa"/>
            <w:tcBorders>
              <w:tl2br w:val="nil"/>
              <w:tr2bl w:val="nil"/>
            </w:tcBorders>
            <w:shd w:val="clear" w:color="auto" w:fill="auto"/>
            <w:vAlign w:val="center"/>
          </w:tcPr>
          <w:p w14:paraId="091CAC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测控模块(16通道CU)</w:t>
            </w:r>
          </w:p>
        </w:tc>
        <w:tc>
          <w:tcPr>
            <w:tcW w:w="927" w:type="dxa"/>
            <w:tcBorders>
              <w:tl2br w:val="nil"/>
              <w:tr2bl w:val="nil"/>
            </w:tcBorders>
            <w:shd w:val="clear" w:color="auto" w:fill="auto"/>
            <w:vAlign w:val="center"/>
          </w:tcPr>
          <w:p w14:paraId="6BA0A4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B8260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1D05AAB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792C5F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4E518C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5.2</w:t>
            </w:r>
          </w:p>
        </w:tc>
        <w:tc>
          <w:tcPr>
            <w:tcW w:w="2423" w:type="dxa"/>
            <w:tcBorders>
              <w:tl2br w:val="nil"/>
              <w:tr2bl w:val="nil"/>
            </w:tcBorders>
            <w:shd w:val="clear" w:color="auto" w:fill="auto"/>
            <w:vAlign w:val="center"/>
          </w:tcPr>
          <w:p w14:paraId="1F6EF2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终端箱</w:t>
            </w:r>
          </w:p>
        </w:tc>
        <w:tc>
          <w:tcPr>
            <w:tcW w:w="927" w:type="dxa"/>
            <w:tcBorders>
              <w:tl2br w:val="nil"/>
              <w:tr2bl w:val="nil"/>
            </w:tcBorders>
            <w:shd w:val="clear" w:color="auto" w:fill="auto"/>
            <w:vAlign w:val="center"/>
          </w:tcPr>
          <w:p w14:paraId="4A7B8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3393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01DC923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406DF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E9DFC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w:t>
            </w:r>
          </w:p>
        </w:tc>
        <w:tc>
          <w:tcPr>
            <w:tcW w:w="2423" w:type="dxa"/>
            <w:tcBorders>
              <w:tl2br w:val="nil"/>
              <w:tr2bl w:val="nil"/>
            </w:tcBorders>
            <w:shd w:val="clear" w:color="auto" w:fill="auto"/>
            <w:vAlign w:val="center"/>
          </w:tcPr>
          <w:p w14:paraId="112AB4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主控机</w:t>
            </w:r>
          </w:p>
        </w:tc>
        <w:tc>
          <w:tcPr>
            <w:tcW w:w="927" w:type="dxa"/>
            <w:tcBorders>
              <w:tl2br w:val="nil"/>
              <w:tr2bl w:val="nil"/>
            </w:tcBorders>
            <w:shd w:val="clear" w:color="auto" w:fill="auto"/>
            <w:vAlign w:val="center"/>
          </w:tcPr>
          <w:p w14:paraId="24C7F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145085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A2948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639C7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0163A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w:t>
            </w:r>
          </w:p>
        </w:tc>
        <w:tc>
          <w:tcPr>
            <w:tcW w:w="2423" w:type="dxa"/>
            <w:tcBorders>
              <w:tl2br w:val="nil"/>
              <w:tr2bl w:val="nil"/>
            </w:tcBorders>
            <w:shd w:val="clear" w:color="auto" w:fill="auto"/>
            <w:vAlign w:val="center"/>
          </w:tcPr>
          <w:p w14:paraId="67C9E1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激光打印机</w:t>
            </w:r>
          </w:p>
        </w:tc>
        <w:tc>
          <w:tcPr>
            <w:tcW w:w="927" w:type="dxa"/>
            <w:tcBorders>
              <w:tl2br w:val="nil"/>
              <w:tr2bl w:val="nil"/>
            </w:tcBorders>
            <w:shd w:val="clear" w:color="auto" w:fill="auto"/>
            <w:vAlign w:val="center"/>
          </w:tcPr>
          <w:p w14:paraId="6D32DC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台</w:t>
            </w:r>
          </w:p>
        </w:tc>
        <w:tc>
          <w:tcPr>
            <w:tcW w:w="876" w:type="dxa"/>
            <w:tcBorders>
              <w:tl2br w:val="nil"/>
              <w:tr2bl w:val="nil"/>
            </w:tcBorders>
            <w:shd w:val="clear" w:color="auto" w:fill="auto"/>
            <w:vAlign w:val="center"/>
          </w:tcPr>
          <w:p w14:paraId="4CDA2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3335008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CB26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1" w:hRule="atLeast"/>
          <w:jc w:val="center"/>
        </w:trPr>
        <w:tc>
          <w:tcPr>
            <w:tcW w:w="746" w:type="dxa"/>
            <w:tcBorders>
              <w:tl2br w:val="nil"/>
              <w:tr2bl w:val="nil"/>
            </w:tcBorders>
            <w:shd w:val="clear" w:color="auto" w:fill="auto"/>
            <w:vAlign w:val="center"/>
          </w:tcPr>
          <w:p w14:paraId="05E935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w:t>
            </w:r>
          </w:p>
        </w:tc>
        <w:tc>
          <w:tcPr>
            <w:tcW w:w="2423" w:type="dxa"/>
            <w:tcBorders>
              <w:tl2br w:val="nil"/>
              <w:tr2bl w:val="nil"/>
            </w:tcBorders>
            <w:shd w:val="clear" w:color="auto" w:fill="auto"/>
            <w:vAlign w:val="center"/>
          </w:tcPr>
          <w:p w14:paraId="3BEEB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交流电源防雷保护器</w:t>
            </w:r>
          </w:p>
        </w:tc>
        <w:tc>
          <w:tcPr>
            <w:tcW w:w="927" w:type="dxa"/>
            <w:tcBorders>
              <w:tl2br w:val="nil"/>
              <w:tr2bl w:val="nil"/>
            </w:tcBorders>
            <w:shd w:val="clear" w:color="auto" w:fill="auto"/>
            <w:vAlign w:val="center"/>
          </w:tcPr>
          <w:p w14:paraId="2F1664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70A3D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5F89AA8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23F4F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2BF3A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5.6</w:t>
            </w:r>
          </w:p>
        </w:tc>
        <w:tc>
          <w:tcPr>
            <w:tcW w:w="2423" w:type="dxa"/>
            <w:tcBorders>
              <w:tl2br w:val="nil"/>
              <w:tr2bl w:val="nil"/>
            </w:tcBorders>
            <w:shd w:val="clear" w:color="auto" w:fill="auto"/>
            <w:vAlign w:val="center"/>
          </w:tcPr>
          <w:p w14:paraId="308A62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R485防雷保护器</w:t>
            </w:r>
          </w:p>
        </w:tc>
        <w:tc>
          <w:tcPr>
            <w:tcW w:w="927" w:type="dxa"/>
            <w:tcBorders>
              <w:tl2br w:val="nil"/>
              <w:tr2bl w:val="nil"/>
            </w:tcBorders>
            <w:shd w:val="clear" w:color="auto" w:fill="auto"/>
            <w:vAlign w:val="center"/>
          </w:tcPr>
          <w:p w14:paraId="15FC8F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5DA51E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3667" w:type="dxa"/>
            <w:tcBorders>
              <w:tl2br w:val="nil"/>
              <w:tr2bl w:val="nil"/>
            </w:tcBorders>
            <w:shd w:val="clear" w:color="auto" w:fill="auto"/>
            <w:vAlign w:val="center"/>
          </w:tcPr>
          <w:p w14:paraId="0EF7C51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09CBE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jc w:val="center"/>
        </w:trPr>
        <w:tc>
          <w:tcPr>
            <w:tcW w:w="746" w:type="dxa"/>
            <w:tcBorders>
              <w:tl2br w:val="nil"/>
              <w:tr2bl w:val="nil"/>
            </w:tcBorders>
            <w:shd w:val="clear" w:color="auto" w:fill="auto"/>
            <w:vAlign w:val="center"/>
          </w:tcPr>
          <w:p w14:paraId="58DCE1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5.7</w:t>
            </w:r>
          </w:p>
        </w:tc>
        <w:tc>
          <w:tcPr>
            <w:tcW w:w="2423" w:type="dxa"/>
            <w:tcBorders>
              <w:tl2br w:val="nil"/>
              <w:tr2bl w:val="nil"/>
            </w:tcBorders>
            <w:shd w:val="clear" w:color="auto" w:fill="auto"/>
            <w:vAlign w:val="center"/>
          </w:tcPr>
          <w:p w14:paraId="4B2310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监测电缆</w:t>
            </w:r>
          </w:p>
        </w:tc>
        <w:tc>
          <w:tcPr>
            <w:tcW w:w="927" w:type="dxa"/>
            <w:tcBorders>
              <w:tl2br w:val="nil"/>
              <w:tr2bl w:val="nil"/>
            </w:tcBorders>
            <w:shd w:val="clear" w:color="auto" w:fill="auto"/>
            <w:vAlign w:val="center"/>
          </w:tcPr>
          <w:p w14:paraId="771F7C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876" w:type="dxa"/>
            <w:tcBorders>
              <w:tl2br w:val="nil"/>
              <w:tr2bl w:val="nil"/>
            </w:tcBorders>
            <w:shd w:val="clear" w:color="auto" w:fill="auto"/>
            <w:vAlign w:val="center"/>
          </w:tcPr>
          <w:p w14:paraId="456460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2100</w:t>
            </w:r>
          </w:p>
        </w:tc>
        <w:tc>
          <w:tcPr>
            <w:tcW w:w="3667" w:type="dxa"/>
            <w:tcBorders>
              <w:tl2br w:val="nil"/>
              <w:tr2bl w:val="nil"/>
            </w:tcBorders>
            <w:shd w:val="clear" w:color="auto" w:fill="auto"/>
            <w:vAlign w:val="center"/>
          </w:tcPr>
          <w:p w14:paraId="5C3945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4BA9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jc w:val="center"/>
        </w:trPr>
        <w:tc>
          <w:tcPr>
            <w:tcW w:w="746" w:type="dxa"/>
            <w:tcBorders>
              <w:tl2br w:val="nil"/>
              <w:tr2bl w:val="nil"/>
            </w:tcBorders>
            <w:shd w:val="clear" w:color="auto" w:fill="auto"/>
            <w:vAlign w:val="center"/>
          </w:tcPr>
          <w:p w14:paraId="2E087D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5.8</w:t>
            </w:r>
          </w:p>
        </w:tc>
        <w:tc>
          <w:tcPr>
            <w:tcW w:w="2423" w:type="dxa"/>
            <w:tcBorders>
              <w:tl2br w:val="nil"/>
              <w:tr2bl w:val="nil"/>
            </w:tcBorders>
            <w:shd w:val="clear" w:color="auto" w:fill="auto"/>
            <w:vAlign w:val="center"/>
          </w:tcPr>
          <w:p w14:paraId="11C427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电源线缆</w:t>
            </w:r>
          </w:p>
        </w:tc>
        <w:tc>
          <w:tcPr>
            <w:tcW w:w="927" w:type="dxa"/>
            <w:tcBorders>
              <w:tl2br w:val="nil"/>
              <w:tr2bl w:val="nil"/>
            </w:tcBorders>
            <w:shd w:val="clear" w:color="auto" w:fill="auto"/>
            <w:vAlign w:val="center"/>
          </w:tcPr>
          <w:p w14:paraId="4FB5B9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w:t>
            </w:r>
          </w:p>
        </w:tc>
        <w:tc>
          <w:tcPr>
            <w:tcW w:w="876" w:type="dxa"/>
            <w:tcBorders>
              <w:tl2br w:val="nil"/>
              <w:tr2bl w:val="nil"/>
            </w:tcBorders>
            <w:shd w:val="clear" w:color="auto" w:fill="auto"/>
            <w:vAlign w:val="center"/>
          </w:tcPr>
          <w:p w14:paraId="4C5000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2100</w:t>
            </w:r>
          </w:p>
        </w:tc>
        <w:tc>
          <w:tcPr>
            <w:tcW w:w="3667" w:type="dxa"/>
            <w:tcBorders>
              <w:tl2br w:val="nil"/>
              <w:tr2bl w:val="nil"/>
            </w:tcBorders>
            <w:shd w:val="clear" w:color="auto" w:fill="auto"/>
            <w:vAlign w:val="center"/>
          </w:tcPr>
          <w:p w14:paraId="70ABCC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预估量，以实际发生为准</w:t>
            </w:r>
          </w:p>
        </w:tc>
      </w:tr>
      <w:tr w14:paraId="135BB8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746" w:type="dxa"/>
            <w:tcBorders>
              <w:tl2br w:val="nil"/>
              <w:tr2bl w:val="nil"/>
            </w:tcBorders>
            <w:shd w:val="clear" w:color="auto" w:fill="auto"/>
            <w:vAlign w:val="center"/>
          </w:tcPr>
          <w:p w14:paraId="2AB0B0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5.9</w:t>
            </w:r>
          </w:p>
        </w:tc>
        <w:tc>
          <w:tcPr>
            <w:tcW w:w="2423" w:type="dxa"/>
            <w:tcBorders>
              <w:tl2br w:val="nil"/>
              <w:tr2bl w:val="nil"/>
            </w:tcBorders>
            <w:shd w:val="clear" w:color="auto" w:fill="auto"/>
            <w:vAlign w:val="center"/>
          </w:tcPr>
          <w:p w14:paraId="78799D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观测房</w:t>
            </w:r>
          </w:p>
        </w:tc>
        <w:tc>
          <w:tcPr>
            <w:tcW w:w="927" w:type="dxa"/>
            <w:tcBorders>
              <w:tl2br w:val="nil"/>
              <w:tr2bl w:val="nil"/>
            </w:tcBorders>
            <w:shd w:val="clear" w:color="auto" w:fill="auto"/>
            <w:vAlign w:val="center"/>
          </w:tcPr>
          <w:p w14:paraId="5B681F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w:t>
            </w:r>
          </w:p>
        </w:tc>
        <w:tc>
          <w:tcPr>
            <w:tcW w:w="876" w:type="dxa"/>
            <w:tcBorders>
              <w:tl2br w:val="nil"/>
              <w:tr2bl w:val="nil"/>
            </w:tcBorders>
            <w:shd w:val="clear" w:color="auto" w:fill="auto"/>
            <w:vAlign w:val="center"/>
          </w:tcPr>
          <w:p w14:paraId="0161A2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vAlign w:val="center"/>
          </w:tcPr>
          <w:p w14:paraId="504B769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r w14:paraId="13DFE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1" w:hRule="atLeast"/>
          <w:jc w:val="center"/>
        </w:trPr>
        <w:tc>
          <w:tcPr>
            <w:tcW w:w="746" w:type="dxa"/>
            <w:tcBorders>
              <w:tl2br w:val="nil"/>
              <w:tr2bl w:val="nil"/>
            </w:tcBorders>
            <w:shd w:val="clear" w:color="auto" w:fill="auto"/>
            <w:vAlign w:val="center"/>
          </w:tcPr>
          <w:p w14:paraId="3A348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5.10</w:t>
            </w:r>
          </w:p>
        </w:tc>
        <w:tc>
          <w:tcPr>
            <w:tcW w:w="2423" w:type="dxa"/>
            <w:tcBorders>
              <w:tl2br w:val="nil"/>
              <w:tr2bl w:val="nil"/>
            </w:tcBorders>
            <w:shd w:val="clear" w:color="auto" w:fill="auto"/>
            <w:vAlign w:val="center"/>
          </w:tcPr>
          <w:p w14:paraId="21EFC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数据采集、管理、图表软件</w:t>
            </w:r>
          </w:p>
        </w:tc>
        <w:tc>
          <w:tcPr>
            <w:tcW w:w="927" w:type="dxa"/>
            <w:tcBorders>
              <w:tl2br w:val="nil"/>
              <w:tr2bl w:val="nil"/>
            </w:tcBorders>
            <w:shd w:val="clear" w:color="auto" w:fill="auto"/>
            <w:vAlign w:val="center"/>
          </w:tcPr>
          <w:p w14:paraId="4421FF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套</w:t>
            </w:r>
          </w:p>
        </w:tc>
        <w:tc>
          <w:tcPr>
            <w:tcW w:w="876" w:type="dxa"/>
            <w:tcBorders>
              <w:tl2br w:val="nil"/>
              <w:tr2bl w:val="nil"/>
            </w:tcBorders>
            <w:shd w:val="clear" w:color="auto" w:fill="auto"/>
            <w:vAlign w:val="center"/>
          </w:tcPr>
          <w:p w14:paraId="53B4B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3667" w:type="dxa"/>
            <w:tcBorders>
              <w:tl2br w:val="nil"/>
              <w:tr2bl w:val="nil"/>
            </w:tcBorders>
            <w:shd w:val="clear" w:color="auto" w:fill="auto"/>
            <w:noWrap/>
            <w:vAlign w:val="center"/>
          </w:tcPr>
          <w:p w14:paraId="181E583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r>
    </w:tbl>
    <w:p w14:paraId="763DFD86">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白蚁防治</w:t>
      </w:r>
    </w:p>
    <w:p w14:paraId="330590D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通过现场调查水库白蚁问题有</w:t>
      </w:r>
      <w:r>
        <w:rPr>
          <w:rFonts w:hint="default" w:ascii="Times New Roman" w:hAnsi="Times New Roman" w:cs="Times New Roman"/>
          <w:color w:val="auto"/>
          <w:u w:val="none" w:color="auto"/>
          <w:lang w:eastAsia="zh-CN"/>
        </w:rPr>
        <w:t>:</w:t>
      </w:r>
    </w:p>
    <w:p w14:paraId="43E0B3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左外坝坡15m处有白蚁取食迹象；</w:t>
      </w:r>
    </w:p>
    <w:p w14:paraId="146470A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外坝坡底部有白蚁活动迹象；</w:t>
      </w:r>
    </w:p>
    <w:p w14:paraId="7476E9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外坝坡左底部有少量泥线迹象；</w:t>
      </w:r>
    </w:p>
    <w:p w14:paraId="61ED7B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两端坝肩有白蚁建巢。</w:t>
      </w:r>
    </w:p>
    <w:p w14:paraId="5B3AC3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物理措施</w:t>
      </w:r>
    </w:p>
    <w:p w14:paraId="657749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防蚁层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应用粒径2mm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4mm的煤渣或粗砂在大坝正常蓄水位以上至背水坡反滤层以上建筑20cm厚的防蚁层。</w:t>
      </w:r>
    </w:p>
    <w:p w14:paraId="5BD9DC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隔蚁墙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采用9</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1比例的土石灰在大坝两端与山坡接头处，从正常蓄水位以上至背水坡反滤层以上建筑深2m、宽0.5m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0.6m的隔蚁墙。</w:t>
      </w:r>
    </w:p>
    <w:p w14:paraId="01C9F8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药土屏障</w:t>
      </w:r>
    </w:p>
    <w:p w14:paraId="5696168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药土防蚁袋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使用与药物均匀</w:t>
      </w:r>
      <w:r>
        <w:rPr>
          <w:rFonts w:hint="eastAsia" w:cs="Times New Roman"/>
          <w:color w:val="auto"/>
          <w:u w:val="none" w:color="auto"/>
          <w:lang w:eastAsia="zh-CN"/>
        </w:rPr>
        <w:t>拌合</w:t>
      </w:r>
      <w:r>
        <w:rPr>
          <w:rFonts w:hint="default" w:ascii="Times New Roman" w:hAnsi="Times New Roman" w:cs="Times New Roman"/>
          <w:color w:val="auto"/>
          <w:u w:val="none" w:color="auto"/>
        </w:rPr>
        <w:t>处理过的、与主体工程土质类似或一致的土体建设防蚁层或者隔蚁墙。</w:t>
      </w:r>
    </w:p>
    <w:p w14:paraId="513CA1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灌药防蚁袋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在可能的蚁源区与工程主体之间，按照直径1.5cm~2.0cm、孔距30cm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40cm、孔深80cm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100cm的标准打梅花孔，在孔内灌药，形成80cm宽的药土防蚁带。</w:t>
      </w:r>
    </w:p>
    <w:p w14:paraId="5E88983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其他措施</w:t>
      </w:r>
    </w:p>
    <w:p w14:paraId="0924919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在工程主体适合种植树木和植物的部位，栽种对白蚁具有驱避作用的林木和植物，在较大面积栽种白蚁喜食的林木时，应相应种植对白蚁有驱避作用的林木。在白蚁分群季节的夜晚，应避免在工程主体上用光。保护和利用白蚁的天敌，如蟾蜍、蛙类、蜘蛛、蝙蝠和鸟类。不在主体工程上长时间堆放木材和柴草，清除工程主体和蚁源区白蚁喜食的物料</w:t>
      </w:r>
      <w:r>
        <w:rPr>
          <w:rFonts w:hint="default" w:ascii="Times New Roman" w:hAnsi="Times New Roman" w:cs="Times New Roman"/>
          <w:color w:val="auto"/>
          <w:u w:val="none" w:color="auto"/>
          <w:lang w:eastAsia="zh-CN"/>
        </w:rPr>
        <w:t>。</w:t>
      </w:r>
    </w:p>
    <w:p w14:paraId="370FED53">
      <w:pPr>
        <w:pStyle w:val="3"/>
        <w:bidi w:val="0"/>
        <w:rPr>
          <w:rFonts w:hint="default" w:ascii="Times New Roman" w:hAnsi="Times New Roman" w:eastAsia="宋体" w:cs="Times New Roman"/>
          <w:color w:val="auto"/>
          <w:u w:val="none" w:color="auto"/>
        </w:rPr>
      </w:pPr>
      <w:bookmarkStart w:id="129" w:name="_Toc5019"/>
      <w:r>
        <w:rPr>
          <w:rFonts w:hint="default" w:ascii="Times New Roman" w:hAnsi="Times New Roman" w:eastAsia="宋体" w:cs="Times New Roman"/>
          <w:color w:val="auto"/>
          <w:u w:val="none" w:color="auto"/>
        </w:rPr>
        <w:t>消防设计</w:t>
      </w:r>
      <w:bookmarkEnd w:id="129"/>
    </w:p>
    <w:p w14:paraId="1FE10B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廊洞水库对外公路为防汛公路，消防车可直接沿该公路进入坝区 和办公生活管理区。水库本工程主要地面建筑物为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水库管理所办公 及生活用房、启闭机房以及防汛值班室主要采用化学灭火器消防。</w:t>
      </w:r>
    </w:p>
    <w:p w14:paraId="695556DA">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消防主要设备见表</w:t>
      </w:r>
      <w:r>
        <w:rPr>
          <w:rFonts w:hint="default" w:ascii="Times New Roman" w:hAnsi="Times New Roman" w:cs="Times New Roman"/>
          <w:color w:val="auto"/>
          <w:u w:val="none" w:color="auto"/>
          <w:lang w:eastAsia="zh-CN"/>
        </w:rPr>
        <w:t>3.</w:t>
      </w:r>
      <w:r>
        <w:rPr>
          <w:rFonts w:hint="eastAsia" w:cs="Times New Roman"/>
          <w:color w:val="auto"/>
          <w:u w:val="none" w:color="auto"/>
          <w:lang w:val="en-US" w:eastAsia="zh-CN"/>
        </w:rPr>
        <w:t>8</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p>
    <w:p w14:paraId="3BF9FADA">
      <w:pPr>
        <w:bidi w:val="0"/>
        <w:spacing w:line="240" w:lineRule="auto"/>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eastAsia="zh-CN"/>
        </w:rPr>
        <w:t>3.</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rPr>
        <w:t>-1   消防主要工程量</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9"/>
        <w:gridCol w:w="3056"/>
        <w:gridCol w:w="1706"/>
        <w:gridCol w:w="744"/>
        <w:gridCol w:w="1246"/>
        <w:gridCol w:w="1073"/>
      </w:tblGrid>
      <w:tr w14:paraId="0B0C0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709" w:type="dxa"/>
            <w:tcBorders>
              <w:top w:val="single" w:color="000000" w:sz="8" w:space="0"/>
              <w:left w:val="single" w:color="000000" w:sz="8" w:space="0"/>
              <w:bottom w:val="single" w:color="000000" w:sz="4" w:space="0"/>
              <w:right w:val="single" w:color="000000" w:sz="4" w:space="0"/>
            </w:tcBorders>
            <w:shd w:val="clear" w:color="auto" w:fill="auto"/>
            <w:vAlign w:val="center"/>
          </w:tcPr>
          <w:p w14:paraId="428257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序号</w:t>
            </w:r>
          </w:p>
        </w:tc>
        <w:tc>
          <w:tcPr>
            <w:tcW w:w="305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37E89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名称</w:t>
            </w:r>
          </w:p>
        </w:tc>
        <w:tc>
          <w:tcPr>
            <w:tcW w:w="170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66CB5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规格</w:t>
            </w:r>
          </w:p>
        </w:tc>
        <w:tc>
          <w:tcPr>
            <w:tcW w:w="74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E248F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单位</w:t>
            </w:r>
          </w:p>
        </w:tc>
        <w:tc>
          <w:tcPr>
            <w:tcW w:w="124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40786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数量</w:t>
            </w:r>
          </w:p>
        </w:tc>
        <w:tc>
          <w:tcPr>
            <w:tcW w:w="1073"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FD762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备  注</w:t>
            </w:r>
          </w:p>
        </w:tc>
      </w:tr>
      <w:tr w14:paraId="1DAD5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32FC8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6CE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消防专用应急、疏散指示灯</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95D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8C2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4AE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6E4262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12F2B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1"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BDF21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186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手提式</w:t>
            </w:r>
            <w:r>
              <w:rPr>
                <w:rFonts w:hint="eastAsia" w:cs="Times New Roman" w:eastAsiaTheme="minorEastAsia"/>
                <w:i w:val="0"/>
                <w:iCs w:val="0"/>
                <w:color w:val="auto"/>
                <w:kern w:val="0"/>
                <w:sz w:val="21"/>
                <w:szCs w:val="21"/>
                <w:u w:val="none" w:color="auto"/>
                <w:lang w:val="en-US" w:eastAsia="zh-CN" w:bidi="ar"/>
              </w:rPr>
              <w:t>磷酸铵</w:t>
            </w:r>
            <w:r>
              <w:rPr>
                <w:rFonts w:hint="default" w:ascii="Times New Roman" w:hAnsi="Times New Roman" w:cs="Times New Roman" w:eastAsiaTheme="minorEastAsia"/>
                <w:i w:val="0"/>
                <w:iCs w:val="0"/>
                <w:color w:val="auto"/>
                <w:kern w:val="0"/>
                <w:sz w:val="21"/>
                <w:szCs w:val="21"/>
                <w:u w:val="none" w:color="auto"/>
                <w:lang w:val="en-US" w:eastAsia="zh-CN" w:bidi="ar"/>
              </w:rPr>
              <w:t>盐干粉灭火器</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770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MF/ABC2、ABC3</w:t>
            </w: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DDC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具</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30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7B0C77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1BBB9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48752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507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灭火器箱</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D81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BCD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26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20E15A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62164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4" w:space="0"/>
              <w:right w:val="single" w:color="000000" w:sz="4" w:space="0"/>
            </w:tcBorders>
            <w:shd w:val="clear" w:color="auto" w:fill="auto"/>
            <w:vAlign w:val="center"/>
          </w:tcPr>
          <w:p w14:paraId="54D7EC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3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61B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防火堵料</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60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C78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批</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FEF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07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07E16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6E2C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single" w:color="000000" w:sz="4" w:space="0"/>
              <w:left w:val="single" w:color="000000" w:sz="8" w:space="0"/>
              <w:bottom w:val="single" w:color="000000" w:sz="8" w:space="0"/>
              <w:right w:val="single" w:color="000000" w:sz="4" w:space="0"/>
            </w:tcBorders>
            <w:shd w:val="clear" w:color="auto" w:fill="auto"/>
            <w:vAlign w:val="center"/>
          </w:tcPr>
          <w:p w14:paraId="43AC15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305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B4A47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防火涂料</w:t>
            </w:r>
          </w:p>
        </w:tc>
        <w:tc>
          <w:tcPr>
            <w:tcW w:w="170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96DAA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74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71AD5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批</w:t>
            </w:r>
          </w:p>
        </w:tc>
        <w:tc>
          <w:tcPr>
            <w:tcW w:w="124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4C1A1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073" w:type="dxa"/>
            <w:tcBorders>
              <w:top w:val="single" w:color="000000" w:sz="4" w:space="0"/>
              <w:left w:val="single" w:color="000000" w:sz="4" w:space="0"/>
              <w:bottom w:val="single" w:color="000000" w:sz="8" w:space="0"/>
              <w:right w:val="single" w:color="000000" w:sz="8" w:space="0"/>
            </w:tcBorders>
            <w:shd w:val="clear" w:color="auto" w:fill="auto"/>
            <w:noWrap/>
            <w:vAlign w:val="center"/>
          </w:tcPr>
          <w:p w14:paraId="4A0697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bl>
    <w:p w14:paraId="3856D39A">
      <w:pPr>
        <w:pStyle w:val="3"/>
        <w:bidi w:val="0"/>
        <w:rPr>
          <w:rFonts w:hint="default" w:ascii="Times New Roman" w:hAnsi="Times New Roman" w:cs="Times New Roman"/>
          <w:color w:val="auto"/>
          <w:u w:val="none" w:color="auto"/>
        </w:rPr>
      </w:pPr>
      <w:bookmarkStart w:id="130" w:name="_Toc12292"/>
      <w:bookmarkStart w:id="131" w:name="_Toc491035394"/>
      <w:bookmarkStart w:id="132" w:name="_Toc491119732"/>
      <w:r>
        <w:rPr>
          <w:rFonts w:hint="default" w:ascii="Times New Roman" w:hAnsi="Times New Roman" w:cs="Times New Roman"/>
          <w:color w:val="auto"/>
          <w:u w:val="none" w:color="auto"/>
        </w:rPr>
        <w:t>施工组织</w:t>
      </w:r>
      <w:bookmarkEnd w:id="130"/>
    </w:p>
    <w:p w14:paraId="34D49A3B">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施工条件</w:t>
      </w:r>
    </w:p>
    <w:p w14:paraId="09DD8A3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工程条件</w:t>
      </w:r>
    </w:p>
    <w:p w14:paraId="14C62ACC">
      <w:pPr>
        <w:keepNext w:val="0"/>
        <w:keepLines w:val="0"/>
        <w:pageBreakBefore w:val="0"/>
        <w:widowControl w:val="0"/>
        <w:kinsoku/>
        <w:wordWrap/>
        <w:overflowPunct/>
        <w:topLinePunct w:val="0"/>
        <w:autoSpaceDE/>
        <w:autoSpaceDN/>
        <w:bidi w:val="0"/>
        <w:adjustRightInd/>
        <w:snapToGrid/>
        <w:spacing w:line="360" w:lineRule="auto"/>
        <w:ind w:left="0" w:right="0" w:firstLine="558"/>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位于湖南省永州市</w:t>
      </w:r>
      <w:r>
        <w:rPr>
          <w:rFonts w:hint="default" w:ascii="Times New Roman" w:hAnsi="Times New Roman" w:cs="Times New Roman" w:eastAsiaTheme="minorEastAsia"/>
          <w:color w:val="auto"/>
          <w:sz w:val="24"/>
          <w:szCs w:val="24"/>
          <w:u w:val="none" w:color="auto"/>
          <w:lang w:eastAsia="zh-CN"/>
        </w:rPr>
        <w:t>道县梅花镇</w:t>
      </w:r>
      <w:r>
        <w:rPr>
          <w:rFonts w:hint="default" w:ascii="Times New Roman" w:hAnsi="Times New Roman" w:cs="Times New Roman" w:eastAsiaTheme="minorEastAsia"/>
          <w:color w:val="auto"/>
          <w:sz w:val="24"/>
          <w:szCs w:val="24"/>
          <w:u w:val="none" w:color="auto"/>
        </w:rPr>
        <w:t>境内，属于湘江一级支流</w:t>
      </w:r>
      <w:r>
        <w:rPr>
          <w:rFonts w:hint="default" w:ascii="Times New Roman" w:hAnsi="Times New Roman" w:cs="Times New Roman" w:eastAsiaTheme="minorEastAsia"/>
          <w:color w:val="auto"/>
          <w:sz w:val="24"/>
          <w:szCs w:val="24"/>
          <w:u w:val="none" w:color="auto"/>
          <w:lang w:eastAsia="zh-CN"/>
        </w:rPr>
        <w:t>宜水河中游宜阳 河，距G207国道1.5km，距离道县县城18km</w:t>
      </w:r>
      <w:r>
        <w:rPr>
          <w:rFonts w:hint="default" w:ascii="Times New Roman" w:hAnsi="Times New Roman" w:cs="Times New Roman" w:eastAsiaTheme="minorEastAsia"/>
          <w:color w:val="auto"/>
          <w:sz w:val="24"/>
          <w:szCs w:val="24"/>
          <w:u w:val="none" w:color="auto"/>
        </w:rPr>
        <w:t>。</w:t>
      </w:r>
      <w:r>
        <w:rPr>
          <w:rFonts w:hint="default" w:ascii="Times New Roman" w:hAnsi="Times New Roman" w:cs="Times New Roman" w:eastAsiaTheme="minorEastAsia"/>
          <w:color w:val="auto"/>
          <w:spacing w:val="-4"/>
          <w:sz w:val="24"/>
          <w:szCs w:val="24"/>
          <w:u w:val="none" w:color="auto"/>
        </w:rPr>
        <w:t>复核后的水库坝址以上</w:t>
      </w:r>
      <w:r>
        <w:rPr>
          <w:rFonts w:hint="default" w:ascii="Times New Roman" w:hAnsi="Times New Roman" w:cs="Times New Roman" w:eastAsiaTheme="minorEastAsia"/>
          <w:color w:val="auto"/>
          <w:spacing w:val="13"/>
          <w:sz w:val="24"/>
          <w:szCs w:val="24"/>
          <w:u w:val="none" w:color="auto"/>
        </w:rPr>
        <w:t>控制流域集雨面积35.60</w:t>
      </w:r>
      <w:r>
        <w:rPr>
          <w:rFonts w:hint="default" w:ascii="Times New Roman" w:hAnsi="Times New Roman" w:cs="Times New Roman" w:eastAsiaTheme="minorEastAsia"/>
          <w:color w:val="auto"/>
          <w:sz w:val="24"/>
          <w:szCs w:val="24"/>
          <w:u w:val="none" w:color="auto"/>
        </w:rPr>
        <w:t>k</w:t>
      </w:r>
      <w:r>
        <w:rPr>
          <w:rFonts w:hint="eastAsia" w:cs="Times New Roman" w:eastAsiaTheme="minorEastAsia"/>
          <w:color w:val="auto"/>
          <w:sz w:val="24"/>
          <w:szCs w:val="24"/>
          <w:u w:val="none" w:color="auto"/>
          <w:lang w:eastAsia="zh-CN"/>
        </w:rPr>
        <w:t>m</w:t>
      </w:r>
      <w:r>
        <w:rPr>
          <w:rFonts w:hint="eastAsia" w:cs="Times New Roman" w:eastAsiaTheme="minorEastAsia"/>
          <w:color w:val="auto"/>
          <w:sz w:val="24"/>
          <w:szCs w:val="24"/>
          <w:u w:val="none" w:color="auto"/>
          <w:vertAlign w:val="superscript"/>
          <w:lang w:eastAsia="zh-CN"/>
        </w:rPr>
        <w:t>2</w:t>
      </w:r>
      <w:r>
        <w:rPr>
          <w:rFonts w:hint="default" w:ascii="Times New Roman" w:hAnsi="Times New Roman" w:cs="Times New Roman" w:eastAsiaTheme="minorEastAsia"/>
          <w:color w:val="auto"/>
          <w:spacing w:val="13"/>
          <w:sz w:val="24"/>
          <w:szCs w:val="24"/>
          <w:u w:val="none" w:color="auto"/>
        </w:rPr>
        <w:t>，干流长度</w:t>
      </w:r>
      <w:r>
        <w:rPr>
          <w:rFonts w:hint="default" w:ascii="Times New Roman" w:hAnsi="Times New Roman" w:cs="Times New Roman" w:eastAsiaTheme="minorEastAsia"/>
          <w:color w:val="auto"/>
          <w:spacing w:val="-76"/>
          <w:sz w:val="24"/>
          <w:szCs w:val="24"/>
          <w:u w:val="none" w:color="auto"/>
        </w:rPr>
        <w:t xml:space="preserve"> </w:t>
      </w:r>
      <w:r>
        <w:rPr>
          <w:rFonts w:hint="default" w:ascii="Times New Roman" w:hAnsi="Times New Roman" w:cs="Times New Roman" w:eastAsiaTheme="minorEastAsia"/>
          <w:color w:val="auto"/>
          <w:spacing w:val="13"/>
          <w:sz w:val="24"/>
          <w:szCs w:val="24"/>
          <w:u w:val="none" w:color="auto"/>
        </w:rPr>
        <w:t>17.78</w:t>
      </w:r>
      <w:r>
        <w:rPr>
          <w:rFonts w:hint="default" w:ascii="Times New Roman" w:hAnsi="Times New Roman" w:cs="Times New Roman" w:eastAsiaTheme="minorEastAsia"/>
          <w:color w:val="auto"/>
          <w:sz w:val="24"/>
          <w:szCs w:val="24"/>
          <w:u w:val="none" w:color="auto"/>
        </w:rPr>
        <w:t>km</w:t>
      </w:r>
      <w:r>
        <w:rPr>
          <w:rFonts w:hint="default" w:ascii="Times New Roman" w:hAnsi="Times New Roman" w:cs="Times New Roman" w:eastAsiaTheme="minorEastAsia"/>
          <w:color w:val="auto"/>
          <w:spacing w:val="13"/>
          <w:sz w:val="24"/>
          <w:szCs w:val="24"/>
          <w:u w:val="none" w:color="auto"/>
        </w:rPr>
        <w:t>，干流平均坡降</w:t>
      </w:r>
      <w:r>
        <w:rPr>
          <w:rFonts w:hint="default" w:ascii="Times New Roman" w:hAnsi="Times New Roman" w:cs="Times New Roman" w:eastAsiaTheme="minorEastAsia"/>
          <w:color w:val="auto"/>
          <w:spacing w:val="-2"/>
          <w:sz w:val="24"/>
          <w:szCs w:val="24"/>
          <w:u w:val="none" w:color="auto"/>
        </w:rPr>
        <w:t>20.91‰</w:t>
      </w:r>
      <w:r>
        <w:rPr>
          <w:rFonts w:hint="default" w:ascii="Times New Roman" w:hAnsi="Times New Roman" w:cs="Times New Roman" w:eastAsiaTheme="minorEastAsia"/>
          <w:color w:val="auto"/>
          <w:spacing w:val="-18"/>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正常库容907.0万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，总库容1008.6万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，水库枢纽工程为Ⅲ等工程，其主要建筑物为3级建筑物，次要建</w:t>
      </w:r>
      <w:r>
        <w:rPr>
          <w:rFonts w:hint="default" w:ascii="Times New Roman" w:hAnsi="Times New Roman" w:cs="Times New Roman" w:eastAsiaTheme="minorEastAsia"/>
          <w:color w:val="auto"/>
          <w:spacing w:val="-3"/>
          <w:sz w:val="24"/>
          <w:szCs w:val="24"/>
          <w:u w:val="none" w:color="auto"/>
        </w:rPr>
        <w:t>筑物为4级建筑物，</w:t>
      </w:r>
      <w:r>
        <w:rPr>
          <w:rFonts w:hint="default" w:ascii="Times New Roman" w:hAnsi="Times New Roman" w:cs="Times New Roman" w:eastAsiaTheme="minorEastAsia"/>
          <w:color w:val="auto"/>
          <w:sz w:val="24"/>
          <w:szCs w:val="24"/>
          <w:u w:val="none" w:color="auto"/>
        </w:rPr>
        <w:t xml:space="preserve"> </w:t>
      </w:r>
      <w:r>
        <w:rPr>
          <w:rFonts w:hint="default" w:ascii="Times New Roman" w:hAnsi="Times New Roman" w:cs="Times New Roman" w:eastAsiaTheme="minorEastAsia"/>
          <w:color w:val="auto"/>
          <w:spacing w:val="1"/>
          <w:sz w:val="24"/>
          <w:szCs w:val="24"/>
          <w:u w:val="none" w:color="auto"/>
        </w:rPr>
        <w:t>相应设计洪水标准为100年一遇，校核洪水标准为1000年一遇，其设</w:t>
      </w:r>
      <w:r>
        <w:rPr>
          <w:rFonts w:hint="default" w:ascii="Times New Roman" w:hAnsi="Times New Roman" w:cs="Times New Roman" w:eastAsiaTheme="minorEastAsia"/>
          <w:color w:val="auto"/>
          <w:spacing w:val="-2"/>
          <w:sz w:val="24"/>
          <w:szCs w:val="24"/>
          <w:u w:val="none" w:color="auto"/>
        </w:rPr>
        <w:t>计洪水位为291.31m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校核洪水位为291.84m。</w:t>
      </w:r>
    </w:p>
    <w:p w14:paraId="6798B20C">
      <w:pPr>
        <w:keepNext w:val="0"/>
        <w:keepLines w:val="0"/>
        <w:pageBreakBefore w:val="0"/>
        <w:widowControl w:val="0"/>
        <w:kinsoku/>
        <w:wordWrap/>
        <w:overflowPunct/>
        <w:topLinePunct w:val="0"/>
        <w:autoSpaceDE/>
        <w:autoSpaceDN/>
        <w:bidi w:val="0"/>
        <w:adjustRightInd/>
        <w:snapToGrid/>
        <w:spacing w:line="360" w:lineRule="auto"/>
        <w:ind w:left="0" w:right="0" w:firstLine="53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廊洞水库工程主要由大坝、溢洪道、坝后电站、输水隧洞和放水卧管等建筑物组成，是一座以灌溉为主，兼顾防洪、发电等综合</w:t>
      </w:r>
      <w:r>
        <w:rPr>
          <w:rFonts w:hint="default" w:ascii="Times New Roman" w:hAnsi="Times New Roman" w:cs="Times New Roman" w:eastAsiaTheme="minorEastAsia"/>
          <w:color w:val="auto"/>
          <w:spacing w:val="-5"/>
          <w:sz w:val="24"/>
          <w:szCs w:val="24"/>
          <w:u w:val="none" w:color="auto"/>
        </w:rPr>
        <w:t>利用</w:t>
      </w:r>
      <w:r>
        <w:rPr>
          <w:rFonts w:hint="default" w:ascii="Times New Roman" w:hAnsi="Times New Roman" w:cs="Times New Roman" w:eastAsiaTheme="minorEastAsia"/>
          <w:color w:val="auto"/>
          <w:spacing w:val="-4"/>
          <w:sz w:val="24"/>
          <w:szCs w:val="24"/>
          <w:u w:val="none" w:color="auto"/>
        </w:rPr>
        <w:t>的中型水利工程。</w:t>
      </w:r>
    </w:p>
    <w:p w14:paraId="13458CFD">
      <w:pPr>
        <w:keepNext w:val="0"/>
        <w:keepLines w:val="0"/>
        <w:pageBreakBefore w:val="0"/>
        <w:widowControl w:val="0"/>
        <w:kinsoku/>
        <w:wordWrap/>
        <w:overflowPunct/>
        <w:topLinePunct w:val="0"/>
        <w:autoSpaceDE/>
        <w:autoSpaceDN/>
        <w:bidi w:val="0"/>
        <w:adjustRightInd/>
        <w:snapToGrid/>
        <w:spacing w:line="360" w:lineRule="auto"/>
        <w:ind w:left="0" w:right="0" w:firstLine="55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7"/>
          <w:sz w:val="24"/>
          <w:szCs w:val="24"/>
          <w:u w:val="none" w:color="auto"/>
        </w:rPr>
        <w:t>该工程于1958年动工兴建，1961年建成小</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型水库，后于1973</w:t>
      </w:r>
      <w:r>
        <w:rPr>
          <w:rFonts w:hint="default" w:ascii="Times New Roman" w:hAnsi="Times New Roman" w:cs="Times New Roman" w:eastAsiaTheme="minorEastAsia"/>
          <w:color w:val="auto"/>
          <w:spacing w:val="1"/>
          <w:sz w:val="24"/>
          <w:szCs w:val="24"/>
          <w:u w:val="none" w:color="auto"/>
        </w:rPr>
        <w:t>年6月按中型水库扩建，1978年12月竣工。水库枢纽工程主要包括大</w:t>
      </w:r>
      <w:r>
        <w:rPr>
          <w:rFonts w:hint="default" w:ascii="Times New Roman" w:hAnsi="Times New Roman" w:cs="Times New Roman" w:eastAsiaTheme="minorEastAsia"/>
          <w:color w:val="auto"/>
          <w:spacing w:val="-4"/>
          <w:sz w:val="24"/>
          <w:szCs w:val="24"/>
          <w:u w:val="none" w:color="auto"/>
        </w:rPr>
        <w:t>坝、溢洪道、输水建筑物、坝后式电站。该水库枢纽工程是一座以灌</w:t>
      </w:r>
      <w:r>
        <w:rPr>
          <w:rFonts w:hint="default" w:ascii="Times New Roman" w:hAnsi="Times New Roman" w:cs="Times New Roman" w:eastAsiaTheme="minorEastAsia"/>
          <w:color w:val="auto"/>
          <w:spacing w:val="-1"/>
          <w:sz w:val="24"/>
          <w:szCs w:val="24"/>
          <w:u w:val="none" w:color="auto"/>
        </w:rPr>
        <w:t>溉为主，兼顾防洪、发电等综合利用的中型水利工程。</w:t>
      </w:r>
    </w:p>
    <w:p w14:paraId="1C8971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大坝</w:t>
      </w:r>
    </w:p>
    <w:p w14:paraId="71B1C1FB">
      <w:pPr>
        <w:keepNext w:val="0"/>
        <w:keepLines w:val="0"/>
        <w:pageBreakBefore w:val="0"/>
        <w:widowControl w:val="0"/>
        <w:kinsoku/>
        <w:wordWrap/>
        <w:overflowPunct/>
        <w:topLinePunct w:val="0"/>
        <w:autoSpaceDE/>
        <w:autoSpaceDN/>
        <w:bidi w:val="0"/>
        <w:adjustRightInd/>
        <w:snapToGrid/>
        <w:spacing w:line="360" w:lineRule="auto"/>
        <w:ind w:left="0" w:right="0" w:firstLine="576"/>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2"/>
          <w:sz w:val="24"/>
          <w:szCs w:val="24"/>
          <w:u w:val="none" w:color="auto"/>
        </w:rPr>
        <w:t>大坝为黏土心墙坝，最大坝高45.39m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坝顶轴线长146.00m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坝</w:t>
      </w:r>
      <w:r>
        <w:rPr>
          <w:rFonts w:hint="default" w:ascii="Times New Roman" w:hAnsi="Times New Roman" w:cs="Times New Roman" w:eastAsiaTheme="minorEastAsia"/>
          <w:color w:val="auto"/>
          <w:spacing w:val="-4"/>
          <w:sz w:val="24"/>
          <w:szCs w:val="24"/>
          <w:u w:val="none" w:color="auto"/>
        </w:rPr>
        <w:t>顶高程294.17m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坝顶宽4.00m。坝顶设砼防护栏杆，高1.10m。大坝</w:t>
      </w:r>
      <w:r>
        <w:rPr>
          <w:rFonts w:hint="default" w:ascii="Times New Roman" w:hAnsi="Times New Roman" w:cs="Times New Roman" w:eastAsiaTheme="minorEastAsia"/>
          <w:color w:val="auto"/>
          <w:spacing w:val="8"/>
          <w:sz w:val="24"/>
          <w:szCs w:val="24"/>
          <w:u w:val="none" w:color="auto"/>
        </w:rPr>
        <w:t>上游有3级平台</w:t>
      </w:r>
      <w:r>
        <w:rPr>
          <w:rFonts w:hint="default" w:ascii="Times New Roman" w:hAnsi="Times New Roman" w:cs="Times New Roman" w:eastAsiaTheme="minorEastAsia"/>
          <w:color w:val="auto"/>
          <w:spacing w:val="-75"/>
          <w:sz w:val="24"/>
          <w:szCs w:val="24"/>
          <w:u w:val="none" w:color="auto"/>
          <w:lang w:eastAsia="zh-CN"/>
        </w:rPr>
        <w:t>，</w:t>
      </w:r>
      <w:r>
        <w:rPr>
          <w:rFonts w:hint="default" w:ascii="Times New Roman" w:hAnsi="Times New Roman" w:cs="Times New Roman" w:eastAsiaTheme="minorEastAsia"/>
          <w:color w:val="auto"/>
          <w:spacing w:val="8"/>
          <w:sz w:val="24"/>
          <w:szCs w:val="24"/>
          <w:u w:val="none" w:color="auto"/>
        </w:rPr>
        <w:t>平台高程自上而下分别为287.56m</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274.90m</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266.47m，平台宽分别为3.10m，2.00m，2.50m；坡坡比自上而下分别</w:t>
      </w:r>
      <w:r>
        <w:rPr>
          <w:rFonts w:hint="default" w:ascii="Times New Roman" w:hAnsi="Times New Roman" w:cs="Times New Roman" w:eastAsiaTheme="minorEastAsia"/>
          <w:color w:val="auto"/>
          <w:spacing w:val="-5"/>
          <w:sz w:val="24"/>
          <w:szCs w:val="24"/>
          <w:u w:val="none" w:color="auto"/>
        </w:rPr>
        <w:t>为1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2.61</w:t>
      </w:r>
      <w:r>
        <w:rPr>
          <w:rFonts w:hint="default" w:ascii="Times New Roman" w:hAnsi="Times New Roman" w:cs="Times New Roman" w:eastAsiaTheme="minorEastAsia"/>
          <w:color w:val="auto"/>
          <w:spacing w:val="-26"/>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3.30</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3.70</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1</w:t>
      </w:r>
      <w:r>
        <w:rPr>
          <w:rFonts w:hint="default" w:ascii="Times New Roman" w:hAnsi="Times New Roman" w:cs="Times New Roman" w:eastAsiaTheme="minorEastAsia"/>
          <w:color w:val="auto"/>
          <w:spacing w:val="-5"/>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2.89</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5"/>
          <w:sz w:val="24"/>
          <w:szCs w:val="24"/>
          <w:u w:val="none" w:color="auto"/>
        </w:rPr>
        <w:t>上游坝坡采用混凝土六方块护坡。</w:t>
      </w:r>
      <w:r>
        <w:rPr>
          <w:rFonts w:hint="default" w:ascii="Times New Roman" w:hAnsi="Times New Roman" w:cs="Times New Roman" w:eastAsiaTheme="minorEastAsia"/>
          <w:color w:val="auto"/>
          <w:sz w:val="24"/>
          <w:szCs w:val="24"/>
          <w:u w:val="none" w:color="auto"/>
        </w:rPr>
        <w:t>大坝下游有5级平台，平台高程自上而下分别为28</w:t>
      </w:r>
      <w:r>
        <w:rPr>
          <w:rFonts w:hint="default" w:ascii="Times New Roman" w:hAnsi="Times New Roman" w:cs="Times New Roman" w:eastAsiaTheme="minorEastAsia"/>
          <w:color w:val="auto"/>
          <w:spacing w:val="-1"/>
          <w:sz w:val="24"/>
          <w:szCs w:val="24"/>
          <w:u w:val="none" w:color="auto"/>
        </w:rPr>
        <w:t>4.60m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278.86m，</w:t>
      </w:r>
      <w:r>
        <w:rPr>
          <w:rFonts w:hint="default" w:ascii="Times New Roman" w:hAnsi="Times New Roman" w:cs="Times New Roman" w:eastAsiaTheme="minorEastAsia"/>
          <w:color w:val="auto"/>
          <w:spacing w:val="-6"/>
          <w:sz w:val="24"/>
          <w:szCs w:val="24"/>
          <w:u w:val="none" w:color="auto"/>
        </w:rPr>
        <w:t>271.20m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262.14m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253.45m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平台宽分别为4.50m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3.20m</w:t>
      </w:r>
      <w:r>
        <w:rPr>
          <w:rFonts w:hint="default" w:ascii="Times New Roman" w:hAnsi="Times New Roman" w:cs="Times New Roman" w:eastAsiaTheme="minorEastAsia"/>
          <w:color w:val="auto"/>
          <w:spacing w:val="-34"/>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2.80m，</w:t>
      </w:r>
      <w:r>
        <w:rPr>
          <w:rFonts w:hint="default" w:ascii="Times New Roman" w:hAnsi="Times New Roman" w:cs="Times New Roman" w:eastAsiaTheme="minorEastAsia"/>
          <w:color w:val="auto"/>
          <w:spacing w:val="-7"/>
          <w:sz w:val="24"/>
          <w:szCs w:val="24"/>
          <w:u w:val="none" w:color="auto"/>
        </w:rPr>
        <w:t>5.00m，2.30m；坡坡比自上而下分别为1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1.92，1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3.49，1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7"/>
          <w:sz w:val="24"/>
          <w:szCs w:val="24"/>
          <w:u w:val="none" w:color="auto"/>
        </w:rPr>
        <w:t>2.52，1</w:t>
      </w:r>
      <w:r>
        <w:rPr>
          <w:rFonts w:hint="default" w:ascii="Times New Roman" w:hAnsi="Times New Roman" w:cs="Times New Roman" w:eastAsiaTheme="minorEastAsia"/>
          <w:color w:val="auto"/>
          <w:spacing w:val="-7"/>
          <w:sz w:val="24"/>
          <w:szCs w:val="24"/>
          <w:u w:val="none" w:color="auto"/>
          <w:lang w:eastAsia="zh-CN"/>
        </w:rPr>
        <w:t>:</w:t>
      </w:r>
      <w:r>
        <w:rPr>
          <w:rFonts w:hint="default" w:ascii="Times New Roman" w:hAnsi="Times New Roman" w:cs="Times New Roman" w:eastAsiaTheme="minorEastAsia"/>
          <w:color w:val="auto"/>
          <w:spacing w:val="-8"/>
          <w:sz w:val="24"/>
          <w:szCs w:val="24"/>
          <w:u w:val="none" w:color="auto"/>
        </w:rPr>
        <w:t>2.16，</w:t>
      </w:r>
      <w:r>
        <w:rPr>
          <w:rFonts w:hint="default" w:ascii="Times New Roman" w:hAnsi="Times New Roman" w:cs="Times New Roman" w:eastAsiaTheme="minorEastAsia"/>
          <w:color w:val="auto"/>
          <w:spacing w:val="-4"/>
          <w:sz w:val="24"/>
          <w:szCs w:val="24"/>
          <w:u w:val="none" w:color="auto"/>
        </w:rPr>
        <w:t>1</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2.16</w:t>
      </w:r>
      <w:r>
        <w:rPr>
          <w:rFonts w:hint="default" w:ascii="Times New Roman" w:hAnsi="Times New Roman" w:cs="Times New Roman" w:eastAsiaTheme="minorEastAsia"/>
          <w:color w:val="auto"/>
          <w:spacing w:val="-22"/>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1</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2.00</w:t>
      </w:r>
      <w:r>
        <w:rPr>
          <w:rFonts w:hint="default" w:ascii="Times New Roman" w:hAnsi="Times New Roman" w:cs="Times New Roman" w:eastAsiaTheme="minorEastAsia"/>
          <w:color w:val="auto"/>
          <w:spacing w:val="-32"/>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下游坝坡采用块石护坡。</w:t>
      </w:r>
    </w:p>
    <w:p w14:paraId="23BA1E0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溢洪道</w:t>
      </w:r>
    </w:p>
    <w:p w14:paraId="505D86C9">
      <w:pPr>
        <w:keepNext w:val="0"/>
        <w:keepLines w:val="0"/>
        <w:pageBreakBefore w:val="0"/>
        <w:widowControl w:val="0"/>
        <w:kinsoku/>
        <w:wordWrap/>
        <w:overflowPunct/>
        <w:topLinePunct w:val="0"/>
        <w:autoSpaceDE/>
        <w:autoSpaceDN/>
        <w:bidi w:val="0"/>
        <w:adjustRightInd/>
        <w:snapToGrid/>
        <w:spacing w:line="360" w:lineRule="auto"/>
        <w:ind w:left="0" w:right="0" w:firstLine="57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溢洪道位于大坝左岸，为侧槽式溢洪道，由控制段、调整段、泄</w:t>
      </w:r>
      <w:r>
        <w:rPr>
          <w:rFonts w:hint="default" w:ascii="Times New Roman" w:hAnsi="Times New Roman" w:cs="Times New Roman" w:eastAsiaTheme="minorEastAsia"/>
          <w:color w:val="auto"/>
          <w:spacing w:val="-3"/>
          <w:sz w:val="24"/>
          <w:szCs w:val="24"/>
          <w:u w:val="none" w:color="auto"/>
        </w:rPr>
        <w:t>槽段、消力池段组成。控制段为折线型实用堰，堰轴线</w:t>
      </w:r>
      <w:r>
        <w:rPr>
          <w:rFonts w:hint="default" w:ascii="Times New Roman" w:hAnsi="Times New Roman" w:cs="Times New Roman" w:eastAsiaTheme="minorEastAsia"/>
          <w:color w:val="auto"/>
          <w:spacing w:val="-4"/>
          <w:sz w:val="24"/>
          <w:szCs w:val="24"/>
          <w:u w:val="none" w:color="auto"/>
        </w:rPr>
        <w:t>为弧形，堰顶</w:t>
      </w:r>
      <w:r>
        <w:rPr>
          <w:rFonts w:hint="default" w:ascii="Times New Roman" w:hAnsi="Times New Roman" w:cs="Times New Roman" w:eastAsiaTheme="minorEastAsia"/>
          <w:color w:val="auto"/>
          <w:sz w:val="24"/>
          <w:szCs w:val="24"/>
          <w:u w:val="none" w:color="auto"/>
        </w:rPr>
        <w:t xml:space="preserve"> </w:t>
      </w:r>
      <w:r>
        <w:rPr>
          <w:rFonts w:hint="default" w:ascii="Times New Roman" w:hAnsi="Times New Roman" w:cs="Times New Roman" w:eastAsiaTheme="minorEastAsia"/>
          <w:color w:val="auto"/>
          <w:spacing w:val="1"/>
          <w:sz w:val="24"/>
          <w:szCs w:val="24"/>
          <w:u w:val="none" w:color="auto"/>
        </w:rPr>
        <w:t>高程289.85m</w:t>
      </w:r>
      <w:r>
        <w:rPr>
          <w:rFonts w:hint="default" w:ascii="Times New Roman" w:hAnsi="Times New Roman" w:cs="Times New Roman" w:eastAsiaTheme="minorEastAsia"/>
          <w:color w:val="auto"/>
          <w:spacing w:val="-27"/>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长41.00m。调整段长5.00</w:t>
      </w:r>
      <w:r>
        <w:rPr>
          <w:rFonts w:hint="default" w:ascii="Times New Roman" w:hAnsi="Times New Roman" w:cs="Times New Roman" w:eastAsiaTheme="minorEastAsia"/>
          <w:color w:val="auto"/>
          <w:sz w:val="24"/>
          <w:szCs w:val="24"/>
          <w:u w:val="none" w:color="auto"/>
        </w:rPr>
        <w:t>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z w:val="24"/>
          <w:szCs w:val="24"/>
          <w:u w:val="none" w:color="auto"/>
        </w:rPr>
        <w:t>宽24.00m；泄槽段，长</w:t>
      </w:r>
      <w:r>
        <w:rPr>
          <w:rFonts w:hint="default" w:ascii="Times New Roman" w:hAnsi="Times New Roman" w:cs="Times New Roman" w:eastAsiaTheme="minorEastAsia"/>
          <w:color w:val="auto"/>
          <w:spacing w:val="-3"/>
          <w:sz w:val="24"/>
          <w:szCs w:val="24"/>
          <w:u w:val="none" w:color="auto"/>
        </w:rPr>
        <w:t>167.00m</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3"/>
          <w:sz w:val="24"/>
          <w:szCs w:val="24"/>
          <w:u w:val="none" w:color="auto"/>
        </w:rPr>
        <w:t>宽24.00m。消力池段长20.00m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池后接泄洪渠。</w:t>
      </w:r>
    </w:p>
    <w:p w14:paraId="24C2768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输水建筑物</w:t>
      </w:r>
    </w:p>
    <w:p w14:paraId="18144BE0">
      <w:pPr>
        <w:keepNext w:val="0"/>
        <w:keepLines w:val="0"/>
        <w:pageBreakBefore w:val="0"/>
        <w:widowControl w:val="0"/>
        <w:kinsoku/>
        <w:wordWrap/>
        <w:overflowPunct/>
        <w:topLinePunct w:val="0"/>
        <w:autoSpaceDE/>
        <w:autoSpaceDN/>
        <w:bidi w:val="0"/>
        <w:adjustRightInd/>
        <w:snapToGrid/>
        <w:spacing w:line="360" w:lineRule="auto"/>
        <w:ind w:left="0" w:right="0" w:firstLine="563"/>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输水建筑物位于大坝左岸，由放水卧管和输水隧洞组成。卧管内</w:t>
      </w:r>
      <w:r>
        <w:rPr>
          <w:rFonts w:hint="default" w:ascii="Times New Roman" w:hAnsi="Times New Roman" w:cs="Times New Roman" w:eastAsiaTheme="minorEastAsia"/>
          <w:color w:val="auto"/>
          <w:spacing w:val="-2"/>
          <w:sz w:val="24"/>
          <w:szCs w:val="24"/>
          <w:u w:val="none" w:color="auto"/>
        </w:rPr>
        <w:t>径0.80m</w:t>
      </w:r>
      <w:r>
        <w:rPr>
          <w:rFonts w:hint="default" w:ascii="Times New Roman" w:hAnsi="Times New Roman" w:cs="Times New Roman" w:eastAsiaTheme="minorEastAsia"/>
          <w:color w:val="auto"/>
          <w:spacing w:val="-24"/>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壁厚0.15m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管身全长97.40m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放水孔每3m设一级，共11</w:t>
      </w:r>
      <w:r>
        <w:rPr>
          <w:rFonts w:hint="default" w:ascii="Times New Roman" w:hAnsi="Times New Roman" w:cs="Times New Roman" w:eastAsiaTheme="minorEastAsia"/>
          <w:color w:val="auto"/>
          <w:spacing w:val="-8"/>
          <w:sz w:val="24"/>
          <w:szCs w:val="24"/>
          <w:u w:val="none" w:color="auto"/>
        </w:rPr>
        <w:t>级，放水孔尺寸0.60×0.60m，采用铸铁闸门，闸门尺寸0.80×0.80m，</w:t>
      </w:r>
      <w:r>
        <w:rPr>
          <w:rFonts w:hint="default" w:ascii="Times New Roman" w:hAnsi="Times New Roman" w:cs="Times New Roman" w:eastAsiaTheme="minorEastAsia"/>
          <w:color w:val="auto"/>
          <w:spacing w:val="1"/>
          <w:sz w:val="24"/>
          <w:szCs w:val="24"/>
          <w:u w:val="none" w:color="auto"/>
        </w:rPr>
        <w:t>3t卷样式启闭机启闭。卧管末端设消力井与隧</w:t>
      </w:r>
      <w:r>
        <w:rPr>
          <w:rFonts w:hint="default" w:ascii="Times New Roman" w:hAnsi="Times New Roman" w:cs="Times New Roman" w:eastAsiaTheme="minorEastAsia"/>
          <w:color w:val="auto"/>
          <w:sz w:val="24"/>
          <w:szCs w:val="24"/>
          <w:u w:val="none" w:color="auto"/>
        </w:rPr>
        <w:t>洞相连接，0.15m</w:t>
      </w:r>
      <w:r>
        <w:rPr>
          <w:rFonts w:hint="default" w:ascii="Times New Roman" w:hAnsi="Times New Roman" w:cs="Times New Roman" w:eastAsiaTheme="minorEastAsia"/>
          <w:color w:val="auto"/>
          <w:spacing w:val="-31"/>
          <w:sz w:val="24"/>
          <w:szCs w:val="24"/>
          <w:u w:val="none" w:color="auto"/>
          <w:lang w:eastAsia="zh-CN"/>
        </w:rPr>
        <w:t>，</w:t>
      </w:r>
      <w:r>
        <w:rPr>
          <w:rFonts w:hint="default" w:ascii="Times New Roman" w:hAnsi="Times New Roman" w:cs="Times New Roman" w:eastAsiaTheme="minorEastAsia"/>
          <w:color w:val="auto"/>
          <w:sz w:val="24"/>
          <w:szCs w:val="24"/>
          <w:u w:val="none" w:color="auto"/>
        </w:rPr>
        <w:t>全</w:t>
      </w:r>
      <w:r>
        <w:rPr>
          <w:rFonts w:hint="default" w:ascii="Times New Roman" w:hAnsi="Times New Roman" w:cs="Times New Roman" w:eastAsiaTheme="minorEastAsia"/>
          <w:color w:val="auto"/>
          <w:spacing w:val="-2"/>
          <w:sz w:val="24"/>
          <w:szCs w:val="24"/>
          <w:u w:val="none" w:color="auto"/>
        </w:rPr>
        <w:t>长97.4m</w:t>
      </w:r>
      <w:r>
        <w:rPr>
          <w:rFonts w:hint="default" w:ascii="Times New Roman" w:hAnsi="Times New Roman" w:cs="Times New Roman" w:eastAsiaTheme="minorEastAsia"/>
          <w:color w:val="auto"/>
          <w:spacing w:val="-33"/>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采用铸铁闸门，闸门尺寸0.8×0.8m；消力</w:t>
      </w:r>
      <w:r>
        <w:rPr>
          <w:rFonts w:hint="default" w:ascii="Times New Roman" w:hAnsi="Times New Roman" w:cs="Times New Roman" w:eastAsiaTheme="minorEastAsia"/>
          <w:color w:val="auto"/>
          <w:spacing w:val="-3"/>
          <w:sz w:val="24"/>
          <w:szCs w:val="24"/>
          <w:u w:val="none" w:color="auto"/>
        </w:rPr>
        <w:t>井进口设闸门，</w:t>
      </w:r>
      <w:r>
        <w:rPr>
          <w:rFonts w:hint="default" w:ascii="Times New Roman" w:hAnsi="Times New Roman" w:cs="Times New Roman" w:eastAsiaTheme="minorEastAsia"/>
          <w:color w:val="auto"/>
          <w:spacing w:val="-4"/>
          <w:sz w:val="24"/>
          <w:szCs w:val="24"/>
          <w:u w:val="none" w:color="auto"/>
        </w:rPr>
        <w:t>尺寸1.0×1.0m。隧洞为钢筋砼圆管，内径1.20m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衬砌厚度0.35m</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全长181.50m。</w:t>
      </w:r>
    </w:p>
    <w:p w14:paraId="0100BF5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水库下游建两处电站，一处是坝后电站，装机容量为2×160</w:t>
      </w:r>
      <w:r>
        <w:rPr>
          <w:rFonts w:hint="default" w:ascii="Times New Roman" w:hAnsi="Times New Roman" w:cs="Times New Roman" w:eastAsiaTheme="minorEastAsia"/>
          <w:color w:val="auto"/>
          <w:spacing w:val="-4"/>
          <w:sz w:val="24"/>
          <w:szCs w:val="24"/>
          <w:u w:val="none" w:color="auto"/>
          <w:lang w:eastAsia="zh-CN"/>
        </w:rPr>
        <w:t>kW</w:t>
      </w:r>
      <w:r>
        <w:rPr>
          <w:rFonts w:hint="default" w:ascii="Times New Roman" w:hAnsi="Times New Roman" w:cs="Times New Roman" w:eastAsiaTheme="minorEastAsia"/>
          <w:color w:val="auto"/>
          <w:spacing w:val="-4"/>
          <w:sz w:val="24"/>
          <w:szCs w:val="24"/>
          <w:u w:val="none" w:color="auto"/>
        </w:rPr>
        <w:t>，</w:t>
      </w:r>
      <w:r>
        <w:rPr>
          <w:rFonts w:hint="default" w:ascii="Times New Roman" w:hAnsi="Times New Roman" w:cs="Times New Roman" w:eastAsiaTheme="minorEastAsia"/>
          <w:color w:val="auto"/>
          <w:spacing w:val="20"/>
          <w:sz w:val="24"/>
          <w:szCs w:val="24"/>
          <w:u w:val="none" w:color="auto"/>
        </w:rPr>
        <w:t>另一处是在距大坝900m处的右干渠上建有一落差式电站</w:t>
      </w:r>
      <w:r>
        <w:rPr>
          <w:rFonts w:hint="default" w:ascii="Times New Roman" w:hAnsi="Times New Roman" w:cs="Times New Roman" w:eastAsiaTheme="minorEastAsia"/>
          <w:color w:val="auto"/>
          <w:spacing w:val="-68"/>
          <w:sz w:val="24"/>
          <w:szCs w:val="24"/>
          <w:u w:val="none" w:color="auto"/>
          <w:lang w:eastAsia="zh-CN"/>
        </w:rPr>
        <w:t>，</w:t>
      </w:r>
      <w:r>
        <w:rPr>
          <w:rFonts w:hint="default" w:ascii="Times New Roman" w:hAnsi="Times New Roman" w:cs="Times New Roman" w:eastAsiaTheme="minorEastAsia"/>
          <w:color w:val="auto"/>
          <w:spacing w:val="20"/>
          <w:sz w:val="24"/>
          <w:szCs w:val="24"/>
          <w:u w:val="none" w:color="auto"/>
        </w:rPr>
        <w:t>装机</w:t>
      </w:r>
      <w:r>
        <w:rPr>
          <w:rFonts w:hint="default" w:ascii="Times New Roman" w:hAnsi="Times New Roman" w:cs="Times New Roman" w:eastAsiaTheme="minorEastAsia"/>
          <w:color w:val="auto"/>
          <w:spacing w:val="-2"/>
          <w:sz w:val="24"/>
          <w:szCs w:val="24"/>
          <w:u w:val="none" w:color="auto"/>
        </w:rPr>
        <w:t>120</w:t>
      </w:r>
      <w:r>
        <w:rPr>
          <w:rFonts w:hint="default" w:ascii="Times New Roman" w:hAnsi="Times New Roman" w:cs="Times New Roman" w:eastAsiaTheme="minorEastAsia"/>
          <w:color w:val="auto"/>
          <w:spacing w:val="-2"/>
          <w:sz w:val="24"/>
          <w:szCs w:val="24"/>
          <w:u w:val="none" w:color="auto"/>
          <w:lang w:eastAsia="zh-CN"/>
        </w:rPr>
        <w:t>kW</w:t>
      </w:r>
      <w:r>
        <w:rPr>
          <w:rFonts w:hint="default" w:ascii="Times New Roman" w:hAnsi="Times New Roman" w:cs="Times New Roman" w:eastAsiaTheme="minorEastAsia"/>
          <w:color w:val="auto"/>
          <w:spacing w:val="-2"/>
          <w:sz w:val="24"/>
          <w:szCs w:val="24"/>
          <w:u w:val="none" w:color="auto"/>
        </w:rPr>
        <w:t>。两处电站总装机440</w:t>
      </w:r>
      <w:r>
        <w:rPr>
          <w:rFonts w:hint="default" w:ascii="Times New Roman" w:hAnsi="Times New Roman" w:cs="Times New Roman" w:eastAsiaTheme="minorEastAsia"/>
          <w:color w:val="auto"/>
          <w:spacing w:val="-2"/>
          <w:sz w:val="24"/>
          <w:szCs w:val="24"/>
          <w:u w:val="none" w:color="auto"/>
          <w:lang w:eastAsia="zh-CN"/>
        </w:rPr>
        <w:t>kW</w:t>
      </w:r>
      <w:r>
        <w:rPr>
          <w:rFonts w:hint="default" w:ascii="Times New Roman" w:hAnsi="Times New Roman" w:cs="Times New Roman" w:eastAsiaTheme="minorEastAsia"/>
          <w:color w:val="auto"/>
          <w:spacing w:val="-29"/>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年发电量190万</w:t>
      </w:r>
      <w:r>
        <w:rPr>
          <w:rFonts w:hint="default" w:ascii="Times New Roman" w:hAnsi="Times New Roman" w:cs="Times New Roman" w:eastAsiaTheme="minorEastAsia"/>
          <w:color w:val="auto"/>
          <w:spacing w:val="-2"/>
          <w:sz w:val="24"/>
          <w:szCs w:val="24"/>
          <w:u w:val="none" w:color="auto"/>
          <w:lang w:eastAsia="zh-CN"/>
        </w:rPr>
        <w:t>kW·h</w:t>
      </w:r>
      <w:r>
        <w:rPr>
          <w:rFonts w:hint="default" w:ascii="Times New Roman" w:hAnsi="Times New Roman" w:cs="Times New Roman" w:eastAsiaTheme="minorEastAsia"/>
          <w:color w:val="auto"/>
          <w:sz w:val="24"/>
          <w:szCs w:val="24"/>
          <w:u w:val="none" w:color="auto"/>
        </w:rPr>
        <w:t>。</w:t>
      </w:r>
    </w:p>
    <w:p w14:paraId="56A2BBA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根据《水利水电工程等级划分及洪水标准》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工程等别为Ⅲ等工程，工程规模为中型，主要建筑物级别为3级，其他次要建筑物级别为4级，临时建筑物为5级。</w:t>
      </w:r>
    </w:p>
    <w:p w14:paraId="1E2BB77E">
      <w:pPr>
        <w:pStyle w:val="5"/>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施工场地布置方案</w:t>
      </w:r>
    </w:p>
    <w:p w14:paraId="7C42E17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本工程施工点比较分散，根据本工程的地形特点和主要功能，大坝工程施工临建布置区主要分四处布置，临时堆土区1处；生产生活区1处；临时道路及临时围堰1处；弃渣场1处。</w:t>
      </w:r>
    </w:p>
    <w:p w14:paraId="096ABAE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(1)施工管理及仓库布置</w:t>
      </w:r>
    </w:p>
    <w:p w14:paraId="513B5A1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工程临时设施主要包括施工工厂、施工仓库，根据工程实际情况，还需设置机械设备停放场，临建设施占地含施工工厂、施工仓库、机械设备停放场及办公设施占地。本工程施工场地集中布置于附近空地及廊洞水库管理所内。</w:t>
      </w:r>
    </w:p>
    <w:p w14:paraId="55C2F18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b/>
          <w:bCs/>
          <w:color w:val="auto"/>
          <w:sz w:val="21"/>
          <w:szCs w:val="21"/>
          <w:u w:val="none" w:color="auto"/>
          <w:lang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lang w:eastAsia="zh-CN"/>
        </w:rPr>
        <w:t>施工临建布置区</w:t>
      </w:r>
      <w:r>
        <w:rPr>
          <w:rFonts w:hint="default" w:ascii="Times New Roman" w:hAnsi="Times New Roman" w:cs="Times New Roman"/>
          <w:b/>
          <w:bCs/>
          <w:color w:val="auto"/>
          <w:sz w:val="21"/>
          <w:szCs w:val="21"/>
          <w:u w:val="none" w:color="auto"/>
          <w:lang w:val="en-US" w:eastAsia="zh-CN"/>
        </w:rPr>
        <w:t>一览表</w:t>
      </w:r>
    </w:p>
    <w:tbl>
      <w:tblPr>
        <w:tblStyle w:val="37"/>
        <w:tblW w:w="503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9"/>
        <w:gridCol w:w="1833"/>
        <w:gridCol w:w="1668"/>
        <w:gridCol w:w="1815"/>
        <w:gridCol w:w="2021"/>
      </w:tblGrid>
      <w:tr w14:paraId="50763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9" w:hRule="atLeast"/>
          <w:jc w:val="center"/>
        </w:trPr>
        <w:tc>
          <w:tcPr>
            <w:tcW w:w="1038" w:type="dxa"/>
            <w:vAlign w:val="top"/>
          </w:tcPr>
          <w:p w14:paraId="58AE81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1831" w:type="dxa"/>
            <w:vAlign w:val="top"/>
          </w:tcPr>
          <w:p w14:paraId="77B2E4AA">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名</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称</w:t>
            </w:r>
          </w:p>
        </w:tc>
        <w:tc>
          <w:tcPr>
            <w:tcW w:w="1666" w:type="dxa"/>
            <w:vAlign w:val="top"/>
          </w:tcPr>
          <w:p w14:paraId="69B814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建筑面积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813" w:type="dxa"/>
            <w:vAlign w:val="top"/>
          </w:tcPr>
          <w:p w14:paraId="2AA6CE5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占地面积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2019" w:type="dxa"/>
            <w:vAlign w:val="top"/>
          </w:tcPr>
          <w:p w14:paraId="2A8C446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31F14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 w:hRule="atLeast"/>
          <w:jc w:val="center"/>
        </w:trPr>
        <w:tc>
          <w:tcPr>
            <w:tcW w:w="1038" w:type="dxa"/>
            <w:vAlign w:val="top"/>
          </w:tcPr>
          <w:p w14:paraId="6520FA0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831" w:type="dxa"/>
            <w:vAlign w:val="top"/>
          </w:tcPr>
          <w:p w14:paraId="0E1CA99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管理及生活设施</w:t>
            </w:r>
          </w:p>
        </w:tc>
        <w:tc>
          <w:tcPr>
            <w:tcW w:w="1666" w:type="dxa"/>
            <w:vAlign w:val="top"/>
          </w:tcPr>
          <w:p w14:paraId="111A8A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813" w:type="dxa"/>
            <w:vAlign w:val="top"/>
          </w:tcPr>
          <w:p w14:paraId="57DB29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2019" w:type="dxa"/>
            <w:vAlign w:val="top"/>
          </w:tcPr>
          <w:p w14:paraId="6FC3AF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租用廊洞管理所房屋</w:t>
            </w:r>
          </w:p>
        </w:tc>
      </w:tr>
      <w:tr w14:paraId="70C8AB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38" w:type="dxa"/>
            <w:vAlign w:val="top"/>
          </w:tcPr>
          <w:p w14:paraId="14DF943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831" w:type="dxa"/>
            <w:vAlign w:val="top"/>
          </w:tcPr>
          <w:p w14:paraId="00C8C28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水泥仓库</w:t>
            </w:r>
          </w:p>
        </w:tc>
        <w:tc>
          <w:tcPr>
            <w:tcW w:w="1666" w:type="dxa"/>
            <w:vAlign w:val="top"/>
          </w:tcPr>
          <w:p w14:paraId="184AAE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200</w:t>
            </w:r>
          </w:p>
        </w:tc>
        <w:tc>
          <w:tcPr>
            <w:tcW w:w="1813" w:type="dxa"/>
            <w:vAlign w:val="top"/>
          </w:tcPr>
          <w:p w14:paraId="3734C53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2019" w:type="dxa"/>
            <w:vAlign w:val="top"/>
          </w:tcPr>
          <w:p w14:paraId="2C91E4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68C36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1038" w:type="dxa"/>
            <w:vAlign w:val="top"/>
          </w:tcPr>
          <w:p w14:paraId="594F761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w:t>
            </w:r>
          </w:p>
        </w:tc>
        <w:tc>
          <w:tcPr>
            <w:tcW w:w="1831" w:type="dxa"/>
            <w:vAlign w:val="top"/>
          </w:tcPr>
          <w:p w14:paraId="2506BD9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灌制浆棚</w:t>
            </w:r>
          </w:p>
        </w:tc>
        <w:tc>
          <w:tcPr>
            <w:tcW w:w="1666" w:type="dxa"/>
            <w:vAlign w:val="top"/>
          </w:tcPr>
          <w:p w14:paraId="52B80FC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3FED0D3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2019" w:type="dxa"/>
            <w:vAlign w:val="top"/>
          </w:tcPr>
          <w:p w14:paraId="5276ECF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7C483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1038" w:type="dxa"/>
            <w:vAlign w:val="top"/>
          </w:tcPr>
          <w:p w14:paraId="50BC809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w:t>
            </w:r>
          </w:p>
        </w:tc>
        <w:tc>
          <w:tcPr>
            <w:tcW w:w="1831" w:type="dxa"/>
            <w:vAlign w:val="top"/>
          </w:tcPr>
          <w:p w14:paraId="5AE9B5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钢筋加工厂</w:t>
            </w:r>
          </w:p>
        </w:tc>
        <w:tc>
          <w:tcPr>
            <w:tcW w:w="1666" w:type="dxa"/>
            <w:vAlign w:val="top"/>
          </w:tcPr>
          <w:p w14:paraId="6D72C7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393D5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2019" w:type="dxa"/>
            <w:vAlign w:val="top"/>
          </w:tcPr>
          <w:p w14:paraId="116D3E2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6B3B7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038" w:type="dxa"/>
            <w:vAlign w:val="top"/>
          </w:tcPr>
          <w:p w14:paraId="51EDF72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w:t>
            </w:r>
          </w:p>
        </w:tc>
        <w:tc>
          <w:tcPr>
            <w:tcW w:w="1831" w:type="dxa"/>
            <w:vAlign w:val="top"/>
          </w:tcPr>
          <w:p w14:paraId="382F328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木材加工厂</w:t>
            </w:r>
          </w:p>
        </w:tc>
        <w:tc>
          <w:tcPr>
            <w:tcW w:w="1666" w:type="dxa"/>
            <w:vAlign w:val="top"/>
          </w:tcPr>
          <w:p w14:paraId="2CA4FB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813" w:type="dxa"/>
            <w:vAlign w:val="top"/>
          </w:tcPr>
          <w:p w14:paraId="222E063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2019" w:type="dxa"/>
            <w:vAlign w:val="top"/>
          </w:tcPr>
          <w:p w14:paraId="6AA655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03FA3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 w:hRule="atLeast"/>
          <w:jc w:val="center"/>
        </w:trPr>
        <w:tc>
          <w:tcPr>
            <w:tcW w:w="1038" w:type="dxa"/>
            <w:vAlign w:val="top"/>
          </w:tcPr>
          <w:p w14:paraId="4158360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6</w:t>
            </w:r>
          </w:p>
        </w:tc>
        <w:tc>
          <w:tcPr>
            <w:tcW w:w="1831" w:type="dxa"/>
            <w:vAlign w:val="top"/>
          </w:tcPr>
          <w:p w14:paraId="6A06AD1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设施停放场</w:t>
            </w:r>
          </w:p>
        </w:tc>
        <w:tc>
          <w:tcPr>
            <w:tcW w:w="1666" w:type="dxa"/>
            <w:vAlign w:val="top"/>
          </w:tcPr>
          <w:p w14:paraId="19C0C51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13" w:type="dxa"/>
            <w:vAlign w:val="top"/>
          </w:tcPr>
          <w:p w14:paraId="57ED1CC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2019" w:type="dxa"/>
            <w:vAlign w:val="top"/>
          </w:tcPr>
          <w:p w14:paraId="0E3EDE9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0E64B3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038" w:type="dxa"/>
            <w:vAlign w:val="top"/>
          </w:tcPr>
          <w:p w14:paraId="649F7FB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31" w:type="dxa"/>
            <w:vAlign w:val="top"/>
          </w:tcPr>
          <w:p w14:paraId="198CD39A">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计</w:t>
            </w:r>
          </w:p>
        </w:tc>
        <w:tc>
          <w:tcPr>
            <w:tcW w:w="1666" w:type="dxa"/>
            <w:vAlign w:val="top"/>
          </w:tcPr>
          <w:p w14:paraId="760F014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813" w:type="dxa"/>
            <w:vAlign w:val="top"/>
          </w:tcPr>
          <w:p w14:paraId="05D41AA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1900</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不含租用</w:t>
            </w:r>
            <w:r>
              <w:rPr>
                <w:rFonts w:hint="default" w:ascii="Times New Roman" w:hAnsi="Times New Roman" w:cs="Times New Roman" w:eastAsiaTheme="minorEastAsia"/>
                <w:color w:val="auto"/>
                <w:sz w:val="21"/>
                <w:szCs w:val="21"/>
                <w:u w:val="none" w:color="auto"/>
                <w:lang w:eastAsia="zh-CN"/>
              </w:rPr>
              <w:t>)</w:t>
            </w:r>
          </w:p>
        </w:tc>
        <w:tc>
          <w:tcPr>
            <w:tcW w:w="2019" w:type="dxa"/>
            <w:vAlign w:val="top"/>
          </w:tcPr>
          <w:p w14:paraId="1495337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ECB0DFB">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val="en-US" w:eastAsia="zh-CN"/>
        </w:rPr>
        <w:t>施工</w:t>
      </w:r>
      <w:r>
        <w:rPr>
          <w:rFonts w:hint="default" w:ascii="Times New Roman" w:hAnsi="Times New Roman" w:cs="Times New Roman"/>
          <w:color w:val="auto"/>
          <w:u w:val="none" w:color="auto"/>
        </w:rPr>
        <w:t>便道布置条件</w:t>
      </w:r>
    </w:p>
    <w:p w14:paraId="33CEA04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对外交通</w:t>
      </w:r>
    </w:p>
    <w:p w14:paraId="483373D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廊洞水库位于湖南省永州市道县梅花镇廊洞村境内，坝址位于湘江水系潇水一级支流宜水河中游宜阳河，距离梅花镇10.00km，距离道县县城18.00km。本工程对外交通方便，通过工程区内防汛道路与工程区外国道G207、G357相接。</w:t>
      </w:r>
    </w:p>
    <w:p w14:paraId="7D59AD5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本工程场内交通</w:t>
      </w:r>
    </w:p>
    <w:p w14:paraId="31C430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工程区内有防汛道路至坝顶，交通便利。区内交通运输主要利用现有道路网络，施工工区、临时堆料场、弃渣场附近均有道路通达，基本能满足施工期场内交通要求，本工程新建施工临时道路，长220m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道路等级为5级。</w:t>
      </w:r>
    </w:p>
    <w:p w14:paraId="4286DFD2">
      <w:pPr>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-2    施工便道区占地情况一览表</w:t>
      </w:r>
    </w:p>
    <w:tbl>
      <w:tblPr>
        <w:tblStyle w:val="37"/>
        <w:tblW w:w="83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4"/>
        <w:gridCol w:w="1709"/>
        <w:gridCol w:w="846"/>
        <w:gridCol w:w="5118"/>
      </w:tblGrid>
      <w:tr w14:paraId="660C4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694" w:type="dxa"/>
            <w:vAlign w:val="center"/>
          </w:tcPr>
          <w:p w14:paraId="0C6C2620">
            <w:pPr>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color w:val="auto"/>
                <w:u w:val="none" w:color="auto"/>
              </w:rPr>
              <w:br w:type="page"/>
            </w:r>
            <w:r>
              <w:rPr>
                <w:rFonts w:hint="default" w:ascii="Times New Roman" w:hAnsi="Times New Roman" w:cs="Times New Roman" w:eastAsiaTheme="minorEastAsia"/>
                <w:color w:val="auto"/>
                <w:sz w:val="21"/>
                <w:szCs w:val="21"/>
                <w:u w:val="none" w:color="auto"/>
              </w:rPr>
              <w:t>编号</w:t>
            </w:r>
          </w:p>
        </w:tc>
        <w:tc>
          <w:tcPr>
            <w:tcW w:w="1709" w:type="dxa"/>
            <w:vAlign w:val="center"/>
          </w:tcPr>
          <w:p w14:paraId="2E1D9CD7">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施工临时道路</w:t>
            </w:r>
          </w:p>
        </w:tc>
        <w:tc>
          <w:tcPr>
            <w:tcW w:w="846" w:type="dxa"/>
            <w:vAlign w:val="center"/>
          </w:tcPr>
          <w:p w14:paraId="47DD08E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长度</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eastAsia="zh-CN"/>
              </w:rPr>
              <w:t>)</w:t>
            </w:r>
          </w:p>
        </w:tc>
        <w:tc>
          <w:tcPr>
            <w:tcW w:w="5118" w:type="dxa"/>
            <w:vAlign w:val="center"/>
          </w:tcPr>
          <w:p w14:paraId="0DFFB087">
            <w:pPr>
              <w:pStyle w:val="100"/>
              <w:keepNext w:val="0"/>
              <w:keepLines w:val="0"/>
              <w:pageBreakBefore w:val="0"/>
              <w:widowControl w:val="0"/>
              <w:tabs>
                <w:tab w:val="left" w:pos="220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73452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694" w:type="dxa"/>
            <w:vAlign w:val="center"/>
          </w:tcPr>
          <w:p w14:paraId="7B54A11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709" w:type="dxa"/>
            <w:vAlign w:val="center"/>
          </w:tcPr>
          <w:p w14:paraId="69FA5CED">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1#施工道路</w:t>
            </w:r>
          </w:p>
        </w:tc>
        <w:tc>
          <w:tcPr>
            <w:tcW w:w="846" w:type="dxa"/>
            <w:vAlign w:val="center"/>
          </w:tcPr>
          <w:p w14:paraId="02FADB0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132E4D7E">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溢洪道消力池与现有道路连接段，宽3.50m，泥结石路面。</w:t>
            </w:r>
          </w:p>
        </w:tc>
      </w:tr>
      <w:tr w14:paraId="2DAD3E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694" w:type="dxa"/>
            <w:vAlign w:val="center"/>
          </w:tcPr>
          <w:p w14:paraId="49B1E2B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709" w:type="dxa"/>
            <w:vAlign w:val="center"/>
          </w:tcPr>
          <w:p w14:paraId="1920C476">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2#施工道路</w:t>
            </w:r>
          </w:p>
        </w:tc>
        <w:tc>
          <w:tcPr>
            <w:tcW w:w="846" w:type="dxa"/>
            <w:vAlign w:val="center"/>
          </w:tcPr>
          <w:p w14:paraId="56FDE344">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548C744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大坝下游坝坡与现有道路连接段，宽3.50m，泥结石路面。</w:t>
            </w:r>
          </w:p>
        </w:tc>
      </w:tr>
      <w:tr w14:paraId="51F37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4" w:type="dxa"/>
          </w:tcPr>
          <w:p w14:paraId="38FBF3A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合计</w:t>
            </w:r>
          </w:p>
        </w:tc>
        <w:tc>
          <w:tcPr>
            <w:tcW w:w="1709" w:type="dxa"/>
          </w:tcPr>
          <w:p w14:paraId="144D04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846" w:type="dxa"/>
          </w:tcPr>
          <w:p w14:paraId="05A46B1A">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220</w:t>
            </w:r>
          </w:p>
        </w:tc>
        <w:tc>
          <w:tcPr>
            <w:tcW w:w="5118" w:type="dxa"/>
          </w:tcPr>
          <w:p w14:paraId="362ECEB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860ABA8">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弃渣场规划</w:t>
      </w:r>
    </w:p>
    <w:p w14:paraId="352688B4">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本工程弃渣共计1.66万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，主要为土石方、拆除料，考虑就近弃渣和环保要求，弃渣场位于大坝下游二级电站</w:t>
      </w:r>
      <w:r>
        <w:rPr>
          <w:rFonts w:hint="eastAsia" w:cs="Times New Roman"/>
          <w:color w:val="auto"/>
          <w:u w:val="none" w:color="auto"/>
          <w:lang w:eastAsia="zh-CN"/>
        </w:rPr>
        <w:t>附近</w:t>
      </w:r>
      <w:r>
        <w:rPr>
          <w:rFonts w:hint="default" w:ascii="Times New Roman" w:hAnsi="Times New Roman" w:cs="Times New Roman"/>
          <w:color w:val="auto"/>
          <w:u w:val="none" w:color="auto"/>
        </w:rPr>
        <w:t>空闲低洼地，面积约1.2万</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，可存放弃渣方量2.65万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距离工程区2.50km，地形地貌较适合作为弃渣场地，场地规模满足弃渣量要求。该弃渣场地基础上部存在厚约1~2m残积黏土层，下部为泥盆系中统跳马涧组(D2t)强风化-弱风化中厚层石英砂岩、泥质粉砂岩夹页岩，承载力较高，整体上目前处于较稳定状态</w:t>
      </w:r>
      <w:r>
        <w:rPr>
          <w:rFonts w:hint="default" w:ascii="Times New Roman" w:hAnsi="Times New Roman" w:cs="Times New Roman"/>
          <w:color w:val="auto"/>
          <w:u w:val="none" w:color="auto"/>
          <w:lang w:eastAsia="zh-CN"/>
        </w:rPr>
        <w:t>。</w:t>
      </w:r>
    </w:p>
    <w:p w14:paraId="255569D0">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-3  渣</w:t>
      </w:r>
      <w:r>
        <w:rPr>
          <w:rFonts w:hint="eastAsia" w:cs="Times New Roman"/>
          <w:b/>
          <w:bCs/>
          <w:color w:val="auto"/>
          <w:sz w:val="21"/>
          <w:szCs w:val="21"/>
          <w:u w:val="none" w:color="auto"/>
          <w:lang w:val="en-US" w:eastAsia="zh-CN"/>
        </w:rPr>
        <w:t>场</w:t>
      </w:r>
      <w:r>
        <w:rPr>
          <w:rFonts w:hint="default" w:ascii="Times New Roman" w:hAnsi="Times New Roman" w:cs="Times New Roman"/>
          <w:b/>
          <w:bCs/>
          <w:color w:val="auto"/>
          <w:sz w:val="21"/>
          <w:szCs w:val="21"/>
          <w:u w:val="none" w:color="auto"/>
          <w:lang w:val="en-US" w:eastAsia="zh-CN"/>
        </w:rPr>
        <w:t>特性表</w:t>
      </w:r>
    </w:p>
    <w:tbl>
      <w:tblPr>
        <w:tblStyle w:val="162"/>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76"/>
        <w:gridCol w:w="1971"/>
        <w:gridCol w:w="3037"/>
        <w:gridCol w:w="2044"/>
      </w:tblGrid>
      <w:tr w14:paraId="566D7B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5F1D43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渣场规划</w:t>
            </w:r>
          </w:p>
        </w:tc>
        <w:tc>
          <w:tcPr>
            <w:tcW w:w="1970" w:type="dxa"/>
            <w:vAlign w:val="center"/>
          </w:tcPr>
          <w:p w14:paraId="4E826C9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21"/>
                <w:sz w:val="21"/>
                <w:szCs w:val="21"/>
                <w:u w:val="none" w:color="auto"/>
              </w:rPr>
              <w:t>占地面积</w:t>
            </w:r>
            <w:r>
              <w:rPr>
                <w:rFonts w:hint="default" w:ascii="Times New Roman" w:hAnsi="Times New Roman" w:cs="Times New Roman"/>
                <w:color w:val="auto"/>
                <w:spacing w:val="-21"/>
                <w:sz w:val="21"/>
                <w:szCs w:val="21"/>
                <w:u w:val="none" w:color="auto"/>
                <w:lang w:eastAsia="zh-CN"/>
              </w:rPr>
              <w:t>(</w:t>
            </w:r>
            <w:r>
              <w:rPr>
                <w:rFonts w:hint="default" w:ascii="Times New Roman" w:hAnsi="Times New Roman" w:eastAsia="宋体" w:cs="Times New Roman"/>
                <w:color w:val="auto"/>
                <w:spacing w:val="-21"/>
                <w:sz w:val="21"/>
                <w:szCs w:val="21"/>
                <w:u w:val="none" w:color="auto"/>
              </w:rPr>
              <w:t>万</w:t>
            </w:r>
            <w:r>
              <w:rPr>
                <w:rFonts w:hint="eastAsia" w:ascii="Times New Roman" w:hAnsi="Times New Roman" w:cs="Times New Roman"/>
                <w:color w:val="auto"/>
                <w:sz w:val="21"/>
                <w:szCs w:val="21"/>
                <w:u w:val="none" w:color="auto"/>
                <w:lang w:eastAsia="zh-CN"/>
              </w:rPr>
              <w:t>m</w:t>
            </w:r>
            <w:r>
              <w:rPr>
                <w:rFonts w:hint="eastAsia" w:ascii="Times New Roman" w:hAnsi="Times New Roman" w:cs="Times New Roman"/>
                <w:color w:val="auto"/>
                <w:sz w:val="21"/>
                <w:szCs w:val="21"/>
                <w:u w:val="none" w:color="auto"/>
                <w:vertAlign w:val="superscript"/>
                <w:lang w:eastAsia="zh-CN"/>
              </w:rPr>
              <w:t>2</w:t>
            </w:r>
            <w:r>
              <w:rPr>
                <w:rFonts w:hint="default" w:ascii="Times New Roman" w:hAnsi="Times New Roman" w:cs="Times New Roman"/>
                <w:color w:val="auto"/>
                <w:spacing w:val="-40"/>
                <w:sz w:val="21"/>
                <w:szCs w:val="21"/>
                <w:u w:val="none" w:color="auto"/>
                <w:lang w:eastAsia="zh-CN"/>
              </w:rPr>
              <w:t>)</w:t>
            </w:r>
          </w:p>
        </w:tc>
        <w:tc>
          <w:tcPr>
            <w:tcW w:w="3035" w:type="dxa"/>
            <w:vAlign w:val="center"/>
          </w:tcPr>
          <w:p w14:paraId="6D3DD03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1"/>
                <w:sz w:val="21"/>
                <w:szCs w:val="21"/>
                <w:u w:val="none" w:color="auto"/>
              </w:rPr>
              <w:t>弃渣量/堆存量</w:t>
            </w:r>
            <w:r>
              <w:rPr>
                <w:rFonts w:hint="default" w:ascii="Times New Roman" w:hAnsi="Times New Roman" w:cs="Times New Roman"/>
                <w:color w:val="auto"/>
                <w:spacing w:val="-1"/>
                <w:sz w:val="21"/>
                <w:szCs w:val="21"/>
                <w:u w:val="none" w:color="auto"/>
                <w:lang w:eastAsia="zh-CN"/>
              </w:rPr>
              <w:t>(</w:t>
            </w:r>
            <w:r>
              <w:rPr>
                <w:rFonts w:hint="default" w:ascii="Times New Roman" w:hAnsi="Times New Roman" w:eastAsia="宋体" w:cs="Times New Roman"/>
                <w:color w:val="auto"/>
                <w:spacing w:val="-1"/>
                <w:sz w:val="21"/>
                <w:szCs w:val="21"/>
                <w:u w:val="none" w:color="auto"/>
              </w:rPr>
              <w:t>万</w:t>
            </w:r>
            <w:r>
              <w:rPr>
                <w:rFonts w:hint="default" w:ascii="Times New Roman" w:hAnsi="Times New Roman" w:eastAsia="宋体" w:cs="Times New Roman"/>
                <w:color w:val="auto"/>
                <w:spacing w:val="-52"/>
                <w:sz w:val="21"/>
                <w:szCs w:val="21"/>
                <w:u w:val="none" w:color="auto"/>
              </w:rPr>
              <w:t xml:space="preserve"> </w:t>
            </w:r>
            <w:r>
              <w:rPr>
                <w:rFonts w:hint="default" w:ascii="Times New Roman" w:hAnsi="Times New Roman" w:cs="Times New Roman"/>
                <w:color w:val="auto"/>
                <w:sz w:val="21"/>
                <w:szCs w:val="21"/>
                <w:u w:val="none" w:color="auto"/>
                <w:lang w:eastAsia="zh-CN"/>
              </w:rPr>
              <w:t>m³</w:t>
            </w:r>
            <w:r>
              <w:rPr>
                <w:rFonts w:hint="default" w:ascii="Times New Roman" w:hAnsi="Times New Roman" w:cs="Times New Roman"/>
                <w:color w:val="auto"/>
                <w:spacing w:val="-1"/>
                <w:sz w:val="21"/>
                <w:szCs w:val="21"/>
                <w:u w:val="none" w:color="auto"/>
                <w:lang w:eastAsia="zh-CN"/>
              </w:rPr>
              <w:t>)</w:t>
            </w:r>
          </w:p>
        </w:tc>
        <w:tc>
          <w:tcPr>
            <w:tcW w:w="2043" w:type="dxa"/>
            <w:vAlign w:val="center"/>
          </w:tcPr>
          <w:p w14:paraId="0CE6BD59">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2"/>
                <w:sz w:val="21"/>
                <w:szCs w:val="21"/>
                <w:u w:val="none" w:color="auto"/>
              </w:rPr>
              <w:t>平均堆高</w:t>
            </w:r>
            <w:r>
              <w:rPr>
                <w:rFonts w:hint="default" w:ascii="Times New Roman" w:hAnsi="Times New Roman" w:cs="Times New Roman"/>
                <w:color w:val="auto"/>
                <w:spacing w:val="-2"/>
                <w:sz w:val="21"/>
                <w:szCs w:val="21"/>
                <w:u w:val="none" w:color="auto"/>
                <w:lang w:eastAsia="zh-CN"/>
              </w:rPr>
              <w:t>(</w:t>
            </w:r>
            <w:r>
              <w:rPr>
                <w:rFonts w:hint="default" w:ascii="Times New Roman" w:hAnsi="Times New Roman" w:eastAsia="宋体"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r>
      <w:tr w14:paraId="1F6EFB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61C2986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弃渣场</w:t>
            </w:r>
          </w:p>
        </w:tc>
        <w:tc>
          <w:tcPr>
            <w:tcW w:w="1970" w:type="dxa"/>
            <w:vAlign w:val="center"/>
          </w:tcPr>
          <w:p w14:paraId="125AB6B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0.36</w:t>
            </w:r>
          </w:p>
        </w:tc>
        <w:tc>
          <w:tcPr>
            <w:tcW w:w="3035" w:type="dxa"/>
            <w:vAlign w:val="center"/>
          </w:tcPr>
          <w:p w14:paraId="5907C8B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1.66</w:t>
            </w:r>
          </w:p>
        </w:tc>
        <w:tc>
          <w:tcPr>
            <w:tcW w:w="2043" w:type="dxa"/>
            <w:vAlign w:val="center"/>
          </w:tcPr>
          <w:p w14:paraId="7C1ACBFB">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4.61</w:t>
            </w:r>
          </w:p>
        </w:tc>
      </w:tr>
      <w:tr w14:paraId="0864C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1844B76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堆料场</w:t>
            </w:r>
          </w:p>
        </w:tc>
        <w:tc>
          <w:tcPr>
            <w:tcW w:w="1970" w:type="dxa"/>
            <w:vAlign w:val="center"/>
          </w:tcPr>
          <w:p w14:paraId="74E21CFE">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0.09</w:t>
            </w:r>
          </w:p>
        </w:tc>
        <w:tc>
          <w:tcPr>
            <w:tcW w:w="3035" w:type="dxa"/>
            <w:vAlign w:val="center"/>
          </w:tcPr>
          <w:p w14:paraId="67028C4F">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0.18</w:t>
            </w:r>
          </w:p>
        </w:tc>
        <w:tc>
          <w:tcPr>
            <w:tcW w:w="2043" w:type="dxa"/>
            <w:vAlign w:val="center"/>
          </w:tcPr>
          <w:p w14:paraId="550C9FB0">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2.00</w:t>
            </w:r>
          </w:p>
        </w:tc>
      </w:tr>
      <w:tr w14:paraId="664DF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275" w:type="dxa"/>
            <w:vAlign w:val="center"/>
          </w:tcPr>
          <w:p w14:paraId="2B4BABD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合计</w:t>
            </w:r>
          </w:p>
        </w:tc>
        <w:tc>
          <w:tcPr>
            <w:tcW w:w="1970" w:type="dxa"/>
            <w:vAlign w:val="center"/>
          </w:tcPr>
          <w:p w14:paraId="08142884">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0.45</w:t>
            </w:r>
          </w:p>
        </w:tc>
        <w:tc>
          <w:tcPr>
            <w:tcW w:w="3035" w:type="dxa"/>
            <w:vAlign w:val="center"/>
          </w:tcPr>
          <w:p w14:paraId="2AF4750D">
            <w:pPr>
              <w:pStyle w:val="59"/>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1.84</w:t>
            </w:r>
          </w:p>
        </w:tc>
        <w:tc>
          <w:tcPr>
            <w:tcW w:w="2043" w:type="dxa"/>
            <w:vAlign w:val="center"/>
          </w:tcPr>
          <w:p w14:paraId="36EA51F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rPr>
            </w:pPr>
          </w:p>
        </w:tc>
      </w:tr>
    </w:tbl>
    <w:p w14:paraId="25312FA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技术供应条件</w:t>
      </w:r>
    </w:p>
    <w:p w14:paraId="4AE3F5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工程施工所需主要建材</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水泥、钢筋、油料等均可从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w:t>
      </w:r>
    </w:p>
    <w:p w14:paraId="09628A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由于本工程涉及永州市道县梅花镇廊洞水库饮用水水源保护区，为减少工程施工对环境的影响，本工程</w:t>
      </w:r>
      <w:r>
        <w:rPr>
          <w:rFonts w:hint="default" w:ascii="Times New Roman" w:hAnsi="Times New Roman" w:cs="Times New Roman"/>
          <w:color w:val="auto"/>
          <w:highlight w:val="none"/>
          <w:u w:val="none" w:color="auto"/>
        </w:rPr>
        <w:t>除喷混凝土</w:t>
      </w:r>
      <w:r>
        <w:rPr>
          <w:rFonts w:hint="default" w:ascii="Times New Roman" w:hAnsi="Times New Roman" w:cs="Times New Roman"/>
          <w:color w:val="auto"/>
          <w:u w:val="none" w:color="auto"/>
        </w:rPr>
        <w:t>为自拌外，其他混凝土采用商品混凝土，可从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境内购买。</w:t>
      </w:r>
      <w:r>
        <w:rPr>
          <w:rFonts w:hint="default" w:ascii="Times New Roman" w:hAnsi="Times New Roman" w:cs="Times New Roman"/>
          <w:color w:val="auto"/>
          <w:u w:val="none" w:color="auto"/>
          <w:lang w:eastAsia="zh-CN"/>
        </w:rPr>
        <w:t>商品混凝土可从道县宏达混凝土公司购买，该公司日供货能力为1200m³，可采用公路运输至坝水库，运输方便，运距12.00km</w:t>
      </w:r>
      <w:r>
        <w:rPr>
          <w:rFonts w:hint="default" w:ascii="Times New Roman" w:hAnsi="Times New Roman" w:cs="Times New Roman"/>
          <w:color w:val="auto"/>
          <w:u w:val="none" w:color="auto"/>
        </w:rPr>
        <w:t>。</w:t>
      </w:r>
    </w:p>
    <w:p w14:paraId="4F3A72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生产用水</w:t>
      </w:r>
      <w:r>
        <w:rPr>
          <w:rFonts w:hint="default" w:ascii="Times New Roman" w:hAnsi="Times New Roman" w:cs="Times New Roman"/>
          <w:color w:val="auto"/>
          <w:u w:val="none" w:color="auto"/>
          <w:lang w:val="en-US" w:eastAsia="zh-CN"/>
        </w:rPr>
        <w:t>通过</w:t>
      </w:r>
      <w:r>
        <w:rPr>
          <w:rFonts w:hint="default" w:ascii="Times New Roman" w:hAnsi="Times New Roman" w:cs="Times New Roman"/>
          <w:color w:val="auto"/>
          <w:u w:val="none" w:color="auto"/>
        </w:rPr>
        <w:t>隧洞泄流以及临时抽水泵抽水满足供水需求，生活用水利用电站原有供水设施。施工用电可从现有电站电网接线。</w:t>
      </w:r>
    </w:p>
    <w:p w14:paraId="0177E390">
      <w:pPr>
        <w:pStyle w:val="4"/>
        <w:bidi w:val="0"/>
        <w:rPr>
          <w:rFonts w:hint="default"/>
        </w:rPr>
      </w:pPr>
      <w:r>
        <w:rPr>
          <w:rFonts w:hint="default"/>
        </w:rPr>
        <w:t>料场选择和开采</w:t>
      </w:r>
    </w:p>
    <w:p w14:paraId="1038C818">
      <w:pPr>
        <w:bidi w:val="0"/>
        <w:rPr>
          <w:rFonts w:hint="default"/>
        </w:rPr>
      </w:pPr>
      <w:r>
        <w:rPr>
          <w:rFonts w:hint="default"/>
        </w:rPr>
        <w:t>本工程所需各类物料共计</w:t>
      </w:r>
      <w:r>
        <w:rPr>
          <w:rFonts w:hint="default"/>
          <w:lang w:val="en-US" w:eastAsia="zh-CN"/>
        </w:rPr>
        <w:t>3.48</w:t>
      </w:r>
      <w:r>
        <w:rPr>
          <w:rFonts w:hint="default"/>
        </w:rPr>
        <w:t>万</w:t>
      </w:r>
      <w:r>
        <w:rPr>
          <w:rFonts w:hint="default"/>
          <w:lang w:eastAsia="zh-CN"/>
        </w:rPr>
        <w:t>m³</w:t>
      </w:r>
      <w:r>
        <w:rPr>
          <w:rFonts w:hint="default"/>
        </w:rPr>
        <w:t>，其中土方0.96万</w:t>
      </w:r>
      <w:r>
        <w:rPr>
          <w:rFonts w:hint="default"/>
          <w:lang w:eastAsia="zh-CN"/>
        </w:rPr>
        <w:t>m³</w:t>
      </w:r>
      <w:r>
        <w:rPr>
          <w:rFonts w:hint="default"/>
        </w:rPr>
        <w:t>，砂、砾石</w:t>
      </w:r>
      <w:r>
        <w:rPr>
          <w:rFonts w:hint="default"/>
          <w:lang w:val="en-US" w:eastAsia="zh-CN"/>
        </w:rPr>
        <w:t>料分别为</w:t>
      </w:r>
      <w:r>
        <w:rPr>
          <w:rFonts w:hint="default"/>
        </w:rPr>
        <w:t>0.51万</w:t>
      </w:r>
      <w:r>
        <w:rPr>
          <w:rFonts w:hint="default"/>
          <w:lang w:eastAsia="zh-CN"/>
        </w:rPr>
        <w:t>m³</w:t>
      </w:r>
      <w:r>
        <w:rPr>
          <w:rFonts w:hint="default"/>
        </w:rPr>
        <w:t>和0.92万</w:t>
      </w:r>
      <w:r>
        <w:rPr>
          <w:rFonts w:hint="default"/>
          <w:lang w:eastAsia="zh-CN"/>
        </w:rPr>
        <w:t>m³</w:t>
      </w:r>
      <w:r>
        <w:rPr>
          <w:rFonts w:hint="default"/>
        </w:rPr>
        <w:t>，块石0.26万</w:t>
      </w:r>
      <w:r>
        <w:rPr>
          <w:rFonts w:hint="default"/>
          <w:lang w:eastAsia="zh-CN"/>
        </w:rPr>
        <w:t>m³</w:t>
      </w:r>
      <w:r>
        <w:rPr>
          <w:rFonts w:hint="default"/>
        </w:rPr>
        <w:t>，混凝土0.83万m³。</w:t>
      </w:r>
    </w:p>
    <w:p w14:paraId="67B89A4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土料</w:t>
      </w:r>
      <w:r>
        <w:rPr>
          <w:rFonts w:hint="default" w:ascii="Times New Roman" w:hAnsi="Times New Roman" w:cs="Times New Roman"/>
          <w:color w:val="auto"/>
          <w:u w:val="none" w:color="auto"/>
          <w:lang w:val="en-US" w:eastAsia="zh-CN"/>
        </w:rPr>
        <w:t>场</w:t>
      </w:r>
    </w:p>
    <w:p w14:paraId="657506CA">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本工程所需土料主要用于袋装土围堰填筑，土料设计需要量为</w:t>
      </w:r>
      <w:r>
        <w:rPr>
          <w:rFonts w:hint="default" w:ascii="Times New Roman" w:hAnsi="Times New Roman" w:eastAsia="宋体" w:cs="Times New Roman"/>
          <w:color w:val="auto"/>
          <w:spacing w:val="-3"/>
          <w:sz w:val="24"/>
          <w:szCs w:val="24"/>
          <w:u w:val="none" w:color="auto"/>
        </w:rPr>
        <w:t>0.96万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可全部利用本工程主体工程开挖料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不再单独设置取土场。</w:t>
      </w:r>
    </w:p>
    <w:p w14:paraId="723F285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砂砾石料</w:t>
      </w:r>
    </w:p>
    <w:p w14:paraId="64815CA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本工程所需砂石料主要用于喷混凝土</w:t>
      </w:r>
      <w:r>
        <w:rPr>
          <w:rFonts w:hint="eastAsia" w:cs="Times New Roman"/>
          <w:color w:val="auto"/>
          <w:highlight w:val="none"/>
          <w:u w:val="none" w:color="auto"/>
          <w:lang w:eastAsia="zh-CN"/>
        </w:rPr>
        <w:t>拌合</w:t>
      </w:r>
      <w:r>
        <w:rPr>
          <w:rFonts w:hint="default" w:ascii="Times New Roman" w:hAnsi="Times New Roman" w:cs="Times New Roman"/>
          <w:color w:val="auto"/>
          <w:u w:val="none" w:color="auto"/>
        </w:rPr>
        <w:t>，</w:t>
      </w:r>
      <w:r>
        <w:rPr>
          <w:rFonts w:hint="default" w:ascii="Times New Roman" w:hAnsi="Times New Roman" w:eastAsia="宋体" w:cs="Times New Roman"/>
          <w:color w:val="auto"/>
          <w:spacing w:val="-3"/>
          <w:sz w:val="24"/>
          <w:szCs w:val="24"/>
          <w:u w:val="none" w:color="auto"/>
        </w:rPr>
        <w:t>砂、</w:t>
      </w:r>
      <w:r>
        <w:rPr>
          <w:rFonts w:hint="default" w:ascii="Times New Roman" w:hAnsi="Times New Roman" w:eastAsia="宋体" w:cs="Times New Roman"/>
          <w:color w:val="auto"/>
          <w:spacing w:val="-4"/>
          <w:sz w:val="24"/>
          <w:szCs w:val="24"/>
          <w:u w:val="none" w:color="auto"/>
        </w:rPr>
        <w:t>砾石</w:t>
      </w:r>
      <w:r>
        <w:rPr>
          <w:rFonts w:hint="default" w:ascii="Times New Roman" w:hAnsi="Times New Roman" w:eastAsia="宋体" w:cs="Times New Roman"/>
          <w:color w:val="auto"/>
          <w:spacing w:val="-4"/>
          <w:sz w:val="24"/>
          <w:szCs w:val="24"/>
          <w:u w:val="none" w:color="auto"/>
          <w:lang w:val="en-US" w:eastAsia="zh-CN"/>
        </w:rPr>
        <w:t>料分别为</w:t>
      </w:r>
      <w:r>
        <w:rPr>
          <w:rFonts w:hint="default" w:ascii="Times New Roman" w:hAnsi="Times New Roman" w:eastAsia="宋体" w:cs="Times New Roman"/>
          <w:color w:val="auto"/>
          <w:spacing w:val="-4"/>
          <w:sz w:val="24"/>
          <w:szCs w:val="24"/>
          <w:u w:val="none" w:color="auto"/>
        </w:rPr>
        <w:t>0.51万</w:t>
      </w:r>
      <w:r>
        <w:rPr>
          <w:rFonts w:hint="default" w:ascii="Times New Roman" w:hAnsi="Times New Roman" w:eastAsia="宋体" w:cs="Times New Roman"/>
          <w:color w:val="auto"/>
          <w:spacing w:val="-4"/>
          <w:sz w:val="24"/>
          <w:szCs w:val="24"/>
          <w:u w:val="none" w:color="auto"/>
          <w:lang w:eastAsia="zh-CN"/>
        </w:rPr>
        <w:t>m³</w:t>
      </w:r>
      <w:r>
        <w:rPr>
          <w:rFonts w:hint="default" w:ascii="Times New Roman" w:hAnsi="Times New Roman" w:eastAsia="宋体" w:cs="Times New Roman"/>
          <w:color w:val="auto"/>
          <w:spacing w:val="-1"/>
          <w:sz w:val="24"/>
          <w:szCs w:val="24"/>
        </w:rPr>
        <w:t>和0.92万</w:t>
      </w:r>
      <w:r>
        <w:rPr>
          <w:rFonts w:hint="default" w:ascii="Times New Roman" w:hAnsi="Times New Roman" w:eastAsia="宋体" w:cs="Times New Roman"/>
          <w:color w:val="auto"/>
          <w:spacing w:val="-3"/>
          <w:sz w:val="24"/>
          <w:szCs w:val="24"/>
          <w:u w:val="none" w:color="auto"/>
          <w:lang w:eastAsia="zh-CN"/>
        </w:rPr>
        <w:t>m³</w:t>
      </w:r>
      <w:r>
        <w:rPr>
          <w:rFonts w:hint="default" w:ascii="Times New Roman" w:hAnsi="Times New Roman" w:eastAsia="宋体" w:cs="Times New Roman"/>
          <w:color w:val="auto"/>
          <w:spacing w:val="-4"/>
          <w:sz w:val="24"/>
          <w:szCs w:val="24"/>
          <w:u w:val="none" w:color="auto"/>
        </w:rPr>
        <w:t>，</w:t>
      </w:r>
      <w:r>
        <w:rPr>
          <w:rFonts w:hint="default" w:ascii="Times New Roman" w:hAnsi="Times New Roman" w:cs="Times New Roman"/>
          <w:color w:val="auto"/>
          <w:u w:val="none" w:color="auto"/>
        </w:rPr>
        <w:t>砂料场位于道县县城，运距18.00km，质量较好，料场储量8万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，邻近公路，可经营阳大道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乌海线往返，运输方便。砾石料场位于道县县城，运距20.00km，砾石较多，质量一般，储量10.0万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，满足设计用量的需要。邻近公路，可经营阳大道</w:t>
      </w:r>
      <w:r>
        <w:rPr>
          <w:rFonts w:hint="eastAsia" w:cs="Times New Roman"/>
          <w:color w:val="auto"/>
          <w:u w:val="none" w:color="auto"/>
          <w:lang w:eastAsia="zh-CN"/>
        </w:rPr>
        <w:t>、</w:t>
      </w:r>
      <w:r>
        <w:rPr>
          <w:rFonts w:hint="default" w:ascii="Times New Roman" w:hAnsi="Times New Roman" w:cs="Times New Roman"/>
          <w:color w:val="auto"/>
          <w:u w:val="none" w:color="auto"/>
        </w:rPr>
        <w:t>乌海线往返，运输方便</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不再设置砂砾石料场。</w:t>
      </w:r>
    </w:p>
    <w:p w14:paraId="6FE6EBF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块石料</w:t>
      </w:r>
    </w:p>
    <w:p w14:paraId="61E9DCF9">
      <w:pPr>
        <w:bidi w:val="0"/>
        <w:rPr>
          <w:rFonts w:hint="default" w:ascii="Times New Roman" w:hAnsi="Times New Roman" w:eastAsia="宋体" w:cs="Times New Roman"/>
          <w:color w:val="auto"/>
          <w:u w:val="none" w:color="auto"/>
        </w:rPr>
      </w:pPr>
      <w:r>
        <w:rPr>
          <w:rFonts w:hint="default" w:ascii="Times New Roman" w:hAnsi="Times New Roman" w:cs="Times New Roman"/>
          <w:color w:val="auto"/>
          <w:u w:val="none" w:color="auto"/>
        </w:rPr>
        <w:t>本工程块石料主要用于大坝下游冲坑回</w:t>
      </w:r>
      <w:r>
        <w:rPr>
          <w:rFonts w:hint="default" w:ascii="Times New Roman" w:hAnsi="Times New Roman" w:eastAsia="宋体" w:cs="Times New Roman"/>
          <w:color w:val="auto"/>
          <w:u w:val="none" w:color="auto"/>
        </w:rPr>
        <w:t>填，块石设计需要量为</w:t>
      </w:r>
      <w:r>
        <w:rPr>
          <w:rFonts w:hint="default" w:ascii="Times New Roman" w:hAnsi="Times New Roman" w:eastAsia="宋体" w:cs="Times New Roman"/>
          <w:color w:val="auto"/>
          <w:spacing w:val="-4"/>
          <w:sz w:val="24"/>
          <w:szCs w:val="24"/>
          <w:u w:val="none" w:color="auto"/>
        </w:rPr>
        <w:t>0.26万</w:t>
      </w:r>
      <w:r>
        <w:rPr>
          <w:rFonts w:hint="default" w:ascii="Times New Roman" w:hAnsi="Times New Roman" w:cs="Times New Roman"/>
          <w:color w:val="auto"/>
          <w:u w:val="none" w:color="auto"/>
          <w:lang w:eastAsia="zh-CN"/>
        </w:rPr>
        <w:t>m³</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可利用坝区下游的螺丝岭石场，运距5.50km，为灰岩，质量较好，储量10.0万</w:t>
      </w:r>
      <w:r>
        <w:rPr>
          <w:rFonts w:hint="default" w:ascii="Times New Roman" w:hAnsi="Times New Roman" w:cs="Times New Roman"/>
          <w:color w:val="auto"/>
          <w:u w:val="none" w:color="auto"/>
          <w:lang w:eastAsia="zh-CN"/>
        </w:rPr>
        <w:t>m³</w:t>
      </w:r>
      <w:r>
        <w:rPr>
          <w:rFonts w:hint="default" w:ascii="Times New Roman" w:hAnsi="Times New Roman" w:eastAsia="宋体" w:cs="Times New Roman"/>
          <w:color w:val="auto"/>
          <w:u w:val="none" w:color="auto"/>
        </w:rPr>
        <w:t>以上，无用层较少，邻近公路，开采运输方便，完全能满足设计的需要，无需</w:t>
      </w:r>
      <w:r>
        <w:rPr>
          <w:rFonts w:hint="default" w:ascii="Times New Roman" w:hAnsi="Times New Roman" w:eastAsia="宋体" w:cs="Times New Roman"/>
          <w:color w:val="auto"/>
          <w:u w:val="none" w:color="auto"/>
          <w:lang w:val="en-US" w:eastAsia="zh-CN"/>
        </w:rPr>
        <w:t>设置</w:t>
      </w:r>
      <w:r>
        <w:rPr>
          <w:rFonts w:hint="default" w:ascii="Times New Roman" w:hAnsi="Times New Roman" w:eastAsia="宋体" w:cs="Times New Roman"/>
          <w:color w:val="auto"/>
          <w:u w:val="none" w:color="auto"/>
        </w:rPr>
        <w:t>块石料场。</w:t>
      </w:r>
    </w:p>
    <w:p w14:paraId="2D788772">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w:t>
      </w:r>
    </w:p>
    <w:p w14:paraId="0B3F8C1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导流标准</w:t>
      </w:r>
    </w:p>
    <w:p w14:paraId="17DA5D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本工程为中型水库，工程等级为Ⅲ等。主要水工建筑物级别为3级，次要建筑物级别为4级。根据《水利水电工程施工组织设计规范》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SL303-2017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及水利水电工程等级划分及洪水标准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SL252-2017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规定，相应导流建筑物级别为5级，根据道县历年实际降雨过程，导流时段选择10月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次年3月、11月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次年2月和12月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次年3月进行比选，三个时段洪峰流量相差不大，考虑施工工期，本次选取导流时段为10月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次年2月，洪峰流量为24.71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/s。主要建筑物设计洪水标准为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土石围堰为10~5年一遇，混凝土围堰为5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3年一遇；拦洪库容在1.0×10</w:t>
      </w:r>
      <w:r>
        <w:rPr>
          <w:rFonts w:hint="default" w:ascii="Times New Roman" w:hAnsi="Times New Roman" w:cs="Times New Roman"/>
          <w:color w:val="auto"/>
          <w:u w:val="none" w:color="auto"/>
          <w:vertAlign w:val="superscript"/>
        </w:rPr>
        <w:t>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~0.1×10</w:t>
      </w:r>
      <w:r>
        <w:rPr>
          <w:rFonts w:hint="default" w:ascii="Times New Roman" w:hAnsi="Times New Roman" w:cs="Times New Roman"/>
          <w:color w:val="auto"/>
          <w:u w:val="none" w:color="auto"/>
          <w:vertAlign w:val="superscript"/>
        </w:rPr>
        <w:t>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，本工程规模较小，导流设计洪水标准选择5年一遇洪水重现期。</w:t>
      </w:r>
    </w:p>
    <w:p w14:paraId="0B6A2DA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导流方式及导流时段</w:t>
      </w:r>
    </w:p>
    <w:p w14:paraId="6D2C6A6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本次除险加固施工内容，在枯水期10月~次年3月内完成新建取水塔施、输水隧洞加固，大坝防渗、溢洪道加固、边坡加固等施工。大坝防渗及上游坝坡，边坡支护，溢洪道临水坡施工部位最低高程分别为274.90m，294.80m，283.00m，利用隧洞放水至257.33m高程，其中大坝防渗及上游坝坡，溢洪道在第1年10月~第2年3月枯水期内施工，边坡支护结合围堰填筑在第1年8月~10月内施工，均无需填筑围堰。取水塔施工部位最低高程为253.80m，施工时需修建围堰进行施工期导流挡水，利用隧洞进行导流泄水，第1年10月~第2年2月完成施工。在第2年3月完成隧洞加固，隧洞加固时采用取水塔导流挡水。汛期4月~9月正常度汛。</w:t>
      </w:r>
    </w:p>
    <w:p w14:paraId="149B5A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各建筑物导流特性详见表3.</w:t>
      </w:r>
      <w:r>
        <w:rPr>
          <w:rFonts w:hint="eastAsia" w:cs="Times New Roman"/>
          <w:color w:val="auto"/>
          <w:u w:val="none" w:color="auto"/>
          <w:lang w:val="en-US" w:eastAsia="zh-CN"/>
        </w:rPr>
        <w:t>9</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w:t>
      </w:r>
    </w:p>
    <w:p w14:paraId="1DE48B8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仿宋" w:cs="Times New Roman"/>
          <w:b/>
          <w:bCs w:val="0"/>
          <w:color w:val="auto"/>
          <w:spacing w:val="-2"/>
          <w:sz w:val="21"/>
          <w:szCs w:val="21"/>
          <w:u w:val="none" w:color="auto"/>
        </w:rPr>
      </w:pPr>
      <w:r>
        <w:rPr>
          <w:rFonts w:hint="default" w:ascii="Times New Roman" w:hAnsi="Times New Roman" w:cs="Times New Roman"/>
          <w:b/>
          <w:bCs w:val="0"/>
          <w:color w:val="auto"/>
          <w:sz w:val="21"/>
          <w:szCs w:val="21"/>
          <w:u w:val="none" w:color="auto"/>
          <w:lang w:val="en-US" w:eastAsia="zh-CN"/>
        </w:rPr>
        <w:t>表</w:t>
      </w:r>
      <w:r>
        <w:rPr>
          <w:rFonts w:hint="default" w:ascii="Times New Roman" w:hAnsi="Times New Roman" w:cs="Times New Roman"/>
          <w:b/>
          <w:bCs w:val="0"/>
          <w:color w:val="auto"/>
          <w:sz w:val="21"/>
          <w:szCs w:val="21"/>
          <w:u w:val="none" w:color="auto"/>
        </w:rPr>
        <w:t>3.</w:t>
      </w:r>
      <w:r>
        <w:rPr>
          <w:rFonts w:hint="eastAsia" w:cs="Times New Roman"/>
          <w:b/>
          <w:bCs w:val="0"/>
          <w:color w:val="auto"/>
          <w:sz w:val="21"/>
          <w:szCs w:val="21"/>
          <w:u w:val="none" w:color="auto"/>
          <w:lang w:val="en-US" w:eastAsia="zh-CN"/>
        </w:rPr>
        <w:t>9</w:t>
      </w:r>
      <w:r>
        <w:rPr>
          <w:rFonts w:hint="default" w:ascii="Times New Roman" w:hAnsi="Times New Roman" w:cs="Times New Roman"/>
          <w:b/>
          <w:bCs w:val="0"/>
          <w:color w:val="auto"/>
          <w:sz w:val="21"/>
          <w:szCs w:val="21"/>
          <w:u w:val="none" w:color="auto"/>
        </w:rPr>
        <w:t>-</w:t>
      </w:r>
      <w:r>
        <w:rPr>
          <w:rFonts w:hint="default" w:ascii="Times New Roman" w:hAnsi="Times New Roman" w:cs="Times New Roman"/>
          <w:b/>
          <w:bCs w:val="0"/>
          <w:color w:val="auto"/>
          <w:sz w:val="21"/>
          <w:szCs w:val="21"/>
          <w:u w:val="none" w:color="auto"/>
          <w:lang w:val="en-US" w:eastAsia="zh-CN"/>
        </w:rPr>
        <w:t xml:space="preserve">4  </w:t>
      </w:r>
      <w:r>
        <w:rPr>
          <w:rFonts w:hint="default" w:ascii="Times New Roman" w:hAnsi="Times New Roman" w:cs="Times New Roman"/>
          <w:b/>
          <w:bCs w:val="0"/>
          <w:color w:val="auto"/>
          <w:sz w:val="21"/>
          <w:szCs w:val="21"/>
          <w:u w:val="none" w:color="auto"/>
        </w:rPr>
        <w:t>导流特性表</w:t>
      </w:r>
    </w:p>
    <w:tbl>
      <w:tblPr>
        <w:tblStyle w:val="37"/>
        <w:tblW w:w="515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11"/>
        <w:gridCol w:w="1646"/>
        <w:gridCol w:w="984"/>
        <w:gridCol w:w="824"/>
        <w:gridCol w:w="885"/>
        <w:gridCol w:w="1331"/>
        <w:gridCol w:w="759"/>
        <w:gridCol w:w="1140"/>
      </w:tblGrid>
      <w:tr w14:paraId="59B76F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0B0A8D6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w:t>
            </w:r>
          </w:p>
          <w:p w14:paraId="2D4358B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项目</w:t>
            </w:r>
          </w:p>
        </w:tc>
        <w:tc>
          <w:tcPr>
            <w:tcW w:w="1644" w:type="dxa"/>
            <w:tcBorders>
              <w:tl2br w:val="nil"/>
              <w:tr2bl w:val="nil"/>
            </w:tcBorders>
            <w:vAlign w:val="center"/>
          </w:tcPr>
          <w:p w14:paraId="1B4788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时段</w:t>
            </w:r>
          </w:p>
        </w:tc>
        <w:tc>
          <w:tcPr>
            <w:tcW w:w="983" w:type="dxa"/>
            <w:tcBorders>
              <w:tl2br w:val="nil"/>
              <w:tr2bl w:val="nil"/>
            </w:tcBorders>
            <w:vAlign w:val="center"/>
          </w:tcPr>
          <w:p w14:paraId="1E4394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导流标准</w:t>
            </w:r>
          </w:p>
        </w:tc>
        <w:tc>
          <w:tcPr>
            <w:tcW w:w="823" w:type="dxa"/>
            <w:tcBorders>
              <w:tl2br w:val="nil"/>
              <w:tr2bl w:val="nil"/>
            </w:tcBorders>
            <w:vAlign w:val="center"/>
          </w:tcPr>
          <w:p w14:paraId="2900C3B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来流量</w:t>
            </w:r>
            <w:r>
              <w:rPr>
                <w:rFonts w:hint="default" w:ascii="Times New Roman" w:hAnsi="Times New Roman" w:cs="Times New Roman" w:eastAsiaTheme="minorEastAsia"/>
                <w:color w:val="auto"/>
                <w:sz w:val="21"/>
                <w:szCs w:val="21"/>
                <w:u w:val="none" w:color="auto"/>
                <w:lang w:eastAsia="zh-CN"/>
              </w:rPr>
              <w:t>(m³</w:t>
            </w:r>
            <w:r>
              <w:rPr>
                <w:rFonts w:hint="default" w:ascii="Times New Roman" w:hAnsi="Times New Roman" w:cs="Times New Roman" w:eastAsiaTheme="minorEastAsia"/>
                <w:color w:val="auto"/>
                <w:sz w:val="21"/>
                <w:szCs w:val="21"/>
                <w:u w:val="none" w:color="auto"/>
              </w:rPr>
              <w:t>/s</w:t>
            </w:r>
            <w:r>
              <w:rPr>
                <w:rFonts w:hint="default" w:ascii="Times New Roman" w:hAnsi="Times New Roman" w:cs="Times New Roman" w:eastAsiaTheme="minorEastAsia"/>
                <w:color w:val="auto"/>
                <w:sz w:val="21"/>
                <w:szCs w:val="21"/>
                <w:u w:val="none" w:color="auto"/>
                <w:lang w:eastAsia="zh-CN"/>
              </w:rPr>
              <w:t>)</w:t>
            </w:r>
          </w:p>
        </w:tc>
        <w:tc>
          <w:tcPr>
            <w:tcW w:w="884" w:type="dxa"/>
            <w:tcBorders>
              <w:tl2br w:val="nil"/>
              <w:tr2bl w:val="nil"/>
            </w:tcBorders>
            <w:vAlign w:val="center"/>
          </w:tcPr>
          <w:p w14:paraId="0396B14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泄流量</w:t>
            </w:r>
            <w:r>
              <w:rPr>
                <w:rFonts w:hint="default" w:ascii="Times New Roman" w:hAnsi="Times New Roman" w:cs="Times New Roman" w:eastAsiaTheme="minorEastAsia"/>
                <w:color w:val="auto"/>
                <w:sz w:val="21"/>
                <w:szCs w:val="21"/>
                <w:u w:val="none" w:color="auto"/>
                <w:lang w:eastAsia="zh-CN"/>
              </w:rPr>
              <w:t>(m³</w:t>
            </w:r>
            <w:r>
              <w:rPr>
                <w:rFonts w:hint="default" w:ascii="Times New Roman" w:hAnsi="Times New Roman" w:cs="Times New Roman" w:eastAsiaTheme="minorEastAsia"/>
                <w:color w:val="auto"/>
                <w:sz w:val="21"/>
                <w:szCs w:val="21"/>
                <w:u w:val="none" w:color="auto"/>
              </w:rPr>
              <w:t>/s</w:t>
            </w:r>
          </w:p>
        </w:tc>
        <w:tc>
          <w:tcPr>
            <w:tcW w:w="1329" w:type="dxa"/>
            <w:tcBorders>
              <w:tl2br w:val="nil"/>
              <w:tr2bl w:val="nil"/>
            </w:tcBorders>
            <w:vAlign w:val="center"/>
          </w:tcPr>
          <w:p w14:paraId="0B8103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导流挡水建筑物及其高程</w:t>
            </w:r>
          </w:p>
        </w:tc>
        <w:tc>
          <w:tcPr>
            <w:tcW w:w="758" w:type="dxa"/>
            <w:tcBorders>
              <w:tl2br w:val="nil"/>
              <w:tr2bl w:val="nil"/>
            </w:tcBorders>
            <w:vAlign w:val="center"/>
          </w:tcPr>
          <w:p w14:paraId="5518930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val="en-US" w:eastAsia="zh-CN"/>
              </w:rPr>
            </w:pPr>
            <w:r>
              <w:rPr>
                <w:rFonts w:hint="default" w:ascii="Times New Roman" w:hAnsi="Times New Roman" w:cs="Times New Roman" w:eastAsiaTheme="minorEastAsia"/>
                <w:color w:val="auto"/>
                <w:sz w:val="21"/>
                <w:szCs w:val="21"/>
                <w:u w:val="none" w:color="auto"/>
              </w:rPr>
              <w:t>挡水位</w:t>
            </w:r>
            <w:r>
              <w:rPr>
                <w:rFonts w:hint="default" w:ascii="Times New Roman" w:hAnsi="Times New Roman" w:cs="Times New Roman" w:eastAsiaTheme="minorEastAsia"/>
                <w:color w:val="auto"/>
                <w:sz w:val="21"/>
                <w:szCs w:val="21"/>
                <w:u w:val="none" w:color="auto"/>
                <w:lang w:val="en-US"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val="en-US" w:eastAsia="zh-CN"/>
              </w:rPr>
              <w:t>)</w:t>
            </w:r>
          </w:p>
        </w:tc>
        <w:tc>
          <w:tcPr>
            <w:tcW w:w="1139" w:type="dxa"/>
            <w:tcBorders>
              <w:tl2br w:val="nil"/>
              <w:tr2bl w:val="nil"/>
            </w:tcBorders>
            <w:vAlign w:val="center"/>
          </w:tcPr>
          <w:p w14:paraId="4CB5524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导流泄水建筑物</w:t>
            </w:r>
          </w:p>
        </w:tc>
      </w:tr>
      <w:tr w14:paraId="5E73E6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5CE07B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大坝加固</w:t>
            </w:r>
          </w:p>
        </w:tc>
        <w:tc>
          <w:tcPr>
            <w:tcW w:w="1644" w:type="dxa"/>
            <w:tcBorders>
              <w:tl2br w:val="nil"/>
              <w:tr2bl w:val="nil"/>
            </w:tcBorders>
            <w:vAlign w:val="center"/>
          </w:tcPr>
          <w:p w14:paraId="44AB56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3月</w:t>
            </w:r>
          </w:p>
        </w:tc>
        <w:tc>
          <w:tcPr>
            <w:tcW w:w="983" w:type="dxa"/>
            <w:tcBorders>
              <w:tl2br w:val="nil"/>
              <w:tr2bl w:val="nil"/>
            </w:tcBorders>
            <w:vAlign w:val="center"/>
          </w:tcPr>
          <w:p w14:paraId="43C2380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6BD0994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27.41</w:t>
            </w:r>
          </w:p>
        </w:tc>
        <w:tc>
          <w:tcPr>
            <w:tcW w:w="884" w:type="dxa"/>
            <w:tcBorders>
              <w:tl2br w:val="nil"/>
              <w:tr2bl w:val="nil"/>
            </w:tcBorders>
            <w:vAlign w:val="center"/>
          </w:tcPr>
          <w:p w14:paraId="78A14BC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5.97</w:t>
            </w:r>
          </w:p>
        </w:tc>
        <w:tc>
          <w:tcPr>
            <w:tcW w:w="1329" w:type="dxa"/>
            <w:tcBorders>
              <w:tl2br w:val="nil"/>
              <w:tr2bl w:val="nil"/>
            </w:tcBorders>
            <w:vAlign w:val="center"/>
          </w:tcPr>
          <w:p w14:paraId="69FAD4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758" w:type="dxa"/>
            <w:tcBorders>
              <w:tl2br w:val="nil"/>
              <w:tr2bl w:val="nil"/>
            </w:tcBorders>
            <w:vAlign w:val="center"/>
          </w:tcPr>
          <w:p w14:paraId="432F1A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139" w:type="dxa"/>
            <w:tcBorders>
              <w:tl2br w:val="nil"/>
              <w:tr2bl w:val="nil"/>
            </w:tcBorders>
            <w:vAlign w:val="center"/>
          </w:tcPr>
          <w:p w14:paraId="3AB34D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21A8F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734B451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溢洪道加固</w:t>
            </w:r>
          </w:p>
        </w:tc>
        <w:tc>
          <w:tcPr>
            <w:tcW w:w="1644" w:type="dxa"/>
            <w:tcBorders>
              <w:tl2br w:val="nil"/>
              <w:tr2bl w:val="nil"/>
            </w:tcBorders>
            <w:vAlign w:val="center"/>
          </w:tcPr>
          <w:p w14:paraId="14178E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3月</w:t>
            </w:r>
          </w:p>
        </w:tc>
        <w:tc>
          <w:tcPr>
            <w:tcW w:w="983" w:type="dxa"/>
            <w:tcBorders>
              <w:tl2br w:val="nil"/>
              <w:tr2bl w:val="nil"/>
            </w:tcBorders>
            <w:vAlign w:val="center"/>
          </w:tcPr>
          <w:p w14:paraId="4F3A185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1FE8B3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27.41</w:t>
            </w:r>
          </w:p>
        </w:tc>
        <w:tc>
          <w:tcPr>
            <w:tcW w:w="884" w:type="dxa"/>
            <w:tcBorders>
              <w:tl2br w:val="nil"/>
              <w:tr2bl w:val="nil"/>
            </w:tcBorders>
            <w:vAlign w:val="center"/>
          </w:tcPr>
          <w:p w14:paraId="50ED9AF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5.97</w:t>
            </w:r>
          </w:p>
        </w:tc>
        <w:tc>
          <w:tcPr>
            <w:tcW w:w="1329" w:type="dxa"/>
            <w:tcBorders>
              <w:tl2br w:val="nil"/>
              <w:tr2bl w:val="nil"/>
            </w:tcBorders>
            <w:vAlign w:val="center"/>
          </w:tcPr>
          <w:p w14:paraId="58344F3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758" w:type="dxa"/>
            <w:tcBorders>
              <w:tl2br w:val="nil"/>
              <w:tr2bl w:val="nil"/>
            </w:tcBorders>
            <w:vAlign w:val="center"/>
          </w:tcPr>
          <w:p w14:paraId="4F5B69A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139" w:type="dxa"/>
            <w:tcBorders>
              <w:tl2br w:val="nil"/>
              <w:tr2bl w:val="nil"/>
            </w:tcBorders>
            <w:vAlign w:val="center"/>
          </w:tcPr>
          <w:p w14:paraId="2CB731E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5869C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62026C9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新建取水塔</w:t>
            </w:r>
          </w:p>
        </w:tc>
        <w:tc>
          <w:tcPr>
            <w:tcW w:w="1644" w:type="dxa"/>
            <w:tcBorders>
              <w:tl2br w:val="nil"/>
              <w:tr2bl w:val="nil"/>
            </w:tcBorders>
            <w:vAlign w:val="center"/>
          </w:tcPr>
          <w:p w14:paraId="3AA0C16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pacing w:val="-16"/>
                <w:sz w:val="21"/>
                <w:szCs w:val="21"/>
                <w:u w:val="none" w:color="auto"/>
              </w:rPr>
              <w:t>第一年</w:t>
            </w:r>
            <w:r>
              <w:rPr>
                <w:rFonts w:hint="default" w:ascii="Times New Roman" w:hAnsi="Times New Roman" w:cs="Times New Roman" w:eastAsiaTheme="minorEastAsia"/>
                <w:color w:val="auto"/>
                <w:sz w:val="21"/>
                <w:szCs w:val="21"/>
                <w:u w:val="none" w:color="auto"/>
              </w:rPr>
              <w:t>10月~</w:t>
            </w:r>
            <w:r>
              <w:rPr>
                <w:rFonts w:hint="default" w:ascii="Times New Roman" w:hAnsi="Times New Roman" w:cs="Times New Roman" w:eastAsiaTheme="minorEastAsia"/>
                <w:color w:val="auto"/>
                <w:spacing w:val="-15"/>
                <w:sz w:val="21"/>
                <w:szCs w:val="21"/>
                <w:u w:val="none" w:color="auto"/>
              </w:rPr>
              <w:t>第二年</w:t>
            </w:r>
            <w:r>
              <w:rPr>
                <w:rFonts w:hint="default" w:ascii="Times New Roman" w:hAnsi="Times New Roman" w:cs="Times New Roman" w:eastAsiaTheme="minorEastAsia"/>
                <w:color w:val="auto"/>
                <w:sz w:val="21"/>
                <w:szCs w:val="21"/>
                <w:u w:val="none" w:color="auto"/>
              </w:rPr>
              <w:t>2月</w:t>
            </w:r>
          </w:p>
        </w:tc>
        <w:tc>
          <w:tcPr>
            <w:tcW w:w="983" w:type="dxa"/>
            <w:tcBorders>
              <w:tl2br w:val="nil"/>
              <w:tr2bl w:val="nil"/>
            </w:tcBorders>
            <w:vAlign w:val="center"/>
          </w:tcPr>
          <w:p w14:paraId="4C7919F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4986792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24.71</w:t>
            </w:r>
          </w:p>
        </w:tc>
        <w:tc>
          <w:tcPr>
            <w:tcW w:w="884" w:type="dxa"/>
            <w:tcBorders>
              <w:tl2br w:val="nil"/>
              <w:tr2bl w:val="nil"/>
            </w:tcBorders>
            <w:vAlign w:val="center"/>
          </w:tcPr>
          <w:p w14:paraId="19E2AE1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5.70</w:t>
            </w:r>
          </w:p>
        </w:tc>
        <w:tc>
          <w:tcPr>
            <w:tcW w:w="1329" w:type="dxa"/>
            <w:tcBorders>
              <w:tl2br w:val="nil"/>
              <w:tr2bl w:val="nil"/>
            </w:tcBorders>
            <w:vAlign w:val="center"/>
          </w:tcPr>
          <w:p w14:paraId="3F11568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土石围堰，高程262.00m</w:t>
            </w:r>
          </w:p>
        </w:tc>
        <w:tc>
          <w:tcPr>
            <w:tcW w:w="758" w:type="dxa"/>
            <w:tcBorders>
              <w:tl2br w:val="nil"/>
              <w:tr2bl w:val="nil"/>
            </w:tcBorders>
            <w:vAlign w:val="center"/>
          </w:tcPr>
          <w:p w14:paraId="378D13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261.03</w:t>
            </w:r>
          </w:p>
        </w:tc>
        <w:tc>
          <w:tcPr>
            <w:tcW w:w="1139" w:type="dxa"/>
            <w:tcBorders>
              <w:tl2br w:val="nil"/>
              <w:tr2bl w:val="nil"/>
            </w:tcBorders>
            <w:vAlign w:val="center"/>
          </w:tcPr>
          <w:p w14:paraId="30357B5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隧洞</w:t>
            </w:r>
          </w:p>
        </w:tc>
      </w:tr>
      <w:tr w14:paraId="4F773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10" w:type="dxa"/>
            <w:tcBorders>
              <w:tl2br w:val="nil"/>
              <w:tr2bl w:val="nil"/>
            </w:tcBorders>
            <w:vAlign w:val="center"/>
          </w:tcPr>
          <w:p w14:paraId="241DC66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涵洞加固</w:t>
            </w:r>
          </w:p>
        </w:tc>
        <w:tc>
          <w:tcPr>
            <w:tcW w:w="1644" w:type="dxa"/>
            <w:tcBorders>
              <w:tl2br w:val="nil"/>
              <w:tr2bl w:val="nil"/>
            </w:tcBorders>
            <w:vAlign w:val="center"/>
          </w:tcPr>
          <w:p w14:paraId="507A4A5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第二年</w:t>
            </w:r>
            <w:r>
              <w:rPr>
                <w:rFonts w:hint="default" w:ascii="Times New Roman" w:hAnsi="Times New Roman" w:cs="Times New Roman" w:eastAsiaTheme="minorEastAsia"/>
                <w:color w:val="auto"/>
                <w:sz w:val="21"/>
                <w:szCs w:val="21"/>
                <w:u w:val="none" w:color="auto"/>
                <w:lang w:val="en-US" w:eastAsia="zh-CN"/>
              </w:rPr>
              <w:t>3</w:t>
            </w:r>
            <w:r>
              <w:rPr>
                <w:rFonts w:hint="default" w:ascii="Times New Roman" w:hAnsi="Times New Roman" w:cs="Times New Roman" w:eastAsiaTheme="minorEastAsia"/>
                <w:color w:val="auto"/>
                <w:sz w:val="21"/>
                <w:szCs w:val="21"/>
                <w:u w:val="none" w:color="auto"/>
              </w:rPr>
              <w:t>月</w:t>
            </w:r>
          </w:p>
        </w:tc>
        <w:tc>
          <w:tcPr>
            <w:tcW w:w="983" w:type="dxa"/>
            <w:tcBorders>
              <w:tl2br w:val="nil"/>
              <w:tr2bl w:val="nil"/>
            </w:tcBorders>
            <w:vAlign w:val="center"/>
          </w:tcPr>
          <w:p w14:paraId="2A5664B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5</w:t>
            </w:r>
            <w:r>
              <w:rPr>
                <w:rFonts w:hint="default" w:ascii="Times New Roman" w:hAnsi="Times New Roman" w:cs="Times New Roman" w:eastAsiaTheme="minorEastAsia"/>
                <w:color w:val="auto"/>
                <w:sz w:val="21"/>
                <w:szCs w:val="21"/>
                <w:u w:val="none" w:color="auto"/>
              </w:rPr>
              <w:t>年一遇</w:t>
            </w:r>
          </w:p>
        </w:tc>
        <w:tc>
          <w:tcPr>
            <w:tcW w:w="823" w:type="dxa"/>
            <w:tcBorders>
              <w:tl2br w:val="nil"/>
              <w:tr2bl w:val="nil"/>
            </w:tcBorders>
            <w:vAlign w:val="center"/>
          </w:tcPr>
          <w:p w14:paraId="351E85A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7.21</w:t>
            </w:r>
          </w:p>
        </w:tc>
        <w:tc>
          <w:tcPr>
            <w:tcW w:w="884" w:type="dxa"/>
            <w:tcBorders>
              <w:tl2br w:val="nil"/>
              <w:tr2bl w:val="nil"/>
            </w:tcBorders>
            <w:vAlign w:val="center"/>
          </w:tcPr>
          <w:p w14:paraId="7349F4E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329" w:type="dxa"/>
            <w:tcBorders>
              <w:tl2br w:val="nil"/>
              <w:tr2bl w:val="nil"/>
            </w:tcBorders>
            <w:vAlign w:val="center"/>
          </w:tcPr>
          <w:p w14:paraId="223BC1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取水塔，高程294.17m</w:t>
            </w:r>
          </w:p>
        </w:tc>
        <w:tc>
          <w:tcPr>
            <w:tcW w:w="758" w:type="dxa"/>
            <w:tcBorders>
              <w:tl2br w:val="nil"/>
              <w:tr2bl w:val="nil"/>
            </w:tcBorders>
            <w:vAlign w:val="center"/>
          </w:tcPr>
          <w:p w14:paraId="72BF12E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268.44</w:t>
            </w:r>
          </w:p>
        </w:tc>
        <w:tc>
          <w:tcPr>
            <w:tcW w:w="1139" w:type="dxa"/>
            <w:tcBorders>
              <w:tl2br w:val="nil"/>
              <w:tr2bl w:val="nil"/>
            </w:tcBorders>
            <w:vAlign w:val="center"/>
          </w:tcPr>
          <w:p w14:paraId="50D462F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28827F82">
      <w:pPr>
        <w:pStyle w:val="5"/>
        <w:bidi w:val="0"/>
        <w:rPr>
          <w:rFonts w:hint="default" w:ascii="Times New Roman" w:hAnsi="Times New Roman" w:eastAsia="宋体" w:cs="Times New Roman"/>
          <w:b/>
          <w:color w:val="auto"/>
          <w:kern w:val="2"/>
          <w:sz w:val="24"/>
          <w:szCs w:val="24"/>
          <w:u w:val="none" w:color="auto"/>
          <w:lang w:val="en-US" w:eastAsia="zh-CN" w:bidi="ar-SA"/>
        </w:rPr>
      </w:pPr>
      <w:r>
        <w:rPr>
          <w:rFonts w:hint="default" w:ascii="Times New Roman" w:hAnsi="Times New Roman" w:eastAsia="宋体" w:cs="Times New Roman"/>
          <w:b/>
          <w:color w:val="auto"/>
          <w:kern w:val="2"/>
          <w:sz w:val="24"/>
          <w:szCs w:val="24"/>
          <w:u w:val="none" w:color="auto"/>
          <w:lang w:val="en-US" w:eastAsia="zh-CN" w:bidi="ar-SA"/>
        </w:rPr>
        <w:t>导流程序</w:t>
      </w:r>
    </w:p>
    <w:p w14:paraId="40B59E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工程及施工特点，主体工程在一个枯水期内施工。第1年8月~9月，利用隧洞将库水位降至257.33m高程，进行边坡支护以及围堰填筑；第1年10月~第2年2月，利用隧洞进行导流泄水，围堰导流挡水高程为264.50m，进行取水塔、大坝、溢洪道施工；第2年3月，利用取水塔进行导流挡水，度汛洪水标准为枯期5年一遇。第2年4月~7月，进行安全监测以及其它建筑物等施工，按水库原调度运行规程要求正常度汛。</w:t>
      </w:r>
    </w:p>
    <w:p w14:paraId="01DB381E">
      <w:pPr>
        <w:bidi w:val="0"/>
        <w:spacing w:line="240" w:lineRule="auto"/>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 xml:space="preserve">5  </w:t>
      </w:r>
      <w:r>
        <w:rPr>
          <w:rFonts w:hint="default" w:ascii="Times New Roman" w:hAnsi="Times New Roman" w:cs="Times New Roman"/>
          <w:b/>
          <w:bCs/>
          <w:color w:val="auto"/>
          <w:sz w:val="21"/>
          <w:szCs w:val="21"/>
          <w:u w:val="none" w:color="auto"/>
        </w:rPr>
        <w:t>施工导流工程量表</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129"/>
        <w:gridCol w:w="2283"/>
        <w:gridCol w:w="1707"/>
        <w:gridCol w:w="1707"/>
        <w:gridCol w:w="1707"/>
      </w:tblGrid>
      <w:tr w14:paraId="10F21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5988D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序号</w:t>
            </w:r>
          </w:p>
        </w:tc>
        <w:tc>
          <w:tcPr>
            <w:tcW w:w="2283" w:type="dxa"/>
            <w:tcBorders>
              <w:tl2br w:val="nil"/>
              <w:tr2bl w:val="nil"/>
            </w:tcBorders>
            <w:shd w:val="clear" w:color="auto" w:fill="auto"/>
            <w:vAlign w:val="center"/>
          </w:tcPr>
          <w:p w14:paraId="1BBFAB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项目</w:t>
            </w:r>
          </w:p>
        </w:tc>
        <w:tc>
          <w:tcPr>
            <w:tcW w:w="1707" w:type="dxa"/>
            <w:tcBorders>
              <w:tl2br w:val="nil"/>
              <w:tr2bl w:val="nil"/>
            </w:tcBorders>
            <w:shd w:val="clear" w:color="auto" w:fill="auto"/>
            <w:vAlign w:val="center"/>
          </w:tcPr>
          <w:p w14:paraId="47F2DB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单位</w:t>
            </w:r>
          </w:p>
        </w:tc>
        <w:tc>
          <w:tcPr>
            <w:tcW w:w="1707" w:type="dxa"/>
            <w:tcBorders>
              <w:tl2br w:val="nil"/>
              <w:tr2bl w:val="nil"/>
            </w:tcBorders>
            <w:shd w:val="clear" w:color="auto" w:fill="auto"/>
            <w:vAlign w:val="center"/>
          </w:tcPr>
          <w:p w14:paraId="34AD1A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工程量</w:t>
            </w:r>
          </w:p>
        </w:tc>
        <w:tc>
          <w:tcPr>
            <w:tcW w:w="1707" w:type="dxa"/>
            <w:tcBorders>
              <w:tl2br w:val="nil"/>
              <w:tr2bl w:val="nil"/>
            </w:tcBorders>
            <w:shd w:val="clear" w:color="auto" w:fill="auto"/>
            <w:vAlign w:val="center"/>
          </w:tcPr>
          <w:p w14:paraId="0ACAB2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备注</w:t>
            </w:r>
          </w:p>
        </w:tc>
      </w:tr>
      <w:tr w14:paraId="7F59E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5421DC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一</w:t>
            </w:r>
          </w:p>
        </w:tc>
        <w:tc>
          <w:tcPr>
            <w:tcW w:w="2283" w:type="dxa"/>
            <w:tcBorders>
              <w:tl2br w:val="nil"/>
              <w:tr2bl w:val="nil"/>
            </w:tcBorders>
            <w:shd w:val="clear" w:color="auto" w:fill="auto"/>
            <w:vAlign w:val="center"/>
          </w:tcPr>
          <w:p w14:paraId="34C81F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取水塔进口围堰</w:t>
            </w:r>
          </w:p>
        </w:tc>
        <w:tc>
          <w:tcPr>
            <w:tcW w:w="1707" w:type="dxa"/>
            <w:tcBorders>
              <w:tl2br w:val="nil"/>
              <w:tr2bl w:val="nil"/>
            </w:tcBorders>
            <w:shd w:val="clear" w:color="auto" w:fill="auto"/>
            <w:vAlign w:val="center"/>
          </w:tcPr>
          <w:p w14:paraId="6CE8820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1707" w:type="dxa"/>
            <w:tcBorders>
              <w:tl2br w:val="nil"/>
              <w:tr2bl w:val="nil"/>
            </w:tcBorders>
            <w:shd w:val="clear" w:color="auto" w:fill="auto"/>
            <w:vAlign w:val="center"/>
          </w:tcPr>
          <w:p w14:paraId="34EBC0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c>
          <w:tcPr>
            <w:tcW w:w="1707" w:type="dxa"/>
            <w:tcBorders>
              <w:tl2br w:val="nil"/>
              <w:tr2bl w:val="nil"/>
            </w:tcBorders>
            <w:shd w:val="clear" w:color="auto" w:fill="auto"/>
            <w:vAlign w:val="center"/>
          </w:tcPr>
          <w:p w14:paraId="48E496A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5B7E4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3249A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2283" w:type="dxa"/>
            <w:tcBorders>
              <w:tl2br w:val="nil"/>
              <w:tr2bl w:val="nil"/>
            </w:tcBorders>
            <w:shd w:val="clear" w:color="auto" w:fill="auto"/>
            <w:vAlign w:val="center"/>
          </w:tcPr>
          <w:p w14:paraId="264AAC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土石围堰填筑</w:t>
            </w:r>
          </w:p>
        </w:tc>
        <w:tc>
          <w:tcPr>
            <w:tcW w:w="1707" w:type="dxa"/>
            <w:tcBorders>
              <w:tl2br w:val="nil"/>
              <w:tr2bl w:val="nil"/>
            </w:tcBorders>
            <w:shd w:val="clear" w:color="auto" w:fill="auto"/>
            <w:vAlign w:val="center"/>
          </w:tcPr>
          <w:p w14:paraId="780E73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m³</w:t>
            </w:r>
          </w:p>
        </w:tc>
        <w:tc>
          <w:tcPr>
            <w:tcW w:w="1707" w:type="dxa"/>
            <w:tcBorders>
              <w:tl2br w:val="nil"/>
              <w:tr2bl w:val="nil"/>
            </w:tcBorders>
            <w:shd w:val="clear" w:color="auto" w:fill="auto"/>
            <w:vAlign w:val="center"/>
          </w:tcPr>
          <w:p w14:paraId="70FA13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3365</w:t>
            </w:r>
          </w:p>
        </w:tc>
        <w:tc>
          <w:tcPr>
            <w:tcW w:w="1707" w:type="dxa"/>
            <w:tcBorders>
              <w:tl2br w:val="nil"/>
              <w:tr2bl w:val="nil"/>
            </w:tcBorders>
            <w:shd w:val="clear" w:color="auto" w:fill="auto"/>
            <w:vAlign w:val="center"/>
          </w:tcPr>
          <w:p w14:paraId="1E7A4A2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4B7D1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329946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2283" w:type="dxa"/>
            <w:tcBorders>
              <w:tl2br w:val="nil"/>
              <w:tr2bl w:val="nil"/>
            </w:tcBorders>
            <w:shd w:val="clear" w:color="auto" w:fill="auto"/>
            <w:vAlign w:val="center"/>
          </w:tcPr>
          <w:p w14:paraId="36EA29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土石围堰拆除</w:t>
            </w:r>
          </w:p>
        </w:tc>
        <w:tc>
          <w:tcPr>
            <w:tcW w:w="1707" w:type="dxa"/>
            <w:tcBorders>
              <w:tl2br w:val="nil"/>
              <w:tr2bl w:val="nil"/>
            </w:tcBorders>
            <w:shd w:val="clear" w:color="auto" w:fill="auto"/>
            <w:vAlign w:val="center"/>
          </w:tcPr>
          <w:p w14:paraId="4AB8C2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m³</w:t>
            </w:r>
          </w:p>
        </w:tc>
        <w:tc>
          <w:tcPr>
            <w:tcW w:w="1707" w:type="dxa"/>
            <w:tcBorders>
              <w:tl2br w:val="nil"/>
              <w:tr2bl w:val="nil"/>
            </w:tcBorders>
            <w:shd w:val="clear" w:color="auto" w:fill="auto"/>
            <w:vAlign w:val="center"/>
          </w:tcPr>
          <w:p w14:paraId="7945C1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3365</w:t>
            </w:r>
          </w:p>
        </w:tc>
        <w:tc>
          <w:tcPr>
            <w:tcW w:w="1707" w:type="dxa"/>
            <w:tcBorders>
              <w:tl2br w:val="nil"/>
              <w:tr2bl w:val="nil"/>
            </w:tcBorders>
            <w:shd w:val="clear" w:color="auto" w:fill="auto"/>
            <w:vAlign w:val="center"/>
          </w:tcPr>
          <w:p w14:paraId="39A1DE9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42C908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33B7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2283" w:type="dxa"/>
            <w:tcBorders>
              <w:tl2br w:val="nil"/>
              <w:tr2bl w:val="nil"/>
            </w:tcBorders>
            <w:shd w:val="clear" w:color="auto" w:fill="auto"/>
            <w:vAlign w:val="center"/>
          </w:tcPr>
          <w:p w14:paraId="2AA0D2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高压旋喷钻孔</w:t>
            </w:r>
          </w:p>
        </w:tc>
        <w:tc>
          <w:tcPr>
            <w:tcW w:w="1707" w:type="dxa"/>
            <w:tcBorders>
              <w:tl2br w:val="nil"/>
              <w:tr2bl w:val="nil"/>
            </w:tcBorders>
            <w:shd w:val="clear" w:color="auto" w:fill="auto"/>
            <w:vAlign w:val="center"/>
          </w:tcPr>
          <w:p w14:paraId="7D5B1E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1203D3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529.4</w:t>
            </w:r>
          </w:p>
        </w:tc>
        <w:tc>
          <w:tcPr>
            <w:tcW w:w="1707" w:type="dxa"/>
            <w:tcBorders>
              <w:tl2br w:val="nil"/>
              <w:tr2bl w:val="nil"/>
            </w:tcBorders>
            <w:shd w:val="clear" w:color="auto" w:fill="auto"/>
            <w:vAlign w:val="center"/>
          </w:tcPr>
          <w:p w14:paraId="5B5096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52735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27420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2283" w:type="dxa"/>
            <w:tcBorders>
              <w:tl2br w:val="nil"/>
              <w:tr2bl w:val="nil"/>
            </w:tcBorders>
            <w:shd w:val="clear" w:color="auto" w:fill="auto"/>
            <w:vAlign w:val="center"/>
          </w:tcPr>
          <w:p w14:paraId="3A169D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高压旋喷灌浆</w:t>
            </w:r>
          </w:p>
        </w:tc>
        <w:tc>
          <w:tcPr>
            <w:tcW w:w="1707" w:type="dxa"/>
            <w:tcBorders>
              <w:tl2br w:val="nil"/>
              <w:tr2bl w:val="nil"/>
            </w:tcBorders>
            <w:shd w:val="clear" w:color="auto" w:fill="auto"/>
            <w:vAlign w:val="center"/>
          </w:tcPr>
          <w:p w14:paraId="34456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1BD66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529.4</w:t>
            </w:r>
          </w:p>
        </w:tc>
        <w:tc>
          <w:tcPr>
            <w:tcW w:w="1707" w:type="dxa"/>
            <w:tcBorders>
              <w:tl2br w:val="nil"/>
              <w:tr2bl w:val="nil"/>
            </w:tcBorders>
            <w:shd w:val="clear" w:color="auto" w:fill="auto"/>
            <w:vAlign w:val="center"/>
          </w:tcPr>
          <w:p w14:paraId="647018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FA7F1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D3EA0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2283" w:type="dxa"/>
            <w:tcBorders>
              <w:tl2br w:val="nil"/>
              <w:tr2bl w:val="nil"/>
            </w:tcBorders>
            <w:shd w:val="clear" w:color="auto" w:fill="auto"/>
            <w:vAlign w:val="center"/>
          </w:tcPr>
          <w:p w14:paraId="06BFA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引水钢管</w:t>
            </w:r>
          </w:p>
        </w:tc>
        <w:tc>
          <w:tcPr>
            <w:tcW w:w="1707" w:type="dxa"/>
            <w:tcBorders>
              <w:tl2br w:val="nil"/>
              <w:tr2bl w:val="nil"/>
            </w:tcBorders>
            <w:shd w:val="clear" w:color="auto" w:fill="auto"/>
            <w:vAlign w:val="center"/>
          </w:tcPr>
          <w:p w14:paraId="5E5ABD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m</w:t>
            </w:r>
          </w:p>
        </w:tc>
        <w:tc>
          <w:tcPr>
            <w:tcW w:w="1707" w:type="dxa"/>
            <w:tcBorders>
              <w:tl2br w:val="nil"/>
              <w:tr2bl w:val="nil"/>
            </w:tcBorders>
            <w:shd w:val="clear" w:color="auto" w:fill="auto"/>
            <w:vAlign w:val="center"/>
          </w:tcPr>
          <w:p w14:paraId="633D09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35.2</w:t>
            </w:r>
          </w:p>
        </w:tc>
        <w:tc>
          <w:tcPr>
            <w:tcW w:w="1707" w:type="dxa"/>
            <w:tcBorders>
              <w:tl2br w:val="nil"/>
              <w:tr2bl w:val="nil"/>
            </w:tcBorders>
            <w:shd w:val="clear" w:color="auto" w:fill="auto"/>
            <w:vAlign w:val="center"/>
          </w:tcPr>
          <w:p w14:paraId="51DDD9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DN1200</w:t>
            </w:r>
          </w:p>
        </w:tc>
      </w:tr>
      <w:tr w14:paraId="4B589B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98C63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2283" w:type="dxa"/>
            <w:tcBorders>
              <w:tl2br w:val="nil"/>
              <w:tr2bl w:val="nil"/>
            </w:tcBorders>
            <w:shd w:val="clear" w:color="auto" w:fill="auto"/>
            <w:vAlign w:val="center"/>
          </w:tcPr>
          <w:p w14:paraId="0B7B24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闸阀</w:t>
            </w:r>
          </w:p>
        </w:tc>
        <w:tc>
          <w:tcPr>
            <w:tcW w:w="1707" w:type="dxa"/>
            <w:tcBorders>
              <w:tl2br w:val="nil"/>
              <w:tr2bl w:val="nil"/>
            </w:tcBorders>
            <w:shd w:val="clear" w:color="auto" w:fill="auto"/>
            <w:vAlign w:val="center"/>
          </w:tcPr>
          <w:p w14:paraId="4B1F7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个</w:t>
            </w:r>
          </w:p>
        </w:tc>
        <w:tc>
          <w:tcPr>
            <w:tcW w:w="1707" w:type="dxa"/>
            <w:tcBorders>
              <w:tl2br w:val="nil"/>
              <w:tr2bl w:val="nil"/>
            </w:tcBorders>
            <w:shd w:val="clear" w:color="auto" w:fill="auto"/>
            <w:vAlign w:val="center"/>
          </w:tcPr>
          <w:p w14:paraId="0D8334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7" w:type="dxa"/>
            <w:tcBorders>
              <w:tl2br w:val="nil"/>
              <w:tr2bl w:val="nil"/>
            </w:tcBorders>
            <w:shd w:val="clear" w:color="auto" w:fill="auto"/>
            <w:vAlign w:val="center"/>
          </w:tcPr>
          <w:p w14:paraId="796A93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DN1200</w:t>
            </w:r>
          </w:p>
        </w:tc>
      </w:tr>
      <w:tr w14:paraId="25F01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41EF87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7</w:t>
            </w:r>
          </w:p>
        </w:tc>
        <w:tc>
          <w:tcPr>
            <w:tcW w:w="2283" w:type="dxa"/>
            <w:tcBorders>
              <w:tl2br w:val="nil"/>
              <w:tr2bl w:val="nil"/>
            </w:tcBorders>
            <w:shd w:val="clear" w:color="auto" w:fill="auto"/>
            <w:vAlign w:val="center"/>
          </w:tcPr>
          <w:p w14:paraId="5C375F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抽水泵</w:t>
            </w:r>
          </w:p>
        </w:tc>
        <w:tc>
          <w:tcPr>
            <w:tcW w:w="1707" w:type="dxa"/>
            <w:tcBorders>
              <w:tl2br w:val="nil"/>
              <w:tr2bl w:val="nil"/>
            </w:tcBorders>
            <w:shd w:val="clear" w:color="auto" w:fill="auto"/>
            <w:vAlign w:val="center"/>
          </w:tcPr>
          <w:p w14:paraId="01C17C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707" w:type="dxa"/>
            <w:tcBorders>
              <w:tl2br w:val="nil"/>
              <w:tr2bl w:val="nil"/>
            </w:tcBorders>
            <w:shd w:val="clear" w:color="auto" w:fill="auto"/>
            <w:vAlign w:val="center"/>
          </w:tcPr>
          <w:p w14:paraId="379139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7" w:type="dxa"/>
            <w:tcBorders>
              <w:tl2br w:val="nil"/>
              <w:tr2bl w:val="nil"/>
            </w:tcBorders>
            <w:shd w:val="clear" w:color="auto" w:fill="auto"/>
            <w:vAlign w:val="center"/>
          </w:tcPr>
          <w:p w14:paraId="143E54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r w14:paraId="09FE4A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1129" w:type="dxa"/>
            <w:tcBorders>
              <w:tl2br w:val="nil"/>
              <w:tr2bl w:val="nil"/>
            </w:tcBorders>
            <w:shd w:val="clear" w:color="auto" w:fill="auto"/>
            <w:vAlign w:val="center"/>
          </w:tcPr>
          <w:p w14:paraId="02578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8</w:t>
            </w:r>
          </w:p>
        </w:tc>
        <w:tc>
          <w:tcPr>
            <w:tcW w:w="2283" w:type="dxa"/>
            <w:tcBorders>
              <w:tl2br w:val="nil"/>
              <w:tr2bl w:val="nil"/>
            </w:tcBorders>
            <w:shd w:val="clear" w:color="auto" w:fill="auto"/>
            <w:vAlign w:val="center"/>
          </w:tcPr>
          <w:p w14:paraId="210144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供水泵</w:t>
            </w:r>
          </w:p>
        </w:tc>
        <w:tc>
          <w:tcPr>
            <w:tcW w:w="1707" w:type="dxa"/>
            <w:tcBorders>
              <w:tl2br w:val="nil"/>
              <w:tr2bl w:val="nil"/>
            </w:tcBorders>
            <w:shd w:val="clear" w:color="auto" w:fill="auto"/>
            <w:vAlign w:val="center"/>
          </w:tcPr>
          <w:p w14:paraId="4F83E3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707" w:type="dxa"/>
            <w:tcBorders>
              <w:tl2br w:val="nil"/>
              <w:tr2bl w:val="nil"/>
            </w:tcBorders>
            <w:shd w:val="clear" w:color="auto" w:fill="auto"/>
            <w:vAlign w:val="center"/>
          </w:tcPr>
          <w:p w14:paraId="3DF056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0" w:type="auto"/>
            <w:tcBorders>
              <w:tl2br w:val="nil"/>
              <w:tr2bl w:val="nil"/>
            </w:tcBorders>
            <w:shd w:val="clear" w:color="auto" w:fill="auto"/>
            <w:noWrap/>
            <w:vAlign w:val="center"/>
          </w:tcPr>
          <w:p w14:paraId="72521C7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i w:val="0"/>
                <w:iCs w:val="0"/>
                <w:color w:val="auto"/>
                <w:sz w:val="21"/>
                <w:szCs w:val="21"/>
                <w:u w:val="none" w:color="auto"/>
              </w:rPr>
            </w:pPr>
          </w:p>
        </w:tc>
      </w:tr>
    </w:tbl>
    <w:p w14:paraId="6E3C675D">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导流</w:t>
      </w:r>
      <w:r>
        <w:rPr>
          <w:rFonts w:hint="default" w:ascii="Times New Roman" w:hAnsi="Times New Roman" w:cs="Times New Roman"/>
          <w:color w:val="auto"/>
          <w:u w:val="none" w:color="auto"/>
        </w:rPr>
        <w:t>建筑物</w:t>
      </w:r>
    </w:p>
    <w:p w14:paraId="6F0C5E0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取水塔围堰设计标准为第1年10月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第2年2月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5年一遇洪水标准，洪峰流量为24.71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/s。水库水位可放空至261.00m，为保障供水，水库在每次来水前预留10日需水量，相应库容为3.00万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。隧洞施工时，取水塔进行导流挡水，待隧洞施工完成后，利用取水塔闸阀控制取水，隧洞进行泄流，因隧洞施工工程量较小，周期短，考虑通过抽水泵抽水临时满足供水需求。</w:t>
      </w:r>
    </w:p>
    <w:p w14:paraId="255B072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围堰结构设计</w:t>
      </w:r>
    </w:p>
    <w:p w14:paraId="68DF283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本工程取水塔前围堰为土石围堰，根据地质情况采用高压旋喷以及帷幕灌浆垂直防渗。经调洪计算，最高库水位为261.03m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相应流量为5.70</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/s</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导流挡水围堰顶高程为库水位+安全超高即262.00m。围堰长66.00m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堰高6.0m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顶宽4.00m</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上下游坡比均为1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2.00</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高压旋喷防渗墙单排布孔，孔距0.60m，帷幕灌浆孔距2.40m，底部深入基岩5.00m。围堰内埋设DN1200钢管进行泄流，管道长35.20m，钢管末端设计控制闸阀。围堰填筑料部分利用主体工程开挖料，其余从土料场取料，采用1</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反铲挖掘机装，8t自卸汽车运至填筑仓面拖拉机压实；围堰使用完毕后需拆除，采用1</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反铲挖掘机装渣。</w:t>
      </w:r>
    </w:p>
    <w:p w14:paraId="4C2DD0A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eastAsia="zh-CN"/>
        </w:rPr>
        <w:t>(</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u w:val="none" w:color="auto"/>
        </w:rPr>
        <w:t>抽水泵设计</w:t>
      </w:r>
    </w:p>
    <w:p w14:paraId="576F0C83">
      <w:pPr>
        <w:keepNext w:val="0"/>
        <w:keepLines w:val="0"/>
        <w:pageBreakBefore w:val="0"/>
        <w:widowControl w:val="0"/>
        <w:kinsoku/>
        <w:wordWrap/>
        <w:overflowPunct/>
        <w:topLinePunct w:val="0"/>
        <w:autoSpaceDE/>
        <w:autoSpaceDN/>
        <w:bidi w:val="0"/>
        <w:adjustRightInd/>
        <w:snapToGrid/>
        <w:spacing w:line="360" w:lineRule="auto"/>
        <w:ind w:left="0" w:right="0" w:firstLine="566"/>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根据施工组织计划导流约30天，导流时段选为第2</w:t>
      </w:r>
      <w:r>
        <w:rPr>
          <w:rFonts w:hint="default" w:ascii="Times New Roman" w:hAnsi="Times New Roman" w:eastAsia="宋体" w:cs="Times New Roman"/>
          <w:color w:val="auto"/>
          <w:spacing w:val="-4"/>
          <w:sz w:val="24"/>
          <w:szCs w:val="24"/>
          <w:u w:val="none" w:color="auto"/>
        </w:rPr>
        <w:t>年3月，经计算</w:t>
      </w:r>
      <w:r>
        <w:rPr>
          <w:rFonts w:hint="default" w:ascii="Times New Roman" w:hAnsi="Times New Roman" w:eastAsia="宋体" w:cs="Times New Roman"/>
          <w:color w:val="auto"/>
          <w:spacing w:val="4"/>
          <w:sz w:val="24"/>
          <w:szCs w:val="24"/>
          <w:u w:val="none" w:color="auto"/>
        </w:rPr>
        <w:t>抽水流量为0.15</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4"/>
          <w:sz w:val="24"/>
          <w:szCs w:val="24"/>
          <w:u w:val="none" w:color="auto"/>
        </w:rPr>
        <w:t>/s</w:t>
      </w:r>
      <w:r>
        <w:rPr>
          <w:rFonts w:hint="default" w:ascii="Times New Roman" w:hAnsi="Times New Roman" w:cs="Times New Roman"/>
          <w:color w:val="auto"/>
          <w:spacing w:val="4"/>
          <w:sz w:val="24"/>
          <w:szCs w:val="24"/>
          <w:u w:val="none" w:color="auto"/>
          <w:lang w:eastAsia="zh-CN"/>
        </w:rPr>
        <w:t>，</w:t>
      </w:r>
      <w:r>
        <w:rPr>
          <w:rFonts w:hint="default" w:ascii="Times New Roman" w:hAnsi="Times New Roman" w:eastAsia="宋体" w:cs="Times New Roman"/>
          <w:color w:val="auto"/>
          <w:spacing w:val="4"/>
          <w:sz w:val="24"/>
          <w:szCs w:val="24"/>
          <w:u w:val="none" w:color="auto"/>
        </w:rPr>
        <w:t>本</w:t>
      </w:r>
      <w:r>
        <w:rPr>
          <w:rFonts w:hint="default" w:ascii="Times New Roman" w:hAnsi="Times New Roman" w:eastAsia="宋体" w:cs="Times New Roman"/>
          <w:color w:val="auto"/>
          <w:spacing w:val="-80"/>
          <w:sz w:val="24"/>
          <w:szCs w:val="24"/>
          <w:u w:val="none" w:color="auto"/>
        </w:rPr>
        <w:t xml:space="preserve"> </w:t>
      </w:r>
      <w:r>
        <w:rPr>
          <w:rFonts w:hint="default" w:ascii="Times New Roman" w:hAnsi="Times New Roman" w:eastAsia="宋体" w:cs="Times New Roman"/>
          <w:color w:val="auto"/>
          <w:spacing w:val="4"/>
          <w:sz w:val="24"/>
          <w:szCs w:val="24"/>
          <w:u w:val="none" w:color="auto"/>
        </w:rPr>
        <w:t>次设</w:t>
      </w:r>
      <w:r>
        <w:rPr>
          <w:rFonts w:hint="default" w:ascii="Times New Roman" w:hAnsi="Times New Roman" w:eastAsia="宋体" w:cs="Times New Roman"/>
          <w:color w:val="auto"/>
          <w:spacing w:val="-82"/>
          <w:sz w:val="24"/>
          <w:szCs w:val="24"/>
          <w:u w:val="none" w:color="auto"/>
        </w:rPr>
        <w:t xml:space="preserve"> </w:t>
      </w:r>
      <w:r>
        <w:rPr>
          <w:rFonts w:hint="default" w:ascii="Times New Roman" w:hAnsi="Times New Roman" w:eastAsia="宋体" w:cs="Times New Roman"/>
          <w:color w:val="auto"/>
          <w:spacing w:val="4"/>
          <w:sz w:val="24"/>
          <w:szCs w:val="24"/>
          <w:u w:val="none" w:color="auto"/>
        </w:rPr>
        <w:t>计选用水</w:t>
      </w:r>
      <w:r>
        <w:rPr>
          <w:rFonts w:hint="default" w:ascii="Times New Roman" w:hAnsi="Times New Roman" w:eastAsia="宋体" w:cs="Times New Roman"/>
          <w:color w:val="auto"/>
          <w:spacing w:val="-76"/>
          <w:sz w:val="24"/>
          <w:szCs w:val="24"/>
          <w:u w:val="none" w:color="auto"/>
        </w:rPr>
        <w:t xml:space="preserve"> </w:t>
      </w:r>
      <w:r>
        <w:rPr>
          <w:rFonts w:hint="default" w:ascii="Times New Roman" w:hAnsi="Times New Roman" w:eastAsia="宋体" w:cs="Times New Roman"/>
          <w:color w:val="auto"/>
          <w:spacing w:val="4"/>
          <w:sz w:val="24"/>
          <w:szCs w:val="24"/>
          <w:u w:val="none" w:color="auto"/>
        </w:rPr>
        <w:t>泵</w:t>
      </w:r>
      <w:r>
        <w:rPr>
          <w:rFonts w:hint="default" w:ascii="Times New Roman" w:hAnsi="Times New Roman" w:eastAsia="宋体" w:cs="Times New Roman"/>
          <w:color w:val="auto"/>
          <w:spacing w:val="-77"/>
          <w:sz w:val="24"/>
          <w:szCs w:val="24"/>
          <w:u w:val="none" w:color="auto"/>
        </w:rPr>
        <w:t xml:space="preserve"> </w:t>
      </w:r>
      <w:r>
        <w:rPr>
          <w:rFonts w:hint="default" w:ascii="Times New Roman" w:hAnsi="Times New Roman" w:eastAsia="宋体" w:cs="Times New Roman"/>
          <w:color w:val="auto"/>
          <w:spacing w:val="4"/>
          <w:sz w:val="24"/>
          <w:szCs w:val="24"/>
          <w:u w:val="none" w:color="auto"/>
        </w:rPr>
        <w:t>型</w:t>
      </w:r>
      <w:r>
        <w:rPr>
          <w:rFonts w:hint="default" w:ascii="Times New Roman" w:hAnsi="Times New Roman" w:eastAsia="宋体" w:cs="Times New Roman"/>
          <w:color w:val="auto"/>
          <w:spacing w:val="-76"/>
          <w:sz w:val="24"/>
          <w:szCs w:val="24"/>
          <w:u w:val="none" w:color="auto"/>
        </w:rPr>
        <w:t xml:space="preserve"> </w:t>
      </w:r>
      <w:r>
        <w:rPr>
          <w:rFonts w:hint="default" w:ascii="Times New Roman" w:hAnsi="Times New Roman" w:eastAsia="宋体" w:cs="Times New Roman"/>
          <w:color w:val="auto"/>
          <w:spacing w:val="4"/>
          <w:sz w:val="24"/>
          <w:szCs w:val="24"/>
          <w:u w:val="none" w:color="auto"/>
        </w:rPr>
        <w:t>号</w:t>
      </w:r>
      <w:r>
        <w:rPr>
          <w:rFonts w:hint="default" w:ascii="Times New Roman" w:hAnsi="Times New Roman" w:eastAsia="宋体" w:cs="Times New Roman"/>
          <w:color w:val="auto"/>
          <w:spacing w:val="-80"/>
          <w:sz w:val="24"/>
          <w:szCs w:val="24"/>
          <w:u w:val="none" w:color="auto"/>
        </w:rPr>
        <w:t xml:space="preserve"> </w:t>
      </w:r>
      <w:r>
        <w:rPr>
          <w:rFonts w:hint="default" w:ascii="Times New Roman" w:hAnsi="Times New Roman" w:eastAsia="宋体" w:cs="Times New Roman"/>
          <w:color w:val="auto"/>
          <w:spacing w:val="4"/>
          <w:sz w:val="24"/>
          <w:szCs w:val="24"/>
          <w:u w:val="none" w:color="auto"/>
        </w:rPr>
        <w:t>为</w:t>
      </w:r>
      <w:r>
        <w:rPr>
          <w:rFonts w:hint="default" w:ascii="Times New Roman" w:hAnsi="Times New Roman" w:eastAsia="宋体" w:cs="Times New Roman"/>
          <w:color w:val="auto"/>
          <w:sz w:val="24"/>
          <w:szCs w:val="24"/>
          <w:u w:val="none" w:color="auto"/>
        </w:rPr>
        <w:t>SLB</w:t>
      </w:r>
      <w:r>
        <w:rPr>
          <w:rFonts w:hint="default" w:ascii="Times New Roman" w:hAnsi="Times New Roman" w:eastAsia="宋体" w:cs="Times New Roman"/>
          <w:color w:val="auto"/>
          <w:spacing w:val="3"/>
          <w:sz w:val="24"/>
          <w:szCs w:val="24"/>
          <w:u w:val="none" w:color="auto"/>
        </w:rPr>
        <w:t>300-50B型</w:t>
      </w:r>
      <w:r>
        <w:rPr>
          <w:rFonts w:hint="default" w:ascii="Times New Roman" w:hAnsi="Times New Roman"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Q=169.3</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2"/>
          <w:sz w:val="24"/>
          <w:szCs w:val="24"/>
          <w:u w:val="none" w:color="auto"/>
        </w:rPr>
        <w:t>/h、H=38m、90</w:t>
      </w:r>
      <w:r>
        <w:rPr>
          <w:rFonts w:hint="default" w:ascii="Times New Roman" w:hAnsi="Times New Roman" w:cs="Times New Roman"/>
          <w:color w:val="auto"/>
          <w:spacing w:val="-2"/>
          <w:sz w:val="24"/>
          <w:szCs w:val="24"/>
          <w:u w:val="none" w:color="auto"/>
          <w:lang w:eastAsia="zh-CN"/>
        </w:rPr>
        <w:t>kW)</w:t>
      </w:r>
      <w:r>
        <w:rPr>
          <w:rFonts w:hint="default" w:ascii="Times New Roman" w:hAnsi="Times New Roman" w:eastAsia="宋体" w:cs="Times New Roman"/>
          <w:color w:val="auto"/>
          <w:spacing w:val="-2"/>
          <w:sz w:val="24"/>
          <w:szCs w:val="24"/>
          <w:u w:val="none" w:color="auto"/>
        </w:rPr>
        <w:t>3台，</w:t>
      </w:r>
      <w:r>
        <w:rPr>
          <w:rFonts w:hint="default" w:ascii="Times New Roman" w:hAnsi="Times New Roman" w:cs="Times New Roman"/>
          <w:color w:val="auto"/>
          <w:spacing w:val="-2"/>
          <w:sz w:val="24"/>
          <w:szCs w:val="24"/>
          <w:u w:val="none" w:color="auto"/>
          <w:lang w:eastAsia="zh-CN"/>
        </w:rPr>
        <w:t>2用1备</w:t>
      </w:r>
      <w:r>
        <w:rPr>
          <w:rFonts w:hint="default" w:ascii="Times New Roman" w:hAnsi="Times New Roman" w:eastAsia="宋体" w:cs="Times New Roman"/>
          <w:color w:val="auto"/>
          <w:spacing w:val="-2"/>
          <w:sz w:val="24"/>
          <w:szCs w:val="24"/>
          <w:u w:val="none" w:color="auto"/>
        </w:rPr>
        <w:t>。</w:t>
      </w:r>
    </w:p>
    <w:p w14:paraId="1D530F4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引水钢管设计</w:t>
      </w:r>
    </w:p>
    <w:p w14:paraId="3B931520">
      <w:pPr>
        <w:rPr>
          <w:rFonts w:hint="default" w:ascii="Times New Roman" w:hAnsi="Times New Roman" w:cs="Times New Roman"/>
          <w:color w:val="auto"/>
          <w:u w:val="none" w:color="auto"/>
          <w:lang w:val="en-US" w:eastAsia="zh-CN"/>
        </w:rPr>
      </w:pPr>
      <w:r>
        <w:rPr>
          <w:rFonts w:hint="default" w:ascii="Times New Roman" w:hAnsi="Times New Roman" w:eastAsia="宋体" w:cs="Times New Roman"/>
          <w:color w:val="auto"/>
          <w:spacing w:val="-4"/>
          <w:sz w:val="24"/>
          <w:szCs w:val="24"/>
          <w:u w:val="none" w:color="auto"/>
        </w:rPr>
        <w:t>根据工程设计布置，水库上游取水塔施工需布置围堰，围堰预埋</w:t>
      </w:r>
      <w:r>
        <w:rPr>
          <w:rFonts w:hint="default" w:ascii="Times New Roman" w:hAnsi="Times New Roman" w:eastAsia="宋体" w:cs="Times New Roman"/>
          <w:color w:val="auto"/>
          <w:spacing w:val="-2"/>
          <w:sz w:val="24"/>
          <w:szCs w:val="24"/>
          <w:u w:val="none" w:color="auto"/>
        </w:rPr>
        <w:t>引水钢管进水底部高程为257.33m，对应水库库容为14.00万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2"/>
          <w:sz w:val="24"/>
          <w:szCs w:val="24"/>
          <w:u w:val="none" w:color="auto"/>
        </w:rPr>
        <w:t>，考虑</w:t>
      </w:r>
      <w:r>
        <w:rPr>
          <w:rFonts w:hint="default" w:ascii="Times New Roman" w:hAnsi="Times New Roman" w:eastAsia="宋体" w:cs="Times New Roman"/>
          <w:color w:val="auto"/>
          <w:sz w:val="24"/>
          <w:szCs w:val="24"/>
          <w:u w:val="none" w:color="auto"/>
        </w:rPr>
        <w:t>到下游2.00万余居民用水需求，经过调查及</w:t>
      </w:r>
      <w:r>
        <w:rPr>
          <w:rFonts w:hint="default" w:ascii="Times New Roman" w:hAnsi="Times New Roman" w:eastAsia="宋体" w:cs="Times New Roman"/>
          <w:color w:val="auto"/>
          <w:spacing w:val="-1"/>
          <w:sz w:val="24"/>
          <w:szCs w:val="24"/>
          <w:u w:val="none" w:color="auto"/>
        </w:rPr>
        <w:t>计算需预留3.00万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1"/>
          <w:sz w:val="24"/>
          <w:szCs w:val="24"/>
          <w:u w:val="none" w:color="auto"/>
        </w:rPr>
        <w:t>生活</w:t>
      </w:r>
      <w:r>
        <w:rPr>
          <w:rFonts w:hint="default" w:ascii="Times New Roman" w:hAnsi="Times New Roman" w:eastAsia="宋体" w:cs="Times New Roman"/>
          <w:color w:val="auto"/>
          <w:spacing w:val="11"/>
          <w:sz w:val="24"/>
          <w:szCs w:val="24"/>
          <w:u w:val="none" w:color="auto"/>
        </w:rPr>
        <w:t>用水，水库在每次来水前预留17.0万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pacing w:val="11"/>
          <w:sz w:val="24"/>
          <w:szCs w:val="24"/>
          <w:u w:val="none" w:color="auto"/>
        </w:rPr>
        <w:t>库容，</w:t>
      </w:r>
      <w:r>
        <w:rPr>
          <w:rFonts w:hint="default" w:ascii="Times New Roman" w:hAnsi="Times New Roman" w:eastAsia="宋体" w:cs="Times New Roman"/>
          <w:color w:val="auto"/>
          <w:spacing w:val="10"/>
          <w:sz w:val="24"/>
          <w:szCs w:val="24"/>
          <w:u w:val="none" w:color="auto"/>
        </w:rPr>
        <w:t>对应的蓄水水位</w:t>
      </w:r>
      <w:r>
        <w:rPr>
          <w:rFonts w:hint="default" w:ascii="Times New Roman" w:hAnsi="Times New Roman" w:eastAsia="宋体" w:cs="Times New Roman"/>
          <w:color w:val="auto"/>
          <w:spacing w:val="-1"/>
          <w:sz w:val="24"/>
          <w:szCs w:val="24"/>
          <w:u w:val="none" w:color="auto"/>
        </w:rPr>
        <w:t>257.73m。</w:t>
      </w:r>
    </w:p>
    <w:p w14:paraId="12BC55E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施工期排水</w:t>
      </w:r>
    </w:p>
    <w:p w14:paraId="340CD455">
      <w:pPr>
        <w:bidi w:val="0"/>
        <w:rPr>
          <w:rFonts w:hint="default" w:ascii="Times New Roman" w:hAnsi="Times New Roman" w:cs="Times New Roman"/>
          <w:color w:val="auto"/>
          <w:u w:val="none" w:color="auto"/>
        </w:rPr>
      </w:pPr>
      <w:r>
        <w:rPr>
          <w:rFonts w:hint="default" w:ascii="Times New Roman" w:hAnsi="Times New Roman" w:eastAsia="宋体" w:cs="Times New Roman"/>
          <w:b w:val="0"/>
          <w:color w:val="auto"/>
          <w:kern w:val="2"/>
          <w:sz w:val="24"/>
          <w:szCs w:val="22"/>
          <w:u w:val="none" w:color="auto"/>
          <w:lang w:val="en-US" w:eastAsia="zh-CN" w:bidi="ar-SA"/>
        </w:rPr>
        <w:t>基坑初期排水考虑基坑积水、围堰渗水等。基坑排水降速初期以0.5~0.8m/d为宜，接近排干时可提升至1.0</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1.5m/d。估算基坑初期排水约需10d，基坑排水流量为83.3</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b w:val="0"/>
          <w:color w:val="auto"/>
          <w:kern w:val="2"/>
          <w:sz w:val="24"/>
          <w:szCs w:val="22"/>
          <w:u w:val="none" w:color="auto"/>
          <w:lang w:val="en-US" w:eastAsia="zh-CN" w:bidi="ar-SA"/>
        </w:rPr>
        <w:t>/h。基坑经常排水考虑围堰渗水及施工期降水，本工程拟选用2台SLB200-20</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1</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B型</w:t>
      </w:r>
      <w:r>
        <w:rPr>
          <w:rFonts w:hint="default" w:ascii="Times New Roman" w:hAnsi="Times New Roman" w:cs="Times New Roman"/>
          <w:b w:val="0"/>
          <w:color w:val="auto"/>
          <w:kern w:val="2"/>
          <w:sz w:val="24"/>
          <w:szCs w:val="22"/>
          <w:u w:val="none" w:color="auto"/>
          <w:lang w:val="en-US" w:eastAsia="zh-CN" w:bidi="ar-SA"/>
        </w:rPr>
        <w:t>(</w:t>
      </w:r>
      <w:r>
        <w:rPr>
          <w:rFonts w:hint="default" w:ascii="Times New Roman" w:hAnsi="Times New Roman" w:eastAsia="宋体" w:cs="Times New Roman"/>
          <w:b w:val="0"/>
          <w:color w:val="auto"/>
          <w:kern w:val="2"/>
          <w:sz w:val="24"/>
          <w:szCs w:val="22"/>
          <w:u w:val="none" w:color="auto"/>
          <w:lang w:val="en-US" w:eastAsia="zh-CN" w:bidi="ar-SA"/>
        </w:rPr>
        <w:t>Q=89.6</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b w:val="0"/>
          <w:color w:val="auto"/>
          <w:kern w:val="2"/>
          <w:sz w:val="24"/>
          <w:szCs w:val="22"/>
          <w:u w:val="none" w:color="auto"/>
          <w:lang w:val="en-US" w:eastAsia="zh-CN" w:bidi="ar-SA"/>
        </w:rPr>
        <w:t>/h、H=14m、18.5</w:t>
      </w:r>
      <w:r>
        <w:rPr>
          <w:rFonts w:hint="default" w:ascii="Times New Roman" w:hAnsi="Times New Roman" w:cs="Times New Roman"/>
          <w:b w:val="0"/>
          <w:color w:val="auto"/>
          <w:kern w:val="2"/>
          <w:sz w:val="24"/>
          <w:szCs w:val="22"/>
          <w:u w:val="none" w:color="auto"/>
          <w:lang w:val="en-US" w:eastAsia="zh-CN" w:bidi="ar-SA"/>
        </w:rPr>
        <w:t>kW)</w:t>
      </w:r>
      <w:r>
        <w:rPr>
          <w:rFonts w:hint="default" w:ascii="Times New Roman" w:hAnsi="Times New Roman" w:eastAsia="宋体" w:cs="Times New Roman"/>
          <w:b w:val="0"/>
          <w:color w:val="auto"/>
          <w:kern w:val="2"/>
          <w:sz w:val="24"/>
          <w:szCs w:val="22"/>
          <w:u w:val="none" w:color="auto"/>
          <w:lang w:val="en-US" w:eastAsia="zh-CN" w:bidi="ar-SA"/>
        </w:rPr>
        <w:t>水泵用于基坑排水</w:t>
      </w:r>
      <w:r>
        <w:rPr>
          <w:rFonts w:hint="default" w:ascii="Times New Roman" w:hAnsi="Times New Roman" w:cs="Times New Roman"/>
          <w:color w:val="auto"/>
          <w:u w:val="none" w:color="auto"/>
        </w:rPr>
        <w:t>。</w:t>
      </w:r>
    </w:p>
    <w:p w14:paraId="1F174AE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施工期下游供水措施</w:t>
      </w:r>
    </w:p>
    <w:p w14:paraId="19A7E880">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w:t>
      </w:r>
      <w:r>
        <w:rPr>
          <w:rFonts w:hint="default" w:ascii="Times New Roman" w:hAnsi="Times New Roman" w:eastAsia="宋体" w:cs="Times New Roman"/>
          <w:color w:val="auto"/>
          <w:sz w:val="24"/>
          <w:szCs w:val="24"/>
          <w:u w:val="none" w:color="auto"/>
          <w:lang w:val="en-US" w:eastAsia="zh-CN"/>
        </w:rPr>
        <w:t>初步设计报告</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4"/>
          <w:sz w:val="24"/>
          <w:szCs w:val="24"/>
          <w:u w:val="none" w:color="auto"/>
        </w:rPr>
        <w:t>廊洞水库肩负下游3</w:t>
      </w:r>
      <w:r>
        <w:rPr>
          <w:rFonts w:hint="eastAsia" w:cs="Times New Roman"/>
          <w:color w:val="auto"/>
          <w:spacing w:val="-4"/>
          <w:sz w:val="24"/>
          <w:szCs w:val="24"/>
          <w:u w:val="none" w:color="auto"/>
          <w:lang w:eastAsia="zh-CN"/>
        </w:rPr>
        <w:t>.</w:t>
      </w:r>
      <w:r>
        <w:rPr>
          <w:rFonts w:hint="default" w:ascii="Times New Roman" w:hAnsi="Times New Roman" w:eastAsia="宋体" w:cs="Times New Roman"/>
          <w:color w:val="auto"/>
          <w:spacing w:val="-4"/>
          <w:sz w:val="24"/>
          <w:szCs w:val="24"/>
          <w:u w:val="none" w:color="auto"/>
        </w:rPr>
        <w:t>15万亩农田灌溉、2.0万余居民生活以及生态</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3"/>
          <w:sz w:val="24"/>
          <w:szCs w:val="24"/>
          <w:u w:val="none" w:color="auto"/>
        </w:rPr>
        <w:t>用水，施工期间结合具体施工方案，通过隧洞泄流以及</w:t>
      </w:r>
      <w:r>
        <w:rPr>
          <w:rFonts w:hint="default" w:ascii="Times New Roman" w:hAnsi="Times New Roman" w:eastAsia="宋体" w:cs="Times New Roman"/>
          <w:color w:val="auto"/>
          <w:spacing w:val="-4"/>
          <w:sz w:val="24"/>
          <w:szCs w:val="24"/>
          <w:u w:val="none" w:color="auto"/>
        </w:rPr>
        <w:t>临时抽水泵抽</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1"/>
          <w:sz w:val="24"/>
          <w:szCs w:val="24"/>
          <w:u w:val="none" w:color="auto"/>
        </w:rPr>
        <w:t xml:space="preserve">水满足供水需求。第1年8月~第2年2月利用围堰内预埋钢管接入隧洞 </w:t>
      </w:r>
      <w:r>
        <w:rPr>
          <w:rFonts w:hint="default" w:ascii="Times New Roman" w:hAnsi="Times New Roman" w:eastAsia="宋体" w:cs="Times New Roman"/>
          <w:color w:val="auto"/>
          <w:spacing w:val="-3"/>
          <w:sz w:val="24"/>
          <w:szCs w:val="24"/>
          <w:u w:val="none" w:color="auto"/>
        </w:rPr>
        <w:t>供水，第2年3月隧洞加固施工期间，因无导流泄水建筑物，本</w:t>
      </w:r>
      <w:r>
        <w:rPr>
          <w:rFonts w:hint="default" w:ascii="Times New Roman" w:hAnsi="Times New Roman" w:eastAsia="宋体" w:cs="Times New Roman"/>
          <w:color w:val="auto"/>
          <w:spacing w:val="-4"/>
          <w:sz w:val="24"/>
          <w:szCs w:val="24"/>
          <w:u w:val="none" w:color="auto"/>
        </w:rPr>
        <w:t>次考虑</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12"/>
          <w:sz w:val="24"/>
          <w:szCs w:val="24"/>
          <w:u w:val="none" w:color="auto"/>
        </w:rPr>
        <w:t>用抽水泵抽水供水，保障灌溉、居民生活、生态用水总流量为0</w:t>
      </w:r>
      <w:r>
        <w:rPr>
          <w:rFonts w:hint="eastAsia" w:cs="Times New Roman"/>
          <w:color w:val="auto"/>
          <w:spacing w:val="-12"/>
          <w:sz w:val="24"/>
          <w:szCs w:val="24"/>
          <w:u w:val="none" w:color="auto"/>
          <w:lang w:eastAsia="zh-CN"/>
        </w:rPr>
        <w:t>.</w:t>
      </w:r>
      <w:r>
        <w:rPr>
          <w:rFonts w:hint="default" w:ascii="Times New Roman" w:hAnsi="Times New Roman" w:eastAsia="宋体" w:cs="Times New Roman"/>
          <w:color w:val="auto"/>
          <w:spacing w:val="-12"/>
          <w:sz w:val="24"/>
          <w:szCs w:val="24"/>
          <w:u w:val="none" w:color="auto"/>
        </w:rPr>
        <w:t>15</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pacing w:val="-12"/>
          <w:sz w:val="24"/>
          <w:szCs w:val="24"/>
          <w:u w:val="none" w:color="auto"/>
        </w:rPr>
        <w:t>/s</w:t>
      </w:r>
      <w:r>
        <w:rPr>
          <w:rFonts w:hint="default" w:ascii="Times New Roman" w:hAnsi="Times New Roman" w:eastAsia="宋体" w:cs="Times New Roman"/>
          <w:color w:val="auto"/>
          <w:spacing w:val="-51"/>
          <w:sz w:val="24"/>
          <w:szCs w:val="24"/>
          <w:u w:val="none" w:color="auto"/>
        </w:rPr>
        <w:t>。</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4"/>
          <w:sz w:val="24"/>
          <w:szCs w:val="24"/>
          <w:u w:val="none" w:color="auto"/>
        </w:rPr>
        <w:t>经过调查居民每日生活需水量约3000</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pacing w:val="-4"/>
          <w:sz w:val="24"/>
          <w:szCs w:val="24"/>
          <w:u w:val="none" w:color="auto"/>
        </w:rPr>
        <w:t>，考虑较枯月份来水量不足情</w:t>
      </w:r>
      <w:r>
        <w:rPr>
          <w:rFonts w:hint="default" w:ascii="Times New Roman" w:hAnsi="Times New Roman" w:eastAsia="宋体" w:cs="Times New Roman"/>
          <w:color w:val="auto"/>
          <w:spacing w:val="-9"/>
          <w:sz w:val="24"/>
          <w:szCs w:val="24"/>
          <w:u w:val="none" w:color="auto"/>
        </w:rPr>
        <w:t>况，为保障供水，水库在每次来水前预留10日需水量，相应库容为3.0</w:t>
      </w:r>
      <w:r>
        <w:rPr>
          <w:rFonts w:hint="default" w:ascii="Times New Roman" w:hAnsi="Times New Roman" w:eastAsia="宋体" w:cs="Times New Roman"/>
          <w:color w:val="auto"/>
          <w:spacing w:val="-2"/>
          <w:position w:val="-1"/>
          <w:sz w:val="24"/>
          <w:szCs w:val="24"/>
          <w:u w:val="none" w:color="auto"/>
        </w:rPr>
        <w:t>万</w:t>
      </w:r>
      <w:r>
        <w:rPr>
          <w:rFonts w:hint="default" w:ascii="Times New Roman" w:hAnsi="Times New Roman" w:cs="Times New Roman"/>
          <w:b w:val="0"/>
          <w:color w:val="auto"/>
          <w:kern w:val="2"/>
          <w:sz w:val="24"/>
          <w:szCs w:val="22"/>
          <w:u w:val="none" w:color="auto"/>
          <w:lang w:val="en-US" w:eastAsia="zh-CN" w:bidi="ar-SA"/>
        </w:rPr>
        <w:t>m³</w:t>
      </w:r>
      <w:r>
        <w:rPr>
          <w:rFonts w:hint="default" w:ascii="Times New Roman" w:hAnsi="Times New Roman" w:eastAsia="宋体" w:cs="Times New Roman"/>
          <w:color w:val="auto"/>
          <w:sz w:val="24"/>
          <w:szCs w:val="24"/>
          <w:u w:val="none" w:color="auto"/>
        </w:rPr>
        <w:t>。</w:t>
      </w:r>
    </w:p>
    <w:p w14:paraId="01F93F5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u w:val="none" w:color="auto"/>
          <w:lang w:val="en-US" w:eastAsia="zh-CN"/>
        </w:rPr>
        <w:t>方案</w:t>
      </w:r>
    </w:p>
    <w:p w14:paraId="561B1A8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本次除险加固的主要内容包括</w:t>
      </w:r>
      <w:r>
        <w:rPr>
          <w:rFonts w:hint="default" w:ascii="Times New Roman" w:hAnsi="Times New Roman" w:cs="Times New Roman"/>
          <w:color w:val="auto"/>
          <w:u w:val="none" w:color="auto"/>
          <w:lang w:eastAsia="zh-CN"/>
        </w:rPr>
        <w:t>大坝坝体、坝基、坝肩防渗加固处理、上游坝坡局部塌坡整修、大坝下游排水沟延伸重建、溢洪道加固改造、新建塔式取水设施以及原隧洞加固改造、防汛道路沿库岸边坡支护、水库标准化建设</w:t>
      </w:r>
      <w:r>
        <w:rPr>
          <w:rFonts w:hint="default" w:ascii="Times New Roman" w:hAnsi="Times New Roman" w:cs="Times New Roman"/>
          <w:color w:val="auto"/>
          <w:u w:val="none" w:color="auto"/>
        </w:rPr>
        <w:t>等项目。</w:t>
      </w:r>
    </w:p>
    <w:p w14:paraId="4CE18129">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工程大坝施工</w:t>
      </w:r>
    </w:p>
    <w:p w14:paraId="582490A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大坝施工项目主要包括</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拆除工程、土方开挖、高压旋喷防渗墙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帷幕灌浆、坝坡护坡、混凝土浇筑、土方填筑等。</w:t>
      </w:r>
    </w:p>
    <w:p w14:paraId="54A51FB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拆除工程</w:t>
      </w:r>
    </w:p>
    <w:p w14:paraId="4D42084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六方块护坡拆除采用人工配1.0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挖掘机拆除，8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w:t>
      </w:r>
    </w:p>
    <w:p w14:paraId="0E7978E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混凝土拆除由1</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液压破碎锤拆除，8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w:t>
      </w:r>
    </w:p>
    <w:p w14:paraId="4A5BEC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土方开挖</w:t>
      </w:r>
    </w:p>
    <w:p w14:paraId="668E1A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土方开挖主要采用人工、机械相结合的施工方法。以机械开挖施工为主，用0.4</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反铲开挖，弃渣由8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10t自卸汽车运输至弃渣场，平均运距2.50km，利用料临时堆料场堆存，平均运距1.00km。</w:t>
      </w:r>
    </w:p>
    <w:p w14:paraId="42E2407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塑性混凝土防渗墙</w:t>
      </w:r>
    </w:p>
    <w:p w14:paraId="7B44AD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本工程塑性混凝土防渗墙范围为大坝桩号0+062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0+228，成墙厚度0.60m。施工期间钻机、泥浆泵等主要设备通过载重汽车运至现场，浇筑砼采用商品混凝土运至施工现场进行浇筑。</w:t>
      </w:r>
    </w:p>
    <w:p w14:paraId="67F4E7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施工工序</w:t>
      </w:r>
    </w:p>
    <w:p w14:paraId="6728A1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防渗墙施工工艺为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施工准备→测量放样→导向墙施工→安装钻机→</w:t>
      </w:r>
      <w:r>
        <w:rPr>
          <w:rFonts w:hint="eastAsia" w:cs="Times New Roman"/>
          <w:color w:val="auto"/>
          <w:u w:val="none" w:color="auto"/>
          <w:lang w:eastAsia="zh-CN"/>
        </w:rPr>
        <w:t>凿孔</w:t>
      </w:r>
      <w:r>
        <w:rPr>
          <w:rFonts w:hint="default" w:ascii="Times New Roman" w:hAnsi="Times New Roman" w:cs="Times New Roman"/>
          <w:color w:val="auto"/>
          <w:u w:val="none" w:color="auto"/>
        </w:rPr>
        <w:t>成槽→清孔→验孔→布设砼导管→防渗墙混凝土浇筑。</w:t>
      </w:r>
    </w:p>
    <w:p w14:paraId="7EFE45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人员进场后，结合本工程的实际地质资料、设计文件和图纸、控制性工期要求及选用的施工方法和施工机具等，以尽量减少墙段接头、便于快速、均衡和安全施工为原则，进行槽段的划分。</w:t>
      </w:r>
    </w:p>
    <w:p w14:paraId="06C9B9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施工平台施工</w:t>
      </w:r>
    </w:p>
    <w:p w14:paraId="6D88C9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用1.0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反铲沿着防渗墙轴线清除地表混凝土道路、护栏等；挖掘机修筑施工平台，施工平台宽约10.00m，考虑到现状坝顶宽度只有4.00m，需采取降低坝顶高度，以获得足够宽的施工平台，根据上下游坡比计算，施工平台与现状防汛道路相连。然后按要求进行防渗墙轴线的测量放线，设立测量标记。</w:t>
      </w:r>
    </w:p>
    <w:p w14:paraId="675C95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原材料送检和砼配合比</w:t>
      </w:r>
    </w:p>
    <w:p w14:paraId="5AEDCF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①水泥</w:t>
      </w:r>
      <w:r>
        <w:rPr>
          <w:rFonts w:hint="eastAsia" w:cs="Times New Roman"/>
          <w:color w:val="auto"/>
          <w:u w:val="none" w:color="auto"/>
          <w:lang w:eastAsia="zh-CN"/>
        </w:rPr>
        <w:t>：</w:t>
      </w:r>
      <w:r>
        <w:rPr>
          <w:rFonts w:hint="default" w:ascii="Times New Roman" w:hAnsi="Times New Roman" w:cs="Times New Roman"/>
          <w:color w:val="auto"/>
          <w:u w:val="none" w:color="auto"/>
        </w:rPr>
        <w:t>水泥采普通硅酸盐水泥42.5。</w:t>
      </w:r>
    </w:p>
    <w:p w14:paraId="156C7F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②粗骨料</w:t>
      </w:r>
      <w:r>
        <w:rPr>
          <w:rFonts w:hint="eastAsia" w:cs="Times New Roman"/>
          <w:color w:val="auto"/>
          <w:u w:val="none" w:color="auto"/>
          <w:lang w:eastAsia="zh-CN"/>
        </w:rPr>
        <w:t>：</w:t>
      </w:r>
      <w:r>
        <w:rPr>
          <w:rFonts w:hint="default" w:ascii="Times New Roman" w:hAnsi="Times New Roman" w:cs="Times New Roman"/>
          <w:color w:val="auto"/>
          <w:u w:val="none" w:color="auto"/>
        </w:rPr>
        <w:t>优先选用天然碎石、砾石，其最大粒径小于40mm，含泥量应不大于1.0%，泥块含量应不大于0.5%。</w:t>
      </w:r>
    </w:p>
    <w:p w14:paraId="47FD8F7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③细骨料</w:t>
      </w:r>
      <w:r>
        <w:rPr>
          <w:rFonts w:hint="eastAsia" w:cs="Times New Roman"/>
          <w:color w:val="auto"/>
          <w:u w:val="none" w:color="auto"/>
          <w:lang w:eastAsia="zh-CN"/>
        </w:rPr>
        <w:t>：</w:t>
      </w:r>
      <w:r>
        <w:rPr>
          <w:rFonts w:hint="default" w:ascii="Times New Roman" w:hAnsi="Times New Roman" w:cs="Times New Roman"/>
          <w:color w:val="auto"/>
          <w:u w:val="none" w:color="auto"/>
        </w:rPr>
        <w:t>选用细度模数2.4~3.0范围的中细砂，其含泥量应不大于3%，黏粒含量应不大于1.0%。</w:t>
      </w:r>
    </w:p>
    <w:p w14:paraId="520E21A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④外加剂</w:t>
      </w:r>
      <w:r>
        <w:rPr>
          <w:rFonts w:hint="eastAsia" w:cs="Times New Roman"/>
          <w:color w:val="auto"/>
          <w:u w:val="none" w:color="auto"/>
          <w:lang w:eastAsia="zh-CN"/>
        </w:rPr>
        <w:t>：</w:t>
      </w:r>
      <w:r>
        <w:rPr>
          <w:rFonts w:hint="default" w:ascii="Times New Roman" w:hAnsi="Times New Roman" w:cs="Times New Roman"/>
          <w:color w:val="auto"/>
          <w:u w:val="none" w:color="auto"/>
        </w:rPr>
        <w:t>减水剂、防水剂和加气剂等的质量和掺量应经试验，并参照规范执行。</w:t>
      </w:r>
    </w:p>
    <w:p w14:paraId="59699FA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⑤配合比试验和现场抽样检验的砼性能指标应满足下列要求:具体可根据实际情况商同参见单位进行调整。</w:t>
      </w:r>
    </w:p>
    <w:p w14:paraId="329FA3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导向槽施工是防渗墙施工的关键环节，其主要作用为成槽导向、控制标高、槽段定位，防止槽口坍塌及承重的作用。同时也作为砼导管、接头管等吊放导向和操作平台。导向槽顶面标高设置比防渗墙顶高程高0.50m左右。导向槽轴线与防渗墙轴线重合。导向槽尽量一次浇筑成型，其施工工艺为:平整场地→测量定位→挖槽→绑扎钢筋→模板安装→浇筑砼→拆模并设置水平横木撑。</w:t>
      </w:r>
    </w:p>
    <w:p w14:paraId="29E7A6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混凝土防渗墙施工</w:t>
      </w:r>
    </w:p>
    <w:p w14:paraId="7E59B6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①槽段划分及施工顺序</w:t>
      </w:r>
    </w:p>
    <w:p w14:paraId="77968A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根据设计图纸，地墙在相邻槽段完成后进行。尽量减少槽壁的暴露时间，自成槽至砼浇筑完成时间不应超过24h。</w:t>
      </w:r>
    </w:p>
    <w:p w14:paraId="1F29EA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②放样定位</w:t>
      </w:r>
    </w:p>
    <w:p w14:paraId="11AADB7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根据设计图纸和建设单位提供的控制点及水准点在导墙上精确定位出地墙分段标记线，并根据锁口管实际尺寸在导墙上标出锁口管位置。</w:t>
      </w:r>
    </w:p>
    <w:p w14:paraId="4C02EC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③成槽设备选型</w:t>
      </w:r>
    </w:p>
    <w:p w14:paraId="65F1199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所有采用的成槽机均配备有垂直度显示仪表和自动纠偏装置。</w:t>
      </w:r>
    </w:p>
    <w:p w14:paraId="6665573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④成槽机垂直度控制</w:t>
      </w:r>
    </w:p>
    <w:p w14:paraId="3D0F559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成槽过程中，利用成槽机上的垂直度仪表及自动纠偏装置来保证成槽垂直度。</w:t>
      </w:r>
    </w:p>
    <w:p w14:paraId="792011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⑤槽深测量及控制</w:t>
      </w:r>
    </w:p>
    <w:p w14:paraId="07B098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槽深采用标定好的测绳测量，每幅根据其宽度测2~3点，同时根据导墙实际标高控制挖槽的深度，以保证地墙的设计深度。槽段挖至设计高程后，应及时检查槽位、槽深、槽宽垂直度，合格后方可清底。</w:t>
      </w:r>
    </w:p>
    <w:p w14:paraId="094612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⑥清基及接头处理</w:t>
      </w:r>
    </w:p>
    <w:p w14:paraId="02C53B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成槽完毕采用撩抓法清基，保证槽底沉渣不大于100mm；槽底泥浆比重不大于1.3。为提高接头处的抗渗及抗剪性能，对地墙接合处，</w:t>
      </w:r>
      <w:r>
        <w:rPr>
          <w:rFonts w:hint="default" w:ascii="Times New Roman" w:hAnsi="Times New Roman" w:cs="Times New Roman"/>
          <w:color w:val="auto"/>
          <w:u w:val="none" w:color="auto"/>
          <w:lang w:eastAsia="zh-CN"/>
        </w:rPr>
        <w:t>廊洞水库大坝坝体</w:t>
      </w:r>
      <w:r>
        <w:rPr>
          <w:rFonts w:hint="default" w:ascii="Times New Roman" w:hAnsi="Times New Roman" w:cs="Times New Roman"/>
          <w:color w:val="auto"/>
          <w:u w:val="none" w:color="auto"/>
        </w:rPr>
        <w:t>用外型与槽段端头相吻合的接头刷，紧贴砼凹面，上下反复刷动五至</w:t>
      </w:r>
      <w:r>
        <w:rPr>
          <w:rFonts w:hint="default" w:ascii="Times New Roman" w:hAnsi="Times New Roman" w:cs="Times New Roman"/>
          <w:color w:val="auto"/>
          <w:u w:val="none" w:color="auto"/>
          <w:lang w:eastAsia="zh-CN"/>
        </w:rPr>
        <w:t>廊洞水库大坝坝体</w:t>
      </w:r>
      <w:r>
        <w:rPr>
          <w:rFonts w:hint="default" w:ascii="Times New Roman" w:hAnsi="Times New Roman" w:cs="Times New Roman"/>
          <w:color w:val="auto"/>
          <w:u w:val="none" w:color="auto"/>
        </w:rPr>
        <w:t>十次，直至无积泥，以保证砼浇注后密实、不渗漏。</w:t>
      </w:r>
    </w:p>
    <w:p w14:paraId="535B1DF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color w:val="auto"/>
          <w:u w:val="none" w:color="auto"/>
        </w:rPr>
        <w:t>⑦</w:t>
      </w:r>
      <w:r>
        <w:rPr>
          <w:rFonts w:hint="default" w:ascii="Times New Roman" w:hAnsi="Times New Roman" w:cs="Times New Roman" w:eastAsiaTheme="minorEastAsia"/>
          <w:color w:val="auto"/>
          <w:sz w:val="24"/>
          <w:szCs w:val="24"/>
          <w:u w:val="none" w:color="auto"/>
        </w:rPr>
        <mc:AlternateContent>
          <mc:Choice Requires="wps">
            <w:drawing>
              <wp:anchor distT="0" distB="0" distL="114300" distR="114300" simplePos="0" relativeHeight="251668480"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16" name="任意多边形 16"/>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68480;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eCs1Z1gAAAAwBAAAPAAAAAAAAAAEA&#10;IAAAACIAAABkcnMvZG93bnJldi54bWxQSwECFAAUAAAACACHTuJAT+Lg/BECAAB+BAAADgAAAAAA&#10;AAABACAAAAAlAQAAZHJzL2Uyb0RvYy54bWxQSwUGAAAAAAYABgBZAQAAqAUAAAAA&#10;" path="m0,0l8310,0,8310,19,0,19,0,0xe">
                <v:fill on="t" focussize="0,0"/>
                <v:stroke on="f"/>
                <v:imagedata o:title=""/>
                <o:lock v:ext="edit" aspectratio="f"/>
              </v:shape>
            </w:pict>
          </mc:Fallback>
        </mc:AlternateContent>
      </w:r>
      <w:r>
        <w:rPr>
          <w:rFonts w:hint="default" w:ascii="Times New Roman" w:hAnsi="Times New Roman" w:cs="Times New Roman" w:eastAsiaTheme="minorEastAsia"/>
          <w:color w:val="auto"/>
          <w:sz w:val="24"/>
          <w:szCs w:val="24"/>
          <w:u w:val="none" w:color="auto"/>
        </w:rPr>
        <w:t>锁扣管掉放</w:t>
      </w:r>
    </w:p>
    <w:p w14:paraId="23FA80E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槽段清基合格后，立刻吊放锁口管，由履带起重机分节吊放拼装</w:t>
      </w:r>
      <w:r>
        <w:rPr>
          <w:rFonts w:hint="default" w:ascii="Times New Roman" w:hAnsi="Times New Roman" w:cs="Times New Roman" w:eastAsiaTheme="minorEastAsia"/>
          <w:color w:val="auto"/>
          <w:sz w:val="24"/>
          <w:szCs w:val="24"/>
          <w:u w:val="none" w:color="auto"/>
          <w:lang w:eastAsia="zh-CN"/>
        </w:rPr>
        <w:t>廊洞水库大坝坝体</w:t>
      </w:r>
      <w:r>
        <w:rPr>
          <w:rFonts w:hint="default" w:ascii="Times New Roman" w:hAnsi="Times New Roman" w:cs="Times New Roman" w:eastAsiaTheme="minorEastAsia"/>
          <w:color w:val="auto"/>
          <w:sz w:val="24"/>
          <w:szCs w:val="24"/>
          <w:u w:val="none" w:color="auto"/>
        </w:rPr>
        <w:t>垂直插入槽内。锁口管的中心应与设计中心线相吻合，底部插入槽底30~50cm</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以保证密贴，防止砼倒灌。上端口与导墙连接处用木榫楔实。</w:t>
      </w:r>
    </w:p>
    <w:p w14:paraId="7551E9F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4"/>
          <w:sz w:val="24"/>
          <w:szCs w:val="24"/>
          <w:u w:val="none" w:color="auto"/>
        </w:rPr>
        <w:t>⑧混凝土浇筑</w:t>
      </w:r>
    </w:p>
    <w:p w14:paraId="5CA43B3C">
      <w:pPr>
        <w:keepNext w:val="0"/>
        <w:keepLines w:val="0"/>
        <w:pageBreakBefore w:val="0"/>
        <w:widowControl w:val="0"/>
        <w:kinsoku/>
        <w:wordWrap/>
        <w:overflowPunct/>
        <w:topLinePunct w:val="0"/>
        <w:autoSpaceDE/>
        <w:autoSpaceDN/>
        <w:bidi w:val="0"/>
        <w:adjustRightInd/>
        <w:snapToGrid/>
        <w:spacing w:line="360" w:lineRule="auto"/>
        <w:ind w:left="0" w:right="0" w:firstLine="559"/>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2"/>
          <w:sz w:val="24"/>
          <w:szCs w:val="24"/>
          <w:u w:val="none" w:color="auto"/>
        </w:rPr>
        <w:t>砼强度应满足设计要求。砼的坍落度为20~24cm。砼浇</w:t>
      </w:r>
      <w:r>
        <w:rPr>
          <w:rFonts w:hint="default" w:ascii="Times New Roman" w:hAnsi="Times New Roman" w:cs="Times New Roman" w:eastAsiaTheme="minorEastAsia"/>
          <w:color w:val="auto"/>
          <w:spacing w:val="-3"/>
          <w:sz w:val="24"/>
          <w:szCs w:val="24"/>
          <w:u w:val="none" w:color="auto"/>
        </w:rPr>
        <w:t>注采用导</w:t>
      </w:r>
      <w:r>
        <w:rPr>
          <w:rFonts w:hint="default" w:ascii="Times New Roman" w:hAnsi="Times New Roman" w:cs="Times New Roman" w:eastAsiaTheme="minorEastAsia"/>
          <w:color w:val="auto"/>
          <w:spacing w:val="-1"/>
          <w:sz w:val="24"/>
          <w:szCs w:val="24"/>
          <w:u w:val="none" w:color="auto"/>
        </w:rPr>
        <w:t>管法施工，砼导管选用D=250的圆形螺旋快速</w:t>
      </w:r>
      <w:r>
        <w:rPr>
          <w:rFonts w:hint="default" w:ascii="Times New Roman" w:hAnsi="Times New Roman" w:cs="Times New Roman" w:eastAsiaTheme="minorEastAsia"/>
          <w:color w:val="auto"/>
          <w:spacing w:val="-2"/>
          <w:sz w:val="24"/>
          <w:szCs w:val="24"/>
          <w:u w:val="none" w:color="auto"/>
        </w:rPr>
        <w:t>接头型。用吊车将导管</w:t>
      </w:r>
      <w:r>
        <w:rPr>
          <w:rFonts w:hint="default" w:ascii="Times New Roman" w:hAnsi="Times New Roman" w:cs="Times New Roman" w:eastAsiaTheme="minorEastAsia"/>
          <w:color w:val="auto"/>
          <w:spacing w:val="-4"/>
          <w:sz w:val="24"/>
          <w:szCs w:val="24"/>
          <w:u w:val="none" w:color="auto"/>
        </w:rPr>
        <w:t>吊入槽段规定位置，导管顶端安装方形漏斗。在砼浇注前要测试砼的</w:t>
      </w:r>
      <w:r>
        <w:rPr>
          <w:rFonts w:hint="default" w:ascii="Times New Roman" w:hAnsi="Times New Roman" w:cs="Times New Roman" w:eastAsiaTheme="minorEastAsia"/>
          <w:color w:val="auto"/>
          <w:sz w:val="24"/>
          <w:szCs w:val="24"/>
          <w:u w:val="none" w:color="auto"/>
        </w:rPr>
        <w:t>坍落度，并做好试块。每100</w:t>
      </w:r>
      <w:r>
        <w:rPr>
          <w:rFonts w:hint="eastAsia" w:cs="Times New Roman" w:eastAsiaTheme="minorEastAsia"/>
          <w:color w:val="auto"/>
          <w:sz w:val="24"/>
          <w:szCs w:val="24"/>
          <w:u w:val="none" w:color="auto"/>
          <w:lang w:eastAsia="zh-CN"/>
        </w:rPr>
        <w:t>m</w:t>
      </w:r>
      <w:r>
        <w:rPr>
          <w:rFonts w:hint="eastAsia" w:cs="Times New Roman" w:eastAsiaTheme="minorEastAsia"/>
          <w:color w:val="auto"/>
          <w:sz w:val="24"/>
          <w:szCs w:val="24"/>
          <w:u w:val="none" w:color="auto"/>
          <w:vertAlign w:val="superscript"/>
          <w:lang w:eastAsia="zh-CN"/>
        </w:rPr>
        <w:t>2</w:t>
      </w:r>
      <w:r>
        <w:rPr>
          <w:rFonts w:hint="default" w:ascii="Times New Roman" w:hAnsi="Times New Roman" w:cs="Times New Roman" w:eastAsiaTheme="minorEastAsia"/>
          <w:color w:val="auto"/>
          <w:sz w:val="24"/>
          <w:szCs w:val="24"/>
          <w:u w:val="none" w:color="auto"/>
        </w:rPr>
        <w:t>做</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u w:val="none" w:color="auto"/>
        </w:rPr>
        <w:t>组抗压试块，5个槽段制作抗渗压</w:t>
      </w:r>
      <w:r>
        <w:rPr>
          <w:rFonts w:hint="default" w:ascii="Times New Roman" w:hAnsi="Times New Roman" w:cs="Times New Roman" w:eastAsiaTheme="minorEastAsia"/>
          <w:color w:val="auto"/>
          <w:spacing w:val="-2"/>
          <w:sz w:val="24"/>
          <w:szCs w:val="24"/>
          <w:u w:val="none" w:color="auto"/>
        </w:rPr>
        <w:t>力试件一组，每组6件。</w:t>
      </w:r>
    </w:p>
    <w:p w14:paraId="6BF8685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槽段接头处理</w:t>
      </w:r>
    </w:p>
    <w:p w14:paraId="29669C0C">
      <w:pPr>
        <w:keepNext w:val="0"/>
        <w:keepLines w:val="0"/>
        <w:pageBreakBefore w:val="0"/>
        <w:widowControl w:val="0"/>
        <w:kinsoku/>
        <w:wordWrap/>
        <w:overflowPunct/>
        <w:topLinePunct w:val="0"/>
        <w:autoSpaceDE/>
        <w:autoSpaceDN/>
        <w:bidi w:val="0"/>
        <w:adjustRightInd/>
        <w:snapToGrid/>
        <w:spacing w:line="360" w:lineRule="auto"/>
        <w:ind w:left="0" w:right="0" w:firstLine="56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pacing w:val="-5"/>
          <w:sz w:val="24"/>
          <w:szCs w:val="24"/>
          <w:u w:val="none" w:color="auto"/>
        </w:rPr>
        <w:t>I、I序槽段砼结合部是防渗墙的薄弱环节，为了保证Ⅰ序槽段砼与Ⅱ序砼的良好结合，接头部位采用“套打</w:t>
      </w:r>
      <w:r>
        <w:rPr>
          <w:rFonts w:hint="default" w:ascii="Times New Roman" w:hAnsi="Times New Roman" w:cs="Times New Roman" w:eastAsiaTheme="minorEastAsia"/>
          <w:color w:val="auto"/>
          <w:spacing w:val="-6"/>
          <w:sz w:val="24"/>
          <w:szCs w:val="24"/>
          <w:u w:val="none" w:color="auto"/>
        </w:rPr>
        <w:t>一孔”法施工。具体做法为</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在Ⅰ序槽段砼浇筑结束24~36h内，开始</w:t>
      </w:r>
      <w:r>
        <w:rPr>
          <w:rFonts w:hint="default" w:ascii="Times New Roman" w:hAnsi="Times New Roman" w:cs="Times New Roman" w:eastAsiaTheme="minorEastAsia"/>
          <w:color w:val="auto"/>
          <w:spacing w:val="-7"/>
          <w:sz w:val="24"/>
          <w:szCs w:val="24"/>
          <w:u w:val="none" w:color="auto"/>
        </w:rPr>
        <w:t>Ⅱ序槽段的成槽施工。施</w:t>
      </w:r>
      <w:r>
        <w:rPr>
          <w:rFonts w:hint="default" w:ascii="Times New Roman" w:hAnsi="Times New Roman" w:cs="Times New Roman" w:eastAsiaTheme="minorEastAsia"/>
          <w:color w:val="auto"/>
          <w:spacing w:val="-6"/>
          <w:sz w:val="24"/>
          <w:szCs w:val="24"/>
          <w:u w:val="none" w:color="auto"/>
        </w:rPr>
        <w:t>工时，用冲击钻在原Ⅰ序槽段砼端头孔处就位，钻凿砼至设计深度，</w:t>
      </w:r>
      <w:r>
        <w:rPr>
          <w:rFonts w:hint="default" w:ascii="Times New Roman" w:hAnsi="Times New Roman" w:cs="Times New Roman" w:eastAsiaTheme="minorEastAsia"/>
          <w:color w:val="auto"/>
          <w:spacing w:val="-3"/>
          <w:sz w:val="24"/>
          <w:szCs w:val="24"/>
          <w:u w:val="none" w:color="auto"/>
        </w:rPr>
        <w:t>将接头处的砼打掉一部分，使接头处形成半月芽形状。</w:t>
      </w:r>
      <w:r>
        <w:rPr>
          <w:rFonts w:hint="default" w:ascii="Times New Roman" w:hAnsi="Times New Roman" w:cs="Times New Roman" w:eastAsiaTheme="minorEastAsia"/>
          <w:color w:val="auto"/>
          <w:spacing w:val="-4"/>
          <w:sz w:val="24"/>
          <w:szCs w:val="24"/>
          <w:u w:val="none" w:color="auto"/>
        </w:rPr>
        <w:t>浇筑Ⅱ序砼时</w:t>
      </w:r>
      <w:r>
        <w:rPr>
          <w:rFonts w:hint="default" w:ascii="Times New Roman" w:hAnsi="Times New Roman" w:cs="Times New Roman" w:eastAsiaTheme="minorEastAsia"/>
          <w:color w:val="auto"/>
          <w:spacing w:val="-1"/>
          <w:sz w:val="24"/>
          <w:szCs w:val="24"/>
          <w:u w:val="none" w:color="auto"/>
        </w:rPr>
        <w:t>严格进行接头清理。</w:t>
      </w:r>
    </w:p>
    <w:p w14:paraId="33CBE5B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5</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质量控制</w:t>
      </w:r>
    </w:p>
    <w:p w14:paraId="0A31092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2"/>
          <w:sz w:val="24"/>
          <w:szCs w:val="24"/>
          <w:u w:val="none" w:color="auto"/>
          <w:lang w:eastAsia="zh-CN"/>
        </w:rPr>
      </w:pPr>
      <w:r>
        <w:rPr>
          <w:rFonts w:hint="default" w:ascii="Times New Roman" w:hAnsi="Times New Roman" w:cs="Times New Roman" w:eastAsiaTheme="minorEastAsia"/>
          <w:color w:val="auto"/>
          <w:spacing w:val="10"/>
          <w:sz w:val="24"/>
          <w:szCs w:val="24"/>
          <w:u w:val="none" w:color="auto"/>
        </w:rPr>
        <w:t>砼防渗墙</w:t>
      </w:r>
      <w:r>
        <w:rPr>
          <w:rFonts w:hint="default" w:ascii="Times New Roman" w:hAnsi="Times New Roman" w:cs="Times New Roman" w:eastAsiaTheme="minorEastAsia"/>
          <w:color w:val="auto"/>
          <w:spacing w:val="-84"/>
          <w:sz w:val="24"/>
          <w:szCs w:val="24"/>
          <w:u w:val="none" w:color="auto"/>
        </w:rPr>
        <w:t xml:space="preserve"> </w:t>
      </w:r>
      <w:r>
        <w:rPr>
          <w:rFonts w:hint="default" w:ascii="Times New Roman" w:hAnsi="Times New Roman" w:cs="Times New Roman" w:eastAsiaTheme="minorEastAsia"/>
          <w:color w:val="auto"/>
          <w:spacing w:val="10"/>
          <w:sz w:val="24"/>
          <w:szCs w:val="24"/>
          <w:u w:val="none" w:color="auto"/>
        </w:rPr>
        <w:t>厚度0.60m，</w:t>
      </w:r>
      <w:r>
        <w:rPr>
          <w:rFonts w:hint="default" w:ascii="Times New Roman" w:hAnsi="Times New Roman" w:cs="Times New Roman" w:eastAsiaTheme="minorEastAsia"/>
          <w:color w:val="auto"/>
          <w:spacing w:val="-74"/>
          <w:sz w:val="24"/>
          <w:szCs w:val="24"/>
          <w:u w:val="none" w:color="auto"/>
        </w:rPr>
        <w:t xml:space="preserve"> </w:t>
      </w:r>
      <w:r>
        <w:rPr>
          <w:rFonts w:hint="default" w:ascii="Times New Roman" w:hAnsi="Times New Roman" w:cs="Times New Roman" w:eastAsiaTheme="minorEastAsia"/>
          <w:color w:val="auto"/>
          <w:spacing w:val="10"/>
          <w:sz w:val="24"/>
          <w:szCs w:val="24"/>
          <w:u w:val="none" w:color="auto"/>
        </w:rPr>
        <w:t>塑性砼防渗墙体混凝土容重不小于</w:t>
      </w:r>
      <w:r>
        <w:rPr>
          <w:rFonts w:hint="default" w:ascii="Times New Roman" w:hAnsi="Times New Roman" w:cs="Times New Roman" w:eastAsiaTheme="minorEastAsia"/>
          <w:color w:val="auto"/>
          <w:spacing w:val="-4"/>
          <w:sz w:val="24"/>
          <w:szCs w:val="24"/>
          <w:u w:val="none" w:color="auto"/>
        </w:rPr>
        <w:t>2.1t/</w:t>
      </w:r>
      <w:r>
        <w:rPr>
          <w:rFonts w:hint="default" w:ascii="Times New Roman" w:hAnsi="Times New Roman" w:cs="Times New Roman" w:eastAsiaTheme="minorEastAsia"/>
          <w:color w:val="auto"/>
          <w:spacing w:val="-4"/>
          <w:sz w:val="24"/>
          <w:szCs w:val="24"/>
          <w:u w:val="none" w:color="auto"/>
          <w:lang w:eastAsia="zh-CN"/>
        </w:rPr>
        <w:t>m³</w:t>
      </w:r>
      <w:r>
        <w:rPr>
          <w:rFonts w:hint="default" w:ascii="Times New Roman" w:hAnsi="Times New Roman" w:cs="Times New Roman" w:eastAsiaTheme="minorEastAsia"/>
          <w:color w:val="auto"/>
          <w:spacing w:val="-4"/>
          <w:sz w:val="24"/>
          <w:szCs w:val="24"/>
          <w:u w:val="none" w:color="auto"/>
        </w:rPr>
        <w:t>，28天抗压强度</w:t>
      </w:r>
      <w:r>
        <w:rPr>
          <w:rFonts w:hint="eastAsia"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5Mpa，弹性模量</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800</w:t>
      </w:r>
      <w:r>
        <w:rPr>
          <w:rFonts w:hint="default" w:ascii="Times New Roman" w:hAnsi="Times New Roman" w:cs="Times New Roman" w:eastAsiaTheme="minorEastAsia"/>
          <w:color w:val="auto"/>
          <w:spacing w:val="-4"/>
          <w:sz w:val="24"/>
          <w:szCs w:val="24"/>
          <w:u w:val="none" w:color="auto"/>
          <w:lang w:eastAsia="zh-CN"/>
        </w:rPr>
        <w:t>~</w:t>
      </w:r>
      <w:r>
        <w:rPr>
          <w:rFonts w:hint="default" w:ascii="Times New Roman" w:hAnsi="Times New Roman" w:cs="Times New Roman" w:eastAsiaTheme="minorEastAsia"/>
          <w:color w:val="auto"/>
          <w:spacing w:val="-4"/>
          <w:sz w:val="24"/>
          <w:szCs w:val="24"/>
          <w:u w:val="none" w:color="auto"/>
        </w:rPr>
        <w:t>1500Mpa</w:t>
      </w:r>
      <w:r>
        <w:rPr>
          <w:rFonts w:hint="default" w:ascii="Times New Roman" w:hAnsi="Times New Roman" w:cs="Times New Roman" w:eastAsiaTheme="minorEastAsia"/>
          <w:color w:val="auto"/>
          <w:spacing w:val="-5"/>
          <w:sz w:val="24"/>
          <w:szCs w:val="24"/>
          <w:u w:val="none" w:color="auto"/>
        </w:rPr>
        <w:t>，抗渗等</w:t>
      </w:r>
      <w:r>
        <w:rPr>
          <w:rFonts w:hint="default" w:ascii="Times New Roman" w:hAnsi="Times New Roman" w:cs="Times New Roman" w:eastAsiaTheme="minorEastAsia"/>
          <w:color w:val="auto"/>
          <w:spacing w:val="-2"/>
          <w:sz w:val="24"/>
          <w:szCs w:val="24"/>
          <w:u w:val="none" w:color="auto"/>
        </w:rPr>
        <w:t>级为W8，渗透系数&lt;1×10</w:t>
      </w:r>
      <w:r>
        <w:rPr>
          <w:rFonts w:hint="default" w:ascii="Times New Roman" w:hAnsi="Times New Roman" w:cs="Times New Roman" w:eastAsiaTheme="minorEastAsia"/>
          <w:color w:val="auto"/>
          <w:spacing w:val="-2"/>
          <w:sz w:val="24"/>
          <w:szCs w:val="24"/>
          <w:u w:val="none" w:color="auto"/>
          <w:vertAlign w:val="superscript"/>
        </w:rPr>
        <w:t>-7</w:t>
      </w:r>
      <w:r>
        <w:rPr>
          <w:rFonts w:hint="default" w:ascii="Times New Roman" w:hAnsi="Times New Roman" w:cs="Times New Roman" w:eastAsiaTheme="minorEastAsia"/>
          <w:color w:val="auto"/>
          <w:spacing w:val="-2"/>
          <w:sz w:val="24"/>
          <w:szCs w:val="24"/>
          <w:u w:val="none" w:color="auto"/>
        </w:rPr>
        <w:t>cm/s</w:t>
      </w:r>
      <w:r>
        <w:rPr>
          <w:rFonts w:hint="default" w:ascii="Times New Roman" w:hAnsi="Times New Roman" w:cs="Times New Roman" w:eastAsiaTheme="minorEastAsia"/>
          <w:color w:val="auto"/>
          <w:spacing w:val="-2"/>
          <w:sz w:val="24"/>
          <w:szCs w:val="24"/>
          <w:u w:val="none" w:color="auto"/>
          <w:lang w:eastAsia="zh-CN"/>
        </w:rPr>
        <w:t>。</w:t>
      </w:r>
    </w:p>
    <w:p w14:paraId="1191F97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高压旋喷灌浆</w:t>
      </w:r>
    </w:p>
    <w:p w14:paraId="307D0F1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防渗包括大坝上游坝坡新填筑二级平台上开孔作坝身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施工导流高压旋喷灌浆、坝基、坝肩帷幕灌浆，采取先坝体高压旋喷灌浆，再坝基、坝肩帷幕灌浆的施工顺序。</w:t>
      </w:r>
    </w:p>
    <w:p w14:paraId="4F869BF9">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 xml:space="preserve">施工工艺流程 </w:t>
      </w:r>
    </w:p>
    <w:p w14:paraId="768F3BE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高压喷射灌浆的施工程序见下图：</w:t>
      </w:r>
    </w:p>
    <w:p w14:paraId="6E2B97A3">
      <w:pPr>
        <w:pStyle w:val="181"/>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610735" cy="5834380"/>
            <wp:effectExtent l="0" t="0" r="6985"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0"/>
                    <a:stretch>
                      <a:fillRect/>
                    </a:stretch>
                  </pic:blipFill>
                  <pic:spPr>
                    <a:xfrm>
                      <a:off x="0" y="0"/>
                      <a:ext cx="4610735" cy="5834380"/>
                    </a:xfrm>
                    <a:prstGeom prst="rect">
                      <a:avLst/>
                    </a:prstGeom>
                    <a:noFill/>
                    <a:ln>
                      <a:noFill/>
                    </a:ln>
                  </pic:spPr>
                </pic:pic>
              </a:graphicData>
            </a:graphic>
          </wp:inline>
        </w:drawing>
      </w:r>
    </w:p>
    <w:p w14:paraId="4F75AAC0">
      <w:pPr>
        <w:pStyle w:val="181"/>
        <w:ind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图3.</w:t>
      </w:r>
      <w:r>
        <w:rPr>
          <w:rFonts w:hint="eastAsia" w:cs="Times New Roman"/>
          <w:b/>
          <w:bCs/>
          <w:color w:val="auto"/>
          <w:u w:val="none" w:color="auto"/>
          <w:lang w:val="en-US" w:eastAsia="zh-CN"/>
        </w:rPr>
        <w:t>9</w:t>
      </w:r>
      <w:r>
        <w:rPr>
          <w:rFonts w:hint="default" w:ascii="Times New Roman" w:hAnsi="Times New Roman" w:cs="Times New Roman"/>
          <w:b/>
          <w:bCs/>
          <w:color w:val="auto"/>
          <w:u w:val="none" w:color="auto"/>
        </w:rPr>
        <w:t>-</w:t>
      </w:r>
      <w:r>
        <w:rPr>
          <w:rFonts w:hint="eastAsia" w:cs="Times New Roman"/>
          <w:b/>
          <w:bCs/>
          <w:color w:val="auto"/>
          <w:u w:val="none" w:color="auto"/>
          <w:lang w:val="en-US" w:eastAsia="zh-CN"/>
        </w:rPr>
        <w:t>1</w:t>
      </w:r>
      <w:r>
        <w:rPr>
          <w:rFonts w:hint="default" w:ascii="Times New Roman" w:hAnsi="Times New Roman" w:cs="Times New Roman"/>
          <w:b/>
          <w:bCs/>
          <w:color w:val="auto"/>
          <w:u w:val="none" w:color="auto"/>
        </w:rPr>
        <w:t xml:space="preserve"> </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高压喷射灌浆施工工序图</w:t>
      </w:r>
    </w:p>
    <w:p w14:paraId="18B811BA">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施工工艺</w:t>
      </w:r>
    </w:p>
    <w:p w14:paraId="3BDAEC1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钻孔</w:t>
      </w:r>
    </w:p>
    <w:p w14:paraId="6FCCCDC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①钻孔采用1台跟管钻机造孔，开孔孔径φ110mm。钻头采用硬合金钻头。 </w:t>
      </w:r>
    </w:p>
    <w:p w14:paraId="2D19065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②钻孔严格按照设计和规范要求进行钻孔，地层发生变化时，要记录变化深度并报监理工程师确认，钻孔达到设计要求，并经监理工程师认可后方可终孔。 </w:t>
      </w:r>
    </w:p>
    <w:p w14:paraId="365D1A0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钻孔前，埋设孔口管，将钻机按测量定位桩就位、安装，将钻头对准定位桩设计钻孔中心，保证立轴或转盘与孔中心对正，先用水平尺粗略整平、垫平机座和机架；然后在钻孔轴线位置及其垂直方向上各架设一台经纬仪，检查并调整钻杆垂直度，使其钻杆垂直，再一次检查孔位是否正确，使钻尖对中误差不超过 10~20mm。</w:t>
      </w:r>
    </w:p>
    <w:p w14:paraId="4998BF6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④造孔过程中，若发现孔内异常现象如掉钻、卡钻等，及时采取措施处理，并做好记录，各孔以设计孔深为控制孔深。</w:t>
      </w:r>
    </w:p>
    <w:p w14:paraId="247C8FF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⑤造孔过程中，要详细完整记录钻孔深度、地层变化、掉钻等。</w:t>
      </w:r>
    </w:p>
    <w:p w14:paraId="66EFEC1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钻孔结束，会同监理工程师进行终孔检查验收，否则不得擅自终孔，对于未到设计深度入岩的桩孔，应接收跟管钻机吹出的渣样，通知监理工程师及地质工程师对基岩进行鉴定，鉴定符合设计要求后方可停止钻进，钻进停顿或终孔待灌时，孔口要加盖保护。</w:t>
      </w:r>
    </w:p>
    <w:p w14:paraId="3B936CA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浆液制备</w:t>
      </w:r>
    </w:p>
    <w:p w14:paraId="239AE88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①灌浆前，要按设计及规范要求进行配比，喷射注浆的水灰比定为1:1，灌浆浆液采用42.5级普通硅酸盐水泥拌制，浆液密度大于1.55g/c</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w:t>
      </w:r>
    </w:p>
    <w:p w14:paraId="4AD64F4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②制浆过程中要随时测量水泥浆比重，若浆液比重偏低，要随即加大水泥用量；配合比试验测试内容包括：浆液拌制时间、浆液密度等。</w:t>
      </w:r>
    </w:p>
    <w:p w14:paraId="77B0D52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③按照确定的浆液配比，钻孔终孔前提早一段时间配制浆液，浆液采用高速搅拌机搅拌，</w:t>
      </w:r>
      <w:r>
        <w:rPr>
          <w:rFonts w:hint="eastAsia" w:cs="Times New Roman"/>
          <w:color w:val="auto"/>
          <w:u w:val="none" w:color="auto"/>
          <w:lang w:eastAsia="zh-CN"/>
        </w:rPr>
        <w:t>拌合</w:t>
      </w:r>
      <w:r>
        <w:rPr>
          <w:rFonts w:hint="default" w:ascii="Times New Roman" w:hAnsi="Times New Roman" w:cs="Times New Roman"/>
          <w:color w:val="auto"/>
          <w:u w:val="none" w:color="auto"/>
        </w:rPr>
        <w:t>时间不少于30s，保证浆液搅拌均匀，并不停地搅拌备用。</w:t>
      </w:r>
    </w:p>
    <w:p w14:paraId="07182ED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④浆液温度控制在5～40℃之间，浆液存放时间：当环境温度在10℃以下时，不超过5h；当环境温度在10℃以上时，不超过3h，否则按废浆处理。</w:t>
      </w:r>
    </w:p>
    <w:p w14:paraId="63B5E2D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⑤浆液经过滤后使用，防止喷管在喷射过程中堵塞。</w:t>
      </w:r>
    </w:p>
    <w:p w14:paraId="23AAB72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⑥孔口回浆经处理后方可利用。</w:t>
      </w:r>
    </w:p>
    <w:p w14:paraId="28A2FF7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高喷灌浆</w:t>
      </w:r>
    </w:p>
    <w:p w14:paraId="32B0D8B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①高喷机就位、地面试喷</w:t>
      </w:r>
    </w:p>
    <w:p w14:paraId="54996BB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成孔后，跟管钻机移位，高喷机就位。将高喷机移至成孔处就位后，连接好浆管，开机在地面试喷，检查喷浆系统和各项指标是否符合要求。</w:t>
      </w:r>
    </w:p>
    <w:p w14:paraId="776783A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②下喷射管</w:t>
      </w:r>
    </w:p>
    <w:p w14:paraId="5F461AF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下喷射管时，喷射管缓慢插入孔内，直到孔底部。为防止泥砂堵塞喷嘴，下管前用胶布将其包住。</w:t>
      </w:r>
    </w:p>
    <w:p w14:paraId="7DD17CE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③喷射灌浆</w:t>
      </w:r>
    </w:p>
    <w:p w14:paraId="6CE5CF9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rPr>
        <w:t>按设计确定的施工技术参数控制喷射灌浆；当高压旋喷泵的泵压达到设计规定值时，先对孔底进行原位高压旋喷1~3min，待浆液返出孔口且比重达到1.3g/c</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以上后，按设计的提升速度提升喷管喷射，进行自下而上、连续旋喷作业，直至达到设计旋喷体高程后，再原位旋喷1~2min，即可停止供浆喷射，从灌浆孔中抽入喷浆管。喷射施工应采用自动记录仪，完整记录各项旋喷参数。</w:t>
      </w:r>
    </w:p>
    <w:p w14:paraId="21B8407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喷浆过程中，喷射管提升速度必须连续均匀，喷浆要均匀，计量要准确，保证水泥的掺入量不少于设计掺量。</w:t>
      </w:r>
    </w:p>
    <w:p w14:paraId="6CCA8D1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c.</w:t>
      </w:r>
      <w:r>
        <w:rPr>
          <w:rFonts w:hint="default" w:ascii="Times New Roman" w:hAnsi="Times New Roman" w:cs="Times New Roman"/>
          <w:color w:val="auto"/>
          <w:u w:val="none" w:color="auto"/>
        </w:rPr>
        <w:t>喷射过程中，要经常检查：高压旋喷泵的压力，浆液流量、钻机的转速、提升速度、耗浆量等，如实记录喷射灌浆的各种施工参数、浆液材料用量、导常情况及处理措施等。</w:t>
      </w:r>
    </w:p>
    <w:p w14:paraId="5FDFE07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④喷射灌浆过程问题处理</w:t>
      </w:r>
    </w:p>
    <w:p w14:paraId="1E1ABDD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为了保证高压喷射旋喷桩的施工质量，对喷浆过程中出现的异常情况，按下列方法处理：</w:t>
      </w:r>
    </w:p>
    <w:p w14:paraId="4430050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rPr>
        <w:t>当测试的进、回浆比重与规定值不符合设计要求时，停止喷射提升，重新调整浆液水灰比，直至满足设计要求。</w:t>
      </w:r>
    </w:p>
    <w:p w14:paraId="2011A6E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B.</w:t>
      </w:r>
      <w:r>
        <w:rPr>
          <w:rFonts w:hint="default" w:ascii="Times New Roman" w:hAnsi="Times New Roman" w:cs="Times New Roman"/>
          <w:color w:val="auto"/>
          <w:u w:val="none" w:color="auto"/>
        </w:rPr>
        <w:t>在任何情况下断喷</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包括拆卸喷管</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，回复喷射时，应将喷头下放30cm，采用搭接喷射处理后，方可继续提升喷射灌浆，并记录中断处深度和时间；如中断时间较长</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超过4h</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，不能进行复喷时，应该进行扫孔复喷。</w:t>
      </w:r>
    </w:p>
    <w:p w14:paraId="1E2E640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C.</w:t>
      </w:r>
      <w:r>
        <w:rPr>
          <w:rFonts w:hint="default" w:ascii="Times New Roman" w:hAnsi="Times New Roman" w:cs="Times New Roman"/>
          <w:color w:val="auto"/>
          <w:u w:val="none" w:color="auto"/>
        </w:rPr>
        <w:t>在喷射中，如孔口冒浆量超过注浆量的20%时，通过提高灌浆压力或适当加快提升速度及旋转速度以减少冒浆量；如孔口不冒浆时，采取增大注浆量、减慢提升速度等方法，必要时将喷管再下沉0.5~1.0m进行复喷，待孔口返浆正常后，再恢复正常喷射。</w:t>
      </w:r>
    </w:p>
    <w:p w14:paraId="2B334E5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D.</w:t>
      </w:r>
      <w:r>
        <w:rPr>
          <w:rFonts w:hint="default" w:ascii="Times New Roman" w:hAnsi="Times New Roman" w:cs="Times New Roman"/>
          <w:color w:val="auto"/>
          <w:u w:val="none" w:color="auto"/>
        </w:rPr>
        <w:t>高喷灌浆过程中，若孔内发生严重漏浆，可采取以下措施处理：</w:t>
      </w:r>
    </w:p>
    <w:p w14:paraId="1ADF7D1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a、孔口不返浆时，立即停止提升。孔口少量返浆时应降低提升速度；</w:t>
      </w:r>
    </w:p>
    <w:p w14:paraId="32CAD29B">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b、降低喷射压力、流量，进行原位灌浆；</w:t>
      </w:r>
    </w:p>
    <w:p w14:paraId="7CD965AF">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c、在浆液中添加速凝剂；</w:t>
      </w:r>
    </w:p>
    <w:p w14:paraId="34F64E02">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d、加大浆液密度或灌注水泥砂浆、水泥粘土浆等；</w:t>
      </w:r>
    </w:p>
    <w:p w14:paraId="44A978D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e、向孔内填入砂、土等堵漏材料。</w:t>
      </w:r>
    </w:p>
    <w:p w14:paraId="587F5CF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堵漏措施实施后孔口返浆后将喷射管下放至原不返浆的最下位再次进行正常旋喷。</w:t>
      </w:r>
    </w:p>
    <w:p w14:paraId="2317078A">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⑤在进浆正常的情况下，若孔口回浆密度小，回浆量增大，加大进浆浆液密度或进浆量。</w:t>
      </w:r>
    </w:p>
    <w:p w14:paraId="140EF75A">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⑥高喷灌浆过程中发生窜浆时，填堵窜浆孔。待灌浆高喷结束，尽快对窜浆孔扫孔，进行高喷灌浆或继续钻进；</w:t>
      </w:r>
    </w:p>
    <w:p w14:paraId="18B4A5C1">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⑦高喷过程中采取必要措施保证孔内浆液上返畅通，避免造成地层劈裂或扰动；</w:t>
      </w:r>
    </w:p>
    <w:p w14:paraId="61B9B67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⑧高喷灌浆结束封孔，利用回浆或水泥浆及时回灌，直至孔口浆面不下降为止。</w:t>
      </w:r>
    </w:p>
    <w:p w14:paraId="6CE5FC6A">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喷射管冲洗</w:t>
      </w:r>
    </w:p>
    <w:p w14:paraId="0EEE3DF7">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每完成一个孔喷射灌浆，要及时将灌浆系统的喷射头、喷嘴、喷浆阀门、喷浆管用清水冲洗干净。</w:t>
      </w:r>
    </w:p>
    <w:p w14:paraId="4F6841D3">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3</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质量检查</w:t>
      </w:r>
    </w:p>
    <w:p w14:paraId="36DFA06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对钻孔和喷浆过程的主要施工参数进行严格检查和控制，如配合比是否符合设计要求，水泥的称量误差是否在5%范围内，每钻进3-5m时检查一次跟管钻机钻杆的垂直度，保证钻孔的垂直误差不超过1.5%等并详细记录。记录项目包括钻孔时间、孔位、孔距、孔深、地层情况、始喷终喷时间、提速、始喷终喷高程、返浆情况、水泥用量等。钻孔成型后相邻两次钻进的相邻孔位中心距误差不超过±50mm，所配制水泥浆稀稠一致、喷射装置提升速度要均匀一致，喷浆量必须满足计量要求。记录时间误差不应大于5秒，深度记录误差不大于5cm。</w:t>
      </w:r>
    </w:p>
    <w:p w14:paraId="453C3CE7">
      <w:pPr>
        <w:pStyle w:val="181"/>
        <w:ind w:firstLine="480"/>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成桩后检查</w:t>
      </w:r>
    </w:p>
    <w:p w14:paraId="0DA438F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2"/>
          <w:sz w:val="24"/>
          <w:szCs w:val="24"/>
          <w:u w:val="none" w:color="auto"/>
          <w:lang w:eastAsia="zh-CN"/>
        </w:rPr>
      </w:pPr>
      <w:r>
        <w:rPr>
          <w:rFonts w:hint="default" w:ascii="Times New Roman" w:hAnsi="Times New Roman" w:cs="Times New Roman"/>
          <w:color w:val="auto"/>
          <w:u w:val="none" w:color="auto"/>
        </w:rPr>
        <w:t>旋喷桩体检测28天后进行，在第一排选取3根桩，间隔布置，进行钻孔取芯检查，检查成桩密实度及完整性，强度试验，并利用取芯孔做CT跨孔波速测试，以检测桩的完整性；其次利用取芯孔做压水试验，试验值不得大于3Lu；旋喷桩体28天抗压强度不小于3MPa</w:t>
      </w:r>
      <w:r>
        <w:rPr>
          <w:rFonts w:hint="default" w:ascii="Times New Roman" w:hAnsi="Times New Roman" w:cs="Times New Roman" w:eastAsiaTheme="minorEastAsia"/>
          <w:color w:val="auto"/>
          <w:spacing w:val="-2"/>
          <w:sz w:val="24"/>
          <w:szCs w:val="24"/>
          <w:u w:val="none" w:color="auto"/>
          <w:lang w:eastAsia="zh-CN"/>
        </w:rPr>
        <w:t>。</w:t>
      </w:r>
    </w:p>
    <w:p w14:paraId="6F03CFB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帷幕灌浆防渗</w:t>
      </w:r>
    </w:p>
    <w:p w14:paraId="5946BF1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帷幕灌浆施工工艺流程为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施工准备→钻孔→钻孔冲洗→裂隙冲洗→简易压水试验→灌浆→封孔→质量检查。</w:t>
      </w:r>
    </w:p>
    <w:p w14:paraId="74AADD4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深度</w:t>
      </w:r>
    </w:p>
    <w:p w14:paraId="685A94F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本设计帷幕要求伸至相对不透水层10Lu线以下5.00m控制。</w:t>
      </w:r>
    </w:p>
    <w:p w14:paraId="6446722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钻孔及简易压水试验</w:t>
      </w:r>
    </w:p>
    <w:p w14:paraId="0B90F36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坝身采用冲击干钻、套管护壁，基岩采用回转式钻机钻进，用金刚石钻头或硬质合金钻头钻进，终孔孔径为75mm。钻机安装必须水平、稳固，开孔位置偏差应控制在10cm之内，孔斜率控制在1%以内，钻孔深至相对不透水层以下5.00m。</w:t>
      </w:r>
    </w:p>
    <w:p w14:paraId="6A7B944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钻孔冲洗</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钻孔达到设计深度后，应采用清水冲洗钻孔，直至回水澄清无砂和岩粉为止，残留岩芯不应超过0.20m。</w:t>
      </w:r>
    </w:p>
    <w:p w14:paraId="3E8E801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简易压水试验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帷幕灌浆前，对每一灌段均应以简易压水试验所得之q值来确定开灌水灰比及复核岩层的透水程度。</w:t>
      </w:r>
    </w:p>
    <w:p w14:paraId="244A8AA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灌浆方法</w:t>
      </w:r>
    </w:p>
    <w:p w14:paraId="3A3DA71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当岩段小于6m，采用全孔一次灌浆法；大于6m分段灌浆，本设计帷幕灌浆采用自下而上法进行，在岩石破碎、漏水严重地段应采取自上而下的方法灌浆，以提高灌浆质量。</w:t>
      </w:r>
    </w:p>
    <w:p w14:paraId="3282543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灌浆参数的选取</w:t>
      </w:r>
    </w:p>
    <w:p w14:paraId="2BA308E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灌浆段长度</w:t>
      </w:r>
    </w:p>
    <w:p w14:paraId="6516E2B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灌浆段的长度是根据岩石的裂隙发育程度、破碎情况、渗透性以及设备条件决定的。参照省内外帷幕灌浆取得的成功经验并根据工程的具体情况，为确保工程质量，本设计要求灌浆段一般长5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6m，基岩条件较好的灌段取大值，裂隙发育、岩石破碎的灌段则取小值，甚至3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4m。坝基接触面采用单独灌浆并待凝，灌段长1.5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2.0m，接触灌浆的具体要求应严格按有关规范要求执行。</w:t>
      </w:r>
    </w:p>
    <w:p w14:paraId="19FFC7C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灌浆压力</w:t>
      </w:r>
    </w:p>
    <w:p w14:paraId="321A745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灌浆压力是影响灌浆质量的重要因素，本次灌浆压力一般要求现场通过灌浆试验确定。</w:t>
      </w:r>
    </w:p>
    <w:p w14:paraId="6F47042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浆液稠度</w:t>
      </w:r>
    </w:p>
    <w:p w14:paraId="0D24DF1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浆液稠度一般应随基岩的单位吸水量而变，基础帷幕灌浆浆液浓度，应遵循由稀到浓逐级变换的原则。一般当q＞10Lu时，起始水灰比采用5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重量比，下同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10Lu时，起始水灰比采用5:1。以后均采用3:1、2:1、1:1、0.8:1、0.6:1，个别灌浆段视具体情况可采用0.5:1。</w:t>
      </w:r>
    </w:p>
    <w:p w14:paraId="2A38D49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浆液稠度变换原则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当灌浆压力保持不变，注入率持续减少时，或注入率不变而压力持续升高时，不得改变水灰比；当某一比级浆液的灌入量已达300L以上或灌注时间已达1h，而灌浆压力和注入率均无改变或改变不显著时，应改浓一级；当注入率大于30L/min时，可根据具体情况越级变浓。</w:t>
      </w:r>
    </w:p>
    <w:p w14:paraId="0065FAA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结束灌浆标准</w:t>
      </w:r>
    </w:p>
    <w:p w14:paraId="5C4D840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符合下列条件之一者，即可结束灌浆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在设计规定的灌浆压力下，灌浆段已停止吸浆或吸浆量小于0.4L/min，并持续30min以上时；在规定的压力下，当吸浆量徘徊于1.0L/min，时间达1h以上时。</w:t>
      </w:r>
    </w:p>
    <w:p w14:paraId="44FC330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灌浆材料及灌浆工艺</w:t>
      </w:r>
    </w:p>
    <w:p w14:paraId="3832C5F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灌浆材料</w:t>
      </w:r>
    </w:p>
    <w:p w14:paraId="2631D81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灌浆用水泥品质必须符合GB175-1999《硅酸盐水泥、普通硅酸盐水泥》或所采用的其他水泥标准的规定。帷幕灌浆水泥强度等级不低于PC42.5，水泥必须是合格的新鲜普通硅酸盐水泥，对进场材料必须具备三证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出厂证、检验单、合格证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方准予进入施工材料仓库，超过出厂日期保存达3个月以上的水泥不准使用，对因受潮而结块的水泥一定要清除，以免影响施工质量。对水泥的供给采取边用边进的原则，以保障水泥不过长时间在工地积存。</w:t>
      </w:r>
    </w:p>
    <w:p w14:paraId="74CC867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灌浆施工次序</w:t>
      </w:r>
    </w:p>
    <w:p w14:paraId="4BAA590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根据《水工建筑物水泥灌浆施工技术规范》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SL/T62-2020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规定，本设计帷幕灌浆孔应分三序施工。基础帷幕灌浆采用自上而下分段灌浆法时，一个坝段或一个单元工程内，同一排上相邻的两个次序孔之间，在岩石中钻孔灌浆的间隔高差不得小于15m。</w:t>
      </w:r>
    </w:p>
    <w:p w14:paraId="0F4D886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灌浆结束和封孔</w:t>
      </w:r>
    </w:p>
    <w:p w14:paraId="0EE331C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在灌浆过程中，对于每一个灌浆孔都应严格按照规程、规范的要求结束灌浆，以确保工程质量。对较深的帷幕灌浆孔，在最后一段灌浆结束后即采用水灰比为0.5的浓浆封孔。封孔分段长15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20m，封孔压力与灌浆压力相同，当注入率不大于1L/min，延续30min停止，在孔口处延续60min，灌注结束后闭浆24h。对于坝体，闭浆24h后，将孔内稀浆取出，用粘土捣实封孔</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或投放干粘土球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1D08436">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工程质量检查</w:t>
      </w:r>
    </w:p>
    <w:p w14:paraId="6A21939D">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质量检查应以检查孔压水试验成果为主。检查孔数为灌浆孔的10%，应布置在帷幕中心线上或岩石破碎、断层、孔隙等地质条件复杂的部位。检查孔压水试验应在该部位灌浆结束14d后进行。检查孔各段压水试验测得的q值原则上须≤10Lu，如出现大于10Lu的试验段，则段数不得超过检查孔总试验段数的10%；且所有试段的q值必须小于10Lu，才认为该孔符合标准，否则应进行补灌。</w:t>
      </w:r>
    </w:p>
    <w:p w14:paraId="2B21B43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w:t>
      </w:r>
    </w:p>
    <w:p w14:paraId="18C9958A">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混凝土施工部位主要为大坝上游护坡、防汛道路、排水沟等。大坝上游混凝土六方块护坡采用机械完成坝面平整，砂垫层由人工挑运或双胶轮车运至作业面进行铺设，混凝土六方块厂家购买，汽车运输至水库，运距20.0km。防汛道路、排水沟商品混凝土在道县县城购买，由搅拌车运输至水库，运距12.0km。排水沟混凝土施工采用溜槽入仓，路面混凝土由搅拌车运至现场，泵车泵送入仓，插入式振捣器振捣密实。混凝土浇筑完成后，及时进行保湿养护。</w:t>
      </w:r>
    </w:p>
    <w:p w14:paraId="376B5A69">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输水建筑物施工</w:t>
      </w:r>
    </w:p>
    <w:p w14:paraId="523B637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lang w:eastAsia="zh-CN"/>
        </w:rPr>
        <w:t>输水隧洞施工</w:t>
      </w:r>
    </w:p>
    <w:p w14:paraId="5DD96F5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(1)钢衬加固</w:t>
      </w:r>
    </w:p>
    <w:p w14:paraId="2B5122F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输水涵(隧)洞钢衬加固施工工艺流程为:钢衬制安→洞内运输→洞内钢衬安装定位→洞内钢衬焊接→质量检查→回填灌浆→接触灌浆→检查验收。</w:t>
      </w:r>
    </w:p>
    <w:p w14:paraId="36B1C9E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钢衬采用人工凿毛隧洞周边混凝土并冲洗干净，外购钢材，综合加工厂加工成型，洞外运输采用平板拖车运输，洞内运输采用铺设轨道，运输车为根据实际施工需要制作的设备，由卷扬机牵引沿轨道运行，运输设备应配有定位装置，调整钢衬安装高度和角度。</w:t>
      </w:r>
    </w:p>
    <w:p w14:paraId="11037C3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拼装完毕，经检查装配合格后，方准焊接，采用人工洞内对缝焊接，所有拟焊面和离焊接边缘至少15mm内钢板面的氧化皮，铁锈、油污或其他杂质都应全部清理干净，每一道缝焊完后其金属表面焊渣都应认真清理干净，检查合格后再焊下一层。</w:t>
      </w:r>
    </w:p>
    <w:p w14:paraId="477C309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(2)回填灌浆</w:t>
      </w:r>
    </w:p>
    <w:p w14:paraId="1066A0F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内衬钢板前先对原衬砌砼与围岩之间进行回填灌浆，回填灌浆分两序进行，Ⅰ序孔布置在洞顶90°范围，每排布2孔，Ⅱ序孔布置在洞顶120°范围，每排布3孔，排距4.0m，孔径为40mm的内丝孔，灌浆孔深入围岩0.10m以上。</w:t>
      </w:r>
    </w:p>
    <w:p w14:paraId="0A11D18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1)施工顺序</w:t>
      </w:r>
    </w:p>
    <w:p w14:paraId="7D0A88F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回填灌浆施工应自较低的一端开始，向较高的一端推进。同一区段内的同一次序可全部或部分钻孔后，再进行灌浆。也可单孔分序钻进和灌浆。</w:t>
      </w:r>
    </w:p>
    <w:p w14:paraId="6B4BA3F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2)灌浆材料</w:t>
      </w:r>
    </w:p>
    <w:p w14:paraId="43B40E8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回填灌浆，一序孔可灌注水灰比为0.6(或0.5):1的水泥浆，二序孔可灌注1:1和0.6(或0.5):1两个比级的水泥浆。空隙大的部位应灌注水泥砂浆，掺砂量不宜大于水泥重量的200%。</w:t>
      </w:r>
    </w:p>
    <w:p w14:paraId="54EBEAD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3)灌浆压力</w:t>
      </w:r>
    </w:p>
    <w:p w14:paraId="3D79BBF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灌浆压力由衬砌厚度和配筋情况确定，初步确定为0.3~0.5Mpa，灌浆过程中应严格控制灌浆压力。</w:t>
      </w:r>
    </w:p>
    <w:p w14:paraId="6D7A7B4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4)终孔</w:t>
      </w:r>
    </w:p>
    <w:p w14:paraId="1EC09498">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在规定的压力下，灌浆孔停止吸浆，延续灌注5min即可结束。</w:t>
      </w:r>
    </w:p>
    <w:p w14:paraId="21ABA46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5)质量检查</w:t>
      </w:r>
    </w:p>
    <w:p w14:paraId="6A8CD5F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回填灌浆质量检查可采用钻孔注浆法，即向孔内注入水灰比2:1的浆液，在规定的压力下，初始10min内注入量不超过10L，认为合格。</w:t>
      </w:r>
    </w:p>
    <w:p w14:paraId="4FA8C1F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6)封孔</w:t>
      </w:r>
    </w:p>
    <w:p w14:paraId="50A8E10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灌浆孔灌浆和检查孔检查结束后，应使用水泥砂浆将钻孔封堵密实，孔口压抹齐平。</w:t>
      </w:r>
    </w:p>
    <w:p w14:paraId="4DF6108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隧洞内衬钢管由专业施工队伍在厂内进行加工、制作，采用汽车运至工地卸料。人工用钢钎将原隧洞内壁凿毛。</w:t>
      </w:r>
    </w:p>
    <w:p w14:paraId="1F32301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(3)接触灌浆</w:t>
      </w:r>
    </w:p>
    <w:p w14:paraId="3D4ACB8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接触灌浆为水泥浆，0.4m³灰浆搅拌机制浆液，BW250/50型灌浆泵灌浆。封孔后，再用φ30mm的螺杆拧入，将钢板与螺帽间的间隙满焊封闭。</w:t>
      </w:r>
    </w:p>
    <w:p w14:paraId="586782A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eastAsia="zh-CN"/>
        </w:rPr>
        <w:t>取水塔施工</w:t>
      </w:r>
    </w:p>
    <w:p w14:paraId="2AF45F8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取水塔施工工序为</w:t>
      </w:r>
      <w:r>
        <w:rPr>
          <w:rFonts w:hint="eastAsia" w:cs="Times New Roman"/>
          <w:color w:val="auto"/>
          <w:highlight w:val="none"/>
          <w:u w:val="none" w:color="auto"/>
          <w:lang w:eastAsia="zh-CN"/>
        </w:rPr>
        <w:t>：</w:t>
      </w:r>
      <w:r>
        <w:rPr>
          <w:rFonts w:hint="default" w:ascii="Times New Roman" w:hAnsi="Times New Roman" w:cs="Times New Roman"/>
          <w:color w:val="auto"/>
          <w:highlight w:val="none"/>
          <w:u w:val="none" w:color="auto"/>
          <w:lang w:eastAsia="zh-CN"/>
        </w:rPr>
        <w:t>测量放线→边坡开挖→围堰填筑→卧管拆除→取水塔基础开挖及浇筑→取水塔塔身混凝土浇筑施工→工作桥施工→土石回填→金结机电安装。</w:t>
      </w:r>
    </w:p>
    <w:p w14:paraId="4C0B360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(1)边坡开挖</w:t>
      </w:r>
    </w:p>
    <w:p w14:paraId="097E000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土方采用1m³挖掘机开挖，石方明挖采用钻爆法弱爆开挖，开挖料甩至上游新建取水塔部位，用做围堰填筑料。开挖边坡及时进行喷锚支护。石方洞挖采用人工手风钻钻孔，光面爆破，开挖石渣采用小型扒渣机装自卸汽车出渣，运至渣场。取水塔边坡进出口段围岩采用喷锚支护。</w:t>
      </w:r>
    </w:p>
    <w:p w14:paraId="79D04DF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(2)围堰填筑</w:t>
      </w:r>
    </w:p>
    <w:p w14:paraId="2439C2F8">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围堰填筑土石料场来自边坡开挖土石料，多余土石料用自卸汽车出渣，运至渣场，运距2.50km。</w:t>
      </w:r>
    </w:p>
    <w:p w14:paraId="23529DB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(3)基础开挖及混凝土浇筑</w:t>
      </w:r>
    </w:p>
    <w:p w14:paraId="00EA6E1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取水塔基础开挖采用机械开挖(挖掘机+炮机)，商品混凝土沿山坡布置传输管道向下输送混凝土的方式入仓。</w:t>
      </w:r>
    </w:p>
    <w:p w14:paraId="0681E58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(4)塔身混凝土浇筑</w:t>
      </w:r>
    </w:p>
    <w:p w14:paraId="51CBA28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取水塔工程混凝土全部采用商品混凝土，由商品混凝土厂家用6m³以上罐车直接运输至取水塔处，沿山坡布置传输管道向下输送混凝土的方式，后期采用混凝土泵架空输送入仓。</w:t>
      </w:r>
    </w:p>
    <w:p w14:paraId="75BBF24F">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(5)工作桥施工</w:t>
      </w:r>
    </w:p>
    <w:p w14:paraId="707A0C9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工作桥施工需在取水塔和边坡承台等基础部位施工完毕后，采用满堂脚手架施工，商品混凝土泵架空输送入仓。</w:t>
      </w:r>
    </w:p>
    <w:p w14:paraId="66CAA2E0">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溢洪道施工</w:t>
      </w:r>
    </w:p>
    <w:p w14:paraId="3767E3F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(1)土方开挖</w:t>
      </w:r>
    </w:p>
    <w:p w14:paraId="6F240A3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土方开挖采用1m³反铲挖掘机开挖，8t自卸汽车运输，部分开挖料就近堆存于施工场地内用于自身回填，部分开挖料先运至临时堆料场，后用于自身回填。</w:t>
      </w:r>
    </w:p>
    <w:p w14:paraId="23D30B8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(2)混凝土拆除</w:t>
      </w:r>
    </w:p>
    <w:p w14:paraId="20EF5F7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本工程石方开挖及拆除部位主要位于大坝附近，常规爆破方法存在安全隐患，因此采用液压破碎锤的方式进行开挖和拆除。开挖料采用1m³反铲开挖，8t自卸汽车运至弃渣场。</w:t>
      </w:r>
    </w:p>
    <w:p w14:paraId="47C03CD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(3)混凝土浇筑</w:t>
      </w:r>
    </w:p>
    <w:p w14:paraId="6FF99526">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溢洪道混凝土施工采用商品混凝土可从道县混凝土公司采购，运距18.00km，由搅拌车运至现场，泵车泵送入仓，插入式振捣器振捣密实。</w:t>
      </w:r>
    </w:p>
    <w:p w14:paraId="56ECF9DA">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(4)锚杆施工</w:t>
      </w:r>
    </w:p>
    <w:p w14:paraId="75BABDC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溢洪道锚杆施工同边坡工程锚杆支护施工。</w:t>
      </w:r>
    </w:p>
    <w:p w14:paraId="2A1749DF">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边坡工程</w:t>
      </w:r>
    </w:p>
    <w:p w14:paraId="55CF9A8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根据锚杆的不同要求，分别采用潜孔钻或手风钻在坡面上的工作平台完成钻孔，然后由人工在工作平台上完成注浆与安装锚杆作业。施工中应做好防斜纠偏措施，采用适当的钻进参数来减少钻孔发生弯曲的可能，或利用在靠近潜孔锤的一段钻杆上加肋条的方法防斜。</w:t>
      </w:r>
    </w:p>
    <w:p w14:paraId="012C4E3C">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坡面喷混凝土采用湿喷法施工。对较缓的边坡，采用人工在工作平台上施喷，较陡的边坡则采用喷混凝土机械手施喷，施工中分两次喷射。喷混凝土前应先清除坡面松动岩块、浮尘等。</w:t>
      </w:r>
    </w:p>
    <w:p w14:paraId="1DC108B1">
      <w:pPr>
        <w:pStyle w:val="5"/>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金属结构安装施工</w:t>
      </w:r>
    </w:p>
    <w:p w14:paraId="5C80F09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highlight w:val="none"/>
          <w:u w:val="none" w:color="auto"/>
          <w:lang w:eastAsia="zh-CN"/>
        </w:rPr>
        <w:t>金属结构主要为钢管、闸阀、通气管，可在场外制作完成后现场吊装</w:t>
      </w:r>
      <w:r>
        <w:rPr>
          <w:rFonts w:hint="default" w:ascii="Times New Roman" w:hAnsi="Times New Roman" w:cs="Times New Roman"/>
          <w:color w:val="auto"/>
          <w:u w:val="none" w:color="auto"/>
        </w:rPr>
        <w:t>。</w:t>
      </w:r>
    </w:p>
    <w:p w14:paraId="6C422B4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施工总布置</w:t>
      </w:r>
    </w:p>
    <w:p w14:paraId="4178997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施工交通运输</w:t>
      </w:r>
    </w:p>
    <w:p w14:paraId="4CF101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位于湖南省</w:t>
      </w:r>
      <w:r>
        <w:rPr>
          <w:rFonts w:hint="default" w:ascii="Times New Roman" w:hAnsi="Times New Roman" w:cs="Times New Roman"/>
          <w:color w:val="auto"/>
          <w:u w:val="none" w:color="auto"/>
          <w:lang w:eastAsia="zh-CN"/>
        </w:rPr>
        <w:t>道县梅花镇</w:t>
      </w:r>
      <w:r>
        <w:rPr>
          <w:rFonts w:hint="default" w:ascii="Times New Roman" w:hAnsi="Times New Roman" w:cs="Times New Roman"/>
          <w:color w:val="auto"/>
          <w:u w:val="none" w:color="auto"/>
        </w:rPr>
        <w:t>境内，属于湘江水系潇水一级支流宜水河中游宜阳河，距离梅花镇10.00km，距离道县县城18.00km。本工程对外交通方便，通过工程区内防汛道路与工程区外国道G207、G357相接。</w:t>
      </w:r>
    </w:p>
    <w:p w14:paraId="1E95CDE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工程区现有上坝公路及村镇道路通往</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，工程区距</w:t>
      </w:r>
      <w:r>
        <w:rPr>
          <w:rFonts w:hint="default" w:ascii="Times New Roman" w:hAnsi="Times New Roman" w:cs="Times New Roman"/>
          <w:color w:val="auto"/>
          <w:u w:val="none" w:color="auto"/>
          <w:lang w:eastAsia="zh-CN"/>
        </w:rPr>
        <w:t>梅花镇</w:t>
      </w:r>
      <w:r>
        <w:rPr>
          <w:rFonts w:hint="default" w:ascii="Times New Roman" w:hAnsi="Times New Roman" w:cs="Times New Roman"/>
          <w:color w:val="auto"/>
          <w:u w:val="none" w:color="auto"/>
        </w:rPr>
        <w:t>1</w:t>
      </w:r>
      <w:r>
        <w:rPr>
          <w:rFonts w:hint="default" w:ascii="Times New Roman" w:hAnsi="Times New Roman" w:cs="Times New Roman"/>
          <w:color w:val="auto"/>
          <w:u w:val="none" w:color="auto"/>
          <w:lang w:val="en-US" w:eastAsia="zh-CN"/>
        </w:rPr>
        <w:t>0</w:t>
      </w:r>
      <w:r>
        <w:rPr>
          <w:rFonts w:hint="default" w:ascii="Times New Roman" w:hAnsi="Times New Roman" w:cs="Times New Roman"/>
          <w:color w:val="auto"/>
          <w:u w:val="none" w:color="auto"/>
        </w:rPr>
        <w:t>km。项目区对外交通以公路为主，工程物资运输均可通过现有交通网抵达工地。本工程施工所需主要建材混凝土、水泥、钢筋、油料、木材、炸药等均可从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购买，砂石料从</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购买，对外交通运输总量约3.9万t，通过现有上坝道路、村镇道路及</w:t>
      </w:r>
      <w:r>
        <w:rPr>
          <w:rFonts w:hint="default" w:ascii="Times New Roman" w:hAnsi="Times New Roman" w:cs="Times New Roman"/>
          <w:color w:val="auto"/>
          <w:u w:val="none" w:color="auto"/>
          <w:lang w:eastAsia="zh-CN"/>
        </w:rPr>
        <w:t>G207</w:t>
      </w:r>
      <w:r>
        <w:rPr>
          <w:rFonts w:hint="default" w:ascii="Times New Roman" w:hAnsi="Times New Roman" w:cs="Times New Roman"/>
          <w:color w:val="auto"/>
          <w:u w:val="none" w:color="auto"/>
        </w:rPr>
        <w:t>运输，路面宽度、转弯半径及纵坡可满足设计要求，共利用现有村镇道路7.5km，施工期需对该段道路进行修护。</w:t>
      </w:r>
    </w:p>
    <w:p w14:paraId="15CB042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区内有防汛道路至坝顶，交通便利。区内交通运输主要利用现有道路网络，施工工区、临时堆料场、弃渣场附近均有道路通达，基本能满足施工期场内交通要求，根据本工程施工总布置，本工程新建施工临时道路，长220m，道路等级为5级；通过</w:t>
      </w:r>
      <w:r>
        <w:rPr>
          <w:rFonts w:hint="default" w:ascii="Times New Roman" w:hAnsi="Times New Roman" w:cs="Times New Roman"/>
          <w:color w:val="auto"/>
          <w:u w:val="none" w:color="auto"/>
          <w:lang w:eastAsia="zh-CN"/>
        </w:rPr>
        <w:t>现有</w:t>
      </w:r>
      <w:r>
        <w:rPr>
          <w:rFonts w:hint="default" w:ascii="Times New Roman" w:hAnsi="Times New Roman" w:cs="Times New Roman"/>
          <w:color w:val="auto"/>
          <w:u w:val="none" w:color="auto"/>
        </w:rPr>
        <w:t>上坝公路及村镇道路可到达本工程弃渣场附近，需新建一小段临时施工道路连接现有村道与弃渣场。</w:t>
      </w:r>
    </w:p>
    <w:p w14:paraId="737587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临时道路工程量详见表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7</w:t>
      </w:r>
      <w:r>
        <w:rPr>
          <w:rFonts w:hint="default" w:ascii="Times New Roman" w:hAnsi="Times New Roman" w:cs="Times New Roman"/>
          <w:color w:val="auto"/>
          <w:u w:val="none" w:color="auto"/>
        </w:rPr>
        <w:t>。</w:t>
      </w:r>
    </w:p>
    <w:p w14:paraId="1093270C">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7</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临时施工道路工程量</w:t>
      </w:r>
    </w:p>
    <w:tbl>
      <w:tblPr>
        <w:tblStyle w:val="37"/>
        <w:tblW w:w="836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4"/>
        <w:gridCol w:w="1709"/>
        <w:gridCol w:w="846"/>
        <w:gridCol w:w="5118"/>
      </w:tblGrid>
      <w:tr w14:paraId="6948BB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694" w:type="dxa"/>
            <w:vAlign w:val="center"/>
          </w:tcPr>
          <w:p w14:paraId="4BE0E9A5">
            <w:pPr>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color w:val="auto"/>
                <w:u w:val="none" w:color="auto"/>
              </w:rPr>
              <w:br w:type="page"/>
            </w:r>
            <w:r>
              <w:rPr>
                <w:rFonts w:hint="default" w:ascii="Times New Roman" w:hAnsi="Times New Roman" w:cs="Times New Roman" w:eastAsiaTheme="minorEastAsia"/>
                <w:color w:val="auto"/>
                <w:sz w:val="21"/>
                <w:szCs w:val="21"/>
                <w:u w:val="none" w:color="auto"/>
              </w:rPr>
              <w:t>编号</w:t>
            </w:r>
          </w:p>
        </w:tc>
        <w:tc>
          <w:tcPr>
            <w:tcW w:w="1709" w:type="dxa"/>
            <w:vAlign w:val="center"/>
          </w:tcPr>
          <w:p w14:paraId="28B2C534">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施工临时道路</w:t>
            </w:r>
          </w:p>
        </w:tc>
        <w:tc>
          <w:tcPr>
            <w:tcW w:w="846" w:type="dxa"/>
            <w:vAlign w:val="center"/>
          </w:tcPr>
          <w:p w14:paraId="5D2E112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长度</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m</w:t>
            </w:r>
            <w:r>
              <w:rPr>
                <w:rFonts w:hint="default" w:ascii="Times New Roman" w:hAnsi="Times New Roman" w:cs="Times New Roman" w:eastAsiaTheme="minorEastAsia"/>
                <w:color w:val="auto"/>
                <w:sz w:val="21"/>
                <w:szCs w:val="21"/>
                <w:u w:val="none" w:color="auto"/>
                <w:lang w:eastAsia="zh-CN"/>
              </w:rPr>
              <w:t>)</w:t>
            </w:r>
          </w:p>
        </w:tc>
        <w:tc>
          <w:tcPr>
            <w:tcW w:w="5118" w:type="dxa"/>
            <w:vAlign w:val="center"/>
          </w:tcPr>
          <w:p w14:paraId="03D86AD7">
            <w:pPr>
              <w:pStyle w:val="100"/>
              <w:keepNext w:val="0"/>
              <w:keepLines w:val="0"/>
              <w:pageBreakBefore w:val="0"/>
              <w:widowControl w:val="0"/>
              <w:tabs>
                <w:tab w:val="left" w:pos="220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669FD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694" w:type="dxa"/>
            <w:vAlign w:val="center"/>
          </w:tcPr>
          <w:p w14:paraId="1199E89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709" w:type="dxa"/>
            <w:vAlign w:val="center"/>
          </w:tcPr>
          <w:p w14:paraId="23585E7D">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1#施工道路</w:t>
            </w:r>
          </w:p>
        </w:tc>
        <w:tc>
          <w:tcPr>
            <w:tcW w:w="846" w:type="dxa"/>
            <w:vAlign w:val="center"/>
          </w:tcPr>
          <w:p w14:paraId="5112688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6AF39F7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溢洪道消力池与现有道路连接段，宽3.50m，泥结石路面。</w:t>
            </w:r>
          </w:p>
        </w:tc>
      </w:tr>
      <w:tr w14:paraId="02C7B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694" w:type="dxa"/>
            <w:vAlign w:val="center"/>
          </w:tcPr>
          <w:p w14:paraId="4FCE3A03">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709" w:type="dxa"/>
            <w:vAlign w:val="center"/>
          </w:tcPr>
          <w:p w14:paraId="04C2B888">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2#施工道路</w:t>
            </w:r>
          </w:p>
        </w:tc>
        <w:tc>
          <w:tcPr>
            <w:tcW w:w="846" w:type="dxa"/>
            <w:vAlign w:val="center"/>
          </w:tcPr>
          <w:p w14:paraId="10712A09">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110</w:t>
            </w:r>
          </w:p>
        </w:tc>
        <w:tc>
          <w:tcPr>
            <w:tcW w:w="5118" w:type="dxa"/>
            <w:vAlign w:val="center"/>
          </w:tcPr>
          <w:p w14:paraId="2A0A7501">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大坝下游坝坡与现有道路连接段，宽3.50m，泥结石路面。</w:t>
            </w:r>
          </w:p>
        </w:tc>
      </w:tr>
      <w:tr w14:paraId="0C3577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4" w:type="dxa"/>
            <w:vAlign w:val="center"/>
          </w:tcPr>
          <w:p w14:paraId="4DE9C29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合计</w:t>
            </w:r>
          </w:p>
        </w:tc>
        <w:tc>
          <w:tcPr>
            <w:tcW w:w="1709" w:type="dxa"/>
            <w:vAlign w:val="center"/>
          </w:tcPr>
          <w:p w14:paraId="2CCF03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846" w:type="dxa"/>
            <w:vAlign w:val="center"/>
          </w:tcPr>
          <w:p w14:paraId="23851840">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220</w:t>
            </w:r>
          </w:p>
        </w:tc>
        <w:tc>
          <w:tcPr>
            <w:tcW w:w="5118" w:type="dxa"/>
            <w:vAlign w:val="center"/>
          </w:tcPr>
          <w:p w14:paraId="42648F0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5BA3AD5D">
      <w:pPr>
        <w:spacing w:line="84" w:lineRule="auto"/>
        <w:rPr>
          <w:rFonts w:hint="default" w:ascii="Times New Roman" w:hAnsi="Times New Roman" w:cs="Times New Roman"/>
          <w:color w:val="auto"/>
          <w:sz w:val="2"/>
          <w:u w:val="none" w:color="auto"/>
        </w:rPr>
      </w:pPr>
    </w:p>
    <w:p w14:paraId="4B127F99">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风、水、电供应及通讯</w:t>
      </w:r>
    </w:p>
    <w:p w14:paraId="367EF3A8">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1</w:t>
      </w: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施工供风</w:t>
      </w:r>
    </w:p>
    <w:p w14:paraId="4A76DD97">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eastAsia="宋体" w:cs="Times New Roman"/>
          <w:color w:val="auto"/>
          <w:spacing w:val="-1"/>
          <w:sz w:val="24"/>
          <w:szCs w:val="24"/>
          <w:u w:val="none" w:color="auto"/>
          <w:lang w:val="en-US" w:eastAsia="zh-CN"/>
        </w:rPr>
        <w:t>本工程施工用风主要为大坝、溢洪道、输水设施混凝土浇筑、石方开挖施工用风，用风量比较分散，拟采用4台3</w:t>
      </w:r>
      <w:r>
        <w:rPr>
          <w:rFonts w:hint="default" w:ascii="Times New Roman" w:hAnsi="Times New Roman" w:cs="Times New Roman"/>
          <w:color w:val="auto"/>
          <w:spacing w:val="-1"/>
          <w:sz w:val="24"/>
          <w:szCs w:val="24"/>
          <w:u w:val="none" w:color="auto"/>
          <w:lang w:val="en-US" w:eastAsia="zh-CN"/>
        </w:rPr>
        <w:t>m³</w:t>
      </w:r>
      <w:r>
        <w:rPr>
          <w:rFonts w:hint="default" w:ascii="Times New Roman" w:hAnsi="Times New Roman" w:eastAsia="宋体" w:cs="Times New Roman"/>
          <w:color w:val="auto"/>
          <w:spacing w:val="-1"/>
          <w:sz w:val="24"/>
          <w:szCs w:val="24"/>
          <w:u w:val="none" w:color="auto"/>
          <w:lang w:val="en-US" w:eastAsia="zh-CN"/>
        </w:rPr>
        <w:t>/min移动式空压机供风。</w:t>
      </w:r>
    </w:p>
    <w:p w14:paraId="325B7B76">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2</w:t>
      </w:r>
      <w:r>
        <w:rPr>
          <w:rFonts w:hint="default" w:ascii="Times New Roman" w:hAnsi="Times New Roman" w:cs="Times New Roman"/>
          <w:color w:val="auto"/>
          <w:spacing w:val="-1"/>
          <w:sz w:val="24"/>
          <w:szCs w:val="24"/>
          <w:u w:val="none" w:color="auto"/>
          <w:lang w:val="en-US" w:eastAsia="zh-CN"/>
        </w:rPr>
        <w:t>)</w:t>
      </w:r>
      <w:r>
        <w:rPr>
          <w:rFonts w:hint="default" w:ascii="Times New Roman" w:hAnsi="Times New Roman" w:eastAsia="宋体" w:cs="Times New Roman"/>
          <w:color w:val="auto"/>
          <w:spacing w:val="-1"/>
          <w:sz w:val="24"/>
          <w:szCs w:val="24"/>
          <w:u w:val="none" w:color="auto"/>
          <w:lang w:val="en-US" w:eastAsia="zh-CN"/>
        </w:rPr>
        <w:t>施工期供水</w:t>
      </w:r>
    </w:p>
    <w:p w14:paraId="31DD3902">
      <w:pPr>
        <w:bidi w:val="0"/>
        <w:rPr>
          <w:rFonts w:hint="default" w:ascii="Times New Roman" w:hAnsi="Times New Roman" w:eastAsia="宋体" w:cs="Times New Roman"/>
          <w:color w:val="auto"/>
          <w:spacing w:val="-1"/>
          <w:sz w:val="24"/>
          <w:szCs w:val="24"/>
          <w:u w:val="none" w:color="auto"/>
          <w:lang w:val="en-US" w:eastAsia="zh-CN"/>
        </w:rPr>
      </w:pPr>
      <w:r>
        <w:rPr>
          <w:rFonts w:hint="default" w:ascii="Times New Roman" w:hAnsi="Times New Roman" w:eastAsia="宋体" w:cs="Times New Roman"/>
          <w:color w:val="auto"/>
          <w:spacing w:val="-1"/>
          <w:sz w:val="24"/>
          <w:szCs w:val="24"/>
          <w:u w:val="none" w:color="auto"/>
          <w:lang w:val="en-US" w:eastAsia="zh-CN"/>
        </w:rPr>
        <w:t>本工程施工用水主要为施工生产、生活用水以及灌溉、居民生活、生态用水。生产用水主要为砂浆</w:t>
      </w:r>
      <w:r>
        <w:rPr>
          <w:rFonts w:hint="eastAsia" w:cs="Times New Roman"/>
          <w:color w:val="auto"/>
          <w:spacing w:val="-1"/>
          <w:sz w:val="24"/>
          <w:szCs w:val="24"/>
          <w:u w:val="none" w:color="auto"/>
          <w:lang w:val="en-US" w:eastAsia="zh-CN"/>
        </w:rPr>
        <w:t>拌合</w:t>
      </w:r>
      <w:r>
        <w:rPr>
          <w:rFonts w:hint="default" w:ascii="Times New Roman" w:hAnsi="Times New Roman" w:eastAsia="宋体" w:cs="Times New Roman"/>
          <w:color w:val="auto"/>
          <w:spacing w:val="-1"/>
          <w:sz w:val="24"/>
          <w:szCs w:val="24"/>
          <w:u w:val="none" w:color="auto"/>
          <w:lang w:val="en-US" w:eastAsia="zh-CN"/>
        </w:rPr>
        <w:t>用水、混凝土养护用水、土方填筑用水、机械设备用水等。水库水质满足施工用水要求，本工程生产用水可取水库内部，生活用水接当地居民用水。根据用水强度配备2台SLB300-50B型水泵，扬程38m，流量169.3</w:t>
      </w:r>
      <w:r>
        <w:rPr>
          <w:rFonts w:hint="default" w:ascii="Times New Roman" w:hAnsi="Times New Roman" w:cs="Times New Roman"/>
          <w:color w:val="auto"/>
          <w:spacing w:val="-1"/>
          <w:sz w:val="24"/>
          <w:szCs w:val="24"/>
          <w:u w:val="none" w:color="auto"/>
          <w:lang w:val="en-US" w:eastAsia="zh-CN"/>
        </w:rPr>
        <w:t>m³</w:t>
      </w:r>
      <w:r>
        <w:rPr>
          <w:rFonts w:hint="default" w:ascii="Times New Roman" w:hAnsi="Times New Roman" w:eastAsia="宋体" w:cs="Times New Roman"/>
          <w:color w:val="auto"/>
          <w:spacing w:val="-1"/>
          <w:sz w:val="24"/>
          <w:szCs w:val="24"/>
          <w:u w:val="none" w:color="auto"/>
          <w:lang w:val="en-US" w:eastAsia="zh-CN"/>
        </w:rPr>
        <w:t>/h，功率90kW，满足施工期生产及生活用水。</w:t>
      </w:r>
    </w:p>
    <w:p w14:paraId="223CBBE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施工组织计划，第1年8月~第2年2月利用围堰内预埋钢管接入隧洞供水，第2年3月隧洞加固施工期间，因无导流泄水建筑物，本次考虑用抽水泵抽水供水，保障灌溉、居民生活、生态用水，总流量为0.15m³/s。经过调查居民每日生活需水量约3000m³，考虑较枯月份来水量不足情况，为保障供水，水库在每次来水前预留10日需水量，相应库容为3.00万m³。经计算抽水流量为0.15m³/s，本次设计选用水泵型号为SLB300-50B型(Q=169.3m³/h、H=38m、90kW)3台，2用1备，满足灌溉、居民生活、生态用水。</w:t>
      </w:r>
    </w:p>
    <w:p w14:paraId="09A497F3">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(3)施工供电</w:t>
      </w:r>
    </w:p>
    <w:p w14:paraId="3DDAF0F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工程施工用电包括生产和生活用电，主要是灌浆、照明、供风、抽排水等，按总同时系数法估算施工高峰用电负荷约288kW，额定电压等级为380V，由电网供电。施工用电可从廊洞水库管理所附近的变压器接10kV线路出线，接线距离约0.70km。为确保工程施工安全，现场配备1台200kW柴油发电机备用，作为电网停电时的保安电源。</w:t>
      </w:r>
    </w:p>
    <w:p w14:paraId="49BA492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(4)施工通讯</w:t>
      </w:r>
    </w:p>
    <w:p w14:paraId="021F0C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本工程施工通讯采用移动通讯为主、程控固定电话与对讲机为辅的通信方式</w:t>
      </w:r>
      <w:r>
        <w:rPr>
          <w:rFonts w:hint="default" w:ascii="Times New Roman" w:hAnsi="Times New Roman" w:cs="Times New Roman"/>
          <w:color w:val="auto"/>
          <w:u w:val="none" w:color="auto"/>
        </w:rPr>
        <w:t>。</w:t>
      </w:r>
    </w:p>
    <w:p w14:paraId="464BF90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highlight w:val="none"/>
          <w:u w:val="none" w:color="auto"/>
        </w:rPr>
        <w:t>工厂</w:t>
      </w:r>
      <w:r>
        <w:rPr>
          <w:rFonts w:hint="default" w:ascii="Times New Roman" w:hAnsi="Times New Roman" w:cs="Times New Roman"/>
          <w:color w:val="auto"/>
          <w:u w:val="none" w:color="auto"/>
        </w:rPr>
        <w:t>设施及布置</w:t>
      </w:r>
    </w:p>
    <w:p w14:paraId="6A65BD4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施工临建设施布置要求便于施工、节约能源、减少运输、提高效率，工程完工后及时清理现场，恢复大坝周边环境。本除险加固工程施工在充分利用电站原有可资利用设施的前提下，施工布置采用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大集中、小分散</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布置的方式，以满足工程施工需要。</w:t>
      </w:r>
    </w:p>
    <w:p w14:paraId="4A964E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本工程灌浆量大、水泥用量较多，除综合仓库外，额外再单独设置水泥仓库。本工程右坝头现有平坦地可集中布置综合仓库、水泥仓库、综合加工厂、金结拼装场；为方便</w:t>
      </w:r>
      <w:r>
        <w:rPr>
          <w:rFonts w:hint="default" w:ascii="Times New Roman" w:hAnsi="Times New Roman" w:cs="Times New Roman"/>
          <w:color w:val="auto"/>
          <w:highlight w:val="none"/>
          <w:u w:val="none" w:color="auto"/>
        </w:rPr>
        <w:t>空腹</w:t>
      </w:r>
      <w:r>
        <w:rPr>
          <w:rFonts w:hint="default" w:ascii="Times New Roman" w:hAnsi="Times New Roman" w:cs="Times New Roman"/>
          <w:color w:val="auto"/>
          <w:u w:val="none" w:color="auto"/>
        </w:rPr>
        <w:t>及廊道内施工，在导流底孔附近场地经平整后可布置综合加工厂及水泥仓库；施工机械设备可就近停放在现有办公区内水泥坪。临时办公生活设施考虑全部租用电站现有管理及生活用房或当地民房。</w:t>
      </w:r>
    </w:p>
    <w:p w14:paraId="06C1475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w:t>
      </w:r>
      <w:r>
        <w:rPr>
          <w:rFonts w:hint="default" w:ascii="Times New Roman" w:hAnsi="Times New Roman" w:cs="Times New Roman"/>
          <w:color w:val="auto"/>
          <w:u w:val="none" w:color="auto"/>
          <w:lang w:eastAsia="zh-CN"/>
        </w:rPr>
        <w:t>工程临时设施主要包括施工工厂、施工仓库</w:t>
      </w:r>
      <w:r>
        <w:rPr>
          <w:rFonts w:hint="eastAsia" w:cs="Times New Roman"/>
          <w:color w:val="auto"/>
          <w:u w:val="none" w:color="auto"/>
          <w:lang w:val="en-US" w:eastAsia="zh-CN"/>
        </w:rPr>
        <w:t>=</w:t>
      </w:r>
      <w:r>
        <w:rPr>
          <w:rFonts w:hint="default" w:ascii="Times New Roman" w:hAnsi="Times New Roman" w:cs="Times New Roman"/>
          <w:color w:val="auto"/>
          <w:u w:val="none" w:color="auto"/>
          <w:lang w:eastAsia="zh-CN"/>
        </w:rPr>
        <w:t>，根据工程实际情况，还需设置机械设备停放场，临建设施占地含施工工厂、施工仓库、机械设备停放场及办公生活设施占地</w:t>
      </w:r>
      <w:r>
        <w:rPr>
          <w:rFonts w:hint="default" w:ascii="Times New Roman" w:hAnsi="Times New Roman" w:cs="Times New Roman"/>
          <w:color w:val="auto"/>
          <w:u w:val="none" w:color="auto"/>
        </w:rPr>
        <w:t>。工程临建设施面积汇总表见</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8</w:t>
      </w:r>
      <w:r>
        <w:rPr>
          <w:rFonts w:hint="default" w:ascii="Times New Roman" w:hAnsi="Times New Roman" w:cs="Times New Roman"/>
          <w:color w:val="auto"/>
          <w:u w:val="none" w:color="auto"/>
        </w:rPr>
        <w:t>。</w:t>
      </w:r>
    </w:p>
    <w:p w14:paraId="3F94A6A3">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8</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临建设施面积汇总表</w:t>
      </w:r>
    </w:p>
    <w:tbl>
      <w:tblPr>
        <w:tblStyle w:val="37"/>
        <w:tblW w:w="502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8"/>
        <w:gridCol w:w="1830"/>
        <w:gridCol w:w="1831"/>
        <w:gridCol w:w="1733"/>
        <w:gridCol w:w="1932"/>
      </w:tblGrid>
      <w:tr w14:paraId="479FF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jc w:val="center"/>
        </w:trPr>
        <w:tc>
          <w:tcPr>
            <w:tcW w:w="1037" w:type="dxa"/>
            <w:vAlign w:val="center"/>
          </w:tcPr>
          <w:p w14:paraId="35F06DC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1828" w:type="dxa"/>
            <w:vAlign w:val="center"/>
          </w:tcPr>
          <w:p w14:paraId="71CF0BD2">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名</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称</w:t>
            </w:r>
          </w:p>
        </w:tc>
        <w:tc>
          <w:tcPr>
            <w:tcW w:w="1829" w:type="dxa"/>
            <w:vAlign w:val="center"/>
          </w:tcPr>
          <w:p w14:paraId="131E9B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建筑面积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731" w:type="dxa"/>
            <w:vAlign w:val="center"/>
          </w:tcPr>
          <w:p w14:paraId="5D3468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占地面积</w:t>
            </w:r>
            <w:r>
              <w:rPr>
                <w:rFonts w:hint="default" w:ascii="Times New Roman" w:hAnsi="Times New Roman" w:cs="Times New Roman" w:eastAsiaTheme="minorEastAsia"/>
                <w:color w:val="auto"/>
                <w:sz w:val="21"/>
                <w:szCs w:val="21"/>
                <w:u w:val="none" w:color="auto"/>
                <w:lang w:eastAsia="zh-CN"/>
              </w:rPr>
              <w:t>(</w:t>
            </w:r>
            <w:r>
              <w:rPr>
                <w:rFonts w:hint="eastAsia" w:ascii="Times New Roman" w:hAnsi="Times New Roman" w:cs="Times New Roman" w:eastAsiaTheme="minorEastAsia"/>
                <w:color w:val="auto"/>
                <w:sz w:val="21"/>
                <w:szCs w:val="21"/>
                <w:u w:val="none" w:color="auto"/>
                <w:lang w:eastAsia="zh-CN"/>
              </w:rPr>
              <w:t>m</w:t>
            </w:r>
            <w:r>
              <w:rPr>
                <w:rFonts w:hint="eastAsia" w:ascii="Times New Roman" w:hAnsi="Times New Roman" w:cs="Times New Roman" w:eastAsiaTheme="minorEastAsia"/>
                <w:color w:val="auto"/>
                <w:sz w:val="21"/>
                <w:szCs w:val="21"/>
                <w:u w:val="none" w:color="auto"/>
                <w:vertAlign w:val="superscript"/>
                <w:lang w:eastAsia="zh-CN"/>
              </w:rPr>
              <w:t>2</w:t>
            </w:r>
            <w:r>
              <w:rPr>
                <w:rFonts w:hint="default" w:ascii="Times New Roman" w:hAnsi="Times New Roman" w:cs="Times New Roman" w:eastAsiaTheme="minorEastAsia"/>
                <w:color w:val="auto"/>
                <w:sz w:val="21"/>
                <w:szCs w:val="21"/>
                <w:u w:val="none" w:color="auto"/>
                <w:lang w:eastAsia="zh-CN"/>
              </w:rPr>
              <w:t>)</w:t>
            </w:r>
          </w:p>
        </w:tc>
        <w:tc>
          <w:tcPr>
            <w:tcW w:w="1931" w:type="dxa"/>
            <w:vAlign w:val="center"/>
          </w:tcPr>
          <w:p w14:paraId="770890B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备注</w:t>
            </w:r>
          </w:p>
        </w:tc>
      </w:tr>
      <w:tr w14:paraId="18D483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 w:hRule="atLeast"/>
          <w:jc w:val="center"/>
        </w:trPr>
        <w:tc>
          <w:tcPr>
            <w:tcW w:w="1037" w:type="dxa"/>
            <w:vAlign w:val="center"/>
          </w:tcPr>
          <w:p w14:paraId="4D97861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w:t>
            </w:r>
          </w:p>
        </w:tc>
        <w:tc>
          <w:tcPr>
            <w:tcW w:w="1828" w:type="dxa"/>
            <w:vAlign w:val="center"/>
          </w:tcPr>
          <w:p w14:paraId="1156C72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管理及生活设施</w:t>
            </w:r>
          </w:p>
        </w:tc>
        <w:tc>
          <w:tcPr>
            <w:tcW w:w="1829" w:type="dxa"/>
            <w:vAlign w:val="center"/>
          </w:tcPr>
          <w:p w14:paraId="2F20B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731" w:type="dxa"/>
            <w:vAlign w:val="center"/>
          </w:tcPr>
          <w:p w14:paraId="1D30646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931" w:type="dxa"/>
            <w:vAlign w:val="center"/>
          </w:tcPr>
          <w:p w14:paraId="186C6BA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租用廊洞管理所房屋</w:t>
            </w:r>
          </w:p>
        </w:tc>
      </w:tr>
      <w:tr w14:paraId="03975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37" w:type="dxa"/>
            <w:vAlign w:val="center"/>
          </w:tcPr>
          <w:p w14:paraId="0A830A4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w:t>
            </w:r>
          </w:p>
        </w:tc>
        <w:tc>
          <w:tcPr>
            <w:tcW w:w="1828" w:type="dxa"/>
            <w:vAlign w:val="center"/>
          </w:tcPr>
          <w:p w14:paraId="176519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水泥仓库</w:t>
            </w:r>
          </w:p>
        </w:tc>
        <w:tc>
          <w:tcPr>
            <w:tcW w:w="1829" w:type="dxa"/>
            <w:vAlign w:val="center"/>
          </w:tcPr>
          <w:p w14:paraId="3ECD59B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200</w:t>
            </w:r>
          </w:p>
        </w:tc>
        <w:tc>
          <w:tcPr>
            <w:tcW w:w="1731" w:type="dxa"/>
            <w:vAlign w:val="center"/>
          </w:tcPr>
          <w:p w14:paraId="68DABE5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1931" w:type="dxa"/>
            <w:vAlign w:val="center"/>
          </w:tcPr>
          <w:p w14:paraId="7D51409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26B1C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9" w:hRule="atLeast"/>
          <w:jc w:val="center"/>
        </w:trPr>
        <w:tc>
          <w:tcPr>
            <w:tcW w:w="1037" w:type="dxa"/>
            <w:vAlign w:val="center"/>
          </w:tcPr>
          <w:p w14:paraId="1ECF09C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w:t>
            </w:r>
          </w:p>
        </w:tc>
        <w:tc>
          <w:tcPr>
            <w:tcW w:w="1828" w:type="dxa"/>
            <w:vAlign w:val="center"/>
          </w:tcPr>
          <w:p w14:paraId="24A80FC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灌、制浆棚</w:t>
            </w:r>
          </w:p>
        </w:tc>
        <w:tc>
          <w:tcPr>
            <w:tcW w:w="1829" w:type="dxa"/>
            <w:vAlign w:val="center"/>
          </w:tcPr>
          <w:p w14:paraId="3A6D1FE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2666CE1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400</w:t>
            </w:r>
          </w:p>
        </w:tc>
        <w:tc>
          <w:tcPr>
            <w:tcW w:w="1931" w:type="dxa"/>
            <w:vAlign w:val="center"/>
          </w:tcPr>
          <w:p w14:paraId="58902DD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7F410B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1037" w:type="dxa"/>
            <w:vAlign w:val="center"/>
          </w:tcPr>
          <w:p w14:paraId="6668429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4</w:t>
            </w:r>
          </w:p>
        </w:tc>
        <w:tc>
          <w:tcPr>
            <w:tcW w:w="1828" w:type="dxa"/>
            <w:vAlign w:val="center"/>
          </w:tcPr>
          <w:p w14:paraId="59E6C70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钢筋加工厂</w:t>
            </w:r>
          </w:p>
        </w:tc>
        <w:tc>
          <w:tcPr>
            <w:tcW w:w="1829" w:type="dxa"/>
            <w:vAlign w:val="center"/>
          </w:tcPr>
          <w:p w14:paraId="256AAC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50142F5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1931" w:type="dxa"/>
            <w:vAlign w:val="center"/>
          </w:tcPr>
          <w:p w14:paraId="3D3A168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A3118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037" w:type="dxa"/>
            <w:vAlign w:val="center"/>
          </w:tcPr>
          <w:p w14:paraId="6F8F49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w:t>
            </w:r>
          </w:p>
        </w:tc>
        <w:tc>
          <w:tcPr>
            <w:tcW w:w="1828" w:type="dxa"/>
            <w:vAlign w:val="center"/>
          </w:tcPr>
          <w:p w14:paraId="3729519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木材加工厂</w:t>
            </w:r>
          </w:p>
        </w:tc>
        <w:tc>
          <w:tcPr>
            <w:tcW w:w="1829" w:type="dxa"/>
            <w:vAlign w:val="center"/>
          </w:tcPr>
          <w:p w14:paraId="7B9BF4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w:t>
            </w:r>
          </w:p>
        </w:tc>
        <w:tc>
          <w:tcPr>
            <w:tcW w:w="1731" w:type="dxa"/>
            <w:vAlign w:val="center"/>
          </w:tcPr>
          <w:p w14:paraId="5843B87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300</w:t>
            </w:r>
          </w:p>
        </w:tc>
        <w:tc>
          <w:tcPr>
            <w:tcW w:w="1931" w:type="dxa"/>
            <w:vAlign w:val="center"/>
          </w:tcPr>
          <w:p w14:paraId="4939C4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E097B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 w:hRule="atLeast"/>
          <w:jc w:val="center"/>
        </w:trPr>
        <w:tc>
          <w:tcPr>
            <w:tcW w:w="1037" w:type="dxa"/>
            <w:vAlign w:val="center"/>
          </w:tcPr>
          <w:p w14:paraId="4CBC660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6</w:t>
            </w:r>
          </w:p>
        </w:tc>
        <w:tc>
          <w:tcPr>
            <w:tcW w:w="1828" w:type="dxa"/>
            <w:vAlign w:val="center"/>
          </w:tcPr>
          <w:p w14:paraId="5BD02D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设施停放场</w:t>
            </w:r>
          </w:p>
        </w:tc>
        <w:tc>
          <w:tcPr>
            <w:tcW w:w="1829" w:type="dxa"/>
            <w:vAlign w:val="center"/>
          </w:tcPr>
          <w:p w14:paraId="23AB397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731" w:type="dxa"/>
            <w:vAlign w:val="center"/>
          </w:tcPr>
          <w:p w14:paraId="330A0E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500</w:t>
            </w:r>
          </w:p>
        </w:tc>
        <w:tc>
          <w:tcPr>
            <w:tcW w:w="1931" w:type="dxa"/>
            <w:vAlign w:val="center"/>
          </w:tcPr>
          <w:p w14:paraId="0F46F5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r w14:paraId="315AA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58" w:hRule="atLeast"/>
          <w:jc w:val="center"/>
        </w:trPr>
        <w:tc>
          <w:tcPr>
            <w:tcW w:w="1037" w:type="dxa"/>
            <w:vAlign w:val="center"/>
          </w:tcPr>
          <w:p w14:paraId="1ACA27E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1828" w:type="dxa"/>
            <w:vAlign w:val="center"/>
          </w:tcPr>
          <w:p w14:paraId="1F4F0558">
            <w:pPr>
              <w:pStyle w:val="100"/>
              <w:keepNext w:val="0"/>
              <w:keepLines w:val="0"/>
              <w:pageBreakBefore w:val="0"/>
              <w:widowControl w:val="0"/>
              <w:tabs>
                <w:tab w:val="left" w:pos="491"/>
              </w:tabs>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合</w:t>
            </w:r>
            <w:r>
              <w:rPr>
                <w:rFonts w:hint="default" w:ascii="Times New Roman" w:hAnsi="Times New Roman" w:cs="Times New Roman" w:eastAsiaTheme="minorEastAsia"/>
                <w:color w:val="auto"/>
                <w:sz w:val="21"/>
                <w:szCs w:val="21"/>
                <w:u w:val="none" w:color="auto"/>
              </w:rPr>
              <w:tab/>
            </w:r>
            <w:r>
              <w:rPr>
                <w:rFonts w:hint="default" w:ascii="Times New Roman" w:hAnsi="Times New Roman" w:cs="Times New Roman" w:eastAsiaTheme="minorEastAsia"/>
                <w:color w:val="auto"/>
                <w:sz w:val="21"/>
                <w:szCs w:val="21"/>
                <w:u w:val="none" w:color="auto"/>
              </w:rPr>
              <w:t>计</w:t>
            </w:r>
          </w:p>
        </w:tc>
        <w:tc>
          <w:tcPr>
            <w:tcW w:w="1829" w:type="dxa"/>
            <w:vAlign w:val="center"/>
          </w:tcPr>
          <w:p w14:paraId="3497773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1000</w:t>
            </w:r>
          </w:p>
        </w:tc>
        <w:tc>
          <w:tcPr>
            <w:tcW w:w="1731" w:type="dxa"/>
            <w:vAlign w:val="center"/>
          </w:tcPr>
          <w:p w14:paraId="485122A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color w:val="auto"/>
                <w:sz w:val="21"/>
                <w:szCs w:val="21"/>
                <w:u w:val="none" w:color="auto"/>
              </w:rPr>
              <w:t>1900</w:t>
            </w:r>
            <w:r>
              <w:rPr>
                <w:rFonts w:hint="default" w:ascii="Times New Roman" w:hAnsi="Times New Roman" w:cs="Times New Roman" w:eastAsiaTheme="minorEastAsia"/>
                <w:color w:val="auto"/>
                <w:sz w:val="21"/>
                <w:szCs w:val="21"/>
                <w:u w:val="none" w:color="auto"/>
                <w:lang w:eastAsia="zh-CN"/>
              </w:rPr>
              <w:t>(</w:t>
            </w:r>
            <w:r>
              <w:rPr>
                <w:rFonts w:hint="default" w:ascii="Times New Roman" w:hAnsi="Times New Roman" w:cs="Times New Roman" w:eastAsiaTheme="minorEastAsia"/>
                <w:color w:val="auto"/>
                <w:sz w:val="21"/>
                <w:szCs w:val="21"/>
                <w:u w:val="none" w:color="auto"/>
              </w:rPr>
              <w:t>不含租用</w:t>
            </w:r>
            <w:r>
              <w:rPr>
                <w:rFonts w:hint="default" w:ascii="Times New Roman" w:hAnsi="Times New Roman" w:cs="Times New Roman" w:eastAsiaTheme="minorEastAsia"/>
                <w:color w:val="auto"/>
                <w:sz w:val="21"/>
                <w:szCs w:val="21"/>
                <w:u w:val="none" w:color="auto"/>
                <w:lang w:eastAsia="zh-CN"/>
              </w:rPr>
              <w:t>)</w:t>
            </w:r>
          </w:p>
        </w:tc>
        <w:tc>
          <w:tcPr>
            <w:tcW w:w="1931" w:type="dxa"/>
            <w:vAlign w:val="center"/>
          </w:tcPr>
          <w:p w14:paraId="5DA883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r>
    </w:tbl>
    <w:p w14:paraId="7DFE63F5">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备注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临时办公生活设施考虑全部租用电站现有管理及生活用房</w:t>
      </w:r>
      <w:r>
        <w:rPr>
          <w:rFonts w:hint="default" w:ascii="Times New Roman" w:hAnsi="Times New Roman" w:cs="Times New Roman"/>
          <w:color w:val="auto"/>
          <w:u w:val="none" w:color="auto"/>
          <w:lang w:eastAsia="zh-CN"/>
        </w:rPr>
        <w:t>。</w:t>
      </w:r>
    </w:p>
    <w:p w14:paraId="17DFAF4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w:t>
      </w:r>
      <w:r>
        <w:rPr>
          <w:rFonts w:hint="default" w:ascii="Times New Roman" w:hAnsi="Times New Roman" w:cs="Times New Roman"/>
          <w:color w:val="auto"/>
          <w:u w:val="none" w:color="auto"/>
        </w:rPr>
        <w:t>总平面布置合理性分析</w:t>
      </w:r>
    </w:p>
    <w:p w14:paraId="2E19A7F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施工临建设施布置要求便于施工、节约能源、减少运输、提高效率，工程完工后及时清理现场，恢复大坝周边环境。工程施工在充分利用电站原有</w:t>
      </w:r>
      <w:r>
        <w:rPr>
          <w:rFonts w:hint="default" w:ascii="Times New Roman" w:hAnsi="Times New Roman" w:cs="Times New Roman"/>
          <w:color w:val="auto"/>
          <w:highlight w:val="none"/>
          <w:u w:val="none" w:color="auto"/>
        </w:rPr>
        <w:t>可资利用</w:t>
      </w:r>
      <w:r>
        <w:rPr>
          <w:rFonts w:hint="default" w:ascii="Times New Roman" w:hAnsi="Times New Roman" w:cs="Times New Roman"/>
          <w:color w:val="auto"/>
          <w:u w:val="none" w:color="auto"/>
        </w:rPr>
        <w:t>设施的前提下，施工布置采用“大集中、小分散”布置的方式，以满足工程施工需要。</w:t>
      </w:r>
    </w:p>
    <w:p w14:paraId="19E4BF0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为水库除险加固工程，工程不改变水库原坝址，不改变水库的设计正常蓄水位和水库库容；水库除险加固后有利于降低洪涝威胁，减少环境风险隐患。施工总平面布置上充分考虑因时、因地制宜，结合实际地形地貌等条件，以用最少的人力、物力和财力在设计工期内顺利完成工程任务。临时办公生活设施考虑全部租用电站现有管理及生活用房或当地民房。</w:t>
      </w:r>
      <w:r>
        <w:rPr>
          <w:rFonts w:hint="default" w:ascii="Times New Roman" w:hAnsi="Times New Roman" w:cs="Times New Roman"/>
          <w:color w:val="auto"/>
          <w:u w:val="none" w:color="auto"/>
          <w:lang w:val="en-US" w:eastAsia="zh-CN"/>
        </w:rPr>
        <w:t>具体</w:t>
      </w:r>
      <w:r>
        <w:rPr>
          <w:rFonts w:hint="default" w:ascii="Times New Roman" w:hAnsi="Times New Roman" w:cs="Times New Roman"/>
          <w:color w:val="auto"/>
          <w:u w:val="none" w:color="auto"/>
        </w:rPr>
        <w:t>总平面布局见附图</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工程施工总布置遵循下列原则：</w:t>
      </w:r>
    </w:p>
    <w:p w14:paraId="53F28AE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①根据工程布置特点进行施工总布置的规划，以满足主体工程施工的需要；</w:t>
      </w:r>
    </w:p>
    <w:p w14:paraId="611D7EE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②施工道路规划尽量考虑利用原有的永久交通道路；</w:t>
      </w:r>
    </w:p>
    <w:p w14:paraId="27037BC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③遵循紧凑、合理、节约用地，并尽量利用水库管理所附近空地，少占或不占站外耕地和民房；</w:t>
      </w:r>
    </w:p>
    <w:p w14:paraId="0FB03D6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④场地布置应满足国家有关安全、防火、卫生和环保等要求。</w:t>
      </w:r>
    </w:p>
    <w:p w14:paraId="6005A00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综上，本项目施工总布置方案合理。</w:t>
      </w:r>
    </w:p>
    <w:p w14:paraId="7EAE65C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土石方平衡及弃渣场规划</w:t>
      </w:r>
    </w:p>
    <w:p w14:paraId="5988C30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土石方平衡规划</w:t>
      </w:r>
    </w:p>
    <w:p w14:paraId="251B3B2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u w:val="none" w:color="auto"/>
        </w:rPr>
      </w:pPr>
      <w:r>
        <w:rPr>
          <w:rFonts w:hint="default" w:ascii="Times New Roman" w:hAnsi="Times New Roman" w:cs="Times New Roman" w:eastAsiaTheme="minorEastAsia"/>
          <w:color w:val="auto"/>
          <w:u w:val="none" w:color="auto"/>
        </w:rPr>
        <w:t>根据本工程土石方平衡规划</w:t>
      </w:r>
      <w:r>
        <w:rPr>
          <w:rFonts w:hint="default" w:ascii="Times New Roman" w:hAnsi="Times New Roman" w:cs="Times New Roman" w:eastAsiaTheme="minorEastAsia"/>
          <w:color w:val="auto"/>
          <w:u w:val="none" w:color="auto"/>
          <w:lang w:val="en-US" w:eastAsia="zh-CN"/>
        </w:rPr>
        <w:t>和《道县廊洞水库除险加固建设项目水土保持方案报告书》</w:t>
      </w:r>
      <w:r>
        <w:rPr>
          <w:rFonts w:hint="default" w:ascii="Times New Roman" w:hAnsi="Times New Roman" w:cs="Times New Roman" w:eastAsiaTheme="minorEastAsia"/>
          <w:color w:val="auto"/>
          <w:u w:val="none" w:color="auto"/>
        </w:rPr>
        <w:t>分析，本工程土石方开挖</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含拆除</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共计2.73万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u w:val="none" w:color="auto"/>
        </w:rPr>
        <w:t>自然方，下同</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u w:val="none" w:color="auto"/>
        </w:rPr>
        <w:t>，</w:t>
      </w:r>
      <w:r>
        <w:rPr>
          <w:rFonts w:hint="default" w:ascii="Times New Roman" w:hAnsi="Times New Roman" w:cs="Times New Roman" w:eastAsiaTheme="minorEastAsia"/>
          <w:color w:val="auto"/>
          <w:spacing w:val="-2"/>
          <w:sz w:val="24"/>
          <w:szCs w:val="24"/>
          <w:u w:val="none" w:color="auto"/>
        </w:rPr>
        <w:t>土石方填筑共计</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522</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块石外购，1770</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土方外购</w:t>
      </w:r>
      <w:r>
        <w:rPr>
          <w:rFonts w:hint="default" w:ascii="Times New Roman" w:hAnsi="Times New Roman" w:cs="Times New Roman" w:eastAsiaTheme="minorEastAsia"/>
          <w:color w:val="auto"/>
          <w:u w:val="none" w:color="auto"/>
          <w:lang w:eastAsia="zh-CN"/>
        </w:rPr>
        <w:t>)</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u w:val="none" w:color="auto"/>
        </w:rPr>
        <w:t>。</w:t>
      </w:r>
    </w:p>
    <w:p w14:paraId="270C629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u w:val="none" w:color="auto"/>
          <w:lang w:eastAsia="zh-CN"/>
        </w:rPr>
      </w:pPr>
      <w:r>
        <w:rPr>
          <w:rFonts w:hint="default" w:ascii="Times New Roman" w:hAnsi="Times New Roman" w:cs="Times New Roman" w:eastAsiaTheme="minorEastAsia"/>
          <w:color w:val="auto"/>
          <w:u w:val="none" w:color="auto"/>
        </w:rPr>
        <w:t>项目土石方平衡见表3.</w:t>
      </w:r>
      <w:r>
        <w:rPr>
          <w:rFonts w:hint="eastAsia" w:cs="Times New Roman" w:eastAsiaTheme="minorEastAsia"/>
          <w:color w:val="auto"/>
          <w:u w:val="none" w:color="auto"/>
          <w:lang w:val="en-US" w:eastAsia="zh-CN"/>
        </w:rPr>
        <w:t>9</w:t>
      </w:r>
      <w:r>
        <w:rPr>
          <w:rFonts w:hint="default" w:ascii="Times New Roman" w:hAnsi="Times New Roman" w:cs="Times New Roman" w:eastAsiaTheme="minorEastAsia"/>
          <w:color w:val="auto"/>
          <w:u w:val="none" w:color="auto"/>
        </w:rPr>
        <w:t>-</w:t>
      </w:r>
      <w:r>
        <w:rPr>
          <w:rFonts w:hint="eastAsia" w:cs="Times New Roman" w:eastAsiaTheme="minorEastAsia"/>
          <w:color w:val="auto"/>
          <w:u w:val="none" w:color="auto"/>
          <w:lang w:val="en-US" w:eastAsia="zh-CN"/>
        </w:rPr>
        <w:t>9</w:t>
      </w:r>
      <w:r>
        <w:rPr>
          <w:rFonts w:hint="default" w:ascii="Times New Roman" w:hAnsi="Times New Roman" w:cs="Times New Roman" w:eastAsiaTheme="minorEastAsia"/>
          <w:color w:val="auto"/>
          <w:u w:val="none" w:color="auto"/>
          <w:lang w:eastAsia="zh-CN"/>
        </w:rPr>
        <w:t>。</w:t>
      </w:r>
    </w:p>
    <w:p w14:paraId="720A88BB">
      <w:pPr>
        <w:bidi w:val="0"/>
        <w:spacing w:line="240" w:lineRule="auto"/>
        <w:jc w:val="center"/>
        <w:rPr>
          <w:rFonts w:hint="default" w:ascii="Times New Roman" w:hAnsi="Times New Roman" w:cs="Times New Roman"/>
          <w:b/>
          <w:bCs/>
          <w:color w:val="auto"/>
          <w:sz w:val="21"/>
          <w:szCs w:val="21"/>
          <w:u w:val="none" w:color="auto"/>
          <w:lang w:eastAsia="zh-CN"/>
        </w:rPr>
      </w:pPr>
      <w:r>
        <w:rPr>
          <w:rFonts w:hint="default" w:ascii="Times New Roman" w:hAnsi="Times New Roman" w:cs="Times New Roman"/>
          <w:b/>
          <w:bCs/>
          <w:color w:val="auto"/>
          <w:sz w:val="21"/>
          <w:szCs w:val="21"/>
          <w:u w:val="none" w:color="auto"/>
          <w:lang w:eastAsia="zh-CN"/>
        </w:rPr>
        <w:t>表3.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eastAsia="zh-CN"/>
        </w:rPr>
        <w:t xml:space="preserve">   本项目土石方一览表  单位：</w:t>
      </w:r>
      <w:r>
        <w:rPr>
          <w:rFonts w:hint="default" w:ascii="Times New Roman" w:hAnsi="Times New Roman" w:cs="Times New Roman"/>
          <w:b/>
          <w:bCs/>
          <w:color w:val="auto"/>
          <w:sz w:val="21"/>
          <w:szCs w:val="21"/>
          <w:u w:val="none" w:color="auto"/>
          <w:lang w:val="en-US" w:eastAsia="zh-CN"/>
        </w:rPr>
        <w:t>万</w:t>
      </w:r>
      <w:r>
        <w:rPr>
          <w:rFonts w:hint="default" w:ascii="Times New Roman" w:hAnsi="Times New Roman" w:cs="Times New Roman"/>
          <w:b/>
          <w:bCs/>
          <w:color w:val="auto"/>
          <w:sz w:val="21"/>
          <w:szCs w:val="21"/>
          <w:u w:val="none" w:color="auto"/>
          <w:lang w:eastAsia="zh-CN"/>
        </w:rPr>
        <w:t>m³</w:t>
      </w:r>
    </w:p>
    <w:tbl>
      <w:tblPr>
        <w:tblStyle w:val="3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2"/>
        <w:gridCol w:w="441"/>
        <w:gridCol w:w="584"/>
        <w:gridCol w:w="599"/>
        <w:gridCol w:w="460"/>
        <w:gridCol w:w="606"/>
        <w:gridCol w:w="576"/>
        <w:gridCol w:w="521"/>
        <w:gridCol w:w="592"/>
        <w:gridCol w:w="457"/>
        <w:gridCol w:w="861"/>
        <w:gridCol w:w="577"/>
        <w:gridCol w:w="741"/>
        <w:gridCol w:w="705"/>
      </w:tblGrid>
      <w:tr w14:paraId="1CABA2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Merge w:val="restart"/>
            <w:vAlign w:val="center"/>
          </w:tcPr>
          <w:p w14:paraId="795F952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项目</w:t>
            </w:r>
          </w:p>
        </w:tc>
        <w:tc>
          <w:tcPr>
            <w:tcW w:w="1596" w:type="pct"/>
            <w:gridSpan w:val="5"/>
            <w:vAlign w:val="center"/>
          </w:tcPr>
          <w:p w14:paraId="3D4330D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开挖</w:t>
            </w:r>
          </w:p>
        </w:tc>
        <w:tc>
          <w:tcPr>
            <w:tcW w:w="1021" w:type="pct"/>
            <w:gridSpan w:val="3"/>
            <w:vAlign w:val="center"/>
          </w:tcPr>
          <w:p w14:paraId="0DE085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回填</w:t>
            </w:r>
          </w:p>
        </w:tc>
        <w:tc>
          <w:tcPr>
            <w:tcW w:w="796" w:type="pct"/>
            <w:gridSpan w:val="2"/>
            <w:vAlign w:val="center"/>
          </w:tcPr>
          <w:p w14:paraId="3C9CBB7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调入</w:t>
            </w:r>
          </w:p>
        </w:tc>
        <w:tc>
          <w:tcPr>
            <w:tcW w:w="795" w:type="pct"/>
            <w:gridSpan w:val="2"/>
            <w:vAlign w:val="center"/>
          </w:tcPr>
          <w:p w14:paraId="244BCA5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调出</w:t>
            </w:r>
          </w:p>
        </w:tc>
        <w:tc>
          <w:tcPr>
            <w:tcW w:w="425" w:type="pct"/>
            <w:vAlign w:val="center"/>
          </w:tcPr>
          <w:p w14:paraId="398B1A3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弃方</w:t>
            </w:r>
          </w:p>
        </w:tc>
      </w:tr>
      <w:tr w14:paraId="5DCFE7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Merge w:val="continue"/>
            <w:tcBorders>
              <w:top w:val="nil"/>
            </w:tcBorders>
            <w:vAlign w:val="center"/>
          </w:tcPr>
          <w:p w14:paraId="5837B8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p>
        </w:tc>
        <w:tc>
          <w:tcPr>
            <w:tcW w:w="267" w:type="pct"/>
            <w:vAlign w:val="center"/>
          </w:tcPr>
          <w:p w14:paraId="767EE3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拆除</w:t>
            </w:r>
          </w:p>
        </w:tc>
        <w:tc>
          <w:tcPr>
            <w:tcW w:w="353" w:type="pct"/>
            <w:vAlign w:val="center"/>
          </w:tcPr>
          <w:p w14:paraId="26E7ACB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土方开挖</w:t>
            </w:r>
          </w:p>
        </w:tc>
        <w:tc>
          <w:tcPr>
            <w:tcW w:w="362" w:type="pct"/>
            <w:vAlign w:val="center"/>
          </w:tcPr>
          <w:p w14:paraId="21C31C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石方开挖</w:t>
            </w:r>
          </w:p>
        </w:tc>
        <w:tc>
          <w:tcPr>
            <w:tcW w:w="248" w:type="pct"/>
            <w:vAlign w:val="center"/>
          </w:tcPr>
          <w:p w14:paraId="507A79E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小计</w:t>
            </w:r>
          </w:p>
        </w:tc>
        <w:tc>
          <w:tcPr>
            <w:tcW w:w="364" w:type="pct"/>
            <w:vAlign w:val="center"/>
          </w:tcPr>
          <w:p w14:paraId="18F9CE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可利用料</w:t>
            </w:r>
          </w:p>
        </w:tc>
        <w:tc>
          <w:tcPr>
            <w:tcW w:w="348" w:type="pct"/>
            <w:vAlign w:val="center"/>
          </w:tcPr>
          <w:p w14:paraId="3CD6777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土方回填</w:t>
            </w:r>
          </w:p>
        </w:tc>
        <w:tc>
          <w:tcPr>
            <w:tcW w:w="315" w:type="pct"/>
            <w:vAlign w:val="center"/>
          </w:tcPr>
          <w:p w14:paraId="0A8BB0E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石方回填</w:t>
            </w:r>
          </w:p>
        </w:tc>
        <w:tc>
          <w:tcPr>
            <w:tcW w:w="356" w:type="pct"/>
            <w:vAlign w:val="center"/>
          </w:tcPr>
          <w:p w14:paraId="6B053F1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lang w:val="en-US" w:eastAsia="zh-CN"/>
              </w:rPr>
              <w:t>其中：</w:t>
            </w:r>
            <w:r>
              <w:rPr>
                <w:rFonts w:hint="default" w:ascii="Times New Roman" w:hAnsi="Times New Roman" w:cs="Times New Roman" w:eastAsiaTheme="minorEastAsia"/>
                <w:color w:val="auto"/>
                <w:sz w:val="21"/>
                <w:szCs w:val="21"/>
                <w:u w:val="none" w:color="auto"/>
              </w:rPr>
              <w:t>利用料</w:t>
            </w:r>
          </w:p>
        </w:tc>
        <w:tc>
          <w:tcPr>
            <w:tcW w:w="277" w:type="pct"/>
            <w:vAlign w:val="center"/>
          </w:tcPr>
          <w:p w14:paraId="530C42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c>
          <w:tcPr>
            <w:tcW w:w="518" w:type="pct"/>
            <w:vAlign w:val="center"/>
          </w:tcPr>
          <w:p w14:paraId="07C4073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来源</w:t>
            </w:r>
          </w:p>
        </w:tc>
        <w:tc>
          <w:tcPr>
            <w:tcW w:w="348" w:type="pct"/>
            <w:vAlign w:val="center"/>
          </w:tcPr>
          <w:p w14:paraId="26ED23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c>
          <w:tcPr>
            <w:tcW w:w="447" w:type="pct"/>
            <w:vAlign w:val="center"/>
          </w:tcPr>
          <w:p w14:paraId="3C047FB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去向</w:t>
            </w:r>
          </w:p>
        </w:tc>
        <w:tc>
          <w:tcPr>
            <w:tcW w:w="425" w:type="pct"/>
            <w:vAlign w:val="center"/>
          </w:tcPr>
          <w:p w14:paraId="49E5596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弃渣场</w:t>
            </w:r>
          </w:p>
        </w:tc>
      </w:tr>
      <w:tr w14:paraId="43E615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447F93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挡水工程</w:t>
            </w:r>
          </w:p>
        </w:tc>
        <w:tc>
          <w:tcPr>
            <w:tcW w:w="267" w:type="pct"/>
            <w:vAlign w:val="center"/>
          </w:tcPr>
          <w:p w14:paraId="647BE5E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1366</w:t>
            </w:r>
          </w:p>
        </w:tc>
        <w:tc>
          <w:tcPr>
            <w:tcW w:w="353" w:type="pct"/>
            <w:vAlign w:val="center"/>
          </w:tcPr>
          <w:p w14:paraId="6137E9F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7448</w:t>
            </w:r>
          </w:p>
        </w:tc>
        <w:tc>
          <w:tcPr>
            <w:tcW w:w="362" w:type="pct"/>
            <w:vAlign w:val="center"/>
          </w:tcPr>
          <w:p w14:paraId="7671C7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144</w:t>
            </w:r>
          </w:p>
        </w:tc>
        <w:tc>
          <w:tcPr>
            <w:tcW w:w="248" w:type="pct"/>
            <w:vAlign w:val="center"/>
          </w:tcPr>
          <w:p w14:paraId="72C788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8958</w:t>
            </w:r>
          </w:p>
        </w:tc>
        <w:tc>
          <w:tcPr>
            <w:tcW w:w="364" w:type="pct"/>
            <w:vAlign w:val="center"/>
          </w:tcPr>
          <w:p w14:paraId="6030F8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6615</w:t>
            </w:r>
          </w:p>
        </w:tc>
        <w:tc>
          <w:tcPr>
            <w:tcW w:w="348" w:type="pct"/>
            <w:vAlign w:val="center"/>
          </w:tcPr>
          <w:p w14:paraId="2E0F2A3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3284</w:t>
            </w:r>
          </w:p>
        </w:tc>
        <w:tc>
          <w:tcPr>
            <w:tcW w:w="315" w:type="pct"/>
            <w:vAlign w:val="center"/>
          </w:tcPr>
          <w:p w14:paraId="1AA5D1C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1179</w:t>
            </w:r>
          </w:p>
        </w:tc>
        <w:tc>
          <w:tcPr>
            <w:tcW w:w="356" w:type="pct"/>
            <w:vAlign w:val="center"/>
          </w:tcPr>
          <w:p w14:paraId="5F34165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4462</w:t>
            </w:r>
          </w:p>
        </w:tc>
        <w:tc>
          <w:tcPr>
            <w:tcW w:w="277" w:type="pct"/>
            <w:vAlign w:val="center"/>
          </w:tcPr>
          <w:p w14:paraId="2995033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522</w:t>
            </w:r>
          </w:p>
        </w:tc>
        <w:tc>
          <w:tcPr>
            <w:tcW w:w="518" w:type="pct"/>
            <w:vAlign w:val="center"/>
          </w:tcPr>
          <w:p w14:paraId="4083FA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块石外购</w:t>
            </w:r>
          </w:p>
        </w:tc>
        <w:tc>
          <w:tcPr>
            <w:tcW w:w="348" w:type="pct"/>
            <w:vAlign w:val="center"/>
          </w:tcPr>
          <w:p w14:paraId="0CB1D9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555</w:t>
            </w:r>
          </w:p>
        </w:tc>
        <w:tc>
          <w:tcPr>
            <w:tcW w:w="447" w:type="pct"/>
            <w:vAlign w:val="center"/>
          </w:tcPr>
          <w:p w14:paraId="108B9E0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其它</w:t>
            </w:r>
          </w:p>
          <w:p w14:paraId="2553B03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建筑工程</w:t>
            </w:r>
          </w:p>
        </w:tc>
        <w:tc>
          <w:tcPr>
            <w:tcW w:w="425" w:type="pct"/>
            <w:vAlign w:val="center"/>
          </w:tcPr>
          <w:p w14:paraId="0CCAE09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4463</w:t>
            </w:r>
          </w:p>
        </w:tc>
      </w:tr>
      <w:tr w14:paraId="0D824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28D630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泄水工程</w:t>
            </w:r>
          </w:p>
        </w:tc>
        <w:tc>
          <w:tcPr>
            <w:tcW w:w="267" w:type="pct"/>
            <w:vAlign w:val="center"/>
          </w:tcPr>
          <w:p w14:paraId="2693636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4098</w:t>
            </w:r>
          </w:p>
        </w:tc>
        <w:tc>
          <w:tcPr>
            <w:tcW w:w="353" w:type="pct"/>
            <w:vAlign w:val="center"/>
          </w:tcPr>
          <w:p w14:paraId="1CDB47E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1880</w:t>
            </w:r>
          </w:p>
        </w:tc>
        <w:tc>
          <w:tcPr>
            <w:tcW w:w="362" w:type="pct"/>
            <w:vAlign w:val="center"/>
          </w:tcPr>
          <w:p w14:paraId="7A099CC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1562</w:t>
            </w:r>
          </w:p>
        </w:tc>
        <w:tc>
          <w:tcPr>
            <w:tcW w:w="248" w:type="pct"/>
            <w:vAlign w:val="center"/>
          </w:tcPr>
          <w:p w14:paraId="10DFD4B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7540</w:t>
            </w:r>
          </w:p>
        </w:tc>
        <w:tc>
          <w:tcPr>
            <w:tcW w:w="364" w:type="pct"/>
            <w:vAlign w:val="center"/>
          </w:tcPr>
          <w:p w14:paraId="02DB352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6032</w:t>
            </w:r>
          </w:p>
        </w:tc>
        <w:tc>
          <w:tcPr>
            <w:tcW w:w="348" w:type="pct"/>
            <w:vAlign w:val="center"/>
          </w:tcPr>
          <w:p w14:paraId="79AF497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2855</w:t>
            </w:r>
          </w:p>
        </w:tc>
        <w:tc>
          <w:tcPr>
            <w:tcW w:w="315" w:type="pct"/>
            <w:vAlign w:val="center"/>
          </w:tcPr>
          <w:p w14:paraId="5845E06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6" w:type="pct"/>
            <w:vAlign w:val="center"/>
          </w:tcPr>
          <w:p w14:paraId="0A26CD4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2855</w:t>
            </w:r>
          </w:p>
        </w:tc>
        <w:tc>
          <w:tcPr>
            <w:tcW w:w="277" w:type="pct"/>
            <w:vAlign w:val="center"/>
          </w:tcPr>
          <w:p w14:paraId="22A7170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70F336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28F9778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349</w:t>
            </w:r>
          </w:p>
        </w:tc>
        <w:tc>
          <w:tcPr>
            <w:tcW w:w="447" w:type="pct"/>
            <w:vAlign w:val="center"/>
          </w:tcPr>
          <w:p w14:paraId="3041D84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其它</w:t>
            </w:r>
          </w:p>
          <w:p w14:paraId="7E88C1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建筑工程</w:t>
            </w:r>
          </w:p>
        </w:tc>
        <w:tc>
          <w:tcPr>
            <w:tcW w:w="425" w:type="pct"/>
            <w:vAlign w:val="center"/>
          </w:tcPr>
          <w:p w14:paraId="2A75FE3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4336</w:t>
            </w:r>
          </w:p>
        </w:tc>
      </w:tr>
      <w:tr w14:paraId="558DE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6BE67A2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输水工程</w:t>
            </w:r>
          </w:p>
        </w:tc>
        <w:tc>
          <w:tcPr>
            <w:tcW w:w="267" w:type="pct"/>
            <w:vAlign w:val="center"/>
          </w:tcPr>
          <w:p w14:paraId="2264EBB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266</w:t>
            </w:r>
          </w:p>
        </w:tc>
        <w:tc>
          <w:tcPr>
            <w:tcW w:w="353" w:type="pct"/>
            <w:vAlign w:val="center"/>
          </w:tcPr>
          <w:p w14:paraId="1520BB0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588D1ED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2820</w:t>
            </w:r>
          </w:p>
        </w:tc>
        <w:tc>
          <w:tcPr>
            <w:tcW w:w="248" w:type="pct"/>
            <w:vAlign w:val="center"/>
          </w:tcPr>
          <w:p w14:paraId="786866C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3086</w:t>
            </w:r>
          </w:p>
        </w:tc>
        <w:tc>
          <w:tcPr>
            <w:tcW w:w="364" w:type="pct"/>
            <w:vAlign w:val="center"/>
          </w:tcPr>
          <w:p w14:paraId="190D0C3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2469</w:t>
            </w:r>
          </w:p>
        </w:tc>
        <w:tc>
          <w:tcPr>
            <w:tcW w:w="348" w:type="pct"/>
            <w:vAlign w:val="center"/>
          </w:tcPr>
          <w:p w14:paraId="290957E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15" w:type="pct"/>
            <w:vAlign w:val="center"/>
          </w:tcPr>
          <w:p w14:paraId="518501F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133</w:t>
            </w:r>
          </w:p>
        </w:tc>
        <w:tc>
          <w:tcPr>
            <w:tcW w:w="356" w:type="pct"/>
            <w:vAlign w:val="center"/>
          </w:tcPr>
          <w:p w14:paraId="5BCD8F9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133</w:t>
            </w:r>
          </w:p>
        </w:tc>
        <w:tc>
          <w:tcPr>
            <w:tcW w:w="277" w:type="pct"/>
            <w:vAlign w:val="center"/>
          </w:tcPr>
          <w:p w14:paraId="74D412B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39F95FD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60AE026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2FFDA0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786877B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2953</w:t>
            </w:r>
          </w:p>
        </w:tc>
      </w:tr>
      <w:tr w14:paraId="09836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328E206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边坡工程</w:t>
            </w:r>
          </w:p>
        </w:tc>
        <w:tc>
          <w:tcPr>
            <w:tcW w:w="267" w:type="pct"/>
            <w:vAlign w:val="center"/>
          </w:tcPr>
          <w:p w14:paraId="05C4D3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3" w:type="pct"/>
            <w:vAlign w:val="center"/>
          </w:tcPr>
          <w:p w14:paraId="15D4321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18AFB28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4078</w:t>
            </w:r>
          </w:p>
        </w:tc>
        <w:tc>
          <w:tcPr>
            <w:tcW w:w="248" w:type="pct"/>
            <w:vAlign w:val="center"/>
          </w:tcPr>
          <w:p w14:paraId="275DAD5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4078</w:t>
            </w:r>
          </w:p>
        </w:tc>
        <w:tc>
          <w:tcPr>
            <w:tcW w:w="364" w:type="pct"/>
            <w:vAlign w:val="center"/>
          </w:tcPr>
          <w:p w14:paraId="26134B9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3262</w:t>
            </w:r>
          </w:p>
        </w:tc>
        <w:tc>
          <w:tcPr>
            <w:tcW w:w="348" w:type="pct"/>
            <w:vAlign w:val="center"/>
          </w:tcPr>
          <w:p w14:paraId="3B8CFAF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15" w:type="pct"/>
            <w:vAlign w:val="center"/>
          </w:tcPr>
          <w:p w14:paraId="2998D1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6" w:type="pct"/>
            <w:vAlign w:val="center"/>
          </w:tcPr>
          <w:p w14:paraId="54DF916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77" w:type="pct"/>
            <w:vAlign w:val="center"/>
          </w:tcPr>
          <w:p w14:paraId="1C9CBD3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518" w:type="pct"/>
            <w:vAlign w:val="center"/>
          </w:tcPr>
          <w:p w14:paraId="3444F71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2C8994F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2680</w:t>
            </w:r>
          </w:p>
        </w:tc>
        <w:tc>
          <w:tcPr>
            <w:tcW w:w="447" w:type="pct"/>
            <w:vAlign w:val="center"/>
          </w:tcPr>
          <w:p w14:paraId="2081D5F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围堰</w:t>
            </w:r>
          </w:p>
        </w:tc>
        <w:tc>
          <w:tcPr>
            <w:tcW w:w="425" w:type="pct"/>
            <w:vAlign w:val="center"/>
          </w:tcPr>
          <w:p w14:paraId="2C880AF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1398</w:t>
            </w:r>
          </w:p>
        </w:tc>
      </w:tr>
      <w:tr w14:paraId="56684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7EB640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其它建筑工程</w:t>
            </w:r>
          </w:p>
        </w:tc>
        <w:tc>
          <w:tcPr>
            <w:tcW w:w="267" w:type="pct"/>
            <w:vAlign w:val="center"/>
          </w:tcPr>
          <w:p w14:paraId="0A581E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53" w:type="pct"/>
            <w:vAlign w:val="center"/>
          </w:tcPr>
          <w:p w14:paraId="1838BC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239</w:t>
            </w:r>
          </w:p>
        </w:tc>
        <w:tc>
          <w:tcPr>
            <w:tcW w:w="362" w:type="pct"/>
            <w:vAlign w:val="center"/>
          </w:tcPr>
          <w:p w14:paraId="4F96052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48" w:type="pct"/>
            <w:vAlign w:val="center"/>
          </w:tcPr>
          <w:p w14:paraId="6F9C4D7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239</w:t>
            </w:r>
          </w:p>
        </w:tc>
        <w:tc>
          <w:tcPr>
            <w:tcW w:w="364" w:type="pct"/>
            <w:vAlign w:val="center"/>
          </w:tcPr>
          <w:p w14:paraId="042D1FA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191</w:t>
            </w:r>
          </w:p>
        </w:tc>
        <w:tc>
          <w:tcPr>
            <w:tcW w:w="348" w:type="pct"/>
            <w:vAlign w:val="center"/>
          </w:tcPr>
          <w:p w14:paraId="7B6BF76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555</w:t>
            </w:r>
          </w:p>
        </w:tc>
        <w:tc>
          <w:tcPr>
            <w:tcW w:w="315" w:type="pct"/>
            <w:vAlign w:val="center"/>
          </w:tcPr>
          <w:p w14:paraId="79EB89A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540</w:t>
            </w:r>
          </w:p>
        </w:tc>
        <w:tc>
          <w:tcPr>
            <w:tcW w:w="356" w:type="pct"/>
            <w:vAlign w:val="center"/>
          </w:tcPr>
          <w:p w14:paraId="577408E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1095</w:t>
            </w:r>
          </w:p>
        </w:tc>
        <w:tc>
          <w:tcPr>
            <w:tcW w:w="277" w:type="pct"/>
            <w:vAlign w:val="center"/>
          </w:tcPr>
          <w:p w14:paraId="0F2269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904</w:t>
            </w:r>
          </w:p>
        </w:tc>
        <w:tc>
          <w:tcPr>
            <w:tcW w:w="518" w:type="pct"/>
            <w:vAlign w:val="center"/>
          </w:tcPr>
          <w:p w14:paraId="1E64D2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土方来自挡水</w:t>
            </w:r>
            <w:r>
              <w:rPr>
                <w:rFonts w:hint="default" w:ascii="Times New Roman" w:hAnsi="Times New Roman" w:cs="Times New Roman" w:eastAsiaTheme="minorEastAsia"/>
                <w:color w:val="auto"/>
                <w:spacing w:val="-15"/>
                <w:sz w:val="18"/>
                <w:szCs w:val="18"/>
                <w:u w:val="none" w:color="auto"/>
              </w:rPr>
              <w:t>工程、石方来自</w:t>
            </w:r>
            <w:r>
              <w:rPr>
                <w:rFonts w:hint="default" w:ascii="Times New Roman" w:hAnsi="Times New Roman" w:cs="Times New Roman" w:eastAsiaTheme="minorEastAsia"/>
                <w:color w:val="auto"/>
                <w:sz w:val="18"/>
                <w:szCs w:val="18"/>
                <w:u w:val="none" w:color="auto"/>
              </w:rPr>
              <w:t>泄水工程</w:t>
            </w:r>
          </w:p>
        </w:tc>
        <w:tc>
          <w:tcPr>
            <w:tcW w:w="348" w:type="pct"/>
            <w:vAlign w:val="center"/>
          </w:tcPr>
          <w:p w14:paraId="6665992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5785FE1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213438C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48</w:t>
            </w:r>
          </w:p>
        </w:tc>
      </w:tr>
      <w:tr w14:paraId="67CC83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4E3FFF1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围堰</w:t>
            </w:r>
          </w:p>
        </w:tc>
        <w:tc>
          <w:tcPr>
            <w:tcW w:w="267" w:type="pct"/>
            <w:vAlign w:val="center"/>
          </w:tcPr>
          <w:p w14:paraId="1596929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53" w:type="pct"/>
            <w:vAlign w:val="center"/>
          </w:tcPr>
          <w:p w14:paraId="01260EC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362" w:type="pct"/>
            <w:vAlign w:val="center"/>
          </w:tcPr>
          <w:p w14:paraId="235686B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0</w:t>
            </w:r>
          </w:p>
        </w:tc>
        <w:tc>
          <w:tcPr>
            <w:tcW w:w="248" w:type="pct"/>
            <w:vAlign w:val="center"/>
          </w:tcPr>
          <w:p w14:paraId="5BABA84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64" w:type="pct"/>
            <w:vAlign w:val="center"/>
          </w:tcPr>
          <w:p w14:paraId="6008AB4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c>
          <w:tcPr>
            <w:tcW w:w="348" w:type="pct"/>
            <w:vAlign w:val="center"/>
          </w:tcPr>
          <w:p w14:paraId="4F21F56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1770</w:t>
            </w:r>
          </w:p>
        </w:tc>
        <w:tc>
          <w:tcPr>
            <w:tcW w:w="315" w:type="pct"/>
            <w:vAlign w:val="center"/>
          </w:tcPr>
          <w:p w14:paraId="63CC1E9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2680</w:t>
            </w:r>
          </w:p>
        </w:tc>
        <w:tc>
          <w:tcPr>
            <w:tcW w:w="356" w:type="pct"/>
            <w:vAlign w:val="center"/>
          </w:tcPr>
          <w:p w14:paraId="6671418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4450</w:t>
            </w:r>
          </w:p>
        </w:tc>
        <w:tc>
          <w:tcPr>
            <w:tcW w:w="277" w:type="pct"/>
            <w:vAlign w:val="center"/>
          </w:tcPr>
          <w:p w14:paraId="6C16A79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4450</w:t>
            </w:r>
          </w:p>
        </w:tc>
        <w:tc>
          <w:tcPr>
            <w:tcW w:w="518" w:type="pct"/>
            <w:vAlign w:val="center"/>
          </w:tcPr>
          <w:p w14:paraId="72B7C4F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pacing w:val="-14"/>
                <w:sz w:val="18"/>
                <w:szCs w:val="18"/>
                <w:u w:val="none" w:color="auto"/>
              </w:rPr>
              <w:t>土方外购，石方</w:t>
            </w:r>
            <w:r>
              <w:rPr>
                <w:rFonts w:hint="default" w:ascii="Times New Roman" w:hAnsi="Times New Roman" w:cs="Times New Roman" w:eastAsiaTheme="minorEastAsia"/>
                <w:color w:val="auto"/>
                <w:sz w:val="18"/>
                <w:szCs w:val="18"/>
                <w:u w:val="none" w:color="auto"/>
              </w:rPr>
              <w:t>来自边坡工程</w:t>
            </w:r>
          </w:p>
        </w:tc>
        <w:tc>
          <w:tcPr>
            <w:tcW w:w="348" w:type="pct"/>
            <w:vAlign w:val="center"/>
          </w:tcPr>
          <w:p w14:paraId="00C4A92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47" w:type="pct"/>
            <w:vAlign w:val="center"/>
          </w:tcPr>
          <w:p w14:paraId="257EBFE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624A8A4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3365</w:t>
            </w:r>
          </w:p>
        </w:tc>
      </w:tr>
      <w:tr w14:paraId="674BB8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64" w:type="pct"/>
            <w:vAlign w:val="center"/>
          </w:tcPr>
          <w:p w14:paraId="3E1F580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小计</w:t>
            </w:r>
          </w:p>
        </w:tc>
        <w:tc>
          <w:tcPr>
            <w:tcW w:w="267" w:type="pct"/>
            <w:vAlign w:val="center"/>
          </w:tcPr>
          <w:p w14:paraId="6C135B05">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9095</w:t>
            </w:r>
          </w:p>
        </w:tc>
        <w:tc>
          <w:tcPr>
            <w:tcW w:w="353" w:type="pct"/>
            <w:vAlign w:val="center"/>
          </w:tcPr>
          <w:p w14:paraId="1086165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9567</w:t>
            </w:r>
          </w:p>
        </w:tc>
        <w:tc>
          <w:tcPr>
            <w:tcW w:w="362" w:type="pct"/>
            <w:vAlign w:val="center"/>
          </w:tcPr>
          <w:p w14:paraId="32FBE0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8604</w:t>
            </w:r>
          </w:p>
        </w:tc>
        <w:tc>
          <w:tcPr>
            <w:tcW w:w="248" w:type="pct"/>
            <w:vAlign w:val="center"/>
          </w:tcPr>
          <w:p w14:paraId="28009A1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27266</w:t>
            </w:r>
          </w:p>
        </w:tc>
        <w:tc>
          <w:tcPr>
            <w:tcW w:w="364" w:type="pct"/>
            <w:vAlign w:val="center"/>
          </w:tcPr>
          <w:p w14:paraId="522F718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21934</w:t>
            </w:r>
          </w:p>
        </w:tc>
        <w:tc>
          <w:tcPr>
            <w:tcW w:w="348" w:type="pct"/>
            <w:vAlign w:val="center"/>
          </w:tcPr>
          <w:p w14:paraId="0CE7E4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8464</w:t>
            </w:r>
          </w:p>
        </w:tc>
        <w:tc>
          <w:tcPr>
            <w:tcW w:w="315" w:type="pct"/>
            <w:vAlign w:val="center"/>
          </w:tcPr>
          <w:p w14:paraId="77B26F0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lang w:eastAsia="zh-CN"/>
              </w:rPr>
            </w:pPr>
            <w:r>
              <w:rPr>
                <w:rFonts w:hint="default" w:ascii="Times New Roman" w:hAnsi="Times New Roman" w:cs="Times New Roman" w:eastAsiaTheme="minorEastAsia"/>
                <w:color w:val="auto"/>
                <w:sz w:val="18"/>
                <w:szCs w:val="18"/>
                <w:u w:val="none" w:color="auto"/>
              </w:rPr>
              <w:t>453</w:t>
            </w:r>
            <w:r>
              <w:rPr>
                <w:rFonts w:hint="default" w:ascii="Times New Roman" w:hAnsi="Times New Roman" w:cs="Times New Roman" w:eastAsiaTheme="minorEastAsia"/>
                <w:color w:val="auto"/>
                <w:sz w:val="18"/>
                <w:szCs w:val="18"/>
                <w:u w:val="none" w:color="auto"/>
                <w:lang w:val="en-US" w:eastAsia="zh-CN"/>
              </w:rPr>
              <w:t>2</w:t>
            </w:r>
          </w:p>
        </w:tc>
        <w:tc>
          <w:tcPr>
            <w:tcW w:w="356" w:type="pct"/>
            <w:vAlign w:val="center"/>
          </w:tcPr>
          <w:p w14:paraId="7670A62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12995</w:t>
            </w:r>
          </w:p>
        </w:tc>
        <w:tc>
          <w:tcPr>
            <w:tcW w:w="277" w:type="pct"/>
            <w:vAlign w:val="center"/>
          </w:tcPr>
          <w:p w14:paraId="3407FB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5876</w:t>
            </w:r>
          </w:p>
        </w:tc>
        <w:tc>
          <w:tcPr>
            <w:tcW w:w="518" w:type="pct"/>
            <w:vAlign w:val="center"/>
          </w:tcPr>
          <w:p w14:paraId="56B3CA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348" w:type="pct"/>
            <w:vAlign w:val="center"/>
          </w:tcPr>
          <w:p w14:paraId="12471FC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3584</w:t>
            </w:r>
          </w:p>
        </w:tc>
        <w:tc>
          <w:tcPr>
            <w:tcW w:w="447" w:type="pct"/>
            <w:vAlign w:val="center"/>
          </w:tcPr>
          <w:p w14:paraId="7B081BE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p>
        </w:tc>
        <w:tc>
          <w:tcPr>
            <w:tcW w:w="425" w:type="pct"/>
            <w:vAlign w:val="center"/>
          </w:tcPr>
          <w:p w14:paraId="2A56075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color w:val="auto"/>
                <w:sz w:val="18"/>
                <w:szCs w:val="18"/>
                <w:u w:val="none" w:color="auto"/>
              </w:rPr>
            </w:pPr>
            <w:r>
              <w:rPr>
                <w:rFonts w:hint="default" w:ascii="Times New Roman" w:hAnsi="Times New Roman" w:cs="Times New Roman" w:eastAsiaTheme="minorEastAsia"/>
                <w:color w:val="auto"/>
                <w:sz w:val="18"/>
                <w:szCs w:val="18"/>
                <w:u w:val="none" w:color="auto"/>
              </w:rPr>
              <w:t>16563</w:t>
            </w:r>
          </w:p>
        </w:tc>
      </w:tr>
    </w:tbl>
    <w:p w14:paraId="327CAD2B">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弃渣场及其防护工程</w:t>
      </w:r>
    </w:p>
    <w:p w14:paraId="3C51B4C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弃渣来源和数量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工程建设土石方开挖总量为</w:t>
      </w:r>
      <w:r>
        <w:rPr>
          <w:rFonts w:hint="default" w:ascii="Times New Roman" w:hAnsi="Times New Roman" w:cs="Times New Roman"/>
          <w:color w:val="auto"/>
          <w:u w:val="none" w:color="auto"/>
          <w:lang w:eastAsia="zh-CN"/>
        </w:rPr>
        <w:t>2.73万</w:t>
      </w:r>
      <w:r>
        <w:rPr>
          <w:rFonts w:hint="default" w:ascii="Times New Roman" w:hAnsi="Times New Roman" w:cs="Times New Roman"/>
          <w:color w:val="auto"/>
          <w:u w:val="none" w:color="auto"/>
        </w:rPr>
        <w:t>m³</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以自然方计</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填方</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u w:val="none" w:color="auto"/>
          <w:lang w:eastAsia="zh-CN"/>
        </w:rPr>
        <w:t>m³</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color w:val="auto"/>
          <w:u w:val="none" w:color="auto"/>
        </w:rPr>
        <w:t>m³。</w:t>
      </w:r>
    </w:p>
    <w:p w14:paraId="5D1F37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在满足主体工程自身利用后，剩余开挖料</w:t>
      </w:r>
      <w:r>
        <w:rPr>
          <w:rFonts w:hint="default" w:ascii="Times New Roman" w:hAnsi="Times New Roman" w:cs="Times New Roman"/>
          <w:color w:val="auto"/>
          <w:u w:val="none" w:color="auto"/>
          <w:lang w:eastAsia="zh-CN"/>
        </w:rPr>
        <w:t>1.66万</w:t>
      </w:r>
      <w:r>
        <w:rPr>
          <w:rFonts w:hint="default" w:ascii="Times New Roman" w:hAnsi="Times New Roman" w:cs="Times New Roman"/>
          <w:color w:val="auto"/>
          <w:u w:val="none" w:color="auto"/>
        </w:rPr>
        <w:t>m³需运往弃渣场。弃渣场位于</w:t>
      </w:r>
      <w:r>
        <w:rPr>
          <w:rFonts w:hint="default" w:ascii="Times New Roman" w:hAnsi="Times New Roman" w:cs="Times New Roman"/>
          <w:color w:val="auto"/>
          <w:u w:val="none" w:color="auto"/>
          <w:lang w:eastAsia="zh-CN"/>
        </w:rPr>
        <w:t>大坝下游二级电站附近空闲低洼地</w:t>
      </w:r>
      <w:r>
        <w:rPr>
          <w:rFonts w:hint="default" w:ascii="Times New Roman" w:hAnsi="Times New Roman" w:cs="Times New Roman"/>
          <w:color w:val="auto"/>
          <w:u w:val="none" w:color="auto"/>
        </w:rPr>
        <w:t>，距大坝直线</w:t>
      </w:r>
      <w:r>
        <w:rPr>
          <w:rFonts w:hint="default" w:ascii="Times New Roman" w:hAnsi="Times New Roman" w:cs="Times New Roman"/>
          <w:color w:val="auto"/>
          <w:u w:val="none" w:color="auto"/>
          <w:lang w:eastAsia="zh-CN"/>
        </w:rPr>
        <w:t>距离2.50km，主要堆放土石方、拆除料，</w:t>
      </w:r>
      <w:r>
        <w:rPr>
          <w:rFonts w:hint="default" w:ascii="Times New Roman" w:hAnsi="Times New Roman" w:cs="Times New Roman"/>
          <w:color w:val="auto"/>
          <w:u w:val="none" w:color="auto"/>
          <w:lang w:val="en-US" w:eastAsia="zh-CN"/>
        </w:rPr>
        <w:t>弃渣场不涉及生态红线和基本农田</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弃</w:t>
      </w:r>
      <w:r>
        <w:rPr>
          <w:rFonts w:hint="default" w:ascii="Times New Roman" w:hAnsi="Times New Roman" w:cs="Times New Roman"/>
          <w:color w:val="auto"/>
          <w:u w:val="none" w:color="auto"/>
        </w:rPr>
        <w:t>渣场特性表见表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0</w:t>
      </w:r>
      <w:r>
        <w:rPr>
          <w:rFonts w:hint="default" w:ascii="Times New Roman" w:hAnsi="Times New Roman" w:cs="Times New Roman"/>
          <w:color w:val="auto"/>
          <w:u w:val="none" w:color="auto"/>
        </w:rPr>
        <w:t>。</w:t>
      </w:r>
    </w:p>
    <w:p w14:paraId="689A015E">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0</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弃渣场特性表</w:t>
      </w:r>
    </w:p>
    <w:tbl>
      <w:tblPr>
        <w:tblStyle w:val="162"/>
        <w:tblW w:w="831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4"/>
        <w:gridCol w:w="896"/>
        <w:gridCol w:w="530"/>
        <w:gridCol w:w="791"/>
        <w:gridCol w:w="896"/>
        <w:gridCol w:w="896"/>
        <w:gridCol w:w="869"/>
        <w:gridCol w:w="661"/>
        <w:gridCol w:w="804"/>
        <w:gridCol w:w="1112"/>
      </w:tblGrid>
      <w:tr w14:paraId="0624BB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4" w:type="dxa"/>
            <w:vAlign w:val="center"/>
          </w:tcPr>
          <w:p w14:paraId="3479806B">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渣场名称</w:t>
            </w:r>
          </w:p>
        </w:tc>
        <w:tc>
          <w:tcPr>
            <w:tcW w:w="896" w:type="dxa"/>
            <w:vAlign w:val="center"/>
          </w:tcPr>
          <w:p w14:paraId="00FEB3E9">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渣场类型</w:t>
            </w:r>
          </w:p>
        </w:tc>
        <w:tc>
          <w:tcPr>
            <w:tcW w:w="530" w:type="dxa"/>
            <w:vAlign w:val="center"/>
          </w:tcPr>
          <w:p w14:paraId="24BA1A82">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级别</w:t>
            </w:r>
          </w:p>
        </w:tc>
        <w:tc>
          <w:tcPr>
            <w:tcW w:w="791" w:type="dxa"/>
            <w:vAlign w:val="center"/>
          </w:tcPr>
          <w:p w14:paraId="664118FE">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占地</w:t>
            </w:r>
          </w:p>
          <w:p w14:paraId="1DBBDFFF">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w:t>
            </w:r>
            <w:r>
              <w:rPr>
                <w:rFonts w:hint="default" w:ascii="Times New Roman" w:hAnsi="Times New Roman" w:cs="Times New Roman"/>
                <w:color w:val="auto"/>
                <w:spacing w:val="-2"/>
                <w:u w:val="none" w:color="auto"/>
              </w:rPr>
              <w:t>hm²</w:t>
            </w:r>
            <w:r>
              <w:rPr>
                <w:rFonts w:hint="default" w:ascii="Times New Roman" w:hAnsi="Times New Roman" w:cs="Times New Roman"/>
                <w:color w:val="auto"/>
                <w:spacing w:val="-2"/>
                <w:u w:val="none" w:color="auto"/>
                <w:lang w:eastAsia="zh-CN"/>
              </w:rPr>
              <w:t>)</w:t>
            </w:r>
          </w:p>
        </w:tc>
        <w:tc>
          <w:tcPr>
            <w:tcW w:w="896" w:type="dxa"/>
            <w:vAlign w:val="center"/>
          </w:tcPr>
          <w:p w14:paraId="713486B8">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集雨面积</w:t>
            </w:r>
          </w:p>
          <w:p w14:paraId="007573AC">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w:t>
            </w:r>
            <w:r>
              <w:rPr>
                <w:rFonts w:hint="default" w:ascii="Times New Roman" w:hAnsi="Times New Roman" w:cs="Times New Roman"/>
                <w:color w:val="auto"/>
                <w:spacing w:val="-2"/>
                <w:u w:val="none" w:color="auto"/>
              </w:rPr>
              <w:t>km²</w:t>
            </w:r>
            <w:r>
              <w:rPr>
                <w:rFonts w:hint="default" w:ascii="Times New Roman" w:hAnsi="Times New Roman" w:cs="Times New Roman"/>
                <w:color w:val="auto"/>
                <w:spacing w:val="-2"/>
                <w:u w:val="none" w:color="auto"/>
                <w:lang w:eastAsia="zh-CN"/>
              </w:rPr>
              <w:t>)</w:t>
            </w:r>
          </w:p>
        </w:tc>
        <w:tc>
          <w:tcPr>
            <w:tcW w:w="896" w:type="dxa"/>
            <w:vAlign w:val="center"/>
          </w:tcPr>
          <w:p w14:paraId="592C1103">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渣顶高程</w:t>
            </w:r>
          </w:p>
          <w:p w14:paraId="412A9494">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c>
          <w:tcPr>
            <w:tcW w:w="869" w:type="dxa"/>
            <w:vAlign w:val="center"/>
          </w:tcPr>
          <w:p w14:paraId="38339278">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渣底高程</w:t>
            </w:r>
          </w:p>
          <w:p w14:paraId="0C9BE641">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u w:val="none" w:color="auto"/>
                <w:lang w:eastAsia="zh-CN"/>
              </w:rPr>
              <w:t>)</w:t>
            </w:r>
          </w:p>
        </w:tc>
        <w:tc>
          <w:tcPr>
            <w:tcW w:w="661" w:type="dxa"/>
            <w:vAlign w:val="center"/>
          </w:tcPr>
          <w:p w14:paraId="4032C7DC">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最大堆高</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m</w:t>
            </w:r>
            <w:r>
              <w:rPr>
                <w:rFonts w:hint="default" w:ascii="Times New Roman" w:hAnsi="Times New Roman" w:cs="Times New Roman"/>
                <w:color w:val="auto"/>
                <w:spacing w:val="-2"/>
                <w:sz w:val="21"/>
                <w:szCs w:val="21"/>
                <w:highlight w:val="none"/>
                <w:u w:val="none" w:color="auto"/>
                <w:lang w:eastAsia="zh-CN"/>
              </w:rPr>
              <w:t>)</w:t>
            </w:r>
          </w:p>
        </w:tc>
        <w:tc>
          <w:tcPr>
            <w:tcW w:w="804" w:type="dxa"/>
            <w:vAlign w:val="center"/>
          </w:tcPr>
          <w:p w14:paraId="18440131">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渣场容量</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万m³</w:t>
            </w:r>
            <w:r>
              <w:rPr>
                <w:rFonts w:hint="default" w:ascii="Times New Roman" w:hAnsi="Times New Roman" w:cs="Times New Roman"/>
                <w:color w:val="auto"/>
                <w:spacing w:val="-2"/>
                <w:sz w:val="21"/>
                <w:szCs w:val="21"/>
                <w:highlight w:val="none"/>
                <w:u w:val="none" w:color="auto"/>
                <w:lang w:eastAsia="zh-CN"/>
              </w:rPr>
              <w:t>)</w:t>
            </w:r>
          </w:p>
        </w:tc>
        <w:tc>
          <w:tcPr>
            <w:tcW w:w="1112" w:type="dxa"/>
            <w:vAlign w:val="center"/>
          </w:tcPr>
          <w:p w14:paraId="43FF6944">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pacing w:val="-2"/>
                <w:sz w:val="21"/>
                <w:szCs w:val="21"/>
                <w:u w:val="none" w:color="auto"/>
              </w:rPr>
              <w:t>堆渣量</w:t>
            </w:r>
            <w:r>
              <w:rPr>
                <w:rFonts w:hint="default" w:ascii="Times New Roman" w:hAnsi="Times New Roman" w:cs="Times New Roman"/>
                <w:color w:val="auto"/>
                <w:spacing w:val="-2"/>
                <w:sz w:val="21"/>
                <w:szCs w:val="21"/>
                <w:highlight w:val="none"/>
                <w:u w:val="none" w:color="auto"/>
                <w:lang w:eastAsia="zh-CN"/>
              </w:rPr>
              <w:t>(</w:t>
            </w:r>
            <w:r>
              <w:rPr>
                <w:rFonts w:hint="default" w:ascii="Times New Roman" w:hAnsi="Times New Roman" w:cs="Times New Roman"/>
                <w:color w:val="auto"/>
                <w:spacing w:val="-2"/>
                <w:sz w:val="21"/>
                <w:szCs w:val="21"/>
                <w:u w:val="none" w:color="auto"/>
              </w:rPr>
              <w:t>松方，万m³</w:t>
            </w:r>
            <w:r>
              <w:rPr>
                <w:rFonts w:hint="default" w:ascii="Times New Roman" w:hAnsi="Times New Roman" w:cs="Times New Roman"/>
                <w:color w:val="auto"/>
                <w:spacing w:val="-2"/>
                <w:sz w:val="21"/>
                <w:szCs w:val="21"/>
                <w:highlight w:val="none"/>
                <w:u w:val="none" w:color="auto"/>
                <w:lang w:eastAsia="zh-CN"/>
              </w:rPr>
              <w:t>)</w:t>
            </w:r>
          </w:p>
        </w:tc>
      </w:tr>
      <w:tr w14:paraId="50C22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4" w:type="dxa"/>
            <w:vAlign w:val="center"/>
          </w:tcPr>
          <w:p w14:paraId="55A7A7D5">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弃渣场</w:t>
            </w:r>
          </w:p>
        </w:tc>
        <w:tc>
          <w:tcPr>
            <w:tcW w:w="896" w:type="dxa"/>
            <w:vAlign w:val="center"/>
          </w:tcPr>
          <w:p w14:paraId="72D5B5A3">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坡地型</w:t>
            </w:r>
          </w:p>
        </w:tc>
        <w:tc>
          <w:tcPr>
            <w:tcW w:w="530" w:type="dxa"/>
            <w:vAlign w:val="center"/>
          </w:tcPr>
          <w:p w14:paraId="1E7CCBB8">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5级</w:t>
            </w:r>
          </w:p>
        </w:tc>
        <w:tc>
          <w:tcPr>
            <w:tcW w:w="791" w:type="dxa"/>
            <w:vAlign w:val="center"/>
          </w:tcPr>
          <w:p w14:paraId="095AF233">
            <w:pPr>
              <w:pStyle w:val="59"/>
              <w:spacing w:before="57" w:line="240" w:lineRule="auto"/>
              <w:ind w:left="0" w:leftChars="0" w:firstLine="0" w:firstLineChars="0"/>
              <w:jc w:val="center"/>
              <w:rPr>
                <w:rFonts w:hint="default" w:ascii="Times New Roman" w:hAnsi="Times New Roman" w:eastAsia="宋体" w:cs="Times New Roman"/>
                <w:color w:val="auto"/>
                <w:spacing w:val="-2"/>
                <w:u w:val="none" w:color="auto"/>
                <w:lang w:eastAsia="zh-CN"/>
              </w:rPr>
            </w:pPr>
            <w:r>
              <w:rPr>
                <w:rFonts w:hint="default" w:ascii="Times New Roman" w:hAnsi="Times New Roman" w:cs="Times New Roman"/>
                <w:color w:val="auto"/>
                <w:spacing w:val="-2"/>
                <w:u w:val="none" w:color="auto"/>
                <w:lang w:eastAsia="zh-CN"/>
              </w:rPr>
              <w:t>0.4421</w:t>
            </w:r>
          </w:p>
        </w:tc>
        <w:tc>
          <w:tcPr>
            <w:tcW w:w="896" w:type="dxa"/>
            <w:vAlign w:val="center"/>
          </w:tcPr>
          <w:p w14:paraId="39798AAD">
            <w:pPr>
              <w:pStyle w:val="59"/>
              <w:spacing w:before="57" w:line="240" w:lineRule="auto"/>
              <w:ind w:left="0" w:leftChars="0" w:firstLine="0" w:firstLineChars="0"/>
              <w:jc w:val="center"/>
              <w:rPr>
                <w:rFonts w:hint="default" w:ascii="Times New Roman" w:hAnsi="Times New Roman" w:cs="Times New Roman"/>
                <w:color w:val="auto"/>
                <w:spacing w:val="-2"/>
                <w:u w:val="none" w:color="auto"/>
              </w:rPr>
            </w:pPr>
            <w:r>
              <w:rPr>
                <w:rFonts w:hint="default" w:ascii="Times New Roman" w:hAnsi="Times New Roman" w:cs="Times New Roman"/>
                <w:color w:val="auto"/>
                <w:spacing w:val="-2"/>
                <w:u w:val="none" w:color="auto"/>
              </w:rPr>
              <w:t>0.02</w:t>
            </w:r>
          </w:p>
        </w:tc>
        <w:tc>
          <w:tcPr>
            <w:tcW w:w="896" w:type="dxa"/>
            <w:vAlign w:val="center"/>
          </w:tcPr>
          <w:p w14:paraId="1DC4A3A9">
            <w:pPr>
              <w:pStyle w:val="59"/>
              <w:spacing w:before="57" w:line="240" w:lineRule="auto"/>
              <w:ind w:left="0" w:leftChars="0" w:firstLine="0" w:firstLineChars="0"/>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cs="Times New Roman"/>
                <w:color w:val="auto"/>
                <w:sz w:val="21"/>
                <w:szCs w:val="21"/>
                <w:u w:val="none" w:color="auto"/>
                <w:lang w:eastAsia="zh-CN"/>
              </w:rPr>
              <w:t>264</w:t>
            </w:r>
          </w:p>
        </w:tc>
        <w:tc>
          <w:tcPr>
            <w:tcW w:w="869" w:type="dxa"/>
            <w:vAlign w:val="center"/>
          </w:tcPr>
          <w:p w14:paraId="6056B6E7">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eastAsiaTheme="minorEastAsia"/>
                <w:color w:val="auto"/>
                <w:sz w:val="21"/>
                <w:szCs w:val="21"/>
                <w:u w:val="none" w:color="auto"/>
              </w:rPr>
              <w:t>2</w:t>
            </w:r>
            <w:r>
              <w:rPr>
                <w:rFonts w:hint="default" w:ascii="Times New Roman" w:hAnsi="Times New Roman" w:cs="Times New Roman" w:eastAsiaTheme="minorEastAsia"/>
                <w:color w:val="auto"/>
                <w:sz w:val="21"/>
                <w:szCs w:val="21"/>
                <w:u w:val="none" w:color="auto"/>
                <w:lang w:val="en-US" w:eastAsia="zh-CN"/>
              </w:rPr>
              <w:t>58</w:t>
            </w:r>
          </w:p>
        </w:tc>
        <w:tc>
          <w:tcPr>
            <w:tcW w:w="661" w:type="dxa"/>
            <w:vAlign w:val="center"/>
          </w:tcPr>
          <w:p w14:paraId="2FDC6C50">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pacing w:val="-2"/>
                <w:sz w:val="21"/>
                <w:szCs w:val="21"/>
                <w:u w:val="none" w:color="auto"/>
              </w:rPr>
              <w:t>6</w:t>
            </w:r>
          </w:p>
        </w:tc>
        <w:tc>
          <w:tcPr>
            <w:tcW w:w="804" w:type="dxa"/>
            <w:vAlign w:val="center"/>
          </w:tcPr>
          <w:p w14:paraId="73C78697">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z w:val="21"/>
                <w:szCs w:val="21"/>
                <w:u w:val="none" w:color="auto"/>
                <w:lang w:val="en-US" w:eastAsia="zh-CN"/>
              </w:rPr>
              <w:t>2.65</w:t>
            </w:r>
          </w:p>
        </w:tc>
        <w:tc>
          <w:tcPr>
            <w:tcW w:w="1112" w:type="dxa"/>
            <w:vAlign w:val="center"/>
          </w:tcPr>
          <w:p w14:paraId="0672ADB0">
            <w:pPr>
              <w:pStyle w:val="59"/>
              <w:spacing w:before="57" w:line="240" w:lineRule="auto"/>
              <w:ind w:left="0" w:leftChars="0" w:firstLine="0" w:firstLineChars="0"/>
              <w:jc w:val="center"/>
              <w:rPr>
                <w:rFonts w:hint="default" w:ascii="Times New Roman" w:hAnsi="Times New Roman" w:cs="Times New Roman"/>
                <w:color w:val="auto"/>
                <w:spacing w:val="-2"/>
                <w:sz w:val="21"/>
                <w:szCs w:val="21"/>
                <w:u w:val="none" w:color="auto"/>
              </w:rPr>
            </w:pPr>
            <w:r>
              <w:rPr>
                <w:rFonts w:hint="default" w:ascii="Times New Roman" w:hAnsi="Times New Roman" w:cs="Times New Roman"/>
                <w:color w:val="auto"/>
                <w:sz w:val="21"/>
                <w:szCs w:val="21"/>
                <w:u w:val="none" w:color="auto"/>
                <w:lang w:eastAsia="zh-CN"/>
              </w:rPr>
              <w:t>1.66</w:t>
            </w:r>
          </w:p>
        </w:tc>
      </w:tr>
    </w:tbl>
    <w:p w14:paraId="090E623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弃渣场选址</w:t>
      </w:r>
    </w:p>
    <w:p w14:paraId="0B2E097C">
      <w:pPr>
        <w:bidi w:val="0"/>
        <w:rPr>
          <w:rFonts w:hint="default"/>
        </w:rPr>
      </w:pPr>
      <w:r>
        <w:rPr>
          <w:rFonts w:hint="default"/>
        </w:rPr>
        <w:t>根据主体设计现场调查和地质勘察资料，工程周边适合做弃渣场的位置较少，经主体施工专业、水土保持专业的分析比较，鉴于工程区实际情况，拟选</w:t>
      </w:r>
      <w:r>
        <w:rPr>
          <w:rFonts w:hint="default"/>
          <w:lang w:val="en-US" w:eastAsia="zh-CN"/>
        </w:rPr>
        <w:t>定</w:t>
      </w:r>
      <w:r>
        <w:rPr>
          <w:rFonts w:hint="default"/>
          <w:lang w:eastAsia="zh-CN"/>
        </w:rPr>
        <w:t>大坝下游二级电站附近空闲低洼地</w:t>
      </w:r>
      <w:r>
        <w:rPr>
          <w:rFonts w:hint="default"/>
          <w:lang w:val="en-US" w:eastAsia="zh-CN"/>
        </w:rPr>
        <w:t>作为</w:t>
      </w:r>
      <w:r>
        <w:rPr>
          <w:rFonts w:hint="default"/>
        </w:rPr>
        <w:t>弃渣场，弃渣场</w:t>
      </w:r>
      <w:r>
        <w:rPr>
          <w:rFonts w:hint="default"/>
          <w:lang w:val="en-US" w:eastAsia="zh-CN"/>
        </w:rPr>
        <w:t>与</w:t>
      </w:r>
      <w:r>
        <w:rPr>
          <w:rFonts w:hint="default"/>
        </w:rPr>
        <w:t>大坝直线</w:t>
      </w:r>
      <w:r>
        <w:rPr>
          <w:rFonts w:hint="default"/>
          <w:lang w:eastAsia="zh-CN"/>
        </w:rPr>
        <w:t>距离2.50km，主要堆放土石方、拆除料，</w:t>
      </w:r>
      <w:r>
        <w:rPr>
          <w:rFonts w:hint="default"/>
        </w:rPr>
        <w:t>弃渣松方量约为</w:t>
      </w:r>
      <w:r>
        <w:rPr>
          <w:rFonts w:hint="default"/>
          <w:lang w:eastAsia="zh-CN"/>
        </w:rPr>
        <w:t>1.66万</w:t>
      </w:r>
      <w:r>
        <w:rPr>
          <w:rFonts w:hint="default"/>
        </w:rPr>
        <w:t>m³</w:t>
      </w:r>
      <w:r>
        <w:rPr>
          <w:rFonts w:hint="default"/>
          <w:lang w:eastAsia="zh-CN"/>
        </w:rPr>
        <w:t>，</w:t>
      </w:r>
      <w:r>
        <w:rPr>
          <w:rFonts w:hint="default"/>
        </w:rPr>
        <w:t>弃渣场容量为</w:t>
      </w:r>
      <w:r>
        <w:rPr>
          <w:rFonts w:hint="default"/>
          <w:lang w:eastAsia="zh-CN"/>
        </w:rPr>
        <w:t>2.65万</w:t>
      </w:r>
      <w:r>
        <w:rPr>
          <w:rFonts w:hint="default"/>
        </w:rPr>
        <w:t>m³</w:t>
      </w:r>
      <w:r>
        <w:rPr>
          <w:rFonts w:hint="default"/>
          <w:lang w:eastAsia="zh-CN"/>
        </w:rPr>
        <w:t>，</w:t>
      </w:r>
      <w:r>
        <w:rPr>
          <w:rFonts w:hint="default"/>
        </w:rPr>
        <w:t>渣场容量</w:t>
      </w:r>
      <w:r>
        <w:rPr>
          <w:rFonts w:hint="eastAsia"/>
          <w:lang w:val="en-US" w:eastAsia="zh-CN"/>
        </w:rPr>
        <w:t>完全</w:t>
      </w:r>
      <w:r>
        <w:rPr>
          <w:rFonts w:hint="default"/>
        </w:rPr>
        <w:t>能够满足弃渣要求</w:t>
      </w:r>
      <w:r>
        <w:rPr>
          <w:rFonts w:hint="default"/>
          <w:lang w:eastAsia="zh-CN"/>
        </w:rPr>
        <w:t>，</w:t>
      </w:r>
      <w:r>
        <w:rPr>
          <w:rFonts w:hint="default"/>
        </w:rPr>
        <w:t>该渣场属于坡地渣场，交通条件相对较好，需要有一段施工道路。现状为低矮灌木丛林，不涉及基本农田，下游无居民房屋。</w:t>
      </w:r>
    </w:p>
    <w:p w14:paraId="3E5F6802">
      <w:pPr>
        <w:bidi w:val="0"/>
        <w:rPr>
          <w:rFonts w:hint="default"/>
        </w:rPr>
      </w:pPr>
      <w:r>
        <w:rPr>
          <w:rFonts w:hint="default"/>
        </w:rPr>
        <w:t>场地为一宽槽谷，宽约160m，分布残积粘土层，厚1</w:t>
      </w:r>
      <w:r>
        <w:rPr>
          <w:rFonts w:hint="default"/>
          <w:lang w:eastAsia="zh-CN"/>
        </w:rPr>
        <w:t>~</w:t>
      </w:r>
      <w:r>
        <w:rPr>
          <w:rFonts w:hint="default"/>
        </w:rPr>
        <w:t>2m，为已废弃荒地；面积约1.2万</w:t>
      </w:r>
      <w:r>
        <w:rPr>
          <w:rFonts w:hint="eastAsia"/>
          <w:lang w:eastAsia="zh-CN"/>
        </w:rPr>
        <w:t>m</w:t>
      </w:r>
      <w:r>
        <w:rPr>
          <w:rFonts w:hint="eastAsia"/>
          <w:vertAlign w:val="superscript"/>
          <w:lang w:eastAsia="zh-CN"/>
        </w:rPr>
        <w:t>2</w:t>
      </w:r>
      <w:r>
        <w:rPr>
          <w:rFonts w:hint="default"/>
        </w:rPr>
        <w:t>。场地左右侧均较缓。基岩地层岩性为泥盆系中统跳马涧组(D2t)强风化-弱风化中厚层石英砂岩、泥质粉砂岩夹页岩。未见断裂构造，构造不发育，左、右岸坡没有岩崩垮塌的隐患存在，场地基本稳定，其下游250m范围内无村寨民居点，仅为旱地和林地，适宜堆放弃渣。</w:t>
      </w:r>
    </w:p>
    <w:p w14:paraId="3C9FF77E">
      <w:pPr>
        <w:bidi w:val="0"/>
        <w:rPr>
          <w:rFonts w:hint="default"/>
        </w:rPr>
      </w:pPr>
      <w:r>
        <w:rPr>
          <w:rFonts w:hint="default"/>
        </w:rPr>
        <w:t>由于渣场为地表水的排泄通道，弃渣填埋前，应在沟底或渣场两侧预埋排水管道，及时疏排沟中地表水，防止水体滞留水位抬高引发泥石流、滑坡等地质灾害，工程施工完毕后，应在堆渣坡面上布置护坡加固、进行植被绿化和环境修复等措施，预防水土流失和地质灾害发生。</w:t>
      </w:r>
    </w:p>
    <w:p w14:paraId="7FDF79DD">
      <w:pPr>
        <w:bidi w:val="0"/>
        <w:rPr>
          <w:rFonts w:hint="default"/>
        </w:rPr>
      </w:pPr>
      <w:r>
        <w:rPr>
          <w:rFonts w:hint="default"/>
        </w:rPr>
        <w:t>弃渣需遵循国家标准的规定，做到“先拦后弃”，建议弃渣场下游末端布置挡渣墙等构筑物，其上部存在厚约1-2m残积黏土层，下部为泥盆系中统跳马涧组(D2t)强风化-弱风化中厚层石英砂岩、泥质粉砂岩夹页岩，采用重力式挡墙时，持力层可选用强风化砂岩层，该层承载力较高，地面摩擦系数较大不易出现滑移滑动，基岩无软弱结构面，岩性较为单一，持力层不存在影响大坝安全的深部软弱夹层或不利结构面组合；基础抗滑稳定主要受砼/基岩接触面抗剪强度控制。</w:t>
      </w:r>
    </w:p>
    <w:p w14:paraId="2E8E3A44">
      <w:pPr>
        <w:bidi w:val="0"/>
        <w:rPr>
          <w:rFonts w:hint="default"/>
        </w:rPr>
      </w:pPr>
      <w:r>
        <w:rPr>
          <w:rFonts w:hint="default"/>
        </w:rPr>
        <w:t>从水土保持角度分析，弃渣场弃渣量小于50万m³</w:t>
      </w:r>
      <w:r>
        <w:rPr>
          <w:rFonts w:hint="default"/>
          <w:lang w:eastAsia="zh-CN"/>
        </w:rPr>
        <w:t>，</w:t>
      </w:r>
      <w:r>
        <w:rPr>
          <w:rFonts w:hint="default"/>
        </w:rPr>
        <w:t>堆渣高程2</w:t>
      </w:r>
      <w:r>
        <w:rPr>
          <w:rFonts w:hint="default"/>
          <w:lang w:val="en-US" w:eastAsia="zh-CN"/>
        </w:rPr>
        <w:t>58-</w:t>
      </w:r>
      <w:r>
        <w:rPr>
          <w:rFonts w:hint="default"/>
          <w:lang w:eastAsia="zh-CN"/>
        </w:rPr>
        <w:t>264</w:t>
      </w:r>
      <w:r>
        <w:rPr>
          <w:rFonts w:hint="default"/>
        </w:rPr>
        <w:t>m</w:t>
      </w:r>
      <w:r>
        <w:rPr>
          <w:rFonts w:hint="default"/>
          <w:lang w:eastAsia="zh-CN"/>
        </w:rPr>
        <w:t>，</w:t>
      </w:r>
      <w:r>
        <w:rPr>
          <w:rFonts w:hint="default"/>
        </w:rPr>
        <w:t>堆渣最大高度6m</w:t>
      </w:r>
      <w:r>
        <w:rPr>
          <w:rFonts w:hint="default"/>
          <w:lang w:eastAsia="zh-CN"/>
        </w:rPr>
        <w:t>，</w:t>
      </w:r>
      <w:r>
        <w:rPr>
          <w:rFonts w:hint="default"/>
        </w:rPr>
        <w:t>弃渣场级别为5级，渣场内未见大的断层切割破坏，无滑坡、泥石流等不良地质现象发育，渣场下游无基础设施、公共设施、工业企业、居民生活区，无明显水土保持制约性因素。</w:t>
      </w:r>
    </w:p>
    <w:p w14:paraId="1855120F">
      <w:pPr>
        <w:spacing w:line="92" w:lineRule="auto"/>
        <w:rPr>
          <w:rFonts w:hint="default" w:ascii="Times New Roman" w:hAnsi="Times New Roman" w:cs="Times New Roman"/>
          <w:color w:val="auto"/>
          <w:sz w:val="2"/>
          <w:u w:val="none" w:color="auto"/>
        </w:rPr>
      </w:pPr>
    </w:p>
    <w:p w14:paraId="28DE5ED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弃渣场堆置方案</w:t>
      </w:r>
    </w:p>
    <w:p w14:paraId="021FEC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根据地勘专业提供资料，弃渣成分为人工堆积碎石或残坡积含碎石粉质粘土，弃渣前，按照先挡后弃原则，在确定的起堆线处设置挡渣墙，从起堆线向内部分层逐级往上堆渣，先堆石方，再堆土方，堆渣坡比为1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每层堆高0.5m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堆完一层采用机械压实，以提高渣体的密实性和稳定性。</w:t>
      </w:r>
    </w:p>
    <w:p w14:paraId="3DDDDC5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施工临时占地</w:t>
      </w:r>
    </w:p>
    <w:p w14:paraId="1DEBDC1B">
      <w:pPr>
        <w:bidi w:val="0"/>
        <w:rPr>
          <w:rFonts w:hint="default" w:ascii="Times New Roman" w:hAnsi="Times New Roman" w:cs="Times New Roman"/>
          <w:color w:val="auto"/>
          <w:u w:val="none" w:color="auto"/>
        </w:rPr>
      </w:pPr>
      <w:r>
        <w:rPr>
          <w:rFonts w:hint="default" w:ascii="Times New Roman" w:hAnsi="Times New Roman" w:cs="Times New Roman"/>
          <w:color w:val="auto"/>
          <w:sz w:val="24"/>
          <w:szCs w:val="24"/>
          <w:u w:val="none" w:color="auto"/>
        </w:rPr>
        <w:t>本工程施工临时占地包括</w:t>
      </w:r>
      <w:r>
        <w:rPr>
          <w:rFonts w:hint="default" w:ascii="Times New Roman" w:hAnsi="Times New Roman" w:cs="Times New Roman"/>
          <w:color w:val="auto"/>
          <w:u w:val="none" w:color="auto"/>
        </w:rPr>
        <w:t>弃渣场区、施工临建区、施工道路区</w:t>
      </w:r>
      <w:r>
        <w:rPr>
          <w:rFonts w:hint="default" w:ascii="Times New Roman" w:hAnsi="Times New Roman" w:cs="Times New Roman"/>
          <w:color w:val="auto"/>
          <w:sz w:val="24"/>
          <w:szCs w:val="24"/>
          <w:u w:val="none" w:color="auto"/>
        </w:rPr>
        <w:t>等，施工占地总面积合计</w:t>
      </w:r>
      <w:r>
        <w:rPr>
          <w:rFonts w:hint="default" w:ascii="Times New Roman" w:hAnsi="Times New Roman" w:cs="Times New Roman" w:eastAsiaTheme="minorEastAsia"/>
          <w:color w:val="auto"/>
          <w:sz w:val="24"/>
          <w:szCs w:val="24"/>
          <w:u w:val="none" w:color="auto"/>
        </w:rPr>
        <w:t>7091</w:t>
      </w:r>
      <w:r>
        <w:rPr>
          <w:rFonts w:hint="default" w:ascii="Times New Roman" w:hAnsi="Times New Roman" w:cs="Times New Roman"/>
          <w:color w:val="auto"/>
          <w:sz w:val="24"/>
          <w:szCs w:val="24"/>
          <w:u w:val="none" w:color="auto"/>
        </w:rPr>
        <w:t>m²</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施工优化布置后临时占地不占用生态红线，</w:t>
      </w:r>
      <w:r>
        <w:rPr>
          <w:rFonts w:hint="default" w:ascii="Times New Roman" w:hAnsi="Times New Roman" w:cs="Times New Roman"/>
          <w:color w:val="auto"/>
          <w:sz w:val="24"/>
          <w:szCs w:val="24"/>
          <w:u w:val="none" w:color="auto"/>
        </w:rPr>
        <w:t>施工占地分项面积见下表</w:t>
      </w:r>
      <w:r>
        <w:rPr>
          <w:rFonts w:hint="default" w:ascii="Times New Roman" w:hAnsi="Times New Roman" w:cs="Times New Roman"/>
          <w:color w:val="auto"/>
          <w:u w:val="none" w:color="auto"/>
        </w:rPr>
        <w:t>。</w:t>
      </w:r>
    </w:p>
    <w:p w14:paraId="14ED92E2">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3.</w:t>
      </w:r>
      <w:r>
        <w:rPr>
          <w:rFonts w:hint="eastAsia" w:cs="Times New Roman"/>
          <w:b/>
          <w:bCs/>
          <w:color w:val="auto"/>
          <w:u w:val="none" w:color="auto"/>
          <w:lang w:val="en-US" w:eastAsia="zh-CN"/>
        </w:rPr>
        <w:t>9</w:t>
      </w:r>
      <w:r>
        <w:rPr>
          <w:rFonts w:hint="default" w:ascii="Times New Roman" w:hAnsi="Times New Roman" w:cs="Times New Roman"/>
          <w:b/>
          <w:bCs/>
          <w:color w:val="auto"/>
          <w:u w:val="none" w:color="auto"/>
          <w:lang w:val="en-US" w:eastAsia="zh-CN"/>
        </w:rPr>
        <w:t>-1</w:t>
      </w:r>
      <w:r>
        <w:rPr>
          <w:rFonts w:hint="eastAsia" w:cs="Times New Roman"/>
          <w:b/>
          <w:bCs/>
          <w:color w:val="auto"/>
          <w:u w:val="none" w:color="auto"/>
          <w:lang w:val="en-US" w:eastAsia="zh-CN"/>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施工占地分项面积表</w:t>
      </w:r>
    </w:p>
    <w:tbl>
      <w:tblPr>
        <w:tblStyle w:val="162"/>
        <w:tblW w:w="502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82"/>
        <w:gridCol w:w="1944"/>
        <w:gridCol w:w="2324"/>
        <w:gridCol w:w="1921"/>
      </w:tblGrid>
      <w:tr w14:paraId="0D7477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restart"/>
            <w:tcBorders>
              <w:tl2br w:val="nil"/>
              <w:tr2bl w:val="nil"/>
            </w:tcBorders>
            <w:vAlign w:val="center"/>
          </w:tcPr>
          <w:p w14:paraId="24203C2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施工单元</w:t>
            </w:r>
          </w:p>
        </w:tc>
        <w:tc>
          <w:tcPr>
            <w:tcW w:w="6183" w:type="dxa"/>
            <w:gridSpan w:val="3"/>
            <w:tcBorders>
              <w:tl2br w:val="nil"/>
              <w:tr2bl w:val="nil"/>
            </w:tcBorders>
            <w:vAlign w:val="center"/>
          </w:tcPr>
          <w:p w14:paraId="16C4094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可剥离范围</w:t>
            </w:r>
          </w:p>
        </w:tc>
      </w:tr>
      <w:tr w14:paraId="2E1630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continue"/>
            <w:tcBorders>
              <w:tl2br w:val="nil"/>
              <w:tr2bl w:val="nil"/>
            </w:tcBorders>
            <w:vAlign w:val="center"/>
          </w:tcPr>
          <w:p w14:paraId="033FDDC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4264" w:type="dxa"/>
            <w:gridSpan w:val="2"/>
            <w:tcBorders>
              <w:tl2br w:val="nil"/>
              <w:tr2bl w:val="nil"/>
            </w:tcBorders>
            <w:vAlign w:val="center"/>
          </w:tcPr>
          <w:p w14:paraId="18C6DD2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占地面积及占地类型</w:t>
            </w:r>
          </w:p>
        </w:tc>
        <w:tc>
          <w:tcPr>
            <w:tcW w:w="1919" w:type="dxa"/>
            <w:vMerge w:val="restart"/>
            <w:tcBorders>
              <w:tl2br w:val="nil"/>
              <w:tr2bl w:val="nil"/>
            </w:tcBorders>
            <w:vAlign w:val="center"/>
          </w:tcPr>
          <w:p w14:paraId="18FCE63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小计</w:t>
            </w:r>
          </w:p>
        </w:tc>
      </w:tr>
      <w:tr w14:paraId="04672E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vMerge w:val="continue"/>
            <w:tcBorders>
              <w:tl2br w:val="nil"/>
              <w:tr2bl w:val="nil"/>
            </w:tcBorders>
            <w:vAlign w:val="center"/>
          </w:tcPr>
          <w:p w14:paraId="0569F4D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1942" w:type="dxa"/>
            <w:tcBorders>
              <w:tl2br w:val="nil"/>
              <w:tr2bl w:val="nil"/>
            </w:tcBorders>
            <w:vAlign w:val="center"/>
          </w:tcPr>
          <w:p w14:paraId="1D187D0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草地</w:t>
            </w:r>
          </w:p>
        </w:tc>
        <w:tc>
          <w:tcPr>
            <w:tcW w:w="2322" w:type="dxa"/>
            <w:tcBorders>
              <w:tl2br w:val="nil"/>
              <w:tr2bl w:val="nil"/>
            </w:tcBorders>
            <w:vAlign w:val="center"/>
          </w:tcPr>
          <w:p w14:paraId="0A4F7B8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林地</w:t>
            </w:r>
          </w:p>
        </w:tc>
        <w:tc>
          <w:tcPr>
            <w:tcW w:w="1919" w:type="dxa"/>
            <w:vMerge w:val="continue"/>
            <w:tcBorders>
              <w:tl2br w:val="nil"/>
              <w:tr2bl w:val="nil"/>
            </w:tcBorders>
            <w:vAlign w:val="center"/>
          </w:tcPr>
          <w:p w14:paraId="40C8A53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0F5779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tl2br w:val="nil"/>
              <w:tr2bl w:val="nil"/>
            </w:tcBorders>
            <w:vAlign w:val="center"/>
          </w:tcPr>
          <w:p w14:paraId="6547384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弃渣场区</w:t>
            </w:r>
          </w:p>
        </w:tc>
        <w:tc>
          <w:tcPr>
            <w:tcW w:w="1942" w:type="dxa"/>
            <w:tcBorders>
              <w:tl2br w:val="nil"/>
              <w:tr2bl w:val="nil"/>
            </w:tcBorders>
            <w:vAlign w:val="center"/>
          </w:tcPr>
          <w:p w14:paraId="7EE3C0F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0.1061</w:t>
            </w:r>
          </w:p>
        </w:tc>
        <w:tc>
          <w:tcPr>
            <w:tcW w:w="2322" w:type="dxa"/>
            <w:tcBorders>
              <w:tl2br w:val="nil"/>
              <w:tr2bl w:val="nil"/>
            </w:tcBorders>
            <w:vAlign w:val="center"/>
          </w:tcPr>
          <w:p w14:paraId="1D41F4B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0.3360</w:t>
            </w:r>
          </w:p>
        </w:tc>
        <w:tc>
          <w:tcPr>
            <w:tcW w:w="1919" w:type="dxa"/>
            <w:tcBorders>
              <w:tl2br w:val="nil"/>
              <w:tr2bl w:val="nil"/>
            </w:tcBorders>
            <w:vAlign w:val="center"/>
          </w:tcPr>
          <w:p w14:paraId="4392278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4421</w:t>
            </w:r>
          </w:p>
        </w:tc>
      </w:tr>
      <w:tr w14:paraId="017B5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tl2br w:val="nil"/>
              <w:tr2bl w:val="nil"/>
            </w:tcBorders>
            <w:vAlign w:val="center"/>
          </w:tcPr>
          <w:p w14:paraId="51BBFD2A">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施工临建区</w:t>
            </w:r>
          </w:p>
        </w:tc>
        <w:tc>
          <w:tcPr>
            <w:tcW w:w="1942" w:type="dxa"/>
            <w:tcBorders>
              <w:tl2br w:val="nil"/>
              <w:tr2bl w:val="nil"/>
            </w:tcBorders>
            <w:vAlign w:val="center"/>
          </w:tcPr>
          <w:p w14:paraId="2289DD3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19</w:t>
            </w:r>
          </w:p>
        </w:tc>
        <w:tc>
          <w:tcPr>
            <w:tcW w:w="2322" w:type="dxa"/>
            <w:tcBorders>
              <w:tl2br w:val="nil"/>
              <w:tr2bl w:val="nil"/>
            </w:tcBorders>
            <w:vAlign w:val="center"/>
          </w:tcPr>
          <w:p w14:paraId="537D92B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919" w:type="dxa"/>
            <w:tcBorders>
              <w:tl2br w:val="nil"/>
              <w:tr2bl w:val="nil"/>
            </w:tcBorders>
            <w:vAlign w:val="center"/>
          </w:tcPr>
          <w:p w14:paraId="309B00A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19</w:t>
            </w:r>
          </w:p>
        </w:tc>
      </w:tr>
      <w:tr w14:paraId="487AE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right w:val="single" w:color="auto" w:sz="4" w:space="0"/>
              <w:tl2br w:val="nil"/>
              <w:tr2bl w:val="nil"/>
            </w:tcBorders>
            <w:vAlign w:val="center"/>
          </w:tcPr>
          <w:p w14:paraId="6EF1729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施工道路区</w:t>
            </w:r>
          </w:p>
        </w:tc>
        <w:tc>
          <w:tcPr>
            <w:tcW w:w="1942" w:type="dxa"/>
            <w:tcBorders>
              <w:left w:val="single" w:color="auto" w:sz="4" w:space="0"/>
              <w:tl2br w:val="nil"/>
              <w:tr2bl w:val="nil"/>
            </w:tcBorders>
            <w:vAlign w:val="center"/>
          </w:tcPr>
          <w:p w14:paraId="2F6F03D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322" w:type="dxa"/>
            <w:tcBorders>
              <w:tl2br w:val="nil"/>
              <w:tr2bl w:val="nil"/>
            </w:tcBorders>
            <w:vAlign w:val="center"/>
          </w:tcPr>
          <w:p w14:paraId="0DCE493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0.077</w:t>
            </w:r>
          </w:p>
        </w:tc>
        <w:tc>
          <w:tcPr>
            <w:tcW w:w="1919" w:type="dxa"/>
            <w:tcBorders>
              <w:tl2br w:val="nil"/>
              <w:tr2bl w:val="nil"/>
            </w:tcBorders>
            <w:vAlign w:val="center"/>
          </w:tcPr>
          <w:p w14:paraId="755990B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0.077</w:t>
            </w:r>
          </w:p>
        </w:tc>
      </w:tr>
      <w:tr w14:paraId="46035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2180" w:type="dxa"/>
            <w:tcBorders>
              <w:right w:val="single" w:color="auto" w:sz="4" w:space="0"/>
              <w:tl2br w:val="nil"/>
              <w:tr2bl w:val="nil"/>
            </w:tcBorders>
            <w:vAlign w:val="center"/>
          </w:tcPr>
          <w:p w14:paraId="57F4E17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1942" w:type="dxa"/>
            <w:tcBorders>
              <w:left w:val="single" w:color="auto" w:sz="4" w:space="0"/>
              <w:tl2br w:val="nil"/>
              <w:tr2bl w:val="nil"/>
            </w:tcBorders>
            <w:vAlign w:val="center"/>
          </w:tcPr>
          <w:p w14:paraId="22FABA0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0.296</w:t>
            </w:r>
          </w:p>
        </w:tc>
        <w:tc>
          <w:tcPr>
            <w:tcW w:w="2322" w:type="dxa"/>
            <w:tcBorders>
              <w:tl2br w:val="nil"/>
              <w:tr2bl w:val="nil"/>
            </w:tcBorders>
            <w:vAlign w:val="center"/>
          </w:tcPr>
          <w:p w14:paraId="5CA87E9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0.4130</w:t>
            </w:r>
          </w:p>
        </w:tc>
        <w:tc>
          <w:tcPr>
            <w:tcW w:w="1919" w:type="dxa"/>
            <w:tcBorders>
              <w:tl2br w:val="nil"/>
              <w:tr2bl w:val="nil"/>
            </w:tcBorders>
            <w:vAlign w:val="center"/>
          </w:tcPr>
          <w:p w14:paraId="11D3861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0.7091</w:t>
            </w:r>
          </w:p>
        </w:tc>
      </w:tr>
    </w:tbl>
    <w:p w14:paraId="6459457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植被恢复与建设工程</w:t>
      </w:r>
      <w:r>
        <w:rPr>
          <w:rFonts w:hint="default" w:ascii="Times New Roman" w:hAnsi="Times New Roman" w:cs="Times New Roman"/>
          <w:color w:val="auto"/>
          <w:u w:val="none" w:color="auto"/>
          <w:lang w:val="en-US" w:eastAsia="zh-CN"/>
        </w:rPr>
        <w:t>方案</w:t>
      </w:r>
    </w:p>
    <w:p w14:paraId="30B5CB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植被建设工程设计标准应符合下列规定</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1级标准应满足景观、游憩、水土保持和生态保护等多种功能的要求。设计应结合景观要求，选用当地</w:t>
      </w:r>
      <w:r>
        <w:rPr>
          <w:rFonts w:hint="default" w:ascii="Times New Roman" w:hAnsi="Times New Roman" w:cs="Times New Roman"/>
          <w:color w:val="auto"/>
          <w:u w:val="none" w:color="auto"/>
          <w:lang w:val="en-US" w:eastAsia="zh-CN"/>
        </w:rPr>
        <w:t>原</w:t>
      </w:r>
      <w:r>
        <w:rPr>
          <w:rFonts w:hint="default" w:ascii="Times New Roman" w:hAnsi="Times New Roman" w:cs="Times New Roman"/>
          <w:color w:val="auto"/>
          <w:u w:val="none" w:color="auto"/>
        </w:rPr>
        <w:t>树种和草种进行配置；2级标准应满足水土保持和生态保护要求，适当结合景观、游憩等功能要求；3级标准应满足水土保持和生态保护要求，执行生态公益林绿化标准。本项目植被建设工程设计标准按3级标准执行。</w:t>
      </w:r>
    </w:p>
    <w:p w14:paraId="00F7B8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本工程植物恢复与建设工程级别见表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14:paraId="5FAB2B78">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bookmarkStart w:id="133" w:name="bookmark101"/>
      <w:bookmarkEnd w:id="133"/>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植物恢复与建设工程级别</w:t>
      </w:r>
    </w:p>
    <w:tbl>
      <w:tblPr>
        <w:tblStyle w:val="162"/>
        <w:tblW w:w="83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24"/>
        <w:gridCol w:w="3331"/>
        <w:gridCol w:w="2270"/>
      </w:tblGrid>
      <w:tr w14:paraId="4B454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1C2E812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绿化工程所处位置</w:t>
            </w:r>
          </w:p>
        </w:tc>
        <w:tc>
          <w:tcPr>
            <w:tcW w:w="3331" w:type="dxa"/>
            <w:vAlign w:val="center"/>
          </w:tcPr>
          <w:p w14:paraId="433E212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植被恢复部位</w:t>
            </w:r>
          </w:p>
        </w:tc>
        <w:tc>
          <w:tcPr>
            <w:tcW w:w="2270" w:type="dxa"/>
            <w:vAlign w:val="center"/>
          </w:tcPr>
          <w:p w14:paraId="5F25982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植物工程级别</w:t>
            </w:r>
          </w:p>
        </w:tc>
      </w:tr>
      <w:tr w14:paraId="6FDAF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65A7751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弃渣场区</w:t>
            </w:r>
          </w:p>
        </w:tc>
        <w:tc>
          <w:tcPr>
            <w:tcW w:w="3331" w:type="dxa"/>
            <w:vAlign w:val="center"/>
          </w:tcPr>
          <w:p w14:paraId="0678D8A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3BB56D1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r w14:paraId="0F68DD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2483EDF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施工临建区</w:t>
            </w:r>
          </w:p>
        </w:tc>
        <w:tc>
          <w:tcPr>
            <w:tcW w:w="3331" w:type="dxa"/>
            <w:vAlign w:val="center"/>
          </w:tcPr>
          <w:p w14:paraId="2C7FCDE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03DC6C8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r w14:paraId="371A22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24" w:type="dxa"/>
            <w:vAlign w:val="center"/>
          </w:tcPr>
          <w:p w14:paraId="32D0417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施工道路区</w:t>
            </w:r>
          </w:p>
        </w:tc>
        <w:tc>
          <w:tcPr>
            <w:tcW w:w="3331" w:type="dxa"/>
            <w:vAlign w:val="center"/>
          </w:tcPr>
          <w:p w14:paraId="4F3EF61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迹地绿化</w:t>
            </w:r>
          </w:p>
        </w:tc>
        <w:tc>
          <w:tcPr>
            <w:tcW w:w="2270" w:type="dxa"/>
            <w:vAlign w:val="center"/>
          </w:tcPr>
          <w:p w14:paraId="6DD241B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w:t>
            </w:r>
          </w:p>
        </w:tc>
      </w:tr>
    </w:tbl>
    <w:p w14:paraId="1F708C6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施工进度计划</w:t>
      </w:r>
    </w:p>
    <w:p w14:paraId="4035E27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施工进度计划</w:t>
      </w:r>
    </w:p>
    <w:p w14:paraId="3D05E16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本工程施工总工期为</w:t>
      </w:r>
      <w:r>
        <w:rPr>
          <w:rFonts w:hint="default" w:ascii="Times New Roman" w:hAnsi="Times New Roman" w:cs="Times New Roman"/>
          <w:color w:val="auto"/>
          <w:u w:val="none" w:color="auto"/>
          <w:lang w:eastAsia="zh-CN"/>
        </w:rPr>
        <w:t>15个</w:t>
      </w:r>
      <w:r>
        <w:rPr>
          <w:rFonts w:hint="default" w:ascii="Times New Roman" w:hAnsi="Times New Roman" w:cs="Times New Roman"/>
          <w:color w:val="auto"/>
          <w:u w:val="none" w:color="auto"/>
        </w:rPr>
        <w:t>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工程从第一年7月开工至第二年</w:t>
      </w:r>
      <w:r>
        <w:rPr>
          <w:rFonts w:hint="default" w:ascii="Times New Roman" w:hAnsi="Times New Roman" w:cs="Times New Roman"/>
          <w:color w:val="auto"/>
          <w:u w:val="none" w:color="auto"/>
          <w:lang w:val="en-US" w:eastAsia="zh-CN"/>
        </w:rPr>
        <w:t>9</w:t>
      </w:r>
      <w:r>
        <w:rPr>
          <w:rFonts w:hint="default" w:ascii="Times New Roman" w:hAnsi="Times New Roman" w:cs="Times New Roman"/>
          <w:color w:val="auto"/>
          <w:u w:val="none" w:color="auto"/>
        </w:rPr>
        <w:t>月完工。</w:t>
      </w:r>
    </w:p>
    <w:p w14:paraId="0E815FFC">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本次除险加固工程筹建期：本工程正式动工以前，即第一年7月前为工程 筹建期，由业主单位负责筹建，完成立项报批、开工备案；完成对外 交通、施工供电和通信系统、征地、移民以及招标、评标、签约等工 作，为承包单位进场开工创造条件，不计入施工总工期。</w:t>
      </w:r>
    </w:p>
    <w:p w14:paraId="1F889447">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施工准备期：从本工程准备工程开工起～主体工程开工前的工期，即第一年7月，共1个月。主要工作内容：主要完成场内交通 道路修建、施工场地平整、施工用风、水、电系统的修建等工作。</w:t>
      </w:r>
    </w:p>
    <w:p w14:paraId="7997F720">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主体工程施工期：第一年8月～第二年7月，共12个月。主要完成水库除险加固相关施工工作。</w:t>
      </w:r>
    </w:p>
    <w:p w14:paraId="6CBDC0C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第一年8月~10月，进行围堰填筑以及上坝公路边坡支护施工。</w:t>
      </w:r>
    </w:p>
    <w:p w14:paraId="16C8E6E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第一年10月~第二年2月，进行新建取水塔，大坝防渗，溢洪道加固施工。</w:t>
      </w:r>
    </w:p>
    <w:p w14:paraId="34F6E1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第二年3月，进行隧洞加固施工。</w:t>
      </w:r>
    </w:p>
    <w:p w14:paraId="51293D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第二年4月~7月，进行其它建筑物及安全监测施工。</w:t>
      </w:r>
    </w:p>
    <w:p w14:paraId="7B8BAB72">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工程完建期：第二年8月~9月，共2个月。主要进行项目收尾设备调试及试运行工作。</w:t>
      </w:r>
    </w:p>
    <w:p w14:paraId="18A032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根据进度安排，主要项目高峰月强度为：土石方开挖及拆除0.56万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/月；土石方填筑0.32万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/月；混凝土浇筑0.24万</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/月。</w:t>
      </w:r>
    </w:p>
    <w:p w14:paraId="34B4878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建材消耗及</w:t>
      </w:r>
      <w:r>
        <w:rPr>
          <w:rFonts w:hint="default" w:ascii="Times New Roman" w:hAnsi="Times New Roman" w:cs="Times New Roman"/>
          <w:color w:val="auto"/>
          <w:u w:val="none" w:color="auto"/>
        </w:rPr>
        <w:t>施工机械</w:t>
      </w:r>
      <w:r>
        <w:rPr>
          <w:rFonts w:hint="default" w:ascii="Times New Roman" w:hAnsi="Times New Roman" w:cs="Times New Roman"/>
          <w:color w:val="auto"/>
          <w:u w:val="none" w:color="auto"/>
          <w:lang w:val="en-US" w:eastAsia="zh-CN"/>
        </w:rPr>
        <w:t>设备</w:t>
      </w:r>
    </w:p>
    <w:p w14:paraId="704F58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本工程技术供应计划主要指建筑材料用量、劳动力消耗及施工机械设备需要量。</w:t>
      </w:r>
    </w:p>
    <w:p w14:paraId="57614C3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主要建材消耗见表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4</w:t>
      </w:r>
      <w:r>
        <w:rPr>
          <w:rFonts w:hint="default" w:ascii="Times New Roman" w:hAnsi="Times New Roman" w:cs="Times New Roman"/>
          <w:color w:val="auto"/>
          <w:u w:val="none" w:color="auto"/>
        </w:rPr>
        <w:t>。</w:t>
      </w:r>
    </w:p>
    <w:p w14:paraId="38F8FE1A">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4</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建材用量表</w:t>
      </w:r>
    </w:p>
    <w:tbl>
      <w:tblPr>
        <w:tblStyle w:val="162"/>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2"/>
        <w:gridCol w:w="1245"/>
        <w:gridCol w:w="987"/>
        <w:gridCol w:w="743"/>
        <w:gridCol w:w="881"/>
        <w:gridCol w:w="1192"/>
        <w:gridCol w:w="1096"/>
        <w:gridCol w:w="1440"/>
      </w:tblGrid>
      <w:tr w14:paraId="1281EC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751" w:type="dxa"/>
            <w:vAlign w:val="center"/>
          </w:tcPr>
          <w:p w14:paraId="68977B1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项目</w:t>
            </w:r>
          </w:p>
        </w:tc>
        <w:tc>
          <w:tcPr>
            <w:tcW w:w="1244" w:type="dxa"/>
            <w:vAlign w:val="center"/>
          </w:tcPr>
          <w:p w14:paraId="59F5392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水泥</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986" w:type="dxa"/>
            <w:vAlign w:val="center"/>
          </w:tcPr>
          <w:p w14:paraId="5D51073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钢筋</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742" w:type="dxa"/>
            <w:vAlign w:val="center"/>
          </w:tcPr>
          <w:p w14:paraId="3C953D98">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汽油</w:t>
            </w:r>
          </w:p>
          <w:p w14:paraId="3DD5B8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u w:val="none" w:color="auto"/>
                <w:lang w:eastAsia="zh-CN"/>
              </w:rPr>
              <w:t>)</w:t>
            </w:r>
          </w:p>
        </w:tc>
        <w:tc>
          <w:tcPr>
            <w:tcW w:w="880" w:type="dxa"/>
            <w:vAlign w:val="center"/>
          </w:tcPr>
          <w:p w14:paraId="0C45FDF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柴油</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t</w:t>
            </w:r>
            <w:r>
              <w:rPr>
                <w:rFonts w:hint="default" w:ascii="Times New Roman" w:hAnsi="Times New Roman" w:cs="Times New Roman"/>
                <w:color w:val="auto"/>
                <w:sz w:val="21"/>
                <w:szCs w:val="21"/>
                <w:highlight w:val="none"/>
                <w:u w:val="none" w:color="auto"/>
                <w:lang w:eastAsia="zh-CN"/>
              </w:rPr>
              <w:t>)</w:t>
            </w:r>
          </w:p>
        </w:tc>
        <w:tc>
          <w:tcPr>
            <w:tcW w:w="1191" w:type="dxa"/>
            <w:vAlign w:val="center"/>
          </w:tcPr>
          <w:p w14:paraId="6A23825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砂子</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u w:val="none" w:color="auto"/>
                <w:lang w:eastAsia="zh-CN"/>
              </w:rPr>
              <w:t>)</w:t>
            </w:r>
          </w:p>
        </w:tc>
        <w:tc>
          <w:tcPr>
            <w:tcW w:w="1095" w:type="dxa"/>
            <w:vAlign w:val="center"/>
          </w:tcPr>
          <w:p w14:paraId="2782DEB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卵石</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highlight w:val="none"/>
                <w:u w:val="none" w:color="auto"/>
                <w:lang w:eastAsia="zh-CN"/>
              </w:rPr>
              <w:t>)</w:t>
            </w:r>
          </w:p>
        </w:tc>
        <w:tc>
          <w:tcPr>
            <w:tcW w:w="1438" w:type="dxa"/>
            <w:vAlign w:val="center"/>
          </w:tcPr>
          <w:p w14:paraId="02436FF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块石</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m³</w:t>
            </w:r>
            <w:r>
              <w:rPr>
                <w:rFonts w:hint="default" w:ascii="Times New Roman" w:hAnsi="Times New Roman" w:cs="Times New Roman"/>
                <w:color w:val="auto"/>
                <w:sz w:val="21"/>
                <w:szCs w:val="21"/>
                <w:highlight w:val="none"/>
                <w:u w:val="none" w:color="auto"/>
                <w:lang w:eastAsia="zh-CN"/>
              </w:rPr>
              <w:t>)</w:t>
            </w:r>
          </w:p>
        </w:tc>
      </w:tr>
      <w:tr w14:paraId="6764E9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751" w:type="dxa"/>
            <w:vAlign w:val="center"/>
          </w:tcPr>
          <w:p w14:paraId="588845E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合计</w:t>
            </w:r>
          </w:p>
        </w:tc>
        <w:tc>
          <w:tcPr>
            <w:tcW w:w="1244" w:type="dxa"/>
            <w:vAlign w:val="center"/>
          </w:tcPr>
          <w:p w14:paraId="0766E02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988.95</w:t>
            </w:r>
          </w:p>
        </w:tc>
        <w:tc>
          <w:tcPr>
            <w:tcW w:w="986" w:type="dxa"/>
            <w:vAlign w:val="center"/>
          </w:tcPr>
          <w:p w14:paraId="24EBB56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671.68</w:t>
            </w:r>
          </w:p>
        </w:tc>
        <w:tc>
          <w:tcPr>
            <w:tcW w:w="742" w:type="dxa"/>
            <w:vAlign w:val="center"/>
          </w:tcPr>
          <w:p w14:paraId="41EA01C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FangSong_GB2312" w:cs="Times New Roman"/>
                <w:color w:val="auto"/>
                <w:spacing w:val="-56"/>
                <w:sz w:val="21"/>
                <w:szCs w:val="21"/>
                <w:u w:val="none" w:color="auto"/>
              </w:rPr>
              <w:t xml:space="preserve"> </w:t>
            </w:r>
            <w:r>
              <w:rPr>
                <w:rFonts w:hint="default" w:ascii="Times New Roman" w:hAnsi="Times New Roman" w:eastAsia="Times New Roman" w:cs="Times New Roman"/>
                <w:color w:val="auto"/>
                <w:spacing w:val="-6"/>
                <w:sz w:val="21"/>
                <w:szCs w:val="21"/>
                <w:u w:val="none" w:color="auto"/>
              </w:rPr>
              <w:t>8.63</w:t>
            </w:r>
          </w:p>
        </w:tc>
        <w:tc>
          <w:tcPr>
            <w:tcW w:w="880" w:type="dxa"/>
            <w:vAlign w:val="center"/>
          </w:tcPr>
          <w:p w14:paraId="45514741">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113.81</w:t>
            </w:r>
          </w:p>
        </w:tc>
        <w:tc>
          <w:tcPr>
            <w:tcW w:w="1191" w:type="dxa"/>
            <w:vAlign w:val="center"/>
          </w:tcPr>
          <w:p w14:paraId="656758E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FangSong_GB2312" w:cs="Times New Roman"/>
                <w:color w:val="auto"/>
                <w:spacing w:val="-5"/>
                <w:sz w:val="21"/>
                <w:szCs w:val="21"/>
                <w:u w:val="none" w:color="auto"/>
              </w:rPr>
              <w:t xml:space="preserve"> </w:t>
            </w:r>
            <w:r>
              <w:rPr>
                <w:rFonts w:hint="default" w:ascii="Times New Roman" w:hAnsi="Times New Roman" w:eastAsia="Times New Roman" w:cs="Times New Roman"/>
                <w:color w:val="auto"/>
                <w:spacing w:val="-5"/>
                <w:sz w:val="21"/>
                <w:szCs w:val="21"/>
                <w:u w:val="none" w:color="auto"/>
              </w:rPr>
              <w:t>1517.51</w:t>
            </w:r>
          </w:p>
        </w:tc>
        <w:tc>
          <w:tcPr>
            <w:tcW w:w="1095" w:type="dxa"/>
            <w:vAlign w:val="center"/>
          </w:tcPr>
          <w:p w14:paraId="273E1C4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311</w:t>
            </w:r>
          </w:p>
        </w:tc>
        <w:tc>
          <w:tcPr>
            <w:tcW w:w="1438" w:type="dxa"/>
            <w:vAlign w:val="center"/>
          </w:tcPr>
          <w:p w14:paraId="7158CF5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eastAsia="Times New Roman" w:cs="Times New Roman"/>
                <w:color w:val="auto"/>
                <w:spacing w:val="-6"/>
                <w:sz w:val="21"/>
                <w:szCs w:val="21"/>
                <w:u w:val="none" w:color="auto"/>
              </w:rPr>
              <w:t>2639.20</w:t>
            </w:r>
          </w:p>
        </w:tc>
      </w:tr>
    </w:tbl>
    <w:p w14:paraId="204F27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工程施工所需主要施工机械设备见表</w:t>
      </w:r>
      <w:r>
        <w:rPr>
          <w:rFonts w:hint="default" w:ascii="Times New Roman" w:hAnsi="Times New Roman" w:cs="Times New Roman"/>
          <w:color w:val="auto"/>
          <w:u w:val="none" w:color="auto"/>
          <w:lang w:val="en-US" w:eastAsia="zh-CN"/>
        </w:rPr>
        <w:t>3.</w:t>
      </w:r>
      <w:r>
        <w:rPr>
          <w:rFonts w:hint="eastAsia" w:cs="Times New Roman"/>
          <w:color w:val="auto"/>
          <w:u w:val="none" w:color="auto"/>
          <w:lang w:val="en-US" w:eastAsia="zh-CN"/>
        </w:rPr>
        <w:t>9</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p>
    <w:p w14:paraId="3D1455F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9</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15</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施工机械设备汇总表</w:t>
      </w:r>
    </w:p>
    <w:p w14:paraId="206A507D">
      <w:pPr>
        <w:spacing w:line="63" w:lineRule="auto"/>
        <w:rPr>
          <w:rFonts w:hint="default" w:ascii="Times New Roman" w:hAnsi="Times New Roman" w:cs="Times New Roman"/>
          <w:color w:val="auto"/>
          <w:sz w:val="2"/>
          <w:u w:val="none" w:color="auto"/>
        </w:rPr>
      </w:pPr>
    </w:p>
    <w:tbl>
      <w:tblPr>
        <w:tblStyle w:val="162"/>
        <w:tblW w:w="500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3"/>
        <w:gridCol w:w="2700"/>
        <w:gridCol w:w="2293"/>
        <w:gridCol w:w="1135"/>
        <w:gridCol w:w="1135"/>
      </w:tblGrid>
      <w:tr w14:paraId="7094A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040444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序号</w:t>
            </w:r>
          </w:p>
        </w:tc>
        <w:tc>
          <w:tcPr>
            <w:tcW w:w="2697" w:type="dxa"/>
            <w:vAlign w:val="center"/>
          </w:tcPr>
          <w:p w14:paraId="38F01FE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设备名称</w:t>
            </w:r>
          </w:p>
        </w:tc>
        <w:tc>
          <w:tcPr>
            <w:tcW w:w="2290" w:type="dxa"/>
            <w:vAlign w:val="center"/>
          </w:tcPr>
          <w:p w14:paraId="0193CC2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规格型号</w:t>
            </w:r>
          </w:p>
        </w:tc>
        <w:tc>
          <w:tcPr>
            <w:tcW w:w="1134" w:type="dxa"/>
            <w:vAlign w:val="center"/>
          </w:tcPr>
          <w:p w14:paraId="1BF83CE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单位</w:t>
            </w:r>
          </w:p>
        </w:tc>
        <w:tc>
          <w:tcPr>
            <w:tcW w:w="1134" w:type="dxa"/>
            <w:vAlign w:val="center"/>
          </w:tcPr>
          <w:p w14:paraId="73131D3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color w:val="auto"/>
                <w:sz w:val="21"/>
                <w:szCs w:val="21"/>
                <w:u w:val="none" w:color="auto"/>
              </w:rPr>
              <w:t>数量</w:t>
            </w:r>
          </w:p>
        </w:tc>
      </w:tr>
      <w:tr w14:paraId="3CB734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6DCE1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2697" w:type="dxa"/>
            <w:vAlign w:val="center"/>
          </w:tcPr>
          <w:p w14:paraId="45B628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单斗挖掘机</w:t>
            </w:r>
          </w:p>
        </w:tc>
        <w:tc>
          <w:tcPr>
            <w:tcW w:w="2290" w:type="dxa"/>
            <w:vAlign w:val="center"/>
          </w:tcPr>
          <w:p w14:paraId="5B96B9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0.6~2.0m³</w:t>
            </w:r>
          </w:p>
        </w:tc>
        <w:tc>
          <w:tcPr>
            <w:tcW w:w="1134" w:type="dxa"/>
            <w:vAlign w:val="center"/>
          </w:tcPr>
          <w:p w14:paraId="222FA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EC6F8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r>
      <w:tr w14:paraId="2C9E99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E1372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2697" w:type="dxa"/>
            <w:vAlign w:val="center"/>
          </w:tcPr>
          <w:p w14:paraId="0A5EAD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推土机</w:t>
            </w:r>
          </w:p>
        </w:tc>
        <w:tc>
          <w:tcPr>
            <w:tcW w:w="2290" w:type="dxa"/>
            <w:vAlign w:val="center"/>
          </w:tcPr>
          <w:p w14:paraId="50C754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59kW~74kW</w:t>
            </w:r>
          </w:p>
        </w:tc>
        <w:tc>
          <w:tcPr>
            <w:tcW w:w="1134" w:type="dxa"/>
            <w:vAlign w:val="center"/>
          </w:tcPr>
          <w:p w14:paraId="229D89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563D2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1C47F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4ED8B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w:t>
            </w:r>
          </w:p>
        </w:tc>
        <w:tc>
          <w:tcPr>
            <w:tcW w:w="2697" w:type="dxa"/>
            <w:vAlign w:val="center"/>
          </w:tcPr>
          <w:p w14:paraId="789EBC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拖拉机</w:t>
            </w:r>
          </w:p>
        </w:tc>
        <w:tc>
          <w:tcPr>
            <w:tcW w:w="2290" w:type="dxa"/>
            <w:vAlign w:val="center"/>
          </w:tcPr>
          <w:p w14:paraId="5D18BB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履带式 20kW</w:t>
            </w:r>
          </w:p>
        </w:tc>
        <w:tc>
          <w:tcPr>
            <w:tcW w:w="1134" w:type="dxa"/>
            <w:vAlign w:val="center"/>
          </w:tcPr>
          <w:p w14:paraId="148101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E8FB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46889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AB240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2697" w:type="dxa"/>
            <w:vAlign w:val="center"/>
          </w:tcPr>
          <w:p w14:paraId="0F7E90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内燃压路机</w:t>
            </w:r>
          </w:p>
        </w:tc>
        <w:tc>
          <w:tcPr>
            <w:tcW w:w="2290" w:type="dxa"/>
            <w:vAlign w:val="center"/>
          </w:tcPr>
          <w:p w14:paraId="094A1C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12~15t</w:t>
            </w:r>
          </w:p>
        </w:tc>
        <w:tc>
          <w:tcPr>
            <w:tcW w:w="1134" w:type="dxa"/>
            <w:vAlign w:val="center"/>
          </w:tcPr>
          <w:p w14:paraId="3A7E86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DC88D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367DB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8B7F8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w:t>
            </w:r>
          </w:p>
        </w:tc>
        <w:tc>
          <w:tcPr>
            <w:tcW w:w="2697" w:type="dxa"/>
            <w:vAlign w:val="center"/>
          </w:tcPr>
          <w:p w14:paraId="1DAB97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蛙式夯实机</w:t>
            </w:r>
          </w:p>
        </w:tc>
        <w:tc>
          <w:tcPr>
            <w:tcW w:w="2290" w:type="dxa"/>
            <w:vAlign w:val="center"/>
          </w:tcPr>
          <w:p w14:paraId="0F483C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2.8kW</w:t>
            </w:r>
          </w:p>
        </w:tc>
        <w:tc>
          <w:tcPr>
            <w:tcW w:w="1134" w:type="dxa"/>
            <w:vAlign w:val="center"/>
          </w:tcPr>
          <w:p w14:paraId="7E6D90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A2EC6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5D6FE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F50CD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6</w:t>
            </w:r>
          </w:p>
        </w:tc>
        <w:tc>
          <w:tcPr>
            <w:tcW w:w="2697" w:type="dxa"/>
            <w:vAlign w:val="center"/>
          </w:tcPr>
          <w:p w14:paraId="3CD3BB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风钻</w:t>
            </w:r>
          </w:p>
        </w:tc>
        <w:tc>
          <w:tcPr>
            <w:tcW w:w="2290" w:type="dxa"/>
            <w:vAlign w:val="center"/>
          </w:tcPr>
          <w:p w14:paraId="4F8621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手持式/气腿式</w:t>
            </w:r>
          </w:p>
        </w:tc>
        <w:tc>
          <w:tcPr>
            <w:tcW w:w="1134" w:type="dxa"/>
            <w:vAlign w:val="center"/>
          </w:tcPr>
          <w:p w14:paraId="048DA7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2D61C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50737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97C3E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7</w:t>
            </w:r>
          </w:p>
        </w:tc>
        <w:tc>
          <w:tcPr>
            <w:tcW w:w="2697" w:type="dxa"/>
            <w:vAlign w:val="center"/>
          </w:tcPr>
          <w:p w14:paraId="7F59CD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风镐</w:t>
            </w:r>
          </w:p>
        </w:tc>
        <w:tc>
          <w:tcPr>
            <w:tcW w:w="2290" w:type="dxa"/>
            <w:vAlign w:val="center"/>
          </w:tcPr>
          <w:p w14:paraId="20D053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lang w:eastAsia="zh-CN"/>
              </w:rPr>
            </w:pPr>
            <w:r>
              <w:rPr>
                <w:rFonts w:hint="default" w:ascii="Times New Roman" w:hAnsi="Times New Roman" w:cs="Times New Roman" w:eastAsiaTheme="minorEastAsia"/>
                <w:i w:val="0"/>
                <w:iCs w:val="0"/>
                <w:color w:val="auto"/>
                <w:kern w:val="0"/>
                <w:sz w:val="21"/>
                <w:szCs w:val="21"/>
                <w:u w:val="none" w:color="auto"/>
                <w:lang w:val="en-US" w:eastAsia="zh-CN" w:bidi="ar"/>
              </w:rPr>
              <w:t>手持式</w:t>
            </w:r>
          </w:p>
        </w:tc>
        <w:tc>
          <w:tcPr>
            <w:tcW w:w="1134" w:type="dxa"/>
            <w:vAlign w:val="center"/>
          </w:tcPr>
          <w:p w14:paraId="6B3F64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53EA0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89557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DD08A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8</w:t>
            </w:r>
          </w:p>
        </w:tc>
        <w:tc>
          <w:tcPr>
            <w:tcW w:w="2697" w:type="dxa"/>
            <w:vAlign w:val="center"/>
          </w:tcPr>
          <w:p w14:paraId="3ACF09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砂(灰)浆搅拌机</w:t>
            </w:r>
          </w:p>
        </w:tc>
        <w:tc>
          <w:tcPr>
            <w:tcW w:w="2290" w:type="dxa"/>
            <w:vAlign w:val="center"/>
          </w:tcPr>
          <w:p w14:paraId="12FE4B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200L/500L</w:t>
            </w:r>
          </w:p>
        </w:tc>
        <w:tc>
          <w:tcPr>
            <w:tcW w:w="1134" w:type="dxa"/>
            <w:vAlign w:val="center"/>
          </w:tcPr>
          <w:p w14:paraId="194517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D73F9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5F4EFE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77B3DE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9</w:t>
            </w:r>
          </w:p>
        </w:tc>
        <w:tc>
          <w:tcPr>
            <w:tcW w:w="2697" w:type="dxa"/>
            <w:vAlign w:val="center"/>
          </w:tcPr>
          <w:p w14:paraId="0B69E8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喷射机</w:t>
            </w:r>
          </w:p>
        </w:tc>
        <w:tc>
          <w:tcPr>
            <w:tcW w:w="2290" w:type="dxa"/>
            <w:vAlign w:val="center"/>
          </w:tcPr>
          <w:p w14:paraId="4D56A9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4~5m³/h</w:t>
            </w:r>
          </w:p>
        </w:tc>
        <w:tc>
          <w:tcPr>
            <w:tcW w:w="1134" w:type="dxa"/>
            <w:vAlign w:val="center"/>
          </w:tcPr>
          <w:p w14:paraId="701DE8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ABB7E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33AF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A7087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w:t>
            </w:r>
          </w:p>
        </w:tc>
        <w:tc>
          <w:tcPr>
            <w:tcW w:w="2697" w:type="dxa"/>
            <w:vAlign w:val="center"/>
          </w:tcPr>
          <w:p w14:paraId="596186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插入式振动器</w:t>
            </w:r>
          </w:p>
        </w:tc>
        <w:tc>
          <w:tcPr>
            <w:tcW w:w="2290" w:type="dxa"/>
            <w:vAlign w:val="center"/>
          </w:tcPr>
          <w:p w14:paraId="5D29C6E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493D50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CDCDD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39B5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A3378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w:t>
            </w:r>
          </w:p>
        </w:tc>
        <w:tc>
          <w:tcPr>
            <w:tcW w:w="2697" w:type="dxa"/>
            <w:vAlign w:val="center"/>
          </w:tcPr>
          <w:p w14:paraId="1D47C9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平板式振动器</w:t>
            </w:r>
          </w:p>
        </w:tc>
        <w:tc>
          <w:tcPr>
            <w:tcW w:w="2290" w:type="dxa"/>
            <w:vAlign w:val="center"/>
          </w:tcPr>
          <w:p w14:paraId="4C443E1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086F00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A978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18514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F10D8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w:t>
            </w:r>
          </w:p>
        </w:tc>
        <w:tc>
          <w:tcPr>
            <w:tcW w:w="2697" w:type="dxa"/>
            <w:vAlign w:val="center"/>
          </w:tcPr>
          <w:p w14:paraId="254CAB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载重汽车</w:t>
            </w:r>
          </w:p>
        </w:tc>
        <w:tc>
          <w:tcPr>
            <w:tcW w:w="2290" w:type="dxa"/>
            <w:vAlign w:val="center"/>
          </w:tcPr>
          <w:p w14:paraId="70FE0F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5t</w:t>
            </w:r>
          </w:p>
        </w:tc>
        <w:tc>
          <w:tcPr>
            <w:tcW w:w="1134" w:type="dxa"/>
            <w:vAlign w:val="center"/>
          </w:tcPr>
          <w:p w14:paraId="62A52B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辆</w:t>
            </w:r>
          </w:p>
        </w:tc>
        <w:tc>
          <w:tcPr>
            <w:tcW w:w="1134" w:type="dxa"/>
            <w:vAlign w:val="center"/>
          </w:tcPr>
          <w:p w14:paraId="6C8D8F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r>
      <w:tr w14:paraId="699CE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37F74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13</w:t>
            </w:r>
          </w:p>
        </w:tc>
        <w:tc>
          <w:tcPr>
            <w:tcW w:w="2697" w:type="dxa"/>
            <w:vAlign w:val="center"/>
          </w:tcPr>
          <w:p w14:paraId="6D3ACF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自卸汽车</w:t>
            </w:r>
          </w:p>
        </w:tc>
        <w:tc>
          <w:tcPr>
            <w:tcW w:w="2290" w:type="dxa"/>
            <w:vAlign w:val="center"/>
          </w:tcPr>
          <w:p w14:paraId="0D9D8D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5.0t~8.0t</w:t>
            </w:r>
          </w:p>
        </w:tc>
        <w:tc>
          <w:tcPr>
            <w:tcW w:w="1134" w:type="dxa"/>
            <w:vAlign w:val="center"/>
          </w:tcPr>
          <w:p w14:paraId="759EB1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辆</w:t>
            </w:r>
          </w:p>
        </w:tc>
        <w:tc>
          <w:tcPr>
            <w:tcW w:w="1134" w:type="dxa"/>
            <w:vAlign w:val="center"/>
          </w:tcPr>
          <w:p w14:paraId="68CE7A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r>
      <w:tr w14:paraId="76AA8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8E7A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14</w:t>
            </w:r>
          </w:p>
        </w:tc>
        <w:tc>
          <w:tcPr>
            <w:tcW w:w="2697" w:type="dxa"/>
            <w:vAlign w:val="center"/>
          </w:tcPr>
          <w:p w14:paraId="475871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汽车起重机</w:t>
            </w:r>
          </w:p>
        </w:tc>
        <w:tc>
          <w:tcPr>
            <w:tcW w:w="2290" w:type="dxa"/>
            <w:vAlign w:val="center"/>
          </w:tcPr>
          <w:p w14:paraId="4A0749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5t/8t</w:t>
            </w:r>
          </w:p>
        </w:tc>
        <w:tc>
          <w:tcPr>
            <w:tcW w:w="1134" w:type="dxa"/>
            <w:vAlign w:val="center"/>
          </w:tcPr>
          <w:p w14:paraId="46EE5A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2676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B9CF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0080C2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15</w:t>
            </w:r>
          </w:p>
        </w:tc>
        <w:tc>
          <w:tcPr>
            <w:tcW w:w="2697" w:type="dxa"/>
            <w:vAlign w:val="center"/>
          </w:tcPr>
          <w:p w14:paraId="0F3C49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地质钻机</w:t>
            </w:r>
          </w:p>
        </w:tc>
        <w:tc>
          <w:tcPr>
            <w:tcW w:w="2290" w:type="dxa"/>
            <w:vAlign w:val="center"/>
          </w:tcPr>
          <w:p w14:paraId="65B4A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150 型</w:t>
            </w:r>
          </w:p>
        </w:tc>
        <w:tc>
          <w:tcPr>
            <w:tcW w:w="1134" w:type="dxa"/>
            <w:vAlign w:val="center"/>
          </w:tcPr>
          <w:p w14:paraId="378139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89F32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6866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30D9B4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16</w:t>
            </w:r>
          </w:p>
        </w:tc>
        <w:tc>
          <w:tcPr>
            <w:tcW w:w="2697" w:type="dxa"/>
            <w:vAlign w:val="center"/>
          </w:tcPr>
          <w:p w14:paraId="773AE0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液压抓斗</w:t>
            </w:r>
          </w:p>
        </w:tc>
        <w:tc>
          <w:tcPr>
            <w:tcW w:w="2290" w:type="dxa"/>
            <w:vAlign w:val="center"/>
          </w:tcPr>
          <w:p w14:paraId="5F4B16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KH180MHL-800</w:t>
            </w:r>
          </w:p>
        </w:tc>
        <w:tc>
          <w:tcPr>
            <w:tcW w:w="1134" w:type="dxa"/>
            <w:vAlign w:val="center"/>
          </w:tcPr>
          <w:p w14:paraId="07A1D7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151E0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34C77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DC8C8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17</w:t>
            </w:r>
          </w:p>
        </w:tc>
        <w:tc>
          <w:tcPr>
            <w:tcW w:w="2697" w:type="dxa"/>
            <w:vAlign w:val="center"/>
          </w:tcPr>
          <w:p w14:paraId="7E440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泥浆搅拌机</w:t>
            </w:r>
          </w:p>
        </w:tc>
        <w:tc>
          <w:tcPr>
            <w:tcW w:w="2290" w:type="dxa"/>
            <w:vAlign w:val="center"/>
          </w:tcPr>
          <w:p w14:paraId="5377D86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59A3D6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15C669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5578E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6D067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18</w:t>
            </w:r>
          </w:p>
        </w:tc>
        <w:tc>
          <w:tcPr>
            <w:tcW w:w="2697" w:type="dxa"/>
            <w:vAlign w:val="center"/>
          </w:tcPr>
          <w:p w14:paraId="36B08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灰浆搅拌机</w:t>
            </w:r>
          </w:p>
        </w:tc>
        <w:tc>
          <w:tcPr>
            <w:tcW w:w="2290" w:type="dxa"/>
            <w:vAlign w:val="center"/>
          </w:tcPr>
          <w:p w14:paraId="55AE8E9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p>
        </w:tc>
        <w:tc>
          <w:tcPr>
            <w:tcW w:w="1134" w:type="dxa"/>
            <w:vAlign w:val="center"/>
          </w:tcPr>
          <w:p w14:paraId="7DED0E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7260A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EA26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22AD0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19</w:t>
            </w:r>
          </w:p>
        </w:tc>
        <w:tc>
          <w:tcPr>
            <w:tcW w:w="2697" w:type="dxa"/>
            <w:vAlign w:val="center"/>
          </w:tcPr>
          <w:p w14:paraId="2AEB80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2290" w:type="dxa"/>
            <w:vAlign w:val="center"/>
          </w:tcPr>
          <w:p w14:paraId="58DF70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3PN</w:t>
            </w:r>
          </w:p>
        </w:tc>
        <w:tc>
          <w:tcPr>
            <w:tcW w:w="1134" w:type="dxa"/>
            <w:vAlign w:val="center"/>
          </w:tcPr>
          <w:p w14:paraId="6C50D3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8EEDA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8854D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0FA7F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w:t>
            </w:r>
          </w:p>
        </w:tc>
        <w:tc>
          <w:tcPr>
            <w:tcW w:w="2697" w:type="dxa"/>
            <w:vAlign w:val="center"/>
          </w:tcPr>
          <w:p w14:paraId="3F79D6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2290" w:type="dxa"/>
            <w:vAlign w:val="center"/>
          </w:tcPr>
          <w:p w14:paraId="233290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14kW</w:t>
            </w:r>
          </w:p>
        </w:tc>
        <w:tc>
          <w:tcPr>
            <w:tcW w:w="1134" w:type="dxa"/>
            <w:vAlign w:val="center"/>
          </w:tcPr>
          <w:p w14:paraId="4037D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5A4F38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053F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8F8C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21</w:t>
            </w:r>
          </w:p>
        </w:tc>
        <w:tc>
          <w:tcPr>
            <w:tcW w:w="2697" w:type="dxa"/>
            <w:vAlign w:val="center"/>
          </w:tcPr>
          <w:p w14:paraId="1AC070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2290" w:type="dxa"/>
            <w:vAlign w:val="center"/>
          </w:tcPr>
          <w:p w14:paraId="7B8900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交流 25kVA</w:t>
            </w:r>
          </w:p>
        </w:tc>
        <w:tc>
          <w:tcPr>
            <w:tcW w:w="1134" w:type="dxa"/>
            <w:vAlign w:val="center"/>
          </w:tcPr>
          <w:p w14:paraId="72A8D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75751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E83F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623D7E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22</w:t>
            </w:r>
          </w:p>
        </w:tc>
        <w:tc>
          <w:tcPr>
            <w:tcW w:w="2697" w:type="dxa"/>
            <w:vAlign w:val="center"/>
          </w:tcPr>
          <w:p w14:paraId="637658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对焊机</w:t>
            </w:r>
          </w:p>
        </w:tc>
        <w:tc>
          <w:tcPr>
            <w:tcW w:w="2290" w:type="dxa"/>
            <w:vAlign w:val="center"/>
          </w:tcPr>
          <w:p w14:paraId="3A14A0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电阻型 150kVA</w:t>
            </w:r>
          </w:p>
        </w:tc>
        <w:tc>
          <w:tcPr>
            <w:tcW w:w="1134" w:type="dxa"/>
            <w:vAlign w:val="center"/>
          </w:tcPr>
          <w:p w14:paraId="3D2822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355028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42D87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395BDA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23</w:t>
            </w:r>
          </w:p>
        </w:tc>
        <w:tc>
          <w:tcPr>
            <w:tcW w:w="2697" w:type="dxa"/>
            <w:vAlign w:val="center"/>
          </w:tcPr>
          <w:p w14:paraId="6978B5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钢筋弯曲机</w:t>
            </w:r>
          </w:p>
        </w:tc>
        <w:tc>
          <w:tcPr>
            <w:tcW w:w="2290" w:type="dxa"/>
            <w:vAlign w:val="center"/>
          </w:tcPr>
          <w:p w14:paraId="3E0984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φ6~40</w:t>
            </w:r>
          </w:p>
        </w:tc>
        <w:tc>
          <w:tcPr>
            <w:tcW w:w="1134" w:type="dxa"/>
            <w:vAlign w:val="center"/>
          </w:tcPr>
          <w:p w14:paraId="28C383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BF50C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1E7A0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1E9E4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24</w:t>
            </w:r>
          </w:p>
        </w:tc>
        <w:tc>
          <w:tcPr>
            <w:tcW w:w="2697" w:type="dxa"/>
            <w:vAlign w:val="center"/>
          </w:tcPr>
          <w:p w14:paraId="67571F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钢筋切断机</w:t>
            </w:r>
          </w:p>
        </w:tc>
        <w:tc>
          <w:tcPr>
            <w:tcW w:w="2290" w:type="dxa"/>
            <w:vAlign w:val="center"/>
          </w:tcPr>
          <w:p w14:paraId="5EE840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20kW</w:t>
            </w:r>
          </w:p>
        </w:tc>
        <w:tc>
          <w:tcPr>
            <w:tcW w:w="1134" w:type="dxa"/>
            <w:vAlign w:val="center"/>
          </w:tcPr>
          <w:p w14:paraId="23CB21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2A4F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7AC8AD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41AD82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bookmarkStart w:id="134" w:name="_Toc491119736"/>
            <w:bookmarkStart w:id="135" w:name="_Toc491035398"/>
            <w:r>
              <w:rPr>
                <w:rFonts w:hint="default" w:ascii="Times New Roman" w:hAnsi="Times New Roman" w:cs="Times New Roman" w:eastAsiaTheme="minorEastAsia"/>
                <w:i w:val="0"/>
                <w:iCs w:val="0"/>
                <w:color w:val="auto"/>
                <w:kern w:val="0"/>
                <w:sz w:val="21"/>
                <w:szCs w:val="21"/>
                <w:u w:val="none" w:color="auto"/>
                <w:lang w:val="en-US" w:eastAsia="zh-CN" w:bidi="ar"/>
              </w:rPr>
              <w:t>25</w:t>
            </w:r>
          </w:p>
        </w:tc>
        <w:tc>
          <w:tcPr>
            <w:tcW w:w="2697" w:type="dxa"/>
            <w:vAlign w:val="center"/>
          </w:tcPr>
          <w:p w14:paraId="5EE069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钢筋调直机</w:t>
            </w:r>
          </w:p>
        </w:tc>
        <w:tc>
          <w:tcPr>
            <w:tcW w:w="2290" w:type="dxa"/>
            <w:vAlign w:val="center"/>
          </w:tcPr>
          <w:p w14:paraId="24E6FC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4~14kW</w:t>
            </w:r>
          </w:p>
        </w:tc>
        <w:tc>
          <w:tcPr>
            <w:tcW w:w="1134" w:type="dxa"/>
            <w:vAlign w:val="center"/>
          </w:tcPr>
          <w:p w14:paraId="579AD4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2B27B2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67757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1E3E8F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26</w:t>
            </w:r>
          </w:p>
        </w:tc>
        <w:tc>
          <w:tcPr>
            <w:tcW w:w="2697" w:type="dxa"/>
            <w:vAlign w:val="center"/>
          </w:tcPr>
          <w:p w14:paraId="00F0DA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2290" w:type="dxa"/>
            <w:vAlign w:val="center"/>
          </w:tcPr>
          <w:p w14:paraId="0C7967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59kW~74kW</w:t>
            </w:r>
          </w:p>
        </w:tc>
        <w:tc>
          <w:tcPr>
            <w:tcW w:w="1134" w:type="dxa"/>
            <w:vAlign w:val="center"/>
          </w:tcPr>
          <w:p w14:paraId="1CBBA1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4AEB0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B66C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5B6979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27</w:t>
            </w:r>
          </w:p>
        </w:tc>
        <w:tc>
          <w:tcPr>
            <w:tcW w:w="2697" w:type="dxa"/>
            <w:vAlign w:val="center"/>
          </w:tcPr>
          <w:p w14:paraId="309253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灌浆泵中低压泥浆/砂 浆</w:t>
            </w:r>
          </w:p>
        </w:tc>
        <w:tc>
          <w:tcPr>
            <w:tcW w:w="2290" w:type="dxa"/>
            <w:shd w:val="clear" w:color="auto" w:fill="auto"/>
            <w:vAlign w:val="center"/>
          </w:tcPr>
          <w:p w14:paraId="25ED0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履带式 20kW</w:t>
            </w:r>
          </w:p>
        </w:tc>
        <w:tc>
          <w:tcPr>
            <w:tcW w:w="1134" w:type="dxa"/>
            <w:shd w:val="clear" w:color="auto" w:fill="auto"/>
            <w:vAlign w:val="center"/>
          </w:tcPr>
          <w:p w14:paraId="53C07F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shd w:val="clear" w:color="auto" w:fill="auto"/>
            <w:vAlign w:val="center"/>
          </w:tcPr>
          <w:p w14:paraId="1FFE7D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220FD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2482C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w:t>
            </w:r>
          </w:p>
        </w:tc>
        <w:tc>
          <w:tcPr>
            <w:tcW w:w="2697" w:type="dxa"/>
            <w:vAlign w:val="center"/>
          </w:tcPr>
          <w:p w14:paraId="53BD08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2290" w:type="dxa"/>
            <w:vAlign w:val="center"/>
          </w:tcPr>
          <w:p w14:paraId="732CE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12~15t</w:t>
            </w:r>
          </w:p>
        </w:tc>
        <w:tc>
          <w:tcPr>
            <w:tcW w:w="1134" w:type="dxa"/>
            <w:vAlign w:val="center"/>
          </w:tcPr>
          <w:p w14:paraId="200D0E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654801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r w14:paraId="0B3EF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072" w:type="dxa"/>
            <w:vAlign w:val="center"/>
          </w:tcPr>
          <w:p w14:paraId="4ED3226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29</w:t>
            </w:r>
          </w:p>
        </w:tc>
        <w:tc>
          <w:tcPr>
            <w:tcW w:w="2697" w:type="dxa"/>
            <w:vAlign w:val="center"/>
          </w:tcPr>
          <w:p w14:paraId="5E8504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2290" w:type="dxa"/>
            <w:vAlign w:val="center"/>
          </w:tcPr>
          <w:p w14:paraId="6B927F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2.8kW</w:t>
            </w:r>
          </w:p>
        </w:tc>
        <w:tc>
          <w:tcPr>
            <w:tcW w:w="1134" w:type="dxa"/>
            <w:vAlign w:val="center"/>
          </w:tcPr>
          <w:p w14:paraId="2F061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台</w:t>
            </w:r>
          </w:p>
        </w:tc>
        <w:tc>
          <w:tcPr>
            <w:tcW w:w="1134" w:type="dxa"/>
            <w:vAlign w:val="center"/>
          </w:tcPr>
          <w:p w14:paraId="060E5D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r>
    </w:tbl>
    <w:p w14:paraId="33F42D3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劳动定员</w:t>
      </w:r>
      <w:bookmarkEnd w:id="134"/>
      <w:bookmarkEnd w:id="135"/>
    </w:p>
    <w:p w14:paraId="4B75894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本项目施工劳动总工日约</w:t>
      </w:r>
      <w:r>
        <w:rPr>
          <w:rFonts w:hint="default" w:ascii="Times New Roman" w:hAnsi="Times New Roman" w:cs="Times New Roman"/>
          <w:color w:val="auto"/>
          <w:u w:val="none" w:color="auto"/>
          <w:lang w:eastAsia="zh-CN"/>
        </w:rPr>
        <w:t>0.45万</w:t>
      </w:r>
      <w:r>
        <w:rPr>
          <w:rFonts w:hint="default" w:ascii="Times New Roman" w:hAnsi="Times New Roman" w:cs="Times New Roman"/>
          <w:color w:val="auto"/>
          <w:u w:val="none" w:color="auto"/>
        </w:rPr>
        <w:t>个，高峰劳动力人数</w:t>
      </w:r>
      <w:r>
        <w:rPr>
          <w:rFonts w:hint="default" w:ascii="Times New Roman" w:hAnsi="Times New Roman" w:cs="Times New Roman"/>
          <w:color w:val="auto"/>
          <w:u w:val="none" w:color="auto"/>
          <w:lang w:eastAsia="zh-CN"/>
        </w:rPr>
        <w:t>50人</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val="en-US" w:eastAsia="zh-CN"/>
        </w:rPr>
        <w:t>施工人员在项目施工区域周边租用民房，自行解决食宿。</w:t>
      </w:r>
    </w:p>
    <w:p w14:paraId="7D5274F0">
      <w:pPr>
        <w:pStyle w:val="3"/>
        <w:bidi w:val="0"/>
        <w:rPr>
          <w:rFonts w:hint="default" w:ascii="Times New Roman" w:hAnsi="Times New Roman" w:cs="Times New Roman"/>
          <w:color w:val="auto"/>
          <w:u w:val="none" w:color="auto"/>
        </w:rPr>
      </w:pPr>
      <w:bookmarkStart w:id="136" w:name="_Toc13727"/>
      <w:r>
        <w:rPr>
          <w:rFonts w:hint="default" w:ascii="Times New Roman" w:hAnsi="Times New Roman" w:cs="Times New Roman"/>
          <w:color w:val="auto"/>
          <w:u w:val="none" w:color="auto"/>
        </w:rPr>
        <w:t>建设征地与移民安置</w:t>
      </w:r>
      <w:bookmarkEnd w:id="136"/>
    </w:p>
    <w:p w14:paraId="21E0E2A5">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本项目</w:t>
      </w:r>
      <w:r>
        <w:rPr>
          <w:rFonts w:hint="default" w:ascii="Times New Roman" w:hAnsi="Times New Roman" w:cs="Times New Roman"/>
          <w:color w:val="auto"/>
          <w:sz w:val="24"/>
          <w:szCs w:val="24"/>
          <w:u w:val="none" w:color="auto"/>
        </w:rPr>
        <w:t>无新增永久征地</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工程临时</w:t>
      </w:r>
      <w:r>
        <w:rPr>
          <w:rFonts w:hint="eastAsia" w:cs="Times New Roman"/>
          <w:color w:val="auto"/>
          <w:sz w:val="24"/>
          <w:szCs w:val="24"/>
          <w:u w:val="none" w:color="auto"/>
          <w:lang w:eastAsia="zh-CN"/>
        </w:rPr>
        <w:t>占</w:t>
      </w:r>
      <w:r>
        <w:rPr>
          <w:rFonts w:hint="default" w:ascii="Times New Roman" w:hAnsi="Times New Roman" w:cs="Times New Roman"/>
          <w:color w:val="auto"/>
          <w:sz w:val="24"/>
          <w:szCs w:val="24"/>
          <w:u w:val="none" w:color="auto"/>
        </w:rPr>
        <w:t>地面积</w:t>
      </w:r>
      <w:r>
        <w:rPr>
          <w:rFonts w:hint="eastAsia" w:cs="Times New Roman"/>
          <w:color w:val="auto"/>
          <w:sz w:val="24"/>
          <w:szCs w:val="24"/>
          <w:u w:val="none" w:color="auto"/>
          <w:lang w:eastAsia="zh-CN"/>
        </w:rPr>
        <w:t>7091</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，其中林地4130</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，草地</w:t>
      </w:r>
      <w:r>
        <w:rPr>
          <w:rFonts w:hint="eastAsia" w:cs="Times New Roman"/>
          <w:color w:val="auto"/>
          <w:sz w:val="24"/>
          <w:szCs w:val="24"/>
          <w:u w:val="none" w:color="auto"/>
          <w:lang w:eastAsia="zh-CN"/>
        </w:rPr>
        <w:t>2961</w:t>
      </w:r>
      <w:r>
        <w:rPr>
          <w:rFonts w:hint="eastAsia" w:cs="Times New Roman" w:eastAsiaTheme="minorEastAsia"/>
          <w:color w:val="auto"/>
          <w:spacing w:val="-1"/>
          <w:sz w:val="24"/>
          <w:szCs w:val="24"/>
          <w:u w:val="none" w:color="auto"/>
          <w:lang w:eastAsia="zh-CN"/>
        </w:rPr>
        <w:t>m</w:t>
      </w:r>
      <w:r>
        <w:rPr>
          <w:rFonts w:hint="eastAsia" w:cs="Times New Roman" w:eastAsiaTheme="minorEastAsia"/>
          <w:color w:val="auto"/>
          <w:spacing w:val="-1"/>
          <w:sz w:val="24"/>
          <w:szCs w:val="24"/>
          <w:u w:val="none" w:color="auto"/>
          <w:vertAlign w:val="superscript"/>
          <w:lang w:eastAsia="zh-CN"/>
        </w:rPr>
        <w:t>2</w:t>
      </w:r>
      <w:r>
        <w:rPr>
          <w:rFonts w:hint="default" w:ascii="Times New Roman" w:hAnsi="Times New Roman" w:cs="Times New Roman"/>
          <w:color w:val="auto"/>
          <w:sz w:val="24"/>
          <w:szCs w:val="24"/>
          <w:u w:val="none" w:color="auto"/>
        </w:rPr>
        <w:t>。</w:t>
      </w:r>
    </w:p>
    <w:p w14:paraId="46CD89EA">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工程未涉及耕地、人口和房屋搬迁，无生产安置和搬迁安置任务。</w:t>
      </w:r>
    </w:p>
    <w:p w14:paraId="0D11F9BA">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建设征地范围</w:t>
      </w:r>
    </w:p>
    <w:p w14:paraId="0BCB10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①永久征地</w:t>
      </w:r>
    </w:p>
    <w:p w14:paraId="7AD6EF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w:t>
      </w:r>
      <w:r>
        <w:rPr>
          <w:rFonts w:hint="default" w:ascii="Times New Roman" w:hAnsi="Times New Roman" w:cs="Times New Roman"/>
          <w:color w:val="auto"/>
          <w:u w:val="none" w:color="auto"/>
        </w:rPr>
        <w:t>永久用地均位于工程原管理范围之内，无新增永久征地。</w:t>
      </w:r>
    </w:p>
    <w:p w14:paraId="192F56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②临时征用土地</w:t>
      </w:r>
    </w:p>
    <w:p w14:paraId="66AB460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w:t>
      </w:r>
      <w:r>
        <w:rPr>
          <w:rFonts w:hint="default" w:ascii="Times New Roman" w:hAnsi="Times New Roman" w:cs="Times New Roman"/>
          <w:color w:val="auto"/>
          <w:u w:val="none" w:color="auto"/>
        </w:rPr>
        <w:t>施工临时用地主要包括施工临建设施及施工道路等用地，施工临时用地面积32.73亩。</w:t>
      </w:r>
    </w:p>
    <w:p w14:paraId="711774F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分工程措施征地面积详见表</w:t>
      </w:r>
      <w:r>
        <w:rPr>
          <w:rFonts w:hint="default" w:ascii="Times New Roman" w:hAnsi="Times New Roman" w:cs="Times New Roman"/>
          <w:color w:val="auto"/>
          <w:u w:val="none" w:color="auto"/>
          <w:lang w:val="en-US" w:eastAsia="zh-CN"/>
        </w:rPr>
        <w:t>3.1</w:t>
      </w:r>
      <w:r>
        <w:rPr>
          <w:rFonts w:hint="eastAsia" w:cs="Times New Roman"/>
          <w:color w:val="auto"/>
          <w:u w:val="none" w:color="auto"/>
          <w:lang w:val="en-US" w:eastAsia="zh-CN"/>
        </w:rPr>
        <w:t>0</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w:t>
      </w:r>
    </w:p>
    <w:p w14:paraId="4F602236">
      <w:pPr>
        <w:bidi w:val="0"/>
        <w:spacing w:line="240" w:lineRule="auto"/>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表</w:t>
      </w:r>
      <w:r>
        <w:rPr>
          <w:rFonts w:hint="default" w:ascii="Times New Roman" w:hAnsi="Times New Roman" w:cs="Times New Roman"/>
          <w:b/>
          <w:bCs/>
          <w:color w:val="auto"/>
          <w:u w:val="none" w:color="auto"/>
          <w:lang w:val="en-US" w:eastAsia="zh-CN"/>
        </w:rPr>
        <w:t>3.1</w:t>
      </w:r>
      <w:r>
        <w:rPr>
          <w:rFonts w:hint="eastAsia" w:cs="Times New Roman"/>
          <w:b/>
          <w:bCs/>
          <w:color w:val="auto"/>
          <w:u w:val="none" w:color="auto"/>
          <w:lang w:val="en-US" w:eastAsia="zh-CN"/>
        </w:rPr>
        <w:t>0</w:t>
      </w:r>
      <w:r>
        <w:rPr>
          <w:rFonts w:hint="default"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rPr>
        <w:t>1</w:t>
      </w:r>
      <w:r>
        <w:rPr>
          <w:rFonts w:hint="default" w:ascii="Times New Roman" w:hAnsi="Times New Roman" w:cs="Times New Roman"/>
          <w:b/>
          <w:bCs/>
          <w:color w:val="auto"/>
          <w:u w:val="none" w:color="auto"/>
          <w:lang w:val="en-US" w:eastAsia="zh-CN"/>
        </w:rPr>
        <w:t xml:space="preserve"> </w:t>
      </w:r>
      <w:r>
        <w:rPr>
          <w:rFonts w:hint="default" w:ascii="Times New Roman" w:hAnsi="Times New Roman" w:cs="Times New Roman"/>
          <w:b/>
          <w:bCs/>
          <w:color w:val="auto"/>
          <w:u w:val="none" w:color="auto"/>
        </w:rPr>
        <w:t>工程占地面积统计表</w:t>
      </w:r>
    </w:p>
    <w:tbl>
      <w:tblPr>
        <w:tblStyle w:val="16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2569"/>
        <w:gridCol w:w="2108"/>
        <w:gridCol w:w="2464"/>
      </w:tblGrid>
      <w:tr w14:paraId="66907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4B8C473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占地性质</w:t>
            </w:r>
          </w:p>
        </w:tc>
        <w:tc>
          <w:tcPr>
            <w:tcW w:w="2568" w:type="dxa"/>
            <w:vAlign w:val="center"/>
          </w:tcPr>
          <w:p w14:paraId="7C586EF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工程措施</w:t>
            </w:r>
          </w:p>
        </w:tc>
        <w:tc>
          <w:tcPr>
            <w:tcW w:w="2107" w:type="dxa"/>
            <w:vAlign w:val="center"/>
          </w:tcPr>
          <w:p w14:paraId="799E480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h</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eastAsia="宋体" w:cs="Times New Roman"/>
                <w:color w:val="auto"/>
                <w:sz w:val="21"/>
                <w:szCs w:val="21"/>
                <w:highlight w:val="none"/>
                <w:u w:val="none" w:color="auto"/>
                <w:lang w:eastAsia="zh-CN"/>
              </w:rPr>
              <w:t>)</w:t>
            </w:r>
          </w:p>
        </w:tc>
        <w:tc>
          <w:tcPr>
            <w:tcW w:w="2463" w:type="dxa"/>
            <w:vAlign w:val="center"/>
          </w:tcPr>
          <w:p w14:paraId="3059A50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备注</w:t>
            </w:r>
          </w:p>
        </w:tc>
      </w:tr>
      <w:tr w14:paraId="765B71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5A39D9B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永久征地</w:t>
            </w:r>
          </w:p>
        </w:tc>
        <w:tc>
          <w:tcPr>
            <w:tcW w:w="2568" w:type="dxa"/>
            <w:vAlign w:val="center"/>
          </w:tcPr>
          <w:p w14:paraId="4A9D8AE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107" w:type="dxa"/>
            <w:vAlign w:val="center"/>
          </w:tcPr>
          <w:p w14:paraId="2297DC2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4.6094</w:t>
            </w:r>
          </w:p>
        </w:tc>
        <w:tc>
          <w:tcPr>
            <w:tcW w:w="2463" w:type="dxa"/>
            <w:vAlign w:val="center"/>
          </w:tcPr>
          <w:p w14:paraId="72DF54F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在工程原管理范围之内</w:t>
            </w:r>
          </w:p>
        </w:tc>
      </w:tr>
      <w:tr w14:paraId="7B88ED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67B94FC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临时用地</w:t>
            </w:r>
          </w:p>
        </w:tc>
        <w:tc>
          <w:tcPr>
            <w:tcW w:w="2568" w:type="dxa"/>
            <w:vAlign w:val="center"/>
          </w:tcPr>
          <w:p w14:paraId="2B3395E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107" w:type="dxa"/>
            <w:vAlign w:val="center"/>
          </w:tcPr>
          <w:p w14:paraId="564AAB1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lang w:eastAsia="zh-CN"/>
              </w:rPr>
              <w:t>0.7091</w:t>
            </w:r>
          </w:p>
        </w:tc>
        <w:tc>
          <w:tcPr>
            <w:tcW w:w="2463" w:type="dxa"/>
            <w:vAlign w:val="center"/>
          </w:tcPr>
          <w:p w14:paraId="68231EA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5408F3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2838F05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11A3F5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施工生产生活区</w:t>
            </w:r>
          </w:p>
        </w:tc>
        <w:tc>
          <w:tcPr>
            <w:tcW w:w="2107" w:type="dxa"/>
            <w:vAlign w:val="center"/>
          </w:tcPr>
          <w:p w14:paraId="74A44E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0.19</w:t>
            </w:r>
          </w:p>
        </w:tc>
        <w:tc>
          <w:tcPr>
            <w:tcW w:w="2463" w:type="dxa"/>
            <w:vAlign w:val="center"/>
          </w:tcPr>
          <w:p w14:paraId="162D214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5EB8D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34C21C8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7A6D25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临时道路及</w:t>
            </w:r>
            <w:r>
              <w:rPr>
                <w:rFonts w:hint="default" w:ascii="Times New Roman" w:hAnsi="Times New Roman" w:eastAsia="宋体" w:cs="Times New Roman"/>
                <w:color w:val="auto"/>
                <w:sz w:val="21"/>
                <w:szCs w:val="21"/>
                <w:u w:val="none" w:color="auto"/>
              </w:rPr>
              <w:t>围堰</w:t>
            </w:r>
          </w:p>
        </w:tc>
        <w:tc>
          <w:tcPr>
            <w:tcW w:w="2107" w:type="dxa"/>
            <w:vAlign w:val="center"/>
          </w:tcPr>
          <w:p w14:paraId="42E452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0.077</w:t>
            </w:r>
          </w:p>
        </w:tc>
        <w:tc>
          <w:tcPr>
            <w:tcW w:w="2463" w:type="dxa"/>
            <w:vAlign w:val="center"/>
          </w:tcPr>
          <w:p w14:paraId="20E138F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r w14:paraId="42E0D2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6" w:type="dxa"/>
            <w:vAlign w:val="center"/>
          </w:tcPr>
          <w:p w14:paraId="2CEBEFB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2568" w:type="dxa"/>
            <w:vAlign w:val="center"/>
          </w:tcPr>
          <w:p w14:paraId="230A7A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弃渣场</w:t>
            </w:r>
          </w:p>
        </w:tc>
        <w:tc>
          <w:tcPr>
            <w:tcW w:w="2107" w:type="dxa"/>
            <w:vAlign w:val="center"/>
          </w:tcPr>
          <w:p w14:paraId="3EA4D3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0.4421</w:t>
            </w:r>
          </w:p>
        </w:tc>
        <w:tc>
          <w:tcPr>
            <w:tcW w:w="2463" w:type="dxa"/>
            <w:vAlign w:val="center"/>
          </w:tcPr>
          <w:p w14:paraId="3457FB8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r>
    </w:tbl>
    <w:p w14:paraId="55E066A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农村移民安置</w:t>
      </w:r>
    </w:p>
    <w:p w14:paraId="1516EC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本项目不涉及耕地、人口房屋，故不需进行生产安置及搬迁安置规划。</w:t>
      </w:r>
    </w:p>
    <w:bookmarkEnd w:id="131"/>
    <w:bookmarkEnd w:id="132"/>
    <w:p w14:paraId="15DE3E30">
      <w:pPr>
        <w:pStyle w:val="3"/>
        <w:bidi w:val="0"/>
        <w:rPr>
          <w:rFonts w:hint="default" w:ascii="Times New Roman" w:hAnsi="Times New Roman" w:cs="Times New Roman"/>
          <w:color w:val="auto"/>
          <w:u w:val="none" w:color="auto"/>
        </w:rPr>
      </w:pPr>
      <w:bookmarkStart w:id="137" w:name="_Toc25079"/>
      <w:r>
        <w:rPr>
          <w:rFonts w:hint="default" w:ascii="Times New Roman" w:hAnsi="Times New Roman" w:cs="Times New Roman"/>
          <w:color w:val="auto"/>
          <w:u w:val="none" w:color="auto"/>
        </w:rPr>
        <w:t>环境影响回顾性评价</w:t>
      </w:r>
      <w:bookmarkEnd w:id="137"/>
    </w:p>
    <w:p w14:paraId="35B8C892">
      <w:pPr>
        <w:pStyle w:val="4"/>
        <w:bidi w:val="0"/>
        <w:rPr>
          <w:rFonts w:hint="default" w:ascii="Times New Roman" w:hAnsi="Times New Roman" w:cs="Times New Roman"/>
          <w:color w:val="auto"/>
          <w:u w:val="none" w:color="auto"/>
        </w:rPr>
      </w:pPr>
      <w:bookmarkStart w:id="138" w:name="bookmark144"/>
      <w:bookmarkEnd w:id="138"/>
      <w:bookmarkStart w:id="139" w:name="bookmark143"/>
      <w:bookmarkEnd w:id="139"/>
      <w:r>
        <w:rPr>
          <w:rFonts w:hint="default" w:ascii="Times New Roman" w:hAnsi="Times New Roman" w:cs="Times New Roman"/>
          <w:color w:val="auto"/>
          <w:u w:val="none" w:color="auto"/>
        </w:rPr>
        <w:t>原有环境污染</w:t>
      </w:r>
    </w:p>
    <w:p w14:paraId="6128638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廊洞水库始建于1958年，</w:t>
      </w:r>
      <w:r>
        <w:rPr>
          <w:rFonts w:hint="default" w:ascii="Times New Roman" w:hAnsi="Times New Roman" w:cs="Times New Roman"/>
          <w:color w:val="auto"/>
          <w:u w:val="none" w:color="auto"/>
        </w:rPr>
        <w:t>由于工程建设较早，未进行环境影响评价，</w:t>
      </w:r>
      <w:r>
        <w:rPr>
          <w:rFonts w:hint="default" w:ascii="Times New Roman" w:hAnsi="Times New Roman" w:cs="Times New Roman"/>
          <w:color w:val="auto"/>
          <w:u w:val="none" w:color="auto"/>
          <w:lang w:val="en-US" w:eastAsia="zh-CN"/>
        </w:rPr>
        <w:t>2009年10月~2010年11月完成的除险加固也未履行环评手续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根据调查，</w:t>
      </w:r>
      <w:r>
        <w:rPr>
          <w:rFonts w:hint="default" w:ascii="Times New Roman" w:hAnsi="Times New Roman" w:cs="Times New Roman"/>
          <w:color w:val="auto"/>
          <w:u w:val="none" w:color="auto"/>
          <w:lang w:val="en-US" w:eastAsia="zh-CN"/>
        </w:rPr>
        <w:t>水库电站管理所共有员工30人，其中常住人员约14人左右</w:t>
      </w:r>
      <w:r>
        <w:rPr>
          <w:rFonts w:hint="default" w:ascii="Times New Roman" w:hAnsi="Times New Roman" w:cs="Times New Roman"/>
          <w:color w:val="auto"/>
          <w:u w:val="none" w:color="auto"/>
        </w:rPr>
        <w:t>。现有污染物主要为管理人员</w:t>
      </w:r>
      <w:r>
        <w:rPr>
          <w:rFonts w:hint="default" w:ascii="Times New Roman" w:hAnsi="Times New Roman" w:cs="Times New Roman"/>
          <w:color w:val="auto"/>
          <w:u w:val="none" w:color="auto"/>
          <w:lang w:val="en-US" w:eastAsia="zh-CN"/>
        </w:rPr>
        <w:t>日常</w:t>
      </w:r>
      <w:r>
        <w:rPr>
          <w:rFonts w:hint="default" w:ascii="Times New Roman" w:hAnsi="Times New Roman" w:cs="Times New Roman"/>
          <w:color w:val="auto"/>
          <w:u w:val="none" w:color="auto"/>
        </w:rPr>
        <w:t>办公生活污水、生活垃圾。</w:t>
      </w:r>
    </w:p>
    <w:p w14:paraId="6F3BCDA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1、废水</w:t>
      </w:r>
    </w:p>
    <w:p w14:paraId="55EF109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本项目在营运期对地表水环境的影响主要是水库电站管理所管理人员日常工作和生活中产生的生活污水。</w:t>
      </w:r>
    </w:p>
    <w:p w14:paraId="719A3BE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项目外排废水主要为生活污水，按员工30人计。</w:t>
      </w:r>
      <w:r>
        <w:rPr>
          <w:rFonts w:hint="default" w:ascii="Times New Roman" w:hAnsi="Times New Roman" w:cs="Times New Roman"/>
          <w:color w:val="auto"/>
          <w:u w:val="none" w:color="auto"/>
        </w:rPr>
        <w:t>用水定额参照湖南省地方标准《用水定额》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，生活用水量按140L/人·d计，工作日按365天计，则生活用水量为</w:t>
      </w:r>
      <w:r>
        <w:rPr>
          <w:rFonts w:hint="default" w:ascii="Times New Roman" w:hAnsi="Times New Roman" w:cs="Times New Roman"/>
          <w:color w:val="auto"/>
          <w:u w:val="none" w:color="auto"/>
          <w:lang w:eastAsia="zh-CN"/>
        </w:rPr>
        <w:t>4.2m³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(1533m³</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，产污系数按0.8计，则生活污水产生量为</w:t>
      </w:r>
      <w:r>
        <w:rPr>
          <w:rFonts w:hint="default" w:ascii="Times New Roman" w:hAnsi="Times New Roman" w:cs="Times New Roman"/>
          <w:color w:val="auto"/>
          <w:u w:val="none" w:color="auto"/>
          <w:lang w:eastAsia="zh-CN"/>
        </w:rPr>
        <w:t>3.36m³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(1226.4m³</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。该生活污水的污染因子主要是COD、SS、BOD、NH-N等有机污染物，食堂废水经隔油池处理后进入化粪池与</w:t>
      </w:r>
      <w:r>
        <w:rPr>
          <w:rFonts w:hint="default" w:ascii="Times New Roman" w:hAnsi="Times New Roman" w:cs="Times New Roman"/>
          <w:color w:val="auto"/>
          <w:highlight w:val="none"/>
          <w:u w:val="none" w:color="auto"/>
          <w:lang w:val="en-US" w:eastAsia="zh-CN"/>
        </w:rPr>
        <w:t>其它生活</w:t>
      </w:r>
      <w:r>
        <w:rPr>
          <w:rFonts w:hint="default" w:ascii="Times New Roman" w:hAnsi="Times New Roman" w:cs="Times New Roman"/>
          <w:color w:val="auto"/>
          <w:u w:val="none" w:color="auto"/>
          <w:lang w:val="en-US" w:eastAsia="zh-CN"/>
        </w:rPr>
        <w:t>污水混合后，COD、SS、BOD、</w:t>
      </w:r>
      <w:r>
        <w:rPr>
          <w:rFonts w:hint="eastAsia" w:cs="Times New Roman"/>
          <w:color w:val="auto"/>
          <w:u w:val="none" w:color="auto"/>
          <w:lang w:val="en-US" w:eastAsia="zh-CN"/>
        </w:rPr>
        <w:t>NH</w:t>
      </w:r>
      <w:r>
        <w:rPr>
          <w:rFonts w:hint="eastAsia" w:cs="Times New Roman"/>
          <w:color w:val="auto"/>
          <w:u w:val="none" w:color="auto"/>
          <w:vertAlign w:val="subscript"/>
          <w:lang w:val="en-US" w:eastAsia="zh-CN"/>
        </w:rPr>
        <w:t>3</w:t>
      </w:r>
      <w:r>
        <w:rPr>
          <w:rFonts w:hint="default" w:ascii="Times New Roman" w:hAnsi="Times New Roman" w:cs="Times New Roman"/>
          <w:color w:val="auto"/>
          <w:u w:val="none" w:color="auto"/>
          <w:lang w:val="en-US" w:eastAsia="zh-CN"/>
        </w:rPr>
        <w:t>-N浓度分别为300mg/L、220mg/L、200mg/L和25mg/L。</w:t>
      </w:r>
    </w:p>
    <w:p w14:paraId="4482DF33">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2、废气</w:t>
      </w:r>
    </w:p>
    <w:p w14:paraId="0DF0458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本项目运营后不产生大气污染物，对当地的环境空气没有影响。</w:t>
      </w:r>
    </w:p>
    <w:p w14:paraId="470137F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项目为方便职工生活，配有一个小型厨房。在项目营运过程中，厨房会产生少量的油烟。经大气扩散、植被吸收后，对环境影响较小。</w:t>
      </w:r>
    </w:p>
    <w:p w14:paraId="1A428EF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3、声环境</w:t>
      </w:r>
    </w:p>
    <w:p w14:paraId="11BA48B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工程改建运营后水库大坝本身不产生噪声。主要噪声来源于坝后电站因发电机运行产生的机械噪声，发电机运行产生的噪声值约在75dB(A</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左右。</w:t>
      </w:r>
    </w:p>
    <w:p w14:paraId="13F5668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4、固体废物</w:t>
      </w:r>
    </w:p>
    <w:p w14:paraId="27837C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本项目产生的固体废物主要来源于水库电站管理所管理人员产生的生活垃圾，员工30人，每人每天平均产生量</w:t>
      </w:r>
      <w:r>
        <w:rPr>
          <w:rFonts w:hint="eastAsia" w:cs="Times New Roman"/>
          <w:color w:val="auto"/>
          <w:u w:val="none" w:color="auto"/>
          <w:lang w:val="en-US" w:eastAsia="zh-CN"/>
        </w:rPr>
        <w:t>0.5</w:t>
      </w:r>
      <w:r>
        <w:rPr>
          <w:rFonts w:hint="default" w:ascii="Times New Roman" w:hAnsi="Times New Roman" w:cs="Times New Roman"/>
          <w:color w:val="auto"/>
          <w:u w:val="none" w:color="auto"/>
          <w:lang w:val="en-US" w:eastAsia="zh-CN"/>
        </w:rPr>
        <w:t>kg计，约</w:t>
      </w:r>
      <w:r>
        <w:rPr>
          <w:rFonts w:hint="eastAsia" w:cs="Times New Roman"/>
          <w:color w:val="auto"/>
          <w:u w:val="none" w:color="auto"/>
          <w:lang w:val="en-US" w:eastAsia="zh-CN"/>
        </w:rPr>
        <w:t>15</w:t>
      </w:r>
      <w:r>
        <w:rPr>
          <w:rFonts w:hint="default" w:ascii="Times New Roman" w:hAnsi="Times New Roman" w:cs="Times New Roman"/>
          <w:color w:val="auto"/>
          <w:u w:val="none" w:color="auto"/>
          <w:lang w:val="en-US" w:eastAsia="zh-CN"/>
        </w:rPr>
        <w:t>kg/d，合计</w:t>
      </w:r>
      <w:r>
        <w:rPr>
          <w:rFonts w:hint="eastAsia" w:cs="Times New Roman"/>
          <w:color w:val="auto"/>
          <w:u w:val="none" w:color="auto"/>
          <w:lang w:val="en-US" w:eastAsia="zh-CN"/>
        </w:rPr>
        <w:t>5.48t</w:t>
      </w:r>
      <w:r>
        <w:rPr>
          <w:rFonts w:hint="default" w:ascii="Times New Roman" w:hAnsi="Times New Roman" w:cs="Times New Roman"/>
          <w:color w:val="auto"/>
          <w:u w:val="none" w:color="auto"/>
          <w:lang w:val="en-US" w:eastAsia="zh-CN"/>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统一收集后交环卫部门清运处置。</w:t>
      </w:r>
    </w:p>
    <w:p w14:paraId="255ED51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生态破坏问题</w:t>
      </w:r>
    </w:p>
    <w:p w14:paraId="31777FA1">
      <w:pPr>
        <w:bidi w:val="0"/>
        <w:rPr>
          <w:rFonts w:hint="default" w:ascii="Times New Roman" w:hAnsi="Times New Roman" w:cs="Times New Roman"/>
          <w:color w:val="auto"/>
          <w:u w:val="none" w:color="auto"/>
          <w:lang w:val="en-US" w:eastAsia="zh-CN"/>
        </w:rPr>
        <w:sectPr>
          <w:headerReference r:id="rId15" w:type="default"/>
          <w:footerReference r:id="rId16" w:type="default"/>
          <w:pgSz w:w="11911"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cs="Times New Roman"/>
          <w:color w:val="auto"/>
          <w:u w:val="none" w:color="auto"/>
          <w:lang w:val="en-US" w:eastAsia="zh-CN"/>
        </w:rPr>
        <w:t>本项目水库已建成多年，已经形成新的稳定生态环境，运营期本身无污染物排放。</w:t>
      </w:r>
      <w:r>
        <w:rPr>
          <w:rFonts w:hint="default" w:ascii="Times New Roman" w:hAnsi="Times New Roman" w:cs="Times New Roman"/>
          <w:color w:val="auto"/>
          <w:u w:val="none" w:color="auto"/>
        </w:rPr>
        <w:t>水库建成有利于当地水生生物种类和数量的增加，对陆生生物的影响利大于弊，根据现状调查周边陆域生态环境良好，动植物物种丰富，现状不存在生态环境问题</w:t>
      </w:r>
      <w:bookmarkStart w:id="140" w:name="_Toc249433225"/>
      <w:bookmarkStart w:id="141" w:name="_Toc289344540"/>
      <w:r>
        <w:rPr>
          <w:rFonts w:hint="default" w:ascii="Times New Roman" w:hAnsi="Times New Roman" w:cs="Times New Roman"/>
          <w:color w:val="auto"/>
          <w:u w:val="none" w:color="auto"/>
          <w:lang w:val="en-US" w:eastAsia="zh-CN"/>
        </w:rPr>
        <w:t>。</w:t>
      </w:r>
    </w:p>
    <w:bookmarkEnd w:id="140"/>
    <w:bookmarkEnd w:id="141"/>
    <w:p w14:paraId="1975C2CC">
      <w:pPr>
        <w:pStyle w:val="2"/>
        <w:rPr>
          <w:rFonts w:hint="default" w:ascii="Times New Roman" w:hAnsi="Times New Roman" w:cs="Times New Roman"/>
          <w:color w:val="auto"/>
          <w:u w:val="none" w:color="auto"/>
        </w:rPr>
      </w:pPr>
      <w:bookmarkStart w:id="142" w:name="page119"/>
      <w:bookmarkEnd w:id="142"/>
      <w:bookmarkStart w:id="143" w:name="_Toc15324"/>
      <w:bookmarkStart w:id="144" w:name="_Toc2661"/>
      <w:bookmarkStart w:id="145" w:name="_Toc3100"/>
      <w:bookmarkStart w:id="146" w:name="_Toc6533"/>
      <w:bookmarkStart w:id="147" w:name="_Toc31843"/>
      <w:bookmarkStart w:id="148" w:name="_Toc28456"/>
      <w:bookmarkStart w:id="149" w:name="_Toc494049366"/>
      <w:bookmarkStart w:id="150" w:name="_Toc23829"/>
      <w:bookmarkStart w:id="151" w:name="_Toc494233743"/>
      <w:bookmarkStart w:id="152" w:name="_Toc15847"/>
      <w:bookmarkStart w:id="153" w:name="_Toc494049363"/>
      <w:r>
        <w:rPr>
          <w:rFonts w:hint="default" w:ascii="Times New Roman" w:hAnsi="Times New Roman" w:cs="Times New Roman"/>
          <w:color w:val="auto"/>
          <w:u w:val="none" w:color="auto"/>
        </w:rPr>
        <w:t>工程分析</w:t>
      </w:r>
      <w:bookmarkEnd w:id="143"/>
      <w:bookmarkEnd w:id="144"/>
      <w:bookmarkEnd w:id="145"/>
      <w:bookmarkEnd w:id="146"/>
      <w:bookmarkEnd w:id="147"/>
      <w:bookmarkEnd w:id="148"/>
      <w:bookmarkEnd w:id="149"/>
    </w:p>
    <w:p w14:paraId="43605883">
      <w:pPr>
        <w:pStyle w:val="3"/>
        <w:bidi w:val="0"/>
        <w:rPr>
          <w:rFonts w:hint="default"/>
        </w:rPr>
      </w:pPr>
      <w:bookmarkStart w:id="154" w:name="_Toc2544"/>
      <w:r>
        <w:rPr>
          <w:rFonts w:hint="default"/>
        </w:rPr>
        <w:t>工程任务合理性分析</w:t>
      </w:r>
      <w:bookmarkEnd w:id="154"/>
    </w:p>
    <w:p w14:paraId="2B6F61B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廊洞水库大坝位于湖南省道县梅花镇廊洞村境内，距G207国道1.5km，距道县县城18km，地理坐标东经111.59˚、北纬25.68˚。廊洞水库属湘江水系潇水一级支流宜水河中游宜阳河，水库坝址以上控制流域集雨面积35.60k</w:t>
      </w:r>
      <w:r>
        <w:rPr>
          <w:rFonts w:hint="eastAsia" w:cs="Times New Roman"/>
          <w:color w:val="auto"/>
          <w:u w:val="none" w:color="auto"/>
          <w:lang w:val="en-US" w:eastAsia="zh-CN"/>
        </w:rPr>
        <w:t>m</w:t>
      </w:r>
      <w:r>
        <w:rPr>
          <w:rFonts w:hint="eastAsia" w:cs="Times New Roman"/>
          <w:color w:val="auto"/>
          <w:u w:val="none" w:color="auto"/>
          <w:vertAlign w:val="superscript"/>
          <w:lang w:val="en-US" w:eastAsia="zh-CN"/>
        </w:rPr>
        <w:t>2</w:t>
      </w:r>
      <w:r>
        <w:rPr>
          <w:rFonts w:hint="default" w:ascii="Times New Roman" w:hAnsi="Times New Roman" w:cs="Times New Roman"/>
          <w:color w:val="auto"/>
          <w:u w:val="none" w:color="auto"/>
          <w:lang w:val="en-US" w:eastAsia="zh-CN"/>
        </w:rPr>
        <w:t>，干流长度17.80km，干流平均坡降20.91‰。廊洞水库是一座以灌溉为主，兼顾防洪、发电等综合利用的中型水利工程，工程等别为Ⅲ等。水库校核水位为291.84m，相应总库容为1008.60万m³；设计水位为291.31m，相应设计库容为976.80万m³；正常蓄水位为289.85m，相应正常库容为907.00万m³；死水位为257.33m，死库容为14.00万m³。该工程于1958年动工兴建，1961年建成小</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型水库，后于1973年6月按中型水库扩建，1978年12月竣工。水库枢纽工程主要包括大坝、溢洪道、输水建筑物、坝后式电站。该水库枢纽工程是一座以灌溉为主，兼顾防洪、发电等综合利用的中型水利工程。</w:t>
      </w:r>
    </w:p>
    <w:p w14:paraId="0890D0B1">
      <w:pPr>
        <w:rPr>
          <w:rFonts w:hint="default"/>
        </w:rPr>
      </w:pPr>
      <w:r>
        <w:rPr>
          <w:rFonts w:hint="default"/>
        </w:rPr>
        <w:t>本次除险加固维持原规模，不会对</w:t>
      </w:r>
      <w:r>
        <w:rPr>
          <w:rFonts w:hint="eastAsia"/>
          <w:lang w:val="en-US" w:eastAsia="zh-CN"/>
        </w:rPr>
        <w:t>廊洞</w:t>
      </w:r>
      <w:r>
        <w:rPr>
          <w:rFonts w:hint="default"/>
        </w:rPr>
        <w:t>水库饮用水源保护区的生态功能造成明显影响。同时，本工程的建设可有效保障下游农田的灌溉问题和防洪安全，</w:t>
      </w:r>
      <w:r>
        <w:rPr>
          <w:rFonts w:hint="eastAsia"/>
          <w:lang w:val="en-US" w:eastAsia="zh-CN"/>
        </w:rPr>
        <w:t>廊洞</w:t>
      </w:r>
      <w:r>
        <w:rPr>
          <w:rFonts w:hint="default"/>
        </w:rPr>
        <w:t>水库保护耕地</w:t>
      </w:r>
      <w:r>
        <w:rPr>
          <w:rFonts w:hint="eastAsia"/>
          <w:lang w:val="en-US" w:eastAsia="zh-CN"/>
        </w:rPr>
        <w:t>3.15</w:t>
      </w:r>
      <w:r>
        <w:rPr>
          <w:rFonts w:hint="default"/>
        </w:rPr>
        <w:t>万多亩，</w:t>
      </w:r>
      <w:r>
        <w:rPr>
          <w:rFonts w:hint="eastAsia"/>
          <w:lang w:val="en-US" w:eastAsia="zh-CN"/>
        </w:rPr>
        <w:t>年均发电量190万kWh，</w:t>
      </w:r>
      <w:r>
        <w:rPr>
          <w:rFonts w:hint="default"/>
        </w:rPr>
        <w:t>保护人口</w:t>
      </w:r>
      <w:r>
        <w:rPr>
          <w:rFonts w:hint="eastAsia"/>
          <w:lang w:val="en-US" w:eastAsia="zh-CN"/>
        </w:rPr>
        <w:t>2.6</w:t>
      </w:r>
      <w:r>
        <w:rPr>
          <w:rFonts w:hint="default"/>
        </w:rPr>
        <w:t>万余人，也便于向</w:t>
      </w:r>
      <w:r>
        <w:rPr>
          <w:rFonts w:hint="eastAsia"/>
          <w:lang w:val="en-US" w:eastAsia="zh-CN"/>
        </w:rPr>
        <w:t>梅花</w:t>
      </w:r>
      <w:r>
        <w:rPr>
          <w:rFonts w:hint="default"/>
        </w:rPr>
        <w:t>镇及周边供水。</w:t>
      </w:r>
    </w:p>
    <w:p w14:paraId="64E5E151">
      <w:pPr>
        <w:rPr>
          <w:rFonts w:hint="default"/>
        </w:rPr>
      </w:pPr>
      <w:r>
        <w:rPr>
          <w:rFonts w:hint="default"/>
        </w:rPr>
        <w:t>因此，本工程任务是合理的。</w:t>
      </w:r>
    </w:p>
    <w:p w14:paraId="613507D6">
      <w:pPr>
        <w:pStyle w:val="3"/>
        <w:bidi w:val="0"/>
        <w:rPr>
          <w:rFonts w:hint="default"/>
        </w:rPr>
      </w:pPr>
      <w:bookmarkStart w:id="155" w:name="_Toc22854"/>
      <w:r>
        <w:rPr>
          <w:rFonts w:hint="default"/>
        </w:rPr>
        <w:t>施工规划环境合理性分析</w:t>
      </w:r>
      <w:bookmarkEnd w:id="155"/>
    </w:p>
    <w:p w14:paraId="7BB0C960">
      <w:pPr>
        <w:pStyle w:val="4"/>
        <w:bidi w:val="0"/>
        <w:rPr>
          <w:rFonts w:hint="default"/>
        </w:rPr>
      </w:pPr>
      <w:r>
        <w:rPr>
          <w:rFonts w:hint="default"/>
        </w:rPr>
        <w:t>施工总布置合理性分析</w:t>
      </w:r>
    </w:p>
    <w:p w14:paraId="3DA7C2E0">
      <w:pPr>
        <w:rPr>
          <w:rFonts w:hint="default"/>
        </w:rPr>
      </w:pPr>
      <w:r>
        <w:rPr>
          <w:rFonts w:hint="default"/>
        </w:rPr>
        <w:t>施工总平面布置上充分考虑因时、因地制宜，利于生产、方便生活、快速安全、经济可靠、易于管理的总原则，结合实际地形地貌等条件，以期用最少的人力、物力和财力在设计工期内顺利完成工程任务。本项目施工场地主要分为主体工程区、临时施工道路区、施工临建设施区，占地类型为旱地、荒草地，不占用基本农田。本工程场内外交通便利。项目施工临建设施不在饮用水源保护区范围内，符合《中华人民共和国水污染防治法》（2017年6月27日修正）及《饮用水水源保护区污染防治管理规定》（环管字第201号，2010年修订）等相关规定，选址合理。项目不设置施工营地，临时办公和生活租用</w:t>
      </w:r>
      <w:r>
        <w:rPr>
          <w:rFonts w:hint="eastAsia"/>
          <w:lang w:val="en-US" w:eastAsia="zh-CN"/>
        </w:rPr>
        <w:t>廊洞管理所房屋</w:t>
      </w:r>
      <w:r>
        <w:rPr>
          <w:rFonts w:hint="default"/>
        </w:rPr>
        <w:t>解决。施工工区所在的场地比较空旷，设置围挡，有利于避免施工噪声及粉尘等对周围居民的干扰；施工生产设施集中布置，有利于对各施工污染环节进行统一集中处理，保证处理效果，避免对水体的污染。</w:t>
      </w:r>
    </w:p>
    <w:p w14:paraId="756FF3A1">
      <w:pPr>
        <w:rPr>
          <w:rFonts w:hint="default"/>
        </w:rPr>
      </w:pPr>
      <w:r>
        <w:rPr>
          <w:rFonts w:hint="default"/>
        </w:rPr>
        <w:t>此外，且场内外交通便利工程施工占地以荒草地为主，但占地面积较小，在实地探勘阶段，项目区内活动的野生动物种类及数量非常有限，由于施工区域及周围区域的生态环境背景类似，施工活动不会对其生存栖息产生明显不利影响，因此占地产生的生物量损失较小。同时，项目所有临时占地不涉及管理范围之外的占地。</w:t>
      </w:r>
    </w:p>
    <w:p w14:paraId="506BB0A4">
      <w:pPr>
        <w:rPr>
          <w:rFonts w:hint="default"/>
        </w:rPr>
      </w:pPr>
      <w:r>
        <w:rPr>
          <w:rFonts w:hint="default"/>
        </w:rPr>
        <w:t>工程在前期施工时，应采取优化工程施工布置及各临建设施的征占地面积及施工范围的措施，以减少施工活动对地表植被及景观的影响；加强施工期环境保护和水土保持管理，明确施工用地范围、严格控制施工作业区，禁止毁坏施工占地区以外植被，加强施工区内弃渣、利用料堆防护，减少水土流失等措施；施工结束后，及时清理建筑垃圾和施工迹地，结合水保植物措施，对占地区内植被及时进行人工恢复，以降低工程建设对植物资源及景观影响；对于施工废水和生活污水等，采取相应措施处理后回用或用于施工区洒水降尘，严禁排入河道、水库。</w:t>
      </w:r>
    </w:p>
    <w:p w14:paraId="3B912C72">
      <w:pPr>
        <w:rPr>
          <w:rFonts w:hint="default"/>
        </w:rPr>
      </w:pPr>
      <w:r>
        <w:rPr>
          <w:rFonts w:hint="default"/>
        </w:rPr>
        <w:t>综上所述，本工程施工场地选址无明显环境制约因素，且在施工期应严格落实相应保护措施，从环境角度分析，本工程施工布置基本合理。</w:t>
      </w:r>
    </w:p>
    <w:p w14:paraId="1A2EC9FA">
      <w:pPr>
        <w:pStyle w:val="4"/>
        <w:bidi w:val="0"/>
        <w:rPr>
          <w:rFonts w:hint="default"/>
        </w:rPr>
      </w:pPr>
      <w:r>
        <w:rPr>
          <w:rFonts w:hint="default"/>
        </w:rPr>
        <w:t>施工导流的布置合理性分析</w:t>
      </w:r>
    </w:p>
    <w:p w14:paraId="50749BA4">
      <w:pPr>
        <w:rPr>
          <w:rFonts w:hint="default"/>
        </w:rPr>
      </w:pPr>
      <w:r>
        <w:rPr>
          <w:rFonts w:hint="default"/>
        </w:rPr>
        <w:t>根据本次除险加固施工内容，在枯水期10月~次年3月内完成新建取水塔施、输水隧洞加固，大坝防渗、溢洪道加固、边坡加固等施工。大坝防渗及上游坝坡，边坡支护，溢洪道临水坡施工部位最低高程分别为274.90m，294.80m，283.00m，利用隧洞放水至257.33m高程，其中大坝防渗及上游坝坡，溢洪道在第1年10月~第2年3月枯水期内施工，边坡支护结合围堰填筑在第1年8月~10月内施工，均无需填筑围堰。取水塔施工部位最低高程为253.80m，施工时需修建围堰进行施工期导流挡水，利用隧洞进行导流泄水，第1年10月~第2年2月完成施工。在第2年3月完成隧洞加固，隧洞加固时采用取水塔导流挡水。汛期4月~9月正常度汛。</w:t>
      </w:r>
    </w:p>
    <w:p w14:paraId="1FE7D43E">
      <w:pPr>
        <w:rPr>
          <w:rFonts w:hint="default"/>
        </w:rPr>
      </w:pPr>
      <w:r>
        <w:rPr>
          <w:rFonts w:hint="default"/>
        </w:rPr>
        <w:t>根据本工程及施工特点，主体工程在一个枯水期内施工。第1年8月~9月，利用隧洞将库水位降至257.33m高程，进行边坡支护以及围堰填筑；第1年10月~第2年2月，利用隧洞进行导流泄水，围堰导流挡水高程为264.50m，进行取水塔、大坝、溢洪道施工；第2年3月，利用取水塔进行导流挡水，度汛洪水标准为枯期5年一遇。第2年4月~7月，进行安全监测以及其它建筑物等施工，按水库原调度运行规程要求正常度汛。隧洞施工时，取水塔进行导流挡水，待隧洞施工完成后，利用取水塔闸阀控制取水，隧洞进行泄流，因隧洞施工工程量较小，周期短，考虑通过抽水泵抽水临时满足供水需求。</w:t>
      </w:r>
    </w:p>
    <w:p w14:paraId="5C7110BC">
      <w:pPr>
        <w:rPr>
          <w:rFonts w:hint="default"/>
        </w:rPr>
      </w:pPr>
      <w:r>
        <w:rPr>
          <w:rFonts w:hint="default"/>
        </w:rPr>
        <w:t>待输水隧洞施工完成，同期不影响坝体施工后，可组织蓄水前验收，验收通过后，拆除围堰及导流钢管。</w:t>
      </w:r>
    </w:p>
    <w:p w14:paraId="37366EEA">
      <w:pPr>
        <w:rPr>
          <w:rFonts w:hint="default"/>
        </w:rPr>
      </w:pPr>
      <w:r>
        <w:rPr>
          <w:rFonts w:hint="default"/>
        </w:rPr>
        <w:t>因此，从环境影响角度分析，本项目的施工导流布置是合理可行的。</w:t>
      </w:r>
    </w:p>
    <w:p w14:paraId="32B1D68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项目选址的合理性分析</w:t>
      </w:r>
    </w:p>
    <w:p w14:paraId="30F95349">
      <w:pPr>
        <w:keepNext w:val="0"/>
        <w:keepLines w:val="0"/>
        <w:widowControl/>
        <w:suppressLineNumbers w:val="0"/>
        <w:jc w:val="left"/>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1、水库大坝选址合理性</w:t>
      </w:r>
    </w:p>
    <w:p w14:paraId="56F3D3B8">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为道县境内廊洞水库除险加固，无新增永久占地，现有坝址占地规划为水工设施用地，</w:t>
      </w:r>
      <w:r>
        <w:rPr>
          <w:rFonts w:hint="default" w:ascii="Times New Roman" w:hAnsi="Times New Roman" w:cs="Times New Roman"/>
          <w:color w:val="auto"/>
          <w:u w:val="none" w:color="auto"/>
        </w:rPr>
        <w:t>符合</w:t>
      </w:r>
      <w:r>
        <w:rPr>
          <w:rFonts w:hint="default" w:ascii="Times New Roman" w:hAnsi="Times New Roman" w:cs="Times New Roman"/>
          <w:color w:val="auto"/>
          <w:u w:val="none" w:color="auto"/>
          <w:lang w:val="en-US" w:eastAsia="zh-CN"/>
        </w:rPr>
        <w:t>道县规划</w:t>
      </w:r>
      <w:r>
        <w:rPr>
          <w:rFonts w:hint="default" w:ascii="Times New Roman" w:hAnsi="Times New Roman" w:cs="Times New Roman"/>
          <w:color w:val="auto"/>
          <w:u w:val="none" w:color="auto"/>
        </w:rPr>
        <w:t>要求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水库大坝已建成多年，本次实施水库大坝除险加固在现址进行建设，</w:t>
      </w:r>
      <w:r>
        <w:rPr>
          <w:rFonts w:hint="default" w:ascii="Times New Roman" w:hAnsi="Times New Roman" w:cs="Times New Roman"/>
          <w:color w:val="auto"/>
          <w:u w:val="none" w:color="auto"/>
        </w:rPr>
        <w:t>选址唯一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无相关比选方案</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kern w:val="0"/>
          <w:sz w:val="24"/>
          <w:szCs w:val="24"/>
          <w:u w:val="none" w:color="auto"/>
          <w:lang w:val="en-US" w:eastAsia="zh-CN" w:bidi="ar"/>
        </w:rPr>
        <w:t>总体上选址合理。</w:t>
      </w:r>
    </w:p>
    <w:p w14:paraId="27A9CB8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弃渣场选址合规合理性</w:t>
      </w:r>
    </w:p>
    <w:p w14:paraId="0C20F5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根据主体设计现场调查和地质勘察资料，工程周边适合做弃渣场的位置较少，经主体施工专业、水土保持专业的分析比较，鉴于工程区实际情况，</w:t>
      </w:r>
      <w:r>
        <w:rPr>
          <w:rFonts w:hint="default" w:ascii="Times New Roman" w:hAnsi="Times New Roman" w:cs="Times New Roman"/>
          <w:color w:val="auto"/>
          <w:u w:val="none" w:color="auto"/>
          <w:lang w:val="en-US" w:eastAsia="zh-CN"/>
        </w:rPr>
        <w:t>选定</w:t>
      </w:r>
      <w:r>
        <w:rPr>
          <w:rFonts w:hint="default" w:ascii="Times New Roman" w:hAnsi="Times New Roman" w:cs="Times New Roman"/>
          <w:color w:val="auto"/>
          <w:u w:val="none" w:color="auto"/>
          <w:lang w:eastAsia="zh-CN"/>
        </w:rPr>
        <w:t>大坝下游二级电站附近空闲低洼地</w:t>
      </w:r>
      <w:r>
        <w:rPr>
          <w:rFonts w:hint="default" w:ascii="Times New Roman" w:hAnsi="Times New Roman" w:cs="Times New Roman"/>
          <w:color w:val="auto"/>
          <w:u w:val="none" w:color="auto"/>
          <w:lang w:val="en-US" w:eastAsia="zh-CN"/>
        </w:rPr>
        <w:t>作为</w:t>
      </w:r>
      <w:r>
        <w:rPr>
          <w:rFonts w:hint="default" w:ascii="Times New Roman" w:hAnsi="Times New Roman" w:cs="Times New Roman"/>
          <w:color w:val="auto"/>
          <w:u w:val="none" w:color="auto"/>
        </w:rPr>
        <w:t>弃渣场，直线</w:t>
      </w:r>
      <w:r>
        <w:rPr>
          <w:rFonts w:hint="default" w:ascii="Times New Roman" w:hAnsi="Times New Roman" w:cs="Times New Roman"/>
          <w:color w:val="auto"/>
          <w:u w:val="none" w:color="auto"/>
          <w:lang w:eastAsia="zh-CN"/>
        </w:rPr>
        <w:t>距离2.50km，主要堆放土石方、拆除料，</w:t>
      </w:r>
      <w:r>
        <w:rPr>
          <w:rFonts w:hint="default" w:ascii="Times New Roman" w:hAnsi="Times New Roman" w:cs="Times New Roman"/>
          <w:color w:val="auto"/>
          <w:u w:val="none" w:color="auto"/>
        </w:rPr>
        <w:t>弃渣松方量约为</w:t>
      </w:r>
      <w:r>
        <w:rPr>
          <w:rFonts w:hint="default" w:ascii="Times New Roman" w:hAnsi="Times New Roman" w:cs="Times New Roman"/>
          <w:color w:val="auto"/>
          <w:u w:val="none" w:color="auto"/>
          <w:lang w:eastAsia="zh-CN"/>
        </w:rPr>
        <w:t>1.66万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弃渣场容量约为</w:t>
      </w:r>
      <w:r>
        <w:rPr>
          <w:rFonts w:hint="default" w:ascii="Times New Roman" w:hAnsi="Times New Roman" w:cs="Times New Roman"/>
          <w:color w:val="auto"/>
          <w:u w:val="none" w:color="auto"/>
          <w:lang w:eastAsia="zh-CN"/>
        </w:rPr>
        <w:t>2.65万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渣场容量能够满足弃渣要求，渣场地形为坡地。从水土保持角度分析，弃渣场弃渣量小于50万m³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堆渣高程</w:t>
      </w:r>
      <w:r>
        <w:rPr>
          <w:rFonts w:hint="default" w:ascii="Times New Roman" w:hAnsi="Times New Roman" w:cs="Times New Roman"/>
          <w:color w:val="auto"/>
          <w:u w:val="none" w:color="auto"/>
          <w:lang w:eastAsia="zh-CN"/>
        </w:rPr>
        <w:t>258-264</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堆渣最大高度6m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弃渣场级别为5级，渣场内未见大的断层切割破坏，无滑坡、泥石流等不良地质现象发育，弃渣场周边200m范围内无</w:t>
      </w:r>
      <w:r>
        <w:rPr>
          <w:rFonts w:hint="eastAsia" w:ascii="Times New Roman" w:hAnsi="Times New Roman" w:cs="Times New Roman"/>
          <w:color w:val="auto"/>
          <w:u w:val="none" w:color="auto"/>
          <w:lang w:val="en-US" w:eastAsia="zh-CN"/>
        </w:rPr>
        <w:t>集中</w:t>
      </w:r>
      <w:r>
        <w:rPr>
          <w:rFonts w:hint="default" w:ascii="Times New Roman" w:hAnsi="Times New Roman" w:cs="Times New Roman"/>
          <w:color w:val="auto"/>
          <w:u w:val="none" w:color="auto"/>
        </w:rPr>
        <w:t>居民分布，弃渣施工过程产生的粉尘及噪声对周边居民的影响较小。弃渣场下泄通道无河流、水库等水环境保护目标。根据现场复核以及与各限制因素校核位置关系，本项目弃渣场不涉及自然保护区、风景名胜区等生态敏感区、不位于饮用水源保护区范围内，不占用基本农田、生态红线等限制因素，占地范围内无珍稀植物、名木古树分布。下游影响范围主要为灌木林地，避开了重要的基础设施、集中居民点和工业企业等，基本未利用荒沟、凹地和支毛沟的沟道，没有大的集雨区域和防洪排水量，弃渣场不涉及岩溶等不良地质问题。渣场按照“先拦后弃”的原则，先布置拦挡措施，如先修建拦渣坎和排水沟，再弃渣，待施工结束后进行复绿。</w:t>
      </w:r>
    </w:p>
    <w:p w14:paraId="59BE44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从环境保护角度分析，本工程规划的弃渣场遵循了弃渣场布设的原则和要求，弃渣的运输、堆放条件及防护措施在技术和经济上均可行，选址较为合理。</w:t>
      </w:r>
    </w:p>
    <w:p w14:paraId="0B1E66F8">
      <w:pPr>
        <w:pStyle w:val="3"/>
        <w:bidi w:val="0"/>
        <w:rPr>
          <w:rFonts w:hint="default" w:ascii="Times New Roman" w:hAnsi="Times New Roman" w:cs="Times New Roman"/>
          <w:color w:val="auto"/>
          <w:u w:val="none" w:color="auto"/>
        </w:rPr>
      </w:pPr>
      <w:bookmarkStart w:id="156" w:name="_Toc6140"/>
      <w:bookmarkStart w:id="157" w:name="_Toc494049371"/>
      <w:bookmarkStart w:id="158" w:name="_Toc10248"/>
      <w:bookmarkStart w:id="159" w:name="_Toc6326"/>
      <w:bookmarkStart w:id="160" w:name="_Toc7800"/>
      <w:bookmarkStart w:id="161" w:name="_Toc2028"/>
      <w:bookmarkStart w:id="162" w:name="_Toc22315"/>
      <w:r>
        <w:rPr>
          <w:rFonts w:hint="default" w:ascii="Times New Roman" w:hAnsi="Times New Roman" w:cs="Times New Roman"/>
          <w:color w:val="auto"/>
          <w:u w:val="none" w:color="auto"/>
        </w:rPr>
        <w:t>施工期</w:t>
      </w:r>
      <w:r>
        <w:rPr>
          <w:rFonts w:hint="default" w:ascii="Times New Roman" w:hAnsi="Times New Roman" w:cs="Times New Roman"/>
          <w:color w:val="auto"/>
          <w:u w:val="none" w:color="auto"/>
          <w:lang w:val="en-US" w:eastAsia="zh-CN"/>
        </w:rPr>
        <w:t>污染源分析</w:t>
      </w:r>
      <w:bookmarkEnd w:id="156"/>
    </w:p>
    <w:p w14:paraId="39FA606F">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废水</w:t>
      </w:r>
    </w:p>
    <w:p w14:paraId="06776E6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本工程所需砂石料从市场购买，不存在砂石料冲洗废水。施工期污废水主要为砼搅拌系统废水、机械车辆维修冲洗含油废水、基坑排水、灌浆施工废水、和施工人员生活污水</w:t>
      </w:r>
      <w:r>
        <w:rPr>
          <w:rFonts w:hint="default" w:ascii="Times New Roman" w:hAnsi="Times New Roman" w:cs="Times New Roman"/>
          <w:color w:val="auto"/>
          <w:u w:val="none" w:color="auto"/>
        </w:rPr>
        <w:t>。</w:t>
      </w:r>
    </w:p>
    <w:p w14:paraId="286600B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生活污水</w:t>
      </w:r>
    </w:p>
    <w:p w14:paraId="6453E6B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建设期间，高峰劳动力人数</w:t>
      </w:r>
      <w:r>
        <w:rPr>
          <w:rFonts w:hint="default" w:ascii="Times New Roman" w:hAnsi="Times New Roman" w:cs="Times New Roman"/>
          <w:color w:val="auto"/>
          <w:u w:val="none" w:color="auto"/>
          <w:lang w:eastAsia="zh-CN"/>
        </w:rPr>
        <w:t>50人</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val="en-US" w:eastAsia="zh-CN"/>
        </w:rPr>
        <w:t>施工人员在项目施工区域周边租用民房，自行解决食宿</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施工人员</w:t>
      </w:r>
      <w:r>
        <w:rPr>
          <w:rFonts w:hint="default" w:ascii="Times New Roman" w:hAnsi="Times New Roman" w:cs="Times New Roman"/>
          <w:color w:val="auto"/>
          <w:u w:val="none" w:color="auto"/>
          <w:lang w:val="en-US" w:eastAsia="zh-CN"/>
        </w:rPr>
        <w:t>用</w:t>
      </w:r>
      <w:r>
        <w:rPr>
          <w:rFonts w:hint="default" w:ascii="Times New Roman" w:hAnsi="Times New Roman" w:cs="Times New Roman"/>
          <w:color w:val="auto"/>
          <w:u w:val="none" w:color="auto"/>
        </w:rPr>
        <w:t>水定额参照湖南省地方标准《湖南省用水定额》</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DB43/T388-2020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，施工人员生活用水按</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0L/人·d计，</w:t>
      </w:r>
      <w:r>
        <w:rPr>
          <w:rFonts w:hint="default" w:ascii="Times New Roman" w:hAnsi="Times New Roman" w:cs="Times New Roman"/>
          <w:color w:val="auto"/>
          <w:u w:val="none" w:color="auto"/>
          <w:lang w:val="en-US" w:eastAsia="zh-CN"/>
        </w:rPr>
        <w:t>施工高峰期</w:t>
      </w:r>
      <w:r>
        <w:rPr>
          <w:rFonts w:hint="default" w:ascii="Times New Roman" w:hAnsi="Times New Roman" w:cs="Times New Roman"/>
          <w:color w:val="auto"/>
          <w:u w:val="none" w:color="auto"/>
        </w:rPr>
        <w:t>每天用水量</w:t>
      </w:r>
      <w:r>
        <w:rPr>
          <w:rFonts w:hint="eastAsia" w:ascii="Times New Roman" w:hAnsi="Times New Roman" w:cs="Times New Roman"/>
          <w:color w:val="auto"/>
          <w:u w:val="none" w:color="auto"/>
          <w:lang w:val="en-US" w:eastAsia="zh-CN"/>
        </w:rPr>
        <w:t>2.5</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/d，污水排放系数取值0.8，则每天将产生生活污水</w:t>
      </w:r>
      <w:r>
        <w:rPr>
          <w:rFonts w:hint="eastAsia" w:ascii="Times New Roman" w:hAnsi="Times New Roman" w:cs="Times New Roman"/>
          <w:color w:val="auto"/>
          <w:u w:val="none" w:color="auto"/>
          <w:lang w:val="en-US" w:eastAsia="zh-CN"/>
        </w:rPr>
        <w:t>2</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/d。主要污染因子为COD、</w:t>
      </w:r>
      <w:r>
        <w:rPr>
          <w:rFonts w:hint="eastAsia" w:cs="Times New Roman"/>
          <w:color w:val="auto"/>
          <w:u w:val="none" w:color="auto"/>
          <w:lang w:eastAsia="zh-CN"/>
        </w:rPr>
        <w:t>BOD</w:t>
      </w:r>
      <w:r>
        <w:rPr>
          <w:rFonts w:hint="eastAsia" w:cs="Times New Roman"/>
          <w:color w:val="auto"/>
          <w:u w:val="none" w:color="auto"/>
          <w:vertAlign w:val="subscript"/>
          <w:lang w:eastAsia="zh-CN"/>
        </w:rPr>
        <w:t>5</w:t>
      </w:r>
      <w:r>
        <w:rPr>
          <w:rFonts w:hint="default" w:ascii="Times New Roman" w:hAnsi="Times New Roman" w:cs="Times New Roman"/>
          <w:color w:val="auto"/>
          <w:u w:val="none" w:color="auto"/>
        </w:rPr>
        <w:t>、SS、动植物油、氨氮等</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p>
    <w:p w14:paraId="2F425E69">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2</w:t>
      </w:r>
      <w:r>
        <w:rPr>
          <w:rFonts w:hint="default" w:ascii="Times New Roman" w:hAnsi="Times New Roman" w:cs="Times New Roman"/>
          <w:color w:val="auto"/>
          <w:highlight w:val="none"/>
          <w:u w:val="none" w:color="auto"/>
          <w:lang w:eastAsia="zh-CN"/>
        </w:rPr>
        <w:t>）砼搅拌系统废水</w:t>
      </w:r>
    </w:p>
    <w:p w14:paraId="1C69606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本工程设有一处砼搅拌机，砼搅拌机生产废水主要来自砼转筒和料罐的冲洗，每处砼搅拌机及料罐每天冲洗2次，每次废水量约1.0</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，则工程施工期每处砼搅拌站产生的砼搅拌系统废水量约为2</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/d。</w:t>
      </w:r>
    </w:p>
    <w:p w14:paraId="45D4BD7B">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混凝土搅拌系统冲洗废水主要污染物为悬浮物和pH，废水的pH值9-12左右。根据类似工程施工区混凝土搅拌系统生产废水悬浮物浓度资料，搅拌系统废水悬浮物浓度约5000mg/L。该废水采用明沟集中排入污水池进行沉淀、中和处理后回用，在搅拌系统内实现废水零排放。</w:t>
      </w:r>
    </w:p>
    <w:p w14:paraId="2C441481">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eastAsia="zh-CN"/>
        </w:rPr>
        <w:t>）机械、车辆冲洗废水</w:t>
      </w:r>
    </w:p>
    <w:p w14:paraId="214C4017">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工程施工需定期清洗施工机械设备及运输车辆，施工机械及运输车辆在冲洗、检修、保养过程中将产生一定的废水，主要污染物成分为石油类和悬浮物，石油类浓度般约为10～50mg/L，悬浮物浓度约为500~2000mg/L。根据各水库施工布置，本项目每天需清洗的主要施工机械设备及运输车辆均以20台（辆）计，平均每台机械设备每次冲洗水以0.1</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计算，废水产生系数取0.8，则工程施工期因冲洗机械设备及运输车辆产生的含油废水约为1.6</w:t>
      </w:r>
      <w:r>
        <w:rPr>
          <w:rFonts w:hint="eastAsia" w:cs="Times New Roman"/>
          <w:color w:val="auto"/>
          <w:highlight w:val="none"/>
          <w:u w:val="none" w:color="auto"/>
          <w:lang w:eastAsia="zh-CN"/>
        </w:rPr>
        <w:t>m</w:t>
      </w:r>
      <w:r>
        <w:rPr>
          <w:rFonts w:hint="eastAsia" w:cs="Times New Roman"/>
          <w:color w:val="auto"/>
          <w:highlight w:val="none"/>
          <w:u w:val="none" w:color="auto"/>
          <w:vertAlign w:val="superscript"/>
          <w:lang w:eastAsia="zh-CN"/>
        </w:rPr>
        <w:t>3</w:t>
      </w:r>
      <w:r>
        <w:rPr>
          <w:rFonts w:hint="default" w:ascii="Times New Roman" w:hAnsi="Times New Roman" w:cs="Times New Roman"/>
          <w:color w:val="auto"/>
          <w:highlight w:val="none"/>
          <w:u w:val="none" w:color="auto"/>
          <w:lang w:eastAsia="zh-CN"/>
        </w:rPr>
        <w:t>/d。</w:t>
      </w:r>
    </w:p>
    <w:p w14:paraId="0FE13823">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施工单位拟设临时机械、车辆冲洗废水处理池，经隔油、沉淀处理后回用</w:t>
      </w:r>
      <w:r>
        <w:rPr>
          <w:rFonts w:hint="eastAsia" w:ascii="Times New Roman" w:hAnsi="Times New Roman" w:cs="Times New Roman"/>
          <w:color w:val="auto"/>
          <w:highlight w:val="none"/>
          <w:u w:val="none" w:color="auto"/>
          <w:lang w:val="en-US" w:eastAsia="zh-CN"/>
        </w:rPr>
        <w:t>于</w:t>
      </w:r>
      <w:r>
        <w:rPr>
          <w:rFonts w:hint="default" w:ascii="Times New Roman" w:hAnsi="Times New Roman" w:cs="Times New Roman"/>
          <w:color w:val="auto"/>
          <w:highlight w:val="none"/>
          <w:u w:val="none" w:color="auto"/>
          <w:lang w:eastAsia="zh-CN"/>
        </w:rPr>
        <w:t>机械、车辆冲洗，禁止未经处理直接排放。</w:t>
      </w:r>
    </w:p>
    <w:p w14:paraId="6A32AA17">
      <w:pPr>
        <w:bidi w:val="0"/>
        <w:rPr>
          <w:rFonts w:hint="default" w:ascii="Times New Roman" w:hAnsi="Times New Roman" w:cs="Times New Roman"/>
          <w:color w:val="auto"/>
          <w:u w:val="none" w:color="auto"/>
        </w:rPr>
      </w:pPr>
      <w:r>
        <w:rPr>
          <w:rFonts w:hint="eastAsia" w:ascii="Times New Roman" w:hAnsi="Times New Roman" w:cs="Times New Roman"/>
          <w:color w:val="auto"/>
          <w:highlight w:val="none"/>
          <w:u w:val="none" w:color="auto"/>
          <w:lang w:eastAsia="zh-CN"/>
        </w:rPr>
        <w:t>（</w:t>
      </w:r>
      <w:r>
        <w:rPr>
          <w:rFonts w:hint="eastAsia" w:ascii="Times New Roman" w:hAnsi="Times New Roman" w:cs="Times New Roman"/>
          <w:color w:val="auto"/>
          <w:highlight w:val="none"/>
          <w:u w:val="none" w:color="auto"/>
          <w:lang w:val="en-US" w:eastAsia="zh-CN"/>
        </w:rPr>
        <w:t>4）</w:t>
      </w:r>
      <w:r>
        <w:rPr>
          <w:rFonts w:hint="default" w:ascii="Times New Roman" w:hAnsi="Times New Roman" w:cs="Times New Roman"/>
          <w:color w:val="auto"/>
          <w:u w:val="none" w:color="auto"/>
        </w:rPr>
        <w:t>基坑废水</w:t>
      </w:r>
    </w:p>
    <w:p w14:paraId="66934EB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基坑排水包括初期基坑排水及经常性基坑排水两部分。初期基坑排水与水库水质基本相同，不会增加对水库水质的污染水质。经常性基坑排含混凝土浇筑和养护形成的碱性水，</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值在</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左右，悬浮物浓度约2000mg/L。本工程基坑排水主要产生于工程基坑。</w:t>
      </w:r>
    </w:p>
    <w:p w14:paraId="4D5914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初期基坑排水与水库水质基本相似，可经排水沟静置沉淀，排至水库下游西江。本项目拟在主副坝涵洞进口围堰设</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套沉淀池，1套2池，采用向沉淀池投加絮凝剂，静置沉淀2h后进入回用水池，上层清液回用于场区洒水降尘，不外排。污泥及时人工清除，运至弃渣场。</w:t>
      </w:r>
    </w:p>
    <w:p w14:paraId="53BA48D2">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灌浆施工废水</w:t>
      </w:r>
    </w:p>
    <w:p w14:paraId="09CF22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本次加固对大坝采用帷幕灌浆、高喷灌浆进行防渗加固处理。灌浆施工会产生一定量的碱性、浑浊度较高的施工废水。主要污染物是</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和SS，</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值为11~12，SS浓度约5000mg/L。</w:t>
      </w:r>
    </w:p>
    <w:p w14:paraId="1193658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在大坝灌浆施工场地设置排放沟，出口处设置集水集浆池，收集废水、废浆，经沉淀池沉淀处理后进入回用水池，上层清液回用于场区洒水降尘，不外排。污泥及时人工清除，运至弃渣场。</w:t>
      </w:r>
    </w:p>
    <w:p w14:paraId="1C43347A">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施工期大气污染物</w:t>
      </w:r>
    </w:p>
    <w:p w14:paraId="4AF298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工程施工期废气主要为土石方工程粉尘、车辆行驶扬尘、机械燃油废气、爆破废气</w:t>
      </w:r>
      <w:r>
        <w:rPr>
          <w:rFonts w:hint="default" w:ascii="Times New Roman" w:hAnsi="Times New Roman" w:cs="Times New Roman"/>
          <w:color w:val="auto"/>
          <w:u w:val="none" w:color="auto"/>
          <w:lang w:val="en-US" w:eastAsia="zh-CN"/>
        </w:rPr>
        <w:t>等</w:t>
      </w:r>
      <w:r>
        <w:rPr>
          <w:rFonts w:hint="default" w:ascii="Times New Roman" w:hAnsi="Times New Roman" w:cs="Times New Roman"/>
          <w:color w:val="auto"/>
          <w:u w:val="none" w:color="auto"/>
        </w:rPr>
        <w:t>，均为无组织排放。</w:t>
      </w:r>
    </w:p>
    <w:p w14:paraId="44BCC42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1、污染源强</w:t>
      </w:r>
    </w:p>
    <w:p w14:paraId="30FF0E4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施工过程中场地风力扬尘、运输过程产生的扬尘、施工机械产生的燃油废气等。</w:t>
      </w:r>
    </w:p>
    <w:p w14:paraId="3C49BEF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场地风力扬尘</w:t>
      </w:r>
    </w:p>
    <w:p w14:paraId="55FCB033">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场地风力扬尘的一个主要原因是露天堆场和裸露场地的风力扬尘。由于施工的需要，一些建材需露天堆放；一些施工点表层土壤需人工开挖、堆放，在气候干燥又有风的情况下，会产生扬尘。堆场物料的种类、性质及风速与起尘量有很大关系，比重小的物料容易受扰动而起尘，物料中小颗粒比例大时起尘量相应也大。堆场的扬尘包括料堆的风吹扬尘、装卸扬尘和过往车辆引起路面积尘二次扬尘等，这将产生较大的扬尘污染，会对周围环境带来一定的影响，但通过洒水可有效地抑制扬尘量，可使扬尘量减少70%。此外，对一些粉状材料采取一些防风措施也将有效减少扬尘污染。</w:t>
      </w:r>
    </w:p>
    <w:p w14:paraId="75DA654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其扬尘量可按堆场起尘的经验公式计算：</w:t>
      </w:r>
    </w:p>
    <w:p w14:paraId="548F3C83">
      <w:pPr>
        <w:pStyle w:val="117"/>
        <w:ind w:firstLine="0" w:firstLineChars="0"/>
        <w:jc w:val="center"/>
        <w:rPr>
          <w:rFonts w:hint="default" w:ascii="Times New Roman" w:hAnsi="Times New Roman" w:cs="Times New Roman"/>
          <w:color w:val="auto"/>
          <w:u w:val="none" w:color="auto"/>
          <w:vertAlign w:val="superscript"/>
        </w:rPr>
      </w:pP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rPr>
        <w:t>=2.1(</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50</w:t>
      </w:r>
      <w:r>
        <w:rPr>
          <w:rFonts w:hint="default" w:ascii="Times New Roman" w:hAnsi="Times New Roman" w:cs="Times New Roman"/>
          <w:color w:val="auto"/>
          <w:u w:val="none" w:color="auto"/>
        </w:rPr>
        <w:t>-</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0</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vertAlign w:val="superscript"/>
        </w:rPr>
        <w:t>3</w:t>
      </w:r>
      <w:r>
        <w:rPr>
          <w:rFonts w:hint="default" w:ascii="Times New Roman" w:hAnsi="Times New Roman" w:cs="Times New Roman"/>
          <w:color w:val="auto"/>
          <w:u w:val="none" w:color="auto"/>
        </w:rPr>
        <w:t>e</w:t>
      </w:r>
      <w:r>
        <w:rPr>
          <w:rFonts w:hint="default" w:ascii="Times New Roman" w:hAnsi="Times New Roman" w:cs="Times New Roman"/>
          <w:color w:val="auto"/>
          <w:u w:val="none" w:color="auto"/>
          <w:vertAlign w:val="superscript"/>
        </w:rPr>
        <w:t>-1.023w</w:t>
      </w:r>
    </w:p>
    <w:p w14:paraId="1D4B8C8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起尘量，kg/t·a；</w:t>
      </w:r>
    </w:p>
    <w:p w14:paraId="5CB12DA7">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50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距地面50m风速，m/s；</w:t>
      </w:r>
    </w:p>
    <w:p w14:paraId="3DBCA46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vertAlign w:val="subscript"/>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起尘风速，m/s；</w:t>
      </w:r>
    </w:p>
    <w:p w14:paraId="34AF965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     </w:t>
      </w:r>
      <w:r>
        <w:rPr>
          <w:rFonts w:hint="default" w:ascii="Times New Roman" w:hAnsi="Times New Roman" w:cs="Times New Roman"/>
          <w:i/>
          <w:iCs/>
          <w:color w:val="auto"/>
          <w:u w:val="none" w:color="auto"/>
        </w:rPr>
        <w:t>w</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尘粒的含水率，%。</w:t>
      </w:r>
    </w:p>
    <w:p w14:paraId="1A86D53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起尘风速与粒径和含水率有关，因此减小露天堆场和保证一定的含水率及减少裸露地面是减少风力起尘的有效手段。不同粒径的沉降速度见下表。</w:t>
      </w:r>
    </w:p>
    <w:p w14:paraId="68254B23">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 xml:space="preserve">-1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不同粒径尘粒的沉降速度一览表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958"/>
        <w:gridCol w:w="958"/>
        <w:gridCol w:w="958"/>
        <w:gridCol w:w="958"/>
        <w:gridCol w:w="959"/>
        <w:gridCol w:w="959"/>
        <w:gridCol w:w="959"/>
      </w:tblGrid>
      <w:tr w14:paraId="55FDF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0D5562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粉尘粒径</w:t>
            </w:r>
            <w:r>
              <w:rPr>
                <w:rFonts w:hint="default" w:ascii="Times New Roman" w:hAnsi="Times New Roman" w:cs="Times New Roman"/>
                <w:color w:val="auto"/>
                <w:szCs w:val="21"/>
                <w:u w:val="none" w:color="auto"/>
              </w:rPr>
              <w:t>(μm)</w:t>
            </w:r>
          </w:p>
        </w:tc>
        <w:tc>
          <w:tcPr>
            <w:tcW w:w="959" w:type="dxa"/>
            <w:noWrap w:val="0"/>
            <w:vAlign w:val="center"/>
          </w:tcPr>
          <w:p w14:paraId="402C6F3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959" w:type="dxa"/>
            <w:noWrap w:val="0"/>
            <w:vAlign w:val="center"/>
          </w:tcPr>
          <w:p w14:paraId="5EEFFD7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959" w:type="dxa"/>
            <w:noWrap w:val="0"/>
            <w:vAlign w:val="center"/>
          </w:tcPr>
          <w:p w14:paraId="5375FBE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959" w:type="dxa"/>
            <w:noWrap w:val="0"/>
            <w:vAlign w:val="center"/>
          </w:tcPr>
          <w:p w14:paraId="0C84DE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40</w:t>
            </w:r>
          </w:p>
        </w:tc>
        <w:tc>
          <w:tcPr>
            <w:tcW w:w="959" w:type="dxa"/>
            <w:noWrap w:val="0"/>
            <w:vAlign w:val="center"/>
          </w:tcPr>
          <w:p w14:paraId="78A9D5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959" w:type="dxa"/>
            <w:noWrap w:val="0"/>
            <w:vAlign w:val="center"/>
          </w:tcPr>
          <w:p w14:paraId="0F5CB41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60</w:t>
            </w:r>
          </w:p>
        </w:tc>
        <w:tc>
          <w:tcPr>
            <w:tcW w:w="959" w:type="dxa"/>
            <w:noWrap w:val="0"/>
            <w:vAlign w:val="center"/>
          </w:tcPr>
          <w:p w14:paraId="3AC7D9D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70</w:t>
            </w:r>
          </w:p>
        </w:tc>
      </w:tr>
      <w:tr w14:paraId="6EC15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689F6216">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202AD22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0.003</w:t>
            </w:r>
          </w:p>
        </w:tc>
        <w:tc>
          <w:tcPr>
            <w:tcW w:w="959" w:type="dxa"/>
            <w:noWrap w:val="0"/>
            <w:vAlign w:val="center"/>
          </w:tcPr>
          <w:p w14:paraId="48696C8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0.012</w:t>
            </w:r>
          </w:p>
        </w:tc>
        <w:tc>
          <w:tcPr>
            <w:tcW w:w="959" w:type="dxa"/>
            <w:noWrap w:val="0"/>
            <w:vAlign w:val="center"/>
          </w:tcPr>
          <w:p w14:paraId="4E5B7B0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0.027</w:t>
            </w:r>
          </w:p>
        </w:tc>
        <w:tc>
          <w:tcPr>
            <w:tcW w:w="959" w:type="dxa"/>
            <w:noWrap w:val="0"/>
            <w:vAlign w:val="center"/>
          </w:tcPr>
          <w:p w14:paraId="5B764D6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0.048</w:t>
            </w:r>
          </w:p>
        </w:tc>
        <w:tc>
          <w:tcPr>
            <w:tcW w:w="959" w:type="dxa"/>
            <w:noWrap w:val="0"/>
            <w:vAlign w:val="center"/>
          </w:tcPr>
          <w:p w14:paraId="3201872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0.075</w:t>
            </w:r>
          </w:p>
        </w:tc>
        <w:tc>
          <w:tcPr>
            <w:tcW w:w="959" w:type="dxa"/>
            <w:noWrap w:val="0"/>
            <w:vAlign w:val="center"/>
          </w:tcPr>
          <w:p w14:paraId="0D2E18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0.108</w:t>
            </w:r>
          </w:p>
        </w:tc>
        <w:tc>
          <w:tcPr>
            <w:tcW w:w="959" w:type="dxa"/>
            <w:noWrap w:val="0"/>
            <w:vAlign w:val="center"/>
          </w:tcPr>
          <w:p w14:paraId="310383E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0.147</w:t>
            </w:r>
          </w:p>
        </w:tc>
      </w:tr>
      <w:tr w14:paraId="75BF6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2D85584B">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粉尘粒径(μm)</w:t>
            </w:r>
          </w:p>
        </w:tc>
        <w:tc>
          <w:tcPr>
            <w:tcW w:w="959" w:type="dxa"/>
            <w:noWrap w:val="0"/>
            <w:vAlign w:val="center"/>
          </w:tcPr>
          <w:p w14:paraId="35F3615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80</w:t>
            </w:r>
          </w:p>
        </w:tc>
        <w:tc>
          <w:tcPr>
            <w:tcW w:w="959" w:type="dxa"/>
            <w:noWrap w:val="0"/>
            <w:vAlign w:val="center"/>
          </w:tcPr>
          <w:p w14:paraId="2484C11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c>
          <w:tcPr>
            <w:tcW w:w="959" w:type="dxa"/>
            <w:noWrap w:val="0"/>
            <w:vAlign w:val="center"/>
          </w:tcPr>
          <w:p w14:paraId="6853AB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c>
          <w:tcPr>
            <w:tcW w:w="959" w:type="dxa"/>
            <w:noWrap w:val="0"/>
            <w:vAlign w:val="center"/>
          </w:tcPr>
          <w:p w14:paraId="7828546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959" w:type="dxa"/>
            <w:noWrap w:val="0"/>
            <w:vAlign w:val="center"/>
          </w:tcPr>
          <w:p w14:paraId="52D1C73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959" w:type="dxa"/>
            <w:noWrap w:val="0"/>
            <w:vAlign w:val="center"/>
          </w:tcPr>
          <w:p w14:paraId="7758FA5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c>
          <w:tcPr>
            <w:tcW w:w="959" w:type="dxa"/>
            <w:noWrap w:val="0"/>
            <w:vAlign w:val="center"/>
          </w:tcPr>
          <w:p w14:paraId="6490BB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350</w:t>
            </w:r>
          </w:p>
        </w:tc>
      </w:tr>
      <w:tr w14:paraId="65947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1A3C51CC">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0F24D6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0.158</w:t>
            </w:r>
          </w:p>
        </w:tc>
        <w:tc>
          <w:tcPr>
            <w:tcW w:w="959" w:type="dxa"/>
            <w:noWrap w:val="0"/>
            <w:vAlign w:val="center"/>
          </w:tcPr>
          <w:p w14:paraId="4B0CBD7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0.170</w:t>
            </w:r>
          </w:p>
        </w:tc>
        <w:tc>
          <w:tcPr>
            <w:tcW w:w="959" w:type="dxa"/>
            <w:noWrap w:val="0"/>
            <w:vAlign w:val="center"/>
          </w:tcPr>
          <w:p w14:paraId="282F198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0.182</w:t>
            </w:r>
          </w:p>
        </w:tc>
        <w:tc>
          <w:tcPr>
            <w:tcW w:w="959" w:type="dxa"/>
            <w:noWrap w:val="0"/>
            <w:vAlign w:val="center"/>
          </w:tcPr>
          <w:p w14:paraId="2835AE8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0.239</w:t>
            </w:r>
          </w:p>
        </w:tc>
        <w:tc>
          <w:tcPr>
            <w:tcW w:w="959" w:type="dxa"/>
            <w:noWrap w:val="0"/>
            <w:vAlign w:val="center"/>
          </w:tcPr>
          <w:p w14:paraId="10510A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0.804</w:t>
            </w:r>
          </w:p>
        </w:tc>
        <w:tc>
          <w:tcPr>
            <w:tcW w:w="959" w:type="dxa"/>
            <w:noWrap w:val="0"/>
            <w:vAlign w:val="center"/>
          </w:tcPr>
          <w:p w14:paraId="240FF8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1.005</w:t>
            </w:r>
          </w:p>
        </w:tc>
        <w:tc>
          <w:tcPr>
            <w:tcW w:w="959" w:type="dxa"/>
            <w:noWrap w:val="0"/>
            <w:vAlign w:val="center"/>
          </w:tcPr>
          <w:p w14:paraId="76D0CC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1.829</w:t>
            </w:r>
          </w:p>
        </w:tc>
      </w:tr>
      <w:tr w14:paraId="517DD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04E97D57">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粉尘粒径(μm)</w:t>
            </w:r>
          </w:p>
        </w:tc>
        <w:tc>
          <w:tcPr>
            <w:tcW w:w="959" w:type="dxa"/>
            <w:noWrap w:val="0"/>
            <w:vAlign w:val="center"/>
          </w:tcPr>
          <w:p w14:paraId="4732813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450</w:t>
            </w:r>
          </w:p>
        </w:tc>
        <w:tc>
          <w:tcPr>
            <w:tcW w:w="959" w:type="dxa"/>
            <w:noWrap w:val="0"/>
            <w:vAlign w:val="center"/>
          </w:tcPr>
          <w:p w14:paraId="4081DE4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550</w:t>
            </w:r>
          </w:p>
        </w:tc>
        <w:tc>
          <w:tcPr>
            <w:tcW w:w="959" w:type="dxa"/>
            <w:noWrap w:val="0"/>
            <w:vAlign w:val="center"/>
          </w:tcPr>
          <w:p w14:paraId="7E11CA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650</w:t>
            </w:r>
          </w:p>
        </w:tc>
        <w:tc>
          <w:tcPr>
            <w:tcW w:w="959" w:type="dxa"/>
            <w:noWrap w:val="0"/>
            <w:vAlign w:val="center"/>
          </w:tcPr>
          <w:p w14:paraId="35C43A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750</w:t>
            </w:r>
          </w:p>
        </w:tc>
        <w:tc>
          <w:tcPr>
            <w:tcW w:w="959" w:type="dxa"/>
            <w:noWrap w:val="0"/>
            <w:vAlign w:val="center"/>
          </w:tcPr>
          <w:p w14:paraId="2BC3B8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850</w:t>
            </w:r>
          </w:p>
        </w:tc>
        <w:tc>
          <w:tcPr>
            <w:tcW w:w="959" w:type="dxa"/>
            <w:noWrap w:val="0"/>
            <w:vAlign w:val="center"/>
          </w:tcPr>
          <w:p w14:paraId="3DFB6AB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950</w:t>
            </w:r>
          </w:p>
        </w:tc>
        <w:tc>
          <w:tcPr>
            <w:tcW w:w="959" w:type="dxa"/>
            <w:noWrap w:val="0"/>
            <w:vAlign w:val="center"/>
          </w:tcPr>
          <w:p w14:paraId="1F44511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1050</w:t>
            </w:r>
          </w:p>
        </w:tc>
      </w:tr>
      <w:tr w14:paraId="0C479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noWrap w:val="0"/>
            <w:vAlign w:val="center"/>
          </w:tcPr>
          <w:p w14:paraId="6B3E5200">
            <w:pPr>
              <w:pStyle w:val="180"/>
              <w:rPr>
                <w:rFonts w:hint="default" w:ascii="Times New Roman" w:hAnsi="Times New Roman" w:cs="Times New Roman"/>
                <w:color w:val="auto"/>
                <w:u w:val="none" w:color="auto"/>
              </w:rPr>
            </w:pPr>
            <w:r>
              <w:rPr>
                <w:rFonts w:hint="default" w:ascii="Times New Roman" w:hAnsi="Times New Roman" w:cs="Times New Roman"/>
                <w:color w:val="auto"/>
                <w:szCs w:val="21"/>
                <w:u w:val="none" w:color="auto"/>
              </w:rPr>
              <w:t>沉降速度(m/s)</w:t>
            </w:r>
          </w:p>
        </w:tc>
        <w:tc>
          <w:tcPr>
            <w:tcW w:w="959" w:type="dxa"/>
            <w:noWrap w:val="0"/>
            <w:vAlign w:val="center"/>
          </w:tcPr>
          <w:p w14:paraId="2B8B233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2.211</w:t>
            </w:r>
          </w:p>
        </w:tc>
        <w:tc>
          <w:tcPr>
            <w:tcW w:w="959" w:type="dxa"/>
            <w:noWrap w:val="0"/>
            <w:vAlign w:val="center"/>
          </w:tcPr>
          <w:p w14:paraId="280599C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2.614</w:t>
            </w:r>
          </w:p>
        </w:tc>
        <w:tc>
          <w:tcPr>
            <w:tcW w:w="959" w:type="dxa"/>
            <w:noWrap w:val="0"/>
            <w:vAlign w:val="center"/>
          </w:tcPr>
          <w:p w14:paraId="296FEB9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3.016</w:t>
            </w:r>
          </w:p>
        </w:tc>
        <w:tc>
          <w:tcPr>
            <w:tcW w:w="959" w:type="dxa"/>
            <w:noWrap w:val="0"/>
            <w:vAlign w:val="center"/>
          </w:tcPr>
          <w:p w14:paraId="524F62C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3.418</w:t>
            </w:r>
          </w:p>
        </w:tc>
        <w:tc>
          <w:tcPr>
            <w:tcW w:w="959" w:type="dxa"/>
            <w:noWrap w:val="0"/>
            <w:vAlign w:val="center"/>
          </w:tcPr>
          <w:p w14:paraId="33284C1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3.820</w:t>
            </w:r>
          </w:p>
        </w:tc>
        <w:tc>
          <w:tcPr>
            <w:tcW w:w="959" w:type="dxa"/>
            <w:noWrap w:val="0"/>
            <w:vAlign w:val="center"/>
          </w:tcPr>
          <w:p w14:paraId="6BF4F9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4.222</w:t>
            </w:r>
          </w:p>
        </w:tc>
        <w:tc>
          <w:tcPr>
            <w:tcW w:w="959" w:type="dxa"/>
            <w:noWrap w:val="0"/>
            <w:vAlign w:val="center"/>
          </w:tcPr>
          <w:p w14:paraId="40F62AC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4.624</w:t>
            </w:r>
          </w:p>
        </w:tc>
      </w:tr>
    </w:tbl>
    <w:p w14:paraId="6EAFD7D9">
      <w:pPr>
        <w:pStyle w:val="181"/>
        <w:spacing w:before="120" w:beforeLines="5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当尘粒粒径大于250μm时，尘粒沉降速度1.005m/s，主要影响为扬尘点下风向近距离范围内，对外界环境产生影响的是一些微小尘粒。气候情况不同，其影响范围也不一样。地表土的露天堆放和使用以及裸露的施工区表层浮尘在风力的作用下较易形成风力扬尘，如遇干旱无雨季节扬尘则更为严重。因此本工程施工期应特别注意防尘问题，制定必要的抑尘措施，以减少施工扬尘对周围环境的影响。本环评要求施工过程中尽量减少施工材料的堆存时间和堆存量，加快物料的周转速度，最大限度减少路面扬尘的产生量，堆放场设置在远离居民宅和水体的一侧，加快施工速度，挖、铺、填同时进行，填土后压实土层。对于运输过程应使用帆布遮盖，避免物料沿途遗洒，减少运输二次扬尘对周围环境的影响。</w:t>
      </w:r>
    </w:p>
    <w:p w14:paraId="4A69792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运输扬尘</w:t>
      </w:r>
    </w:p>
    <w:p w14:paraId="219FE51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根据有关文献资料介绍，施工过程中，车辆行驶产生的扬尘占总扬尘的60%以上。车辆行驶产生的扬尘，在完全干燥的情况下，可按以下经验公式计算：</w:t>
      </w:r>
    </w:p>
    <w:p w14:paraId="1D2965A9">
      <w:pPr>
        <w:pStyle w:val="181"/>
        <w:ind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2228850" cy="638175"/>
            <wp:effectExtent l="0" t="0" r="0" b="952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41"/>
                    <a:stretch>
                      <a:fillRect/>
                    </a:stretch>
                  </pic:blipFill>
                  <pic:spPr>
                    <a:xfrm>
                      <a:off x="0" y="0"/>
                      <a:ext cx="2228850" cy="638175"/>
                    </a:xfrm>
                    <a:prstGeom prst="rect">
                      <a:avLst/>
                    </a:prstGeom>
                    <a:noFill/>
                    <a:ln>
                      <a:noFill/>
                    </a:ln>
                  </pic:spPr>
                </pic:pic>
              </a:graphicData>
            </a:graphic>
          </wp:inline>
        </w:drawing>
      </w:r>
    </w:p>
    <w:p w14:paraId="72747439">
      <w:pPr>
        <w:pStyle w:val="181"/>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i/>
          <w:iCs/>
          <w:color w:val="auto"/>
          <w:u w:val="none" w:color="auto"/>
        </w:rPr>
        <w:t>Q</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汽车行驶的扬尘量，kg/km·辆；</w:t>
      </w:r>
    </w:p>
    <w:p w14:paraId="51FBCDA4">
      <w:pPr>
        <w:pStyle w:val="181"/>
        <w:ind w:firstLine="1200" w:firstLineChars="50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v</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汽车速度，km/h；</w:t>
      </w:r>
    </w:p>
    <w:p w14:paraId="35CE5472">
      <w:pPr>
        <w:pStyle w:val="181"/>
        <w:ind w:firstLine="1200" w:firstLineChars="50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w</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汽车载重量，t；</w:t>
      </w:r>
    </w:p>
    <w:p w14:paraId="4D1AE040">
      <w:pPr>
        <w:pStyle w:val="181"/>
        <w:ind w:firstLine="1200" w:firstLineChars="50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p</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道路表面粉尘量，kg/</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w:t>
      </w:r>
    </w:p>
    <w:p w14:paraId="55AE241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-2为一辆10t卡车通过一段长为1km的路面时，不同路面清洁程度，不同行驶速度情况下的扬尘量。</w:t>
      </w:r>
    </w:p>
    <w:p w14:paraId="4EED69BE">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在不同车速和地面清洁程度下一辆10t的汽车扬尘量</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单位：kg/km</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1064"/>
        <w:gridCol w:w="1064"/>
        <w:gridCol w:w="1064"/>
        <w:gridCol w:w="1064"/>
        <w:gridCol w:w="1066"/>
        <w:gridCol w:w="1066"/>
      </w:tblGrid>
      <w:tr w14:paraId="5F614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2130" w:type="dxa"/>
            <w:tcBorders>
              <w:tl2br w:val="single" w:color="auto" w:sz="4" w:space="0"/>
            </w:tcBorders>
            <w:noWrap w:val="0"/>
            <w:vAlign w:val="center"/>
          </w:tcPr>
          <w:p w14:paraId="6DB4950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 xml:space="preserve">        P(kg/</w:t>
            </w:r>
            <w:r>
              <w:rPr>
                <w:rFonts w:hint="eastAsia" w:cs="Times New Roman"/>
                <w:color w:val="auto"/>
                <w:sz w:val="21"/>
                <w:szCs w:val="21"/>
                <w:u w:val="none" w:color="auto"/>
                <w:lang w:eastAsia="zh-CN"/>
              </w:rPr>
              <w:t>m</w:t>
            </w:r>
            <w:r>
              <w:rPr>
                <w:rFonts w:hint="eastAsia" w:cs="Times New Roman"/>
                <w:color w:val="auto"/>
                <w:sz w:val="21"/>
                <w:szCs w:val="21"/>
                <w:u w:val="none" w:color="auto"/>
                <w:vertAlign w:val="superscript"/>
                <w:lang w:eastAsia="zh-CN"/>
              </w:rPr>
              <w:t>2</w:t>
            </w:r>
            <w:r>
              <w:rPr>
                <w:rFonts w:hint="default" w:ascii="Times New Roman" w:hAnsi="Times New Roman" w:cs="Times New Roman"/>
                <w:color w:val="auto"/>
                <w:sz w:val="21"/>
                <w:szCs w:val="21"/>
                <w:u w:val="none" w:color="auto"/>
              </w:rPr>
              <w:t>)</w:t>
            </w:r>
          </w:p>
          <w:p w14:paraId="60CFDE9E">
            <w:pPr>
              <w:pStyle w:val="184"/>
              <w:jc w:val="both"/>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车速(km/h)</w:t>
            </w:r>
          </w:p>
        </w:tc>
        <w:tc>
          <w:tcPr>
            <w:tcW w:w="1065" w:type="dxa"/>
            <w:noWrap w:val="0"/>
            <w:vAlign w:val="center"/>
          </w:tcPr>
          <w:p w14:paraId="612A22FF">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w:t>
            </w:r>
          </w:p>
        </w:tc>
        <w:tc>
          <w:tcPr>
            <w:tcW w:w="1065" w:type="dxa"/>
            <w:noWrap w:val="0"/>
            <w:vAlign w:val="center"/>
          </w:tcPr>
          <w:p w14:paraId="2701D571">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w:t>
            </w:r>
          </w:p>
        </w:tc>
        <w:tc>
          <w:tcPr>
            <w:tcW w:w="1065" w:type="dxa"/>
            <w:noWrap w:val="0"/>
            <w:vAlign w:val="center"/>
          </w:tcPr>
          <w:p w14:paraId="4B09194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w:t>
            </w:r>
          </w:p>
        </w:tc>
        <w:tc>
          <w:tcPr>
            <w:tcW w:w="1065" w:type="dxa"/>
            <w:noWrap w:val="0"/>
            <w:vAlign w:val="center"/>
          </w:tcPr>
          <w:p w14:paraId="765C3B1F">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w:t>
            </w:r>
          </w:p>
        </w:tc>
        <w:tc>
          <w:tcPr>
            <w:tcW w:w="1066" w:type="dxa"/>
            <w:noWrap w:val="0"/>
            <w:vAlign w:val="center"/>
          </w:tcPr>
          <w:p w14:paraId="29F539F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w:t>
            </w:r>
          </w:p>
        </w:tc>
        <w:tc>
          <w:tcPr>
            <w:tcW w:w="1066" w:type="dxa"/>
            <w:noWrap w:val="0"/>
            <w:vAlign w:val="center"/>
          </w:tcPr>
          <w:p w14:paraId="7B1645F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0.6</w:t>
            </w:r>
          </w:p>
        </w:tc>
      </w:tr>
      <w:tr w14:paraId="5DDF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38378EC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5</w:t>
            </w:r>
          </w:p>
        </w:tc>
        <w:tc>
          <w:tcPr>
            <w:tcW w:w="1065" w:type="dxa"/>
            <w:noWrap w:val="0"/>
            <w:vAlign w:val="center"/>
          </w:tcPr>
          <w:p w14:paraId="7765102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0.051</w:t>
            </w:r>
          </w:p>
        </w:tc>
        <w:tc>
          <w:tcPr>
            <w:tcW w:w="1065" w:type="dxa"/>
            <w:noWrap w:val="0"/>
            <w:vAlign w:val="center"/>
          </w:tcPr>
          <w:p w14:paraId="03AC6ADD">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0.086</w:t>
            </w:r>
          </w:p>
        </w:tc>
        <w:tc>
          <w:tcPr>
            <w:tcW w:w="1065" w:type="dxa"/>
            <w:noWrap w:val="0"/>
            <w:vAlign w:val="center"/>
          </w:tcPr>
          <w:p w14:paraId="30A3A21A">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0.116</w:t>
            </w:r>
          </w:p>
        </w:tc>
        <w:tc>
          <w:tcPr>
            <w:tcW w:w="1065" w:type="dxa"/>
            <w:noWrap w:val="0"/>
            <w:vAlign w:val="center"/>
          </w:tcPr>
          <w:p w14:paraId="265D787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0.144</w:t>
            </w:r>
          </w:p>
        </w:tc>
        <w:tc>
          <w:tcPr>
            <w:tcW w:w="1066" w:type="dxa"/>
            <w:noWrap w:val="0"/>
            <w:vAlign w:val="center"/>
          </w:tcPr>
          <w:p w14:paraId="7E37092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0.171</w:t>
            </w:r>
          </w:p>
        </w:tc>
        <w:tc>
          <w:tcPr>
            <w:tcW w:w="1066" w:type="dxa"/>
            <w:noWrap w:val="0"/>
            <w:vAlign w:val="center"/>
          </w:tcPr>
          <w:p w14:paraId="7C9C429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0.287</w:t>
            </w:r>
          </w:p>
        </w:tc>
      </w:tr>
      <w:tr w14:paraId="2C3C9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0C86828B">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10</w:t>
            </w:r>
          </w:p>
        </w:tc>
        <w:tc>
          <w:tcPr>
            <w:tcW w:w="1065" w:type="dxa"/>
            <w:noWrap w:val="0"/>
            <w:vAlign w:val="center"/>
          </w:tcPr>
          <w:p w14:paraId="292B9FB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0.102</w:t>
            </w:r>
          </w:p>
        </w:tc>
        <w:tc>
          <w:tcPr>
            <w:tcW w:w="1065" w:type="dxa"/>
            <w:noWrap w:val="0"/>
            <w:vAlign w:val="center"/>
          </w:tcPr>
          <w:p w14:paraId="1E09D0C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0.171</w:t>
            </w:r>
          </w:p>
        </w:tc>
        <w:tc>
          <w:tcPr>
            <w:tcW w:w="1065" w:type="dxa"/>
            <w:noWrap w:val="0"/>
            <w:vAlign w:val="center"/>
          </w:tcPr>
          <w:p w14:paraId="231FB2C4">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0.232</w:t>
            </w:r>
          </w:p>
        </w:tc>
        <w:tc>
          <w:tcPr>
            <w:tcW w:w="1065" w:type="dxa"/>
            <w:noWrap w:val="0"/>
            <w:vAlign w:val="center"/>
          </w:tcPr>
          <w:p w14:paraId="337AC45E">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0.289</w:t>
            </w:r>
          </w:p>
        </w:tc>
        <w:tc>
          <w:tcPr>
            <w:tcW w:w="1066" w:type="dxa"/>
            <w:noWrap w:val="0"/>
            <w:vAlign w:val="center"/>
          </w:tcPr>
          <w:p w14:paraId="3108728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0.341</w:t>
            </w:r>
          </w:p>
        </w:tc>
        <w:tc>
          <w:tcPr>
            <w:tcW w:w="1066" w:type="dxa"/>
            <w:noWrap w:val="0"/>
            <w:vAlign w:val="center"/>
          </w:tcPr>
          <w:p w14:paraId="7B2FA9E6">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0.574</w:t>
            </w:r>
          </w:p>
        </w:tc>
      </w:tr>
      <w:tr w14:paraId="11910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64EF34A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15</w:t>
            </w:r>
          </w:p>
        </w:tc>
        <w:tc>
          <w:tcPr>
            <w:tcW w:w="1065" w:type="dxa"/>
            <w:noWrap w:val="0"/>
            <w:vAlign w:val="center"/>
          </w:tcPr>
          <w:p w14:paraId="7106C589">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0.153</w:t>
            </w:r>
          </w:p>
        </w:tc>
        <w:tc>
          <w:tcPr>
            <w:tcW w:w="1065" w:type="dxa"/>
            <w:noWrap w:val="0"/>
            <w:vAlign w:val="center"/>
          </w:tcPr>
          <w:p w14:paraId="6CEF2CD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0.257</w:t>
            </w:r>
          </w:p>
        </w:tc>
        <w:tc>
          <w:tcPr>
            <w:tcW w:w="1065" w:type="dxa"/>
            <w:noWrap w:val="0"/>
            <w:vAlign w:val="center"/>
          </w:tcPr>
          <w:p w14:paraId="4F0F06F5">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0.349</w:t>
            </w:r>
          </w:p>
        </w:tc>
        <w:tc>
          <w:tcPr>
            <w:tcW w:w="1065" w:type="dxa"/>
            <w:noWrap w:val="0"/>
            <w:vAlign w:val="center"/>
          </w:tcPr>
          <w:p w14:paraId="7F62707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0.433</w:t>
            </w:r>
          </w:p>
        </w:tc>
        <w:tc>
          <w:tcPr>
            <w:tcW w:w="1066" w:type="dxa"/>
            <w:noWrap w:val="0"/>
            <w:vAlign w:val="center"/>
          </w:tcPr>
          <w:p w14:paraId="7114A1CD">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0.512</w:t>
            </w:r>
          </w:p>
        </w:tc>
        <w:tc>
          <w:tcPr>
            <w:tcW w:w="1066" w:type="dxa"/>
            <w:noWrap w:val="0"/>
            <w:vAlign w:val="center"/>
          </w:tcPr>
          <w:p w14:paraId="1C0DEBD7">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0.861</w:t>
            </w:r>
          </w:p>
        </w:tc>
      </w:tr>
      <w:tr w14:paraId="64E85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noWrap w:val="0"/>
            <w:vAlign w:val="center"/>
          </w:tcPr>
          <w:p w14:paraId="2B4F92CC">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20</w:t>
            </w:r>
          </w:p>
        </w:tc>
        <w:tc>
          <w:tcPr>
            <w:tcW w:w="1065" w:type="dxa"/>
            <w:noWrap w:val="0"/>
            <w:vAlign w:val="center"/>
          </w:tcPr>
          <w:p w14:paraId="30104FC5">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0.255</w:t>
            </w:r>
          </w:p>
        </w:tc>
        <w:tc>
          <w:tcPr>
            <w:tcW w:w="1065" w:type="dxa"/>
            <w:noWrap w:val="0"/>
            <w:vAlign w:val="center"/>
          </w:tcPr>
          <w:p w14:paraId="6EDEAEA8">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0.429</w:t>
            </w:r>
          </w:p>
        </w:tc>
        <w:tc>
          <w:tcPr>
            <w:tcW w:w="1065" w:type="dxa"/>
            <w:noWrap w:val="0"/>
            <w:vAlign w:val="center"/>
          </w:tcPr>
          <w:p w14:paraId="1526906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0.582</w:t>
            </w:r>
          </w:p>
        </w:tc>
        <w:tc>
          <w:tcPr>
            <w:tcW w:w="1065" w:type="dxa"/>
            <w:noWrap w:val="0"/>
            <w:vAlign w:val="center"/>
          </w:tcPr>
          <w:p w14:paraId="019B4BC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0.722</w:t>
            </w:r>
          </w:p>
        </w:tc>
        <w:tc>
          <w:tcPr>
            <w:tcW w:w="1066" w:type="dxa"/>
            <w:noWrap w:val="0"/>
            <w:vAlign w:val="center"/>
          </w:tcPr>
          <w:p w14:paraId="13958C23">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0.853</w:t>
            </w:r>
          </w:p>
        </w:tc>
        <w:tc>
          <w:tcPr>
            <w:tcW w:w="1066" w:type="dxa"/>
            <w:noWrap w:val="0"/>
            <w:vAlign w:val="center"/>
          </w:tcPr>
          <w:p w14:paraId="0ECEB940">
            <w:pPr>
              <w:pStyle w:val="184"/>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1.435</w:t>
            </w:r>
          </w:p>
        </w:tc>
      </w:tr>
    </w:tbl>
    <w:p w14:paraId="4CC57BB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从上表可见，在同样的路面条件下，车速越快，扬尘量越大；在同样的车速情况下，路面粉尘越大，扬尘量越大。</w:t>
      </w:r>
    </w:p>
    <w:p w14:paraId="1AC79C2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车辆行驶扬尘</w:t>
      </w:r>
    </w:p>
    <w:p w14:paraId="09A16F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根据项目的施工组织设计，工程有</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辆自卸汽车和</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辆</w:t>
      </w:r>
      <w:r>
        <w:rPr>
          <w:rFonts w:hint="default" w:ascii="Times New Roman" w:hAnsi="Times New Roman" w:cs="Times New Roman"/>
          <w:color w:val="auto"/>
          <w:spacing w:val="-1"/>
          <w:u w:val="none" w:color="auto"/>
        </w:rPr>
        <w:t>混凝土搅拌车</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参照</w:t>
      </w:r>
      <w:r>
        <w:rPr>
          <w:rFonts w:hint="default" w:ascii="Times New Roman" w:hAnsi="Times New Roman" w:cs="Times New Roman"/>
          <w:color w:val="auto"/>
          <w:u w:val="none" w:color="auto"/>
        </w:rPr>
        <w:t>《环境影响评价技术手册-水利水电工程》，汽车运输扬尘产生系数</w:t>
      </w:r>
      <w:r>
        <w:rPr>
          <w:rFonts w:hint="default" w:ascii="Times New Roman" w:hAnsi="Times New Roman" w:cs="Times New Roman"/>
          <w:color w:val="auto"/>
          <w:u w:val="none" w:color="auto"/>
          <w:lang w:val="en-US" w:eastAsia="zh-CN"/>
        </w:rPr>
        <w:t>约</w:t>
      </w:r>
      <w:r>
        <w:rPr>
          <w:rFonts w:hint="default" w:ascii="Times New Roman" w:hAnsi="Times New Roman" w:cs="Times New Roman"/>
          <w:color w:val="auto"/>
          <w:u w:val="none" w:color="auto"/>
        </w:rPr>
        <w:t>为1500mg/s，主体施工</w:t>
      </w:r>
      <w:r>
        <w:rPr>
          <w:rFonts w:hint="default" w:ascii="Times New Roman" w:hAnsi="Times New Roman" w:cs="Times New Roman"/>
          <w:color w:val="auto"/>
          <w:u w:val="none" w:color="auto"/>
          <w:lang w:eastAsia="zh-CN"/>
        </w:rPr>
        <w:t>15个</w:t>
      </w:r>
      <w:r>
        <w:rPr>
          <w:rFonts w:hint="default" w:ascii="Times New Roman" w:hAnsi="Times New Roman" w:cs="Times New Roman"/>
          <w:color w:val="auto"/>
          <w:u w:val="none" w:color="auto"/>
        </w:rPr>
        <w:t>月，按照每月生产</w:t>
      </w:r>
      <w:r>
        <w:rPr>
          <w:rFonts w:hint="default" w:ascii="Times New Roman" w:hAnsi="Times New Roman" w:cs="Times New Roman"/>
          <w:color w:val="auto"/>
          <w:u w:val="none" w:color="auto"/>
          <w:lang w:val="en-US" w:eastAsia="zh-CN"/>
        </w:rPr>
        <w:t>30天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每天生产8小时计</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据有关资料，如施工阶段对汽车行驶路面勤洒水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每天4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5次</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、保证路面清扫干净等措施后，运输扬尘的去除率可达90%。则未采取措施情况下高峰期交通运输扬尘量为</w:t>
      </w:r>
      <w:r>
        <w:rPr>
          <w:rFonts w:hint="default" w:ascii="Times New Roman" w:hAnsi="Times New Roman" w:cs="Times New Roman"/>
          <w:color w:val="auto"/>
          <w:u w:val="none" w:color="auto"/>
          <w:lang w:val="en-US" w:eastAsia="zh-CN"/>
        </w:rPr>
        <w:t>5.4</w:t>
      </w:r>
      <w:r>
        <w:rPr>
          <w:rFonts w:hint="default" w:ascii="Times New Roman" w:hAnsi="Times New Roman" w:cs="Times New Roman"/>
          <w:color w:val="auto"/>
          <w:u w:val="none" w:color="auto"/>
        </w:rPr>
        <w:t>kg/h(</w:t>
      </w:r>
      <w:r>
        <w:rPr>
          <w:rFonts w:hint="default" w:ascii="Times New Roman" w:hAnsi="Times New Roman" w:cs="Times New Roman"/>
          <w:color w:val="auto"/>
          <w:u w:val="none" w:color="auto"/>
          <w:lang w:val="en-US" w:eastAsia="zh-CN"/>
        </w:rPr>
        <w:t>23.3</w:t>
      </w:r>
      <w:r>
        <w:rPr>
          <w:rFonts w:hint="default" w:ascii="Times New Roman" w:hAnsi="Times New Roman" w:cs="Times New Roman"/>
          <w:color w:val="auto"/>
          <w:u w:val="none" w:color="auto"/>
        </w:rPr>
        <w:t>t/施工期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，采取措施后扬尘排放量为</w:t>
      </w:r>
      <w:r>
        <w:rPr>
          <w:rFonts w:hint="default" w:ascii="Times New Roman" w:hAnsi="Times New Roman" w:cs="Times New Roman"/>
          <w:color w:val="auto"/>
          <w:u w:val="none" w:color="auto"/>
          <w:lang w:val="en-US" w:eastAsia="zh-CN"/>
        </w:rPr>
        <w:t>0.54</w:t>
      </w:r>
      <w:r>
        <w:rPr>
          <w:rFonts w:hint="default" w:ascii="Times New Roman" w:hAnsi="Times New Roman" w:cs="Times New Roman"/>
          <w:color w:val="auto"/>
          <w:u w:val="none" w:color="auto"/>
        </w:rPr>
        <w:t>kg/h(</w:t>
      </w:r>
      <w:r>
        <w:rPr>
          <w:rFonts w:hint="default" w:ascii="Times New Roman" w:hAnsi="Times New Roman" w:cs="Times New Roman"/>
          <w:color w:val="auto"/>
          <w:u w:val="none" w:color="auto"/>
          <w:lang w:val="en-US" w:eastAsia="zh-CN"/>
        </w:rPr>
        <w:t>2.3</w:t>
      </w:r>
      <w:r>
        <w:rPr>
          <w:rFonts w:hint="default" w:ascii="Times New Roman" w:hAnsi="Times New Roman" w:cs="Times New Roman"/>
          <w:color w:val="auto"/>
          <w:u w:val="none" w:color="auto"/>
        </w:rPr>
        <w:t>t/施工期</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，可以起到很好的降尘效果。</w:t>
      </w:r>
    </w:p>
    <w:p w14:paraId="5716DA9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施工机械排放废气</w:t>
      </w:r>
    </w:p>
    <w:p w14:paraId="6894B9D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本工程施工过程用到的施工机械主要包括挖掘机、装载机、推土机等，它们以柴油为燃料，会产生一定量废气，包括 CO、</w:t>
      </w:r>
      <w:r>
        <w:rPr>
          <w:rFonts w:hint="eastAsia" w:cs="Times New Roman"/>
          <w:color w:val="auto"/>
          <w:u w:val="none" w:color="auto"/>
          <w:lang w:eastAsia="zh-CN"/>
        </w:rPr>
        <w:t>NO</w:t>
      </w:r>
      <w:r>
        <w:rPr>
          <w:rFonts w:hint="eastAsia" w:cs="Times New Roman"/>
          <w:color w:val="auto"/>
          <w:u w:val="none" w:color="auto"/>
          <w:vertAlign w:val="subscript"/>
          <w:lang w:eastAsia="zh-CN"/>
        </w:rPr>
        <w:t>X</w:t>
      </w:r>
      <w:r>
        <w:rPr>
          <w:rFonts w:hint="default" w:ascii="Times New Roman" w:hAnsi="Times New Roman" w:cs="Times New Roman"/>
          <w:color w:val="auto"/>
          <w:u w:val="none" w:color="auto"/>
        </w:rPr>
        <w:t>、</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等，因此，施工单位应注意车辆保养，将车辆尾气对环境的影响降到最低。由于工程作业区面积大，污染源分布分散，且污染源为露天排放，经大气扩散和稀释后，环境空气中废气浓度一般较低。</w:t>
      </w:r>
    </w:p>
    <w:p w14:paraId="36349FB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w:t>
      </w:r>
      <w:r>
        <w:rPr>
          <w:rFonts w:hint="default" w:ascii="Times New Roman" w:hAnsi="Times New Roman" w:cs="Times New Roman"/>
          <w:color w:val="auto"/>
          <w:u w:val="none" w:color="auto"/>
        </w:rPr>
        <w:t>噪声</w:t>
      </w:r>
      <w:r>
        <w:rPr>
          <w:rFonts w:hint="default" w:ascii="Times New Roman" w:hAnsi="Times New Roman" w:cs="Times New Roman"/>
          <w:color w:val="auto"/>
          <w:u w:val="none" w:color="auto"/>
          <w:lang w:val="en-US" w:eastAsia="zh-CN"/>
        </w:rPr>
        <w:t>污染源</w:t>
      </w:r>
    </w:p>
    <w:p w14:paraId="1B0AC2A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工程施工安排，施工噪声源主要包括交通噪声、施工区域设备噪声、物料装卸碰撞噪声及施工人员人为噪声；作业机械类型较多，主要有装载机、推土机、挖掘机等。本工程建设对声环境的影响主要在施工期，根据工程特点，施工期噪声源可分为以下3类。</w:t>
      </w:r>
    </w:p>
    <w:p w14:paraId="1E17DF6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固定噪声源</w:t>
      </w:r>
    </w:p>
    <w:p w14:paraId="764C01F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主要来源于土石方开挖施工活动，碰撞、摩擦及振动而产生的噪声，综合加工厂运行产生的噪声。此类噪声源声级与施工机械种类有关，一般在85~125dB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之间。</w:t>
      </w:r>
    </w:p>
    <w:p w14:paraId="4A0BB4C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流动的交通噪声</w:t>
      </w:r>
    </w:p>
    <w:p w14:paraId="37346C7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主要来源于自卸汽车、载重汽车等运输和装卸过程中，其特点</w:t>
      </w:r>
      <w:r>
        <w:rPr>
          <w:rFonts w:hint="default" w:ascii="Times New Roman" w:hAnsi="Times New Roman" w:cs="Times New Roman"/>
          <w:color w:val="auto"/>
          <w:highlight w:val="none"/>
          <w:u w:val="none" w:color="auto"/>
        </w:rPr>
        <w:t>为</w:t>
      </w:r>
      <w:r>
        <w:rPr>
          <w:rFonts w:hint="default" w:ascii="Times New Roman" w:hAnsi="Times New Roman" w:cs="Times New Roman"/>
          <w:color w:val="auto"/>
          <w:u w:val="none" w:color="auto"/>
        </w:rPr>
        <w:t>源强大、流动性强，与车辆运行状况有关，一般在85~95dB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之间。</w:t>
      </w:r>
    </w:p>
    <w:p w14:paraId="2635EC5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本工程施工期各类机械及交通噪声源强见表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-3。</w:t>
      </w:r>
    </w:p>
    <w:p w14:paraId="3F1B056D">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val="en-US" w:eastAsia="zh-CN"/>
        </w:rPr>
        <w:t>4</w:t>
      </w:r>
      <w:r>
        <w:rPr>
          <w:rFonts w:hint="eastAsia" w:ascii="Times New Roman" w:hAnsi="Times New Roman" w:cs="Times New Roman"/>
          <w:color w:val="auto"/>
          <w:u w:val="none" w:color="auto"/>
          <w:lang w:eastAsia="zh-CN"/>
        </w:rPr>
        <w:t>.</w:t>
      </w:r>
      <w:r>
        <w:rPr>
          <w:rFonts w:hint="eastAsia" w:hAnsi="Times New Roman" w:cs="Times New Roman"/>
          <w:color w:val="auto"/>
          <w:u w:val="none" w:color="auto"/>
          <w:lang w:val="en-US" w:eastAsia="zh-CN"/>
        </w:rPr>
        <w:t>3</w:t>
      </w:r>
      <w:r>
        <w:rPr>
          <w:rFonts w:hint="default" w:ascii="Times New Roman" w:hAnsi="Times New Roman" w:cs="Times New Roman"/>
          <w:color w:val="auto"/>
          <w:u w:val="none" w:color="auto"/>
        </w:rPr>
        <w:t xml:space="preserve">-3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主要施工机械噪声值统计表   单位：dB(A)</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2529"/>
        <w:gridCol w:w="1340"/>
        <w:gridCol w:w="1703"/>
        <w:gridCol w:w="1704"/>
      </w:tblGrid>
      <w:tr w14:paraId="08C21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CB49AF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529" w:type="dxa"/>
            <w:noWrap w:val="0"/>
            <w:vAlign w:val="center"/>
          </w:tcPr>
          <w:p w14:paraId="6AB5DE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机械名称</w:t>
            </w:r>
          </w:p>
        </w:tc>
        <w:tc>
          <w:tcPr>
            <w:tcW w:w="1340" w:type="dxa"/>
            <w:noWrap w:val="0"/>
            <w:vAlign w:val="center"/>
          </w:tcPr>
          <w:p w14:paraId="6902C6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单位</w:t>
            </w:r>
          </w:p>
        </w:tc>
        <w:tc>
          <w:tcPr>
            <w:tcW w:w="1703" w:type="dxa"/>
            <w:noWrap w:val="0"/>
            <w:vAlign w:val="center"/>
          </w:tcPr>
          <w:p w14:paraId="60E44A1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数量</w:t>
            </w:r>
          </w:p>
        </w:tc>
        <w:tc>
          <w:tcPr>
            <w:tcW w:w="1704" w:type="dxa"/>
            <w:noWrap w:val="0"/>
            <w:vAlign w:val="center"/>
          </w:tcPr>
          <w:p w14:paraId="3F7E08B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噪声源强</w:t>
            </w:r>
          </w:p>
        </w:tc>
      </w:tr>
      <w:tr w14:paraId="39E2E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8B9650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529" w:type="dxa"/>
            <w:noWrap w:val="0"/>
            <w:vAlign w:val="center"/>
          </w:tcPr>
          <w:p w14:paraId="1EAC1BA2">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单斗挖掘机</w:t>
            </w:r>
          </w:p>
        </w:tc>
        <w:tc>
          <w:tcPr>
            <w:tcW w:w="1340" w:type="dxa"/>
            <w:noWrap w:val="0"/>
            <w:vAlign w:val="center"/>
          </w:tcPr>
          <w:p w14:paraId="4482BF69">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6E09E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704" w:type="dxa"/>
            <w:noWrap w:val="0"/>
            <w:vAlign w:val="center"/>
          </w:tcPr>
          <w:p w14:paraId="3A8611F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942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DB611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529" w:type="dxa"/>
            <w:noWrap w:val="0"/>
            <w:vAlign w:val="center"/>
          </w:tcPr>
          <w:p w14:paraId="747A4B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推土机</w:t>
            </w:r>
          </w:p>
        </w:tc>
        <w:tc>
          <w:tcPr>
            <w:tcW w:w="1340" w:type="dxa"/>
            <w:noWrap w:val="0"/>
            <w:vAlign w:val="center"/>
          </w:tcPr>
          <w:p w14:paraId="4491F7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59E1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4D836EF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2A69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F02073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529" w:type="dxa"/>
            <w:noWrap w:val="0"/>
            <w:vAlign w:val="center"/>
          </w:tcPr>
          <w:p w14:paraId="4D1A73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拖拉机</w:t>
            </w:r>
          </w:p>
        </w:tc>
        <w:tc>
          <w:tcPr>
            <w:tcW w:w="1340" w:type="dxa"/>
            <w:noWrap w:val="0"/>
            <w:vAlign w:val="center"/>
          </w:tcPr>
          <w:p w14:paraId="41F1243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50117E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8982E6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4E0F0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C71315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529" w:type="dxa"/>
            <w:noWrap w:val="0"/>
            <w:vAlign w:val="center"/>
          </w:tcPr>
          <w:p w14:paraId="5E4D80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内燃压路机</w:t>
            </w:r>
          </w:p>
        </w:tc>
        <w:tc>
          <w:tcPr>
            <w:tcW w:w="1340" w:type="dxa"/>
            <w:noWrap w:val="0"/>
            <w:vAlign w:val="center"/>
          </w:tcPr>
          <w:p w14:paraId="176C2D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C6403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64DD5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A60C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2E83D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529" w:type="dxa"/>
            <w:noWrap w:val="0"/>
            <w:vAlign w:val="center"/>
          </w:tcPr>
          <w:p w14:paraId="535564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蛙式夯实机</w:t>
            </w:r>
          </w:p>
        </w:tc>
        <w:tc>
          <w:tcPr>
            <w:tcW w:w="1340" w:type="dxa"/>
            <w:noWrap w:val="0"/>
            <w:vAlign w:val="center"/>
          </w:tcPr>
          <w:p w14:paraId="4F218E0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26A2C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58655F3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1F6E2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03BAA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529" w:type="dxa"/>
            <w:noWrap w:val="0"/>
            <w:vAlign w:val="center"/>
          </w:tcPr>
          <w:p w14:paraId="1D6FE4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风钻</w:t>
            </w:r>
          </w:p>
        </w:tc>
        <w:tc>
          <w:tcPr>
            <w:tcW w:w="1340" w:type="dxa"/>
            <w:noWrap w:val="0"/>
            <w:vAlign w:val="center"/>
          </w:tcPr>
          <w:p w14:paraId="142EF0D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BC39B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1CB0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w:t>
            </w:r>
          </w:p>
        </w:tc>
      </w:tr>
      <w:tr w14:paraId="2ADEE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17DF7D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529" w:type="dxa"/>
            <w:noWrap w:val="0"/>
            <w:vAlign w:val="center"/>
          </w:tcPr>
          <w:p w14:paraId="30AF90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风镐</w:t>
            </w:r>
          </w:p>
        </w:tc>
        <w:tc>
          <w:tcPr>
            <w:tcW w:w="1340" w:type="dxa"/>
            <w:noWrap w:val="0"/>
            <w:vAlign w:val="center"/>
          </w:tcPr>
          <w:p w14:paraId="20EF396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EA0D1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6A2C1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15F99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14DFD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529" w:type="dxa"/>
            <w:noWrap w:val="0"/>
            <w:vAlign w:val="center"/>
          </w:tcPr>
          <w:p w14:paraId="236F75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砂(灰)浆搅拌机</w:t>
            </w:r>
          </w:p>
        </w:tc>
        <w:tc>
          <w:tcPr>
            <w:tcW w:w="1340" w:type="dxa"/>
            <w:noWrap w:val="0"/>
            <w:vAlign w:val="center"/>
          </w:tcPr>
          <w:p w14:paraId="5116DC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76AF69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879C69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rPr>
              <w:t>5</w:t>
            </w:r>
          </w:p>
        </w:tc>
      </w:tr>
      <w:tr w14:paraId="4D88E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0" w:type="dxa"/>
            <w:noWrap w:val="0"/>
            <w:vAlign w:val="center"/>
          </w:tcPr>
          <w:p w14:paraId="6811A1D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529" w:type="dxa"/>
            <w:noWrap w:val="0"/>
            <w:vAlign w:val="center"/>
          </w:tcPr>
          <w:p w14:paraId="1EFDC3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喷射机</w:t>
            </w:r>
          </w:p>
        </w:tc>
        <w:tc>
          <w:tcPr>
            <w:tcW w:w="1340" w:type="dxa"/>
            <w:noWrap w:val="0"/>
            <w:vAlign w:val="center"/>
          </w:tcPr>
          <w:p w14:paraId="40555F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E3A2B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2AC817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8</w:t>
            </w:r>
            <w:r>
              <w:rPr>
                <w:rFonts w:hint="default" w:ascii="Times New Roman" w:hAnsi="Times New Roman" w:cs="Times New Roman"/>
                <w:color w:val="auto"/>
                <w:u w:val="none" w:color="auto"/>
              </w:rPr>
              <w:t>5</w:t>
            </w:r>
          </w:p>
        </w:tc>
      </w:tr>
      <w:tr w14:paraId="2CF22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CC046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529" w:type="dxa"/>
            <w:noWrap w:val="0"/>
            <w:vAlign w:val="center"/>
          </w:tcPr>
          <w:p w14:paraId="6B9719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插入式振动器</w:t>
            </w:r>
          </w:p>
        </w:tc>
        <w:tc>
          <w:tcPr>
            <w:tcW w:w="1340" w:type="dxa"/>
            <w:noWrap w:val="0"/>
            <w:vAlign w:val="center"/>
          </w:tcPr>
          <w:p w14:paraId="3470907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84431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ECED60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2F10C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02BE62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529" w:type="dxa"/>
            <w:noWrap w:val="0"/>
            <w:vAlign w:val="center"/>
          </w:tcPr>
          <w:p w14:paraId="1424BA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平板式振动器</w:t>
            </w:r>
          </w:p>
        </w:tc>
        <w:tc>
          <w:tcPr>
            <w:tcW w:w="1340" w:type="dxa"/>
            <w:noWrap w:val="0"/>
            <w:vAlign w:val="center"/>
          </w:tcPr>
          <w:p w14:paraId="72C6C0E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8D748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368CD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7A1D7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A75807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529" w:type="dxa"/>
            <w:noWrap w:val="0"/>
            <w:vAlign w:val="center"/>
          </w:tcPr>
          <w:p w14:paraId="460FE8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载重汽车</w:t>
            </w:r>
          </w:p>
        </w:tc>
        <w:tc>
          <w:tcPr>
            <w:tcW w:w="1340" w:type="dxa"/>
            <w:noWrap w:val="0"/>
            <w:vAlign w:val="center"/>
          </w:tcPr>
          <w:p w14:paraId="0785B94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6005F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2</w:t>
            </w:r>
          </w:p>
        </w:tc>
        <w:tc>
          <w:tcPr>
            <w:tcW w:w="1704" w:type="dxa"/>
            <w:noWrap w:val="0"/>
            <w:vAlign w:val="center"/>
          </w:tcPr>
          <w:p w14:paraId="50B8DE86">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1FBAB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5062AA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529" w:type="dxa"/>
            <w:noWrap w:val="0"/>
            <w:vAlign w:val="center"/>
          </w:tcPr>
          <w:p w14:paraId="4F5204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自卸汽车</w:t>
            </w:r>
          </w:p>
        </w:tc>
        <w:tc>
          <w:tcPr>
            <w:tcW w:w="1340" w:type="dxa"/>
            <w:noWrap w:val="0"/>
            <w:vAlign w:val="center"/>
          </w:tcPr>
          <w:p w14:paraId="72FDBB0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3DD83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4</w:t>
            </w:r>
          </w:p>
        </w:tc>
        <w:tc>
          <w:tcPr>
            <w:tcW w:w="1704" w:type="dxa"/>
            <w:noWrap w:val="0"/>
            <w:vAlign w:val="center"/>
          </w:tcPr>
          <w:p w14:paraId="621D2686">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CACD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0AF43DF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529" w:type="dxa"/>
            <w:noWrap w:val="0"/>
            <w:vAlign w:val="center"/>
          </w:tcPr>
          <w:p w14:paraId="0CF046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汽车起重机</w:t>
            </w:r>
          </w:p>
        </w:tc>
        <w:tc>
          <w:tcPr>
            <w:tcW w:w="1340" w:type="dxa"/>
            <w:noWrap w:val="0"/>
            <w:vAlign w:val="center"/>
          </w:tcPr>
          <w:p w14:paraId="0FD0DEE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8126D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25C941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F82E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EFB7A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529" w:type="dxa"/>
            <w:noWrap w:val="0"/>
            <w:vAlign w:val="center"/>
          </w:tcPr>
          <w:p w14:paraId="56160A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地质钻机</w:t>
            </w:r>
          </w:p>
        </w:tc>
        <w:tc>
          <w:tcPr>
            <w:tcW w:w="1340" w:type="dxa"/>
            <w:noWrap w:val="0"/>
            <w:vAlign w:val="center"/>
          </w:tcPr>
          <w:p w14:paraId="31C04B1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7A97B2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4F51F8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C4AA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B91FDE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529" w:type="dxa"/>
            <w:noWrap w:val="0"/>
            <w:vAlign w:val="center"/>
          </w:tcPr>
          <w:p w14:paraId="486DE8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液压抓斗</w:t>
            </w:r>
          </w:p>
        </w:tc>
        <w:tc>
          <w:tcPr>
            <w:tcW w:w="1340" w:type="dxa"/>
            <w:noWrap w:val="0"/>
            <w:vAlign w:val="center"/>
          </w:tcPr>
          <w:p w14:paraId="5539C80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0EF6D8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5519520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r>
      <w:tr w14:paraId="367D2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A6D0A9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529" w:type="dxa"/>
            <w:noWrap w:val="0"/>
            <w:vAlign w:val="center"/>
          </w:tcPr>
          <w:p w14:paraId="5600A2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泥浆搅拌机</w:t>
            </w:r>
          </w:p>
        </w:tc>
        <w:tc>
          <w:tcPr>
            <w:tcW w:w="1340" w:type="dxa"/>
            <w:noWrap w:val="0"/>
            <w:vAlign w:val="center"/>
          </w:tcPr>
          <w:p w14:paraId="51428C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53425B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B0D822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4B93D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8E0C57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529" w:type="dxa"/>
            <w:noWrap w:val="0"/>
            <w:vAlign w:val="center"/>
          </w:tcPr>
          <w:p w14:paraId="5A4D72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灰浆搅拌机</w:t>
            </w:r>
          </w:p>
        </w:tc>
        <w:tc>
          <w:tcPr>
            <w:tcW w:w="1340" w:type="dxa"/>
            <w:noWrap w:val="0"/>
            <w:vAlign w:val="center"/>
          </w:tcPr>
          <w:p w14:paraId="06AB6B1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00B1A8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65E2CCC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D37B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F6D74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529" w:type="dxa"/>
            <w:noWrap w:val="0"/>
            <w:vAlign w:val="center"/>
          </w:tcPr>
          <w:p w14:paraId="40B3E9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1340" w:type="dxa"/>
            <w:noWrap w:val="0"/>
            <w:vAlign w:val="center"/>
          </w:tcPr>
          <w:p w14:paraId="065D78D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3296F1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EE313B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EDEB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78CB8E2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529" w:type="dxa"/>
            <w:noWrap w:val="0"/>
            <w:vAlign w:val="center"/>
          </w:tcPr>
          <w:p w14:paraId="3E9A83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1340" w:type="dxa"/>
            <w:noWrap w:val="0"/>
            <w:vAlign w:val="center"/>
          </w:tcPr>
          <w:p w14:paraId="4FCF511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5E2095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21BEF0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01D5F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1F95D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529" w:type="dxa"/>
            <w:noWrap w:val="0"/>
            <w:vAlign w:val="center"/>
          </w:tcPr>
          <w:p w14:paraId="1DE29E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1340" w:type="dxa"/>
            <w:noWrap w:val="0"/>
            <w:vAlign w:val="center"/>
          </w:tcPr>
          <w:p w14:paraId="7400316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5531F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0B7BB20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5AEE1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5065BD0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529" w:type="dxa"/>
            <w:noWrap w:val="0"/>
            <w:vAlign w:val="center"/>
          </w:tcPr>
          <w:p w14:paraId="64C968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对焊机</w:t>
            </w:r>
          </w:p>
        </w:tc>
        <w:tc>
          <w:tcPr>
            <w:tcW w:w="1340" w:type="dxa"/>
            <w:noWrap w:val="0"/>
            <w:vAlign w:val="center"/>
          </w:tcPr>
          <w:p w14:paraId="38FA40F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3AB3B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770F75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105</w:t>
            </w:r>
          </w:p>
        </w:tc>
      </w:tr>
      <w:tr w14:paraId="64F9F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93DB6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529" w:type="dxa"/>
            <w:noWrap w:val="0"/>
            <w:vAlign w:val="center"/>
          </w:tcPr>
          <w:p w14:paraId="6E758C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钢筋弯曲机</w:t>
            </w:r>
          </w:p>
        </w:tc>
        <w:tc>
          <w:tcPr>
            <w:tcW w:w="1340" w:type="dxa"/>
            <w:noWrap w:val="0"/>
            <w:vAlign w:val="center"/>
          </w:tcPr>
          <w:p w14:paraId="057A5C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31CC67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F09A3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4A13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162FC58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529" w:type="dxa"/>
            <w:noWrap w:val="0"/>
            <w:vAlign w:val="center"/>
          </w:tcPr>
          <w:p w14:paraId="4B8281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钢筋切断机</w:t>
            </w:r>
          </w:p>
        </w:tc>
        <w:tc>
          <w:tcPr>
            <w:tcW w:w="1340" w:type="dxa"/>
            <w:noWrap w:val="0"/>
            <w:vAlign w:val="center"/>
          </w:tcPr>
          <w:p w14:paraId="34A9D16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49F2DF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07A38F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551E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F4841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529" w:type="dxa"/>
            <w:noWrap w:val="0"/>
            <w:vAlign w:val="center"/>
          </w:tcPr>
          <w:p w14:paraId="571DD2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钢筋调直机</w:t>
            </w:r>
          </w:p>
        </w:tc>
        <w:tc>
          <w:tcPr>
            <w:tcW w:w="1340" w:type="dxa"/>
            <w:noWrap w:val="0"/>
            <w:vAlign w:val="center"/>
          </w:tcPr>
          <w:p w14:paraId="0412173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252AF8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72FCF3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33F3E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3902D24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529" w:type="dxa"/>
            <w:noWrap w:val="0"/>
            <w:vAlign w:val="center"/>
          </w:tcPr>
          <w:p w14:paraId="1869A6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泥浆泵</w:t>
            </w:r>
          </w:p>
        </w:tc>
        <w:tc>
          <w:tcPr>
            <w:tcW w:w="1340" w:type="dxa"/>
            <w:noWrap w:val="0"/>
            <w:vAlign w:val="center"/>
          </w:tcPr>
          <w:p w14:paraId="48C56FD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120F6E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551C6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6A417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6E08DDC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529" w:type="dxa"/>
            <w:noWrap w:val="0"/>
            <w:vAlign w:val="center"/>
          </w:tcPr>
          <w:p w14:paraId="1A7668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灌浆泵中低压泥浆/砂浆</w:t>
            </w:r>
          </w:p>
        </w:tc>
        <w:tc>
          <w:tcPr>
            <w:tcW w:w="1340" w:type="dxa"/>
            <w:noWrap w:val="0"/>
            <w:vAlign w:val="center"/>
          </w:tcPr>
          <w:p w14:paraId="704DA45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112A31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19441C1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85</w:t>
            </w:r>
          </w:p>
        </w:tc>
      </w:tr>
      <w:tr w14:paraId="7BB0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45AAEC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529" w:type="dxa"/>
            <w:noWrap w:val="0"/>
            <w:vAlign w:val="center"/>
          </w:tcPr>
          <w:p w14:paraId="558217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轴流通风机</w:t>
            </w:r>
          </w:p>
        </w:tc>
        <w:tc>
          <w:tcPr>
            <w:tcW w:w="1340" w:type="dxa"/>
            <w:noWrap w:val="0"/>
            <w:vAlign w:val="center"/>
          </w:tcPr>
          <w:p w14:paraId="5C1FB8B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辆</w:t>
            </w:r>
          </w:p>
        </w:tc>
        <w:tc>
          <w:tcPr>
            <w:tcW w:w="1703" w:type="dxa"/>
            <w:noWrap w:val="0"/>
            <w:vAlign w:val="center"/>
          </w:tcPr>
          <w:p w14:paraId="4D155C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5F7D2AA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2C8F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0" w:type="dxa"/>
            <w:noWrap w:val="0"/>
            <w:vAlign w:val="center"/>
          </w:tcPr>
          <w:p w14:paraId="2AF989C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529" w:type="dxa"/>
            <w:noWrap w:val="0"/>
            <w:vAlign w:val="center"/>
          </w:tcPr>
          <w:p w14:paraId="4CA7F1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电焊机</w:t>
            </w:r>
          </w:p>
        </w:tc>
        <w:tc>
          <w:tcPr>
            <w:tcW w:w="1340" w:type="dxa"/>
            <w:noWrap w:val="0"/>
            <w:vAlign w:val="center"/>
          </w:tcPr>
          <w:p w14:paraId="63DCB0C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台</w:t>
            </w:r>
          </w:p>
        </w:tc>
        <w:tc>
          <w:tcPr>
            <w:tcW w:w="1703" w:type="dxa"/>
            <w:noWrap w:val="0"/>
            <w:vAlign w:val="center"/>
          </w:tcPr>
          <w:p w14:paraId="6FFDE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w:t>
            </w:r>
          </w:p>
        </w:tc>
        <w:tc>
          <w:tcPr>
            <w:tcW w:w="1704" w:type="dxa"/>
            <w:noWrap w:val="0"/>
            <w:vAlign w:val="center"/>
          </w:tcPr>
          <w:p w14:paraId="4514004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bl>
    <w:p w14:paraId="6D735DC3">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施工期固体废物</w:t>
      </w:r>
    </w:p>
    <w:p w14:paraId="45973D37">
      <w:pPr>
        <w:bidi w:val="0"/>
        <w:rPr>
          <w:rFonts w:hint="default" w:ascii="Times New Roman" w:hAnsi="Times New Roman" w:cs="Times New Roman"/>
          <w:color w:val="auto"/>
          <w:u w:val="none" w:color="auto"/>
        </w:rPr>
      </w:pPr>
      <w:r>
        <w:rPr>
          <w:rFonts w:hint="eastAsia" w:cs="Times New Roman"/>
          <w:color w:val="auto"/>
          <w:u w:val="none" w:color="auto"/>
          <w:lang w:eastAsia="zh-CN"/>
        </w:rPr>
        <w:t>项目</w:t>
      </w:r>
      <w:r>
        <w:rPr>
          <w:rFonts w:hint="default" w:ascii="Times New Roman" w:hAnsi="Times New Roman" w:cs="Times New Roman"/>
          <w:color w:val="auto"/>
          <w:u w:val="none" w:color="auto"/>
        </w:rPr>
        <w:t>施工期固体废物主要为弃土、废弃建筑垃圾及施工人员生活垃圾。</w:t>
      </w:r>
    </w:p>
    <w:p w14:paraId="75042A0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建筑垃圾</w:t>
      </w:r>
    </w:p>
    <w:p w14:paraId="4DE8845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施工过程中产生的建筑垃圾，主要包括混凝土碎块、钢筋和木料的施工下脚料、废弃建材包装材料等。</w:t>
      </w:r>
    </w:p>
    <w:p w14:paraId="468AC96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项目施工期建筑垃圾委托有资质单位进行清运到建筑垃圾处置场处理，或外卖至其他工地回填。施工过程中产生的钢筋、钢板、木材等</w:t>
      </w:r>
      <w:r>
        <w:rPr>
          <w:rFonts w:hint="default" w:ascii="Times New Roman" w:hAnsi="Times New Roman" w:cs="Times New Roman"/>
          <w:color w:val="auto"/>
          <w:u w:val="none" w:color="auto"/>
          <w:lang w:eastAsia="zh-CN"/>
        </w:rPr>
        <w:t>下脚料</w:t>
      </w:r>
      <w:r>
        <w:rPr>
          <w:rFonts w:hint="default" w:ascii="Times New Roman" w:hAnsi="Times New Roman" w:cs="Times New Roman"/>
          <w:color w:val="auto"/>
          <w:u w:val="none" w:color="auto"/>
        </w:rPr>
        <w:t>经分类回收后，外售废品回收站处理；建筑垃圾集中收集后及时清运到当地管理部门指定的建筑废渣专用堆放场。</w:t>
      </w:r>
    </w:p>
    <w:p w14:paraId="0B9EE0B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土石方</w:t>
      </w:r>
    </w:p>
    <w:p w14:paraId="4006F4F7">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据项目初步设计报告，</w:t>
      </w:r>
      <w:r>
        <w:rPr>
          <w:rFonts w:hint="default" w:ascii="Times New Roman" w:hAnsi="Times New Roman" w:cs="Times New Roman"/>
          <w:color w:val="auto"/>
          <w:sz w:val="24"/>
          <w:szCs w:val="24"/>
          <w:u w:val="none" w:color="auto"/>
        </w:rPr>
        <w:t>本工程主体</w:t>
      </w:r>
      <w:r>
        <w:rPr>
          <w:rFonts w:hint="default" w:ascii="Times New Roman" w:hAnsi="Times New Roman" w:cs="Times New Roman"/>
          <w:color w:val="auto"/>
          <w:sz w:val="24"/>
          <w:szCs w:val="24"/>
          <w:highlight w:val="none"/>
          <w:u w:val="none" w:color="auto"/>
        </w:rPr>
        <w:t>清基</w:t>
      </w:r>
      <w:r>
        <w:rPr>
          <w:rFonts w:hint="default" w:ascii="Times New Roman" w:hAnsi="Times New Roman" w:cs="Times New Roman"/>
          <w:color w:val="auto"/>
          <w:sz w:val="24"/>
          <w:szCs w:val="24"/>
          <w:u w:val="none" w:color="auto"/>
        </w:rPr>
        <w:t>、土方及砂卵石</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含拆除</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sz w:val="24"/>
          <w:szCs w:val="24"/>
          <w:u w:val="none" w:color="auto"/>
        </w:rPr>
        <w:t>开挖总量为</w:t>
      </w:r>
      <w:r>
        <w:rPr>
          <w:rFonts w:hint="default" w:ascii="Times New Roman" w:hAnsi="Times New Roman" w:cs="Times New Roman" w:eastAsiaTheme="minorEastAsia"/>
          <w:color w:val="auto"/>
          <w:sz w:val="24"/>
          <w:szCs w:val="24"/>
          <w:u w:val="none" w:color="auto"/>
        </w:rPr>
        <w:t>2.73万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z w:val="24"/>
          <w:szCs w:val="24"/>
          <w:u w:val="none" w:color="auto"/>
        </w:rPr>
        <w:t>自然方，下同</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w:t>
      </w:r>
      <w:r>
        <w:rPr>
          <w:rFonts w:hint="default" w:ascii="Times New Roman" w:hAnsi="Times New Roman" w:cs="Times New Roman" w:eastAsiaTheme="minorEastAsia"/>
          <w:color w:val="auto"/>
          <w:spacing w:val="-2"/>
          <w:sz w:val="24"/>
          <w:szCs w:val="24"/>
          <w:u w:val="none" w:color="auto"/>
        </w:rPr>
        <w:t>土石方填筑共计</w:t>
      </w:r>
      <w:r>
        <w:rPr>
          <w:rFonts w:hint="default" w:ascii="Times New Roman" w:hAnsi="Times New Roman" w:cs="Times New Roman" w:eastAsiaTheme="minorEastAsia"/>
          <w:color w:val="auto"/>
          <w:spacing w:val="-2"/>
          <w:sz w:val="24"/>
          <w:szCs w:val="24"/>
          <w:u w:val="none" w:color="auto"/>
          <w:lang w:eastAsia="zh-CN"/>
        </w:rPr>
        <w:t>1.30万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，外购0.2</w:t>
      </w:r>
      <w:r>
        <w:rPr>
          <w:rFonts w:hint="default" w:ascii="Times New Roman" w:hAnsi="Times New Roman" w:cs="Times New Roman" w:eastAsiaTheme="minorEastAsia"/>
          <w:color w:val="auto"/>
          <w:spacing w:val="-2"/>
          <w:sz w:val="24"/>
          <w:szCs w:val="24"/>
          <w:u w:val="none" w:color="auto"/>
          <w:lang w:val="en-US" w:eastAsia="zh-CN"/>
        </w:rPr>
        <w:t>29</w:t>
      </w:r>
      <w:r>
        <w:rPr>
          <w:rFonts w:hint="default" w:ascii="Times New Roman" w:hAnsi="Times New Roman" w:cs="Times New Roman" w:eastAsiaTheme="minorEastAsia"/>
          <w:color w:val="auto"/>
          <w:spacing w:val="-2"/>
          <w:sz w:val="24"/>
          <w:szCs w:val="24"/>
          <w:u w:val="none" w:color="auto"/>
        </w:rPr>
        <w:t>万</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522</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块石外购，1770</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eastAsiaTheme="minorEastAsia"/>
          <w:color w:val="auto"/>
          <w:spacing w:val="-2"/>
          <w:sz w:val="24"/>
          <w:szCs w:val="24"/>
          <w:u w:val="none" w:color="auto"/>
        </w:rPr>
        <w:t>土方外购</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pacing w:val="-2"/>
          <w:sz w:val="24"/>
          <w:szCs w:val="24"/>
          <w:u w:val="none" w:color="auto"/>
        </w:rPr>
        <w:t>，弃方1.66万</w:t>
      </w:r>
      <w:r>
        <w:rPr>
          <w:rFonts w:hint="default" w:ascii="Times New Roman" w:hAnsi="Times New Roman" w:cs="Times New Roman" w:eastAsiaTheme="minorEastAsia"/>
          <w:color w:val="auto"/>
          <w:spacing w:val="-2"/>
          <w:sz w:val="24"/>
          <w:szCs w:val="24"/>
          <w:u w:val="none" w:color="auto"/>
          <w:lang w:eastAsia="zh-CN"/>
        </w:rPr>
        <w:t>m³</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主体工程共利用</w:t>
      </w:r>
      <w:r>
        <w:rPr>
          <w:rFonts w:hint="default" w:ascii="Times New Roman" w:hAnsi="Times New Roman" w:cs="Times New Roman" w:eastAsiaTheme="minorEastAsia"/>
          <w:color w:val="auto"/>
          <w:sz w:val="24"/>
          <w:szCs w:val="24"/>
          <w:u w:val="none" w:color="auto"/>
        </w:rPr>
        <w:t>12995</w:t>
      </w:r>
      <w:r>
        <w:rPr>
          <w:rFonts w:hint="default" w:ascii="Times New Roman" w:hAnsi="Times New Roman" w:cs="Times New Roman" w:eastAsiaTheme="minorEastAsia"/>
          <w:color w:val="auto"/>
          <w:sz w:val="24"/>
          <w:szCs w:val="24"/>
          <w:u w:val="none" w:color="auto"/>
          <w:lang w:eastAsia="zh-CN"/>
        </w:rPr>
        <w:t>m³</w:t>
      </w:r>
      <w:r>
        <w:rPr>
          <w:rFonts w:hint="default" w:ascii="Times New Roman" w:hAnsi="Times New Roman" w:cs="Times New Roman"/>
          <w:color w:val="auto"/>
          <w:sz w:val="24"/>
          <w:szCs w:val="24"/>
          <w:u w:val="none" w:color="auto"/>
        </w:rPr>
        <w:t>。</w:t>
      </w:r>
    </w:p>
    <w:p w14:paraId="7FDC457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sz w:val="24"/>
          <w:szCs w:val="24"/>
          <w:u w:val="none" w:color="auto"/>
        </w:rPr>
        <w:t>根据本工程土石方平衡规划，在满足主体工程自身利用后，剩余开挖料</w:t>
      </w:r>
      <w:r>
        <w:rPr>
          <w:rFonts w:hint="default" w:ascii="Times New Roman" w:hAnsi="Times New Roman" w:cs="Times New Roman"/>
          <w:color w:val="auto"/>
          <w:sz w:val="24"/>
          <w:szCs w:val="24"/>
          <w:u w:val="none" w:color="auto"/>
          <w:lang w:eastAsia="zh-CN"/>
        </w:rPr>
        <w:t>1.66万m³</w:t>
      </w:r>
      <w:r>
        <w:rPr>
          <w:rFonts w:hint="default" w:ascii="Times New Roman" w:hAnsi="Times New Roman" w:cs="Times New Roman"/>
          <w:color w:val="auto"/>
          <w:sz w:val="24"/>
          <w:szCs w:val="24"/>
          <w:u w:val="none" w:color="auto"/>
        </w:rPr>
        <w:t>需运往弃渣场。弃渣场位于</w:t>
      </w:r>
      <w:r>
        <w:rPr>
          <w:rFonts w:hint="default" w:ascii="Times New Roman" w:hAnsi="Times New Roman" w:cs="Times New Roman"/>
          <w:color w:val="auto"/>
          <w:sz w:val="24"/>
          <w:szCs w:val="24"/>
          <w:u w:val="none" w:color="auto"/>
          <w:lang w:eastAsia="zh-CN"/>
        </w:rPr>
        <w:t>大坝下游二级电站附近空闲低洼地</w:t>
      </w:r>
      <w:r>
        <w:rPr>
          <w:rFonts w:hint="default" w:ascii="Times New Roman" w:hAnsi="Times New Roman" w:cs="Times New Roman"/>
          <w:color w:val="auto"/>
          <w:sz w:val="24"/>
          <w:szCs w:val="24"/>
          <w:u w:val="none" w:color="auto"/>
        </w:rPr>
        <w:t>，距大坝直线</w:t>
      </w:r>
      <w:r>
        <w:rPr>
          <w:rFonts w:hint="default" w:ascii="Times New Roman" w:hAnsi="Times New Roman" w:cs="Times New Roman"/>
          <w:color w:val="auto"/>
          <w:sz w:val="24"/>
          <w:szCs w:val="24"/>
          <w:u w:val="none" w:color="auto"/>
          <w:lang w:eastAsia="zh-CN"/>
        </w:rPr>
        <w:t>距离2.50km，主要堆放土石方、拆除料。</w:t>
      </w:r>
    </w:p>
    <w:p w14:paraId="7E3385CC">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)沉淀池污泥</w:t>
      </w:r>
    </w:p>
    <w:p w14:paraId="604A9E69">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本工程施工期产生的废水经沉淀池处理后会产生污泥、泥渣，施工期产生量约为5t。定期清理后运至弃渣场填埋。</w:t>
      </w:r>
    </w:p>
    <w:p w14:paraId="5541659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施工人员生活垃圾</w:t>
      </w:r>
    </w:p>
    <w:p w14:paraId="26B8A92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施工高峰期入场人员约有</w:t>
      </w:r>
      <w:r>
        <w:rPr>
          <w:rFonts w:hint="default" w:ascii="Times New Roman" w:hAnsi="Times New Roman" w:cs="Times New Roman"/>
          <w:color w:val="auto"/>
          <w:u w:val="none" w:color="auto"/>
          <w:lang w:val="en-US" w:eastAsia="zh-CN"/>
        </w:rPr>
        <w:t>50</w:t>
      </w:r>
      <w:r>
        <w:rPr>
          <w:rFonts w:hint="default" w:ascii="Times New Roman" w:hAnsi="Times New Roman" w:cs="Times New Roman"/>
          <w:color w:val="auto"/>
          <w:u w:val="none" w:color="auto"/>
        </w:rPr>
        <w:t>人，约</w:t>
      </w:r>
      <w:r>
        <w:rPr>
          <w:rFonts w:hint="default" w:ascii="Times New Roman" w:hAnsi="Times New Roman" w:cs="Times New Roman"/>
          <w:color w:val="auto"/>
          <w:u w:val="none" w:color="auto"/>
          <w:lang w:val="en-US" w:eastAsia="zh-CN"/>
        </w:rPr>
        <w:t>20</w:t>
      </w:r>
      <w:r>
        <w:rPr>
          <w:rFonts w:hint="default" w:ascii="Times New Roman" w:hAnsi="Times New Roman" w:cs="Times New Roman"/>
          <w:color w:val="auto"/>
          <w:u w:val="none" w:color="auto"/>
        </w:rPr>
        <w:t>人住宿，住宿施工人员生活垃圾按每人每天生活垃圾产生量按1.0kg/d计，非住宿施工人员生活垃圾按每人每天生活垃圾产生量按0.5kg/d计，</w:t>
      </w:r>
      <w:r>
        <w:rPr>
          <w:rFonts w:hint="default" w:ascii="Times New Roman" w:hAnsi="Times New Roman" w:cs="Times New Roman"/>
          <w:color w:val="auto"/>
          <w:u w:val="none" w:color="auto"/>
          <w:lang w:val="en-US" w:eastAsia="zh-CN"/>
        </w:rPr>
        <w:t>则生活垃圾产生量35kg/d(12.775t/a)，</w:t>
      </w:r>
      <w:r>
        <w:rPr>
          <w:rFonts w:hint="default" w:ascii="Times New Roman" w:hAnsi="Times New Roman" w:cs="Times New Roman"/>
          <w:color w:val="auto"/>
          <w:u w:val="none" w:color="auto"/>
        </w:rPr>
        <w:t>集中收集后由当地环卫部门统一清运处理。</w:t>
      </w:r>
    </w:p>
    <w:p w14:paraId="6D9D62B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危险废物</w:t>
      </w:r>
    </w:p>
    <w:p w14:paraId="3F8765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施工期间，空压机及机械设备维修会产生废机油、废油抹布及废机油桶，根据《国家危险废物名录》(</w:t>
      </w:r>
      <w:r>
        <w:rPr>
          <w:rFonts w:hint="default" w:ascii="Times New Roman" w:hAnsi="Times New Roman" w:cs="Times New Roman"/>
          <w:color w:val="auto"/>
          <w:u w:val="none" w:color="auto"/>
          <w:lang w:eastAsia="zh-CN"/>
        </w:rPr>
        <w:t>2025年版</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，废机油、废油抹布及废机油桶</w:t>
      </w:r>
      <w:r>
        <w:rPr>
          <w:rFonts w:hint="default" w:ascii="Times New Roman" w:hAnsi="Times New Roman" w:cs="Times New Roman"/>
          <w:color w:val="auto"/>
          <w:u w:val="none" w:color="auto"/>
          <w:lang w:val="en-US" w:eastAsia="zh-CN"/>
        </w:rPr>
        <w:t>等</w:t>
      </w:r>
      <w:r>
        <w:rPr>
          <w:rFonts w:hint="default" w:ascii="Times New Roman" w:hAnsi="Times New Roman" w:cs="Times New Roman"/>
          <w:color w:val="auto"/>
          <w:u w:val="none" w:color="auto"/>
        </w:rPr>
        <w:t>均为危险废物，废物类别为“HW08废矿物油”。</w:t>
      </w:r>
    </w:p>
    <w:p w14:paraId="1188C92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本项目施工机械委托当地修理厂进行维修保养，</w:t>
      </w:r>
      <w:r>
        <w:rPr>
          <w:rFonts w:hint="default" w:ascii="Times New Roman" w:hAnsi="Times New Roman" w:cs="Times New Roman"/>
          <w:color w:val="auto"/>
          <w:u w:val="none" w:color="auto"/>
        </w:rPr>
        <w:t>产生废机油、废油抹布及废机油桶</w:t>
      </w:r>
      <w:r>
        <w:rPr>
          <w:rFonts w:hint="default" w:ascii="Times New Roman" w:hAnsi="Times New Roman" w:cs="Times New Roman"/>
          <w:color w:val="auto"/>
          <w:u w:val="none" w:color="auto"/>
          <w:lang w:val="en-US" w:eastAsia="zh-CN"/>
        </w:rPr>
        <w:t>等由修理厂收集后</w:t>
      </w:r>
      <w:r>
        <w:rPr>
          <w:rFonts w:hint="default" w:ascii="Times New Roman" w:hAnsi="Times New Roman" w:cs="Times New Roman"/>
          <w:color w:val="auto"/>
          <w:u w:val="none" w:color="auto"/>
        </w:rPr>
        <w:t>交由有危废处理资质的单位进行处置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其收集与存放不在本次评价范围内。</w:t>
      </w:r>
    </w:p>
    <w:p w14:paraId="52C62284">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施工期生态环境</w:t>
      </w:r>
    </w:p>
    <w:p w14:paraId="54FAA1A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w:t>
      </w:r>
    </w:p>
    <w:p w14:paraId="778411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本工程施工对陆</w:t>
      </w:r>
      <w:r>
        <w:rPr>
          <w:rFonts w:hint="default" w:ascii="Times New Roman" w:hAnsi="Times New Roman" w:cs="Times New Roman"/>
          <w:color w:val="auto"/>
          <w:highlight w:val="none"/>
          <w:u w:val="none" w:color="auto"/>
        </w:rPr>
        <w:t>生生</w:t>
      </w:r>
      <w:r>
        <w:rPr>
          <w:rFonts w:hint="default" w:ascii="Times New Roman" w:hAnsi="Times New Roman" w:cs="Times New Roman"/>
          <w:color w:val="auto"/>
          <w:u w:val="none" w:color="auto"/>
        </w:rPr>
        <w:t>态环境的影响表现在工程占地对土地资源的影响。</w:t>
      </w:r>
    </w:p>
    <w:p w14:paraId="32803A98">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工程永久占地大部分施工范围为已有水域及水利设施用地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不会对陆生生态再次造成影响。</w:t>
      </w:r>
    </w:p>
    <w:p w14:paraId="0AF44D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w:t>
      </w:r>
      <w:r>
        <w:rPr>
          <w:rFonts w:hint="default" w:ascii="Times New Roman" w:hAnsi="Times New Roman" w:cs="Times New Roman"/>
          <w:color w:val="auto"/>
          <w:u w:val="none" w:color="auto"/>
          <w:lang w:val="en-US" w:eastAsia="zh-CN"/>
        </w:rPr>
        <w:t>临时</w:t>
      </w:r>
      <w:r>
        <w:rPr>
          <w:rFonts w:hint="default" w:ascii="Times New Roman" w:hAnsi="Times New Roman" w:cs="Times New Roman"/>
          <w:color w:val="auto"/>
          <w:u w:val="none" w:color="auto"/>
        </w:rPr>
        <w:t>占地将造成一定的土地资源和生物量损失。将对原地表植被造成破坏，局部开挖和工程占地将导致植被遭到破坏，区域环境中绿地数量较施工前相对减少；施工临时占地在施工结束后，通过采取一定的整治恢复措施，植被可以逐步得到恢复。</w:t>
      </w:r>
    </w:p>
    <w:p w14:paraId="0971594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ascii="Times New Roman" w:hAnsi="Times New Roman" w:eastAsia="宋体" w:cs="Times New Roman"/>
          <w:caps w:val="0"/>
          <w:smallCaps w:val="0"/>
          <w:color w:val="auto"/>
          <w:spacing w:val="0"/>
          <w:w w:val="100"/>
          <w:kern w:val="0"/>
          <w:position w:val="0"/>
          <w:sz w:val="24"/>
          <w:szCs w:val="24"/>
        </w:rPr>
      </w:pPr>
      <w:r>
        <w:rPr>
          <w:rFonts w:ascii="Times New Roman" w:hAnsi="Times New Roman" w:eastAsia="宋体" w:cs="Times New Roman"/>
          <w:caps w:val="0"/>
          <w:smallCaps w:val="0"/>
          <w:color w:val="auto"/>
          <w:spacing w:val="0"/>
          <w:w w:val="100"/>
          <w:kern w:val="0"/>
          <w:position w:val="0"/>
          <w:sz w:val="24"/>
          <w:szCs w:val="24"/>
        </w:rPr>
        <w:t>工程区属于人类活动比较频繁的地区，未见大型野生动物及保护动物，项目区经常出没的野生动物多为小型啮齿类动物和常见禽类。施工期间将使其活动范围受到一定限制。</w:t>
      </w:r>
    </w:p>
    <w:p w14:paraId="599AC0B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工程施工对野生动物的影响表现为</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随着工程的实施以及弃渣场的开挖，将破坏施工区内现有野生动物的生存环境，使该区域的动物不得不迁移到适宜的环境中</w:t>
      </w:r>
      <w:r>
        <w:rPr>
          <w:rFonts w:hint="default" w:ascii="Times New Roman" w:hAnsi="Times New Roman" w:cs="Times New Roman"/>
          <w:color w:val="auto"/>
          <w:u w:val="none" w:color="auto"/>
          <w:lang w:eastAsia="zh-CN"/>
        </w:rPr>
        <w:t>去</w:t>
      </w:r>
      <w:r>
        <w:rPr>
          <w:rFonts w:hint="default" w:ascii="Times New Roman" w:hAnsi="Times New Roman" w:cs="Times New Roman"/>
          <w:color w:val="auto"/>
          <w:u w:val="none" w:color="auto"/>
        </w:rPr>
        <w:t>栖息和繁衍，使该区域的动物数量呈减少趋势。</w:t>
      </w:r>
    </w:p>
    <w:p w14:paraId="3F7C49A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p>
    <w:p w14:paraId="237768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工程施工期对水生生态影响主要体现在施工导流</w:t>
      </w:r>
      <w:r>
        <w:rPr>
          <w:rFonts w:ascii="Times New Roman" w:hAnsi="Times New Roman" w:eastAsia="宋体" w:cs="Times New Roman"/>
          <w:caps w:val="0"/>
          <w:smallCaps w:val="0"/>
          <w:color w:val="auto"/>
          <w:spacing w:val="0"/>
          <w:w w:val="100"/>
          <w:kern w:val="0"/>
          <w:position w:val="0"/>
          <w:sz w:val="24"/>
          <w:szCs w:val="24"/>
        </w:rPr>
        <w:t>等活动</w:t>
      </w:r>
      <w:r>
        <w:rPr>
          <w:rFonts w:hint="default" w:ascii="Times New Roman" w:hAnsi="Times New Roman" w:cs="Times New Roman"/>
          <w:color w:val="auto"/>
          <w:u w:val="none" w:color="auto"/>
        </w:rPr>
        <w:t>改变上下游局部河段水文情势，</w:t>
      </w:r>
      <w:r>
        <w:rPr>
          <w:rFonts w:ascii="Times New Roman" w:hAnsi="Times New Roman" w:eastAsia="宋体" w:cs="Times New Roman"/>
          <w:caps w:val="0"/>
          <w:smallCaps w:val="0"/>
          <w:color w:val="auto"/>
          <w:spacing w:val="0"/>
          <w:w w:val="100"/>
          <w:kern w:val="0"/>
          <w:position w:val="0"/>
          <w:sz w:val="24"/>
          <w:szCs w:val="24"/>
        </w:rPr>
        <w:t>短期内影响</w:t>
      </w:r>
      <w:r>
        <w:rPr>
          <w:rFonts w:hint="eastAsia" w:ascii="Times New Roman" w:hAnsi="Times New Roman" w:eastAsia="宋体" w:cs="Times New Roman"/>
          <w:caps w:val="0"/>
          <w:smallCaps w:val="0"/>
          <w:color w:val="auto"/>
          <w:spacing w:val="0"/>
          <w:w w:val="100"/>
          <w:kern w:val="0"/>
          <w:position w:val="0"/>
          <w:sz w:val="24"/>
          <w:szCs w:val="24"/>
          <w:lang w:eastAsia="zh-CN"/>
        </w:rPr>
        <w:t>水库</w:t>
      </w:r>
      <w:r>
        <w:rPr>
          <w:rFonts w:ascii="Times New Roman" w:hAnsi="Times New Roman" w:eastAsia="宋体" w:cs="Times New Roman"/>
          <w:caps w:val="0"/>
          <w:smallCaps w:val="0"/>
          <w:color w:val="auto"/>
          <w:spacing w:val="0"/>
          <w:w w:val="100"/>
          <w:kern w:val="0"/>
          <w:position w:val="0"/>
          <w:sz w:val="24"/>
          <w:szCs w:val="24"/>
        </w:rPr>
        <w:t>内水生生物生存，干扰其正常生活规律，使其向周围未扰动水域迁徙，</w:t>
      </w:r>
      <w:r>
        <w:rPr>
          <w:rFonts w:hint="default" w:ascii="Times New Roman" w:hAnsi="Times New Roman" w:cs="Times New Roman"/>
          <w:color w:val="auto"/>
          <w:u w:val="none" w:color="auto"/>
        </w:rPr>
        <w:t>从而影响局部河段的水生生境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对施工河段水生生物和水生生境将产生一定影响。</w:t>
      </w:r>
    </w:p>
    <w:p w14:paraId="78324874">
      <w:pPr>
        <w:pStyle w:val="4"/>
        <w:bidi w:val="0"/>
        <w:rPr>
          <w:rFonts w:hint="default"/>
        </w:rPr>
      </w:pPr>
      <w:r>
        <w:rPr>
          <w:rFonts w:hint="default"/>
        </w:rPr>
        <w:t>水土流失</w:t>
      </w:r>
    </w:p>
    <w:p w14:paraId="5A544A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工程建设开挖、弃渣、临时占地等将扰动原地貌，破坏地表及天然植被，将增加水土流失强度。</w:t>
      </w:r>
    </w:p>
    <w:p w14:paraId="109EAD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分析，本工程建设引发的水土流失主要发生在施工期，新增水土流失主要产生在料场开挖将产生大量的弃土、弃渣，如果堆放不合理且无防护措施，将会为该区域的风蚀形成提供物质来源。工程区所处区域产生的弃渣易发生水土流失;料场的开采将造成地表原有稳固层的破坏，并会产生一定量的弃土、弃料，也将是潜在的水土流失源，暴雨等不可预测型的冲蚀将会影响水库水质</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另外，施工期间，由于机械车辆、人员的进驻、施工，将在一定程度上对地表原有稳固层造成破坏。</w:t>
      </w:r>
    </w:p>
    <w:p w14:paraId="5318B21B">
      <w:pPr>
        <w:pStyle w:val="3"/>
        <w:rPr>
          <w:rFonts w:hint="default" w:ascii="Times New Roman" w:hAnsi="Times New Roman" w:cs="Times New Roman"/>
          <w:color w:val="auto"/>
          <w:u w:val="none" w:color="auto"/>
        </w:rPr>
      </w:pPr>
      <w:bookmarkStart w:id="163" w:name="_Toc22435"/>
      <w:r>
        <w:rPr>
          <w:rFonts w:hint="default" w:ascii="Times New Roman" w:hAnsi="Times New Roman" w:cs="Times New Roman"/>
          <w:color w:val="auto"/>
          <w:u w:val="none" w:color="auto"/>
        </w:rPr>
        <w:t>运营期</w:t>
      </w:r>
      <w:r>
        <w:rPr>
          <w:rFonts w:hint="default" w:ascii="Times New Roman" w:hAnsi="Times New Roman" w:cs="Times New Roman"/>
          <w:color w:val="auto"/>
          <w:u w:val="none" w:color="auto"/>
          <w:lang w:val="en-US" w:eastAsia="zh-CN"/>
        </w:rPr>
        <w:t>污染源分析</w:t>
      </w:r>
      <w:bookmarkEnd w:id="163"/>
    </w:p>
    <w:p w14:paraId="2DBB87EE">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废气污染源</w:t>
      </w:r>
    </w:p>
    <w:p w14:paraId="676235B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水库主要为生态影响型项目，</w:t>
      </w:r>
      <w:r>
        <w:rPr>
          <w:rFonts w:hint="default" w:ascii="Times New Roman" w:hAnsi="Times New Roman" w:eastAsia="宋体" w:cs="Times New Roman"/>
          <w:color w:val="auto"/>
          <w:spacing w:val="-3"/>
          <w:sz w:val="24"/>
          <w:szCs w:val="24"/>
          <w:u w:val="none" w:color="auto"/>
        </w:rPr>
        <w:t>建设前后，水库规模、功能均未发生</w:t>
      </w:r>
      <w:r>
        <w:rPr>
          <w:rFonts w:hint="default" w:ascii="Times New Roman" w:hAnsi="Times New Roman" w:eastAsia="宋体" w:cs="Times New Roman"/>
          <w:color w:val="auto"/>
          <w:spacing w:val="-4"/>
          <w:sz w:val="24"/>
          <w:szCs w:val="24"/>
          <w:u w:val="none" w:color="auto"/>
        </w:rPr>
        <w:t>变化</w:t>
      </w:r>
      <w:r>
        <w:rPr>
          <w:rFonts w:hint="default" w:ascii="Times New Roman" w:hAnsi="Times New Roman" w:cs="Times New Roman"/>
          <w:color w:val="auto"/>
          <w:u w:val="none" w:color="auto"/>
          <w:lang w:val="en-US" w:eastAsia="zh-CN"/>
        </w:rPr>
        <w:t>，项目的除险加固处理既不抬高水库水位也不增减下泄流量，更能使大坝安全运行，使下游减轻洪灾损失。</w:t>
      </w:r>
    </w:p>
    <w:p w14:paraId="6106C872">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项目</w:t>
      </w:r>
      <w:r>
        <w:rPr>
          <w:rFonts w:hint="default" w:ascii="Times New Roman" w:hAnsi="Times New Roman" w:cs="Times New Roman"/>
          <w:color w:val="auto"/>
          <w:u w:val="none" w:color="auto"/>
          <w:lang w:val="en-US" w:eastAsia="zh-CN"/>
        </w:rPr>
        <w:t>营运期废气主要为食堂油烟，水库管理人员不变，营运期无新增废气，食堂油烟经油烟机处理后无组织排放，经大气扩散、植被吸收后，对环境影响较小。</w:t>
      </w:r>
    </w:p>
    <w:p w14:paraId="0B076D63">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废水污染源</w:t>
      </w:r>
    </w:p>
    <w:p w14:paraId="087222A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本次除险加固工程完成后，水库运行本身不产生水污染物，营运期污废水主要为现有水库管理人员日常生活产生的生活污水，水库管理人员不变，运行期无新增废污水，运行期生活污水产生量为1553.44m³/a</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4.256m³/d</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，不外排。</w:t>
      </w:r>
    </w:p>
    <w:p w14:paraId="20B896D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噪声污染源</w:t>
      </w:r>
    </w:p>
    <w:p w14:paraId="405FADB6">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营运期不新增噪声污染源，与工程建设前无重大变化，噪声仍主要是工作闸门、启闭机、水泵、设备机房产生的噪声，设备大部分位于室内。此外，堤顶防汛道路不允许无关车辆进入，且考虑一般农用车辆行驶速度较低，运行期交通噪声源强一般小于60dB。</w:t>
      </w:r>
    </w:p>
    <w:p w14:paraId="459AE4C6">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固体废物</w:t>
      </w:r>
    </w:p>
    <w:p w14:paraId="4EA0BC5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水库营运期产生的固体废物主要是水库管理人员产生的生活垃圾。本次除险加固工程完成后，管理人员维持原有人数，营运期不产生新增固体废物。生活垃圾产生量为19kg/d</w:t>
      </w:r>
      <w:r>
        <w:rPr>
          <w:rFonts w:hint="eastAsia" w:ascii="Times New Roman" w:hAnsi="Times New Roman" w:cs="Times New Roman"/>
          <w:color w:val="auto"/>
          <w:u w:val="none" w:color="auto"/>
          <w:lang w:val="en-US" w:eastAsia="zh-CN"/>
        </w:rPr>
        <w:t>(</w:t>
      </w:r>
      <w:r>
        <w:rPr>
          <w:rFonts w:hint="eastAsia" w:cs="Times New Roman"/>
          <w:color w:val="auto"/>
          <w:u w:val="none" w:color="auto"/>
          <w:lang w:val="en-US" w:eastAsia="zh-CN"/>
        </w:rPr>
        <w:t>5.48</w:t>
      </w:r>
      <w:r>
        <w:rPr>
          <w:rFonts w:hint="default" w:ascii="Times New Roman" w:hAnsi="Times New Roman" w:cs="Times New Roman"/>
          <w:color w:val="auto"/>
          <w:u w:val="none" w:color="auto"/>
          <w:lang w:val="en-US" w:eastAsia="zh-CN"/>
        </w:rPr>
        <w:t>t/a</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w:t>
      </w:r>
    </w:p>
    <w:bookmarkEnd w:id="157"/>
    <w:bookmarkEnd w:id="158"/>
    <w:bookmarkEnd w:id="159"/>
    <w:bookmarkEnd w:id="160"/>
    <w:bookmarkEnd w:id="161"/>
    <w:bookmarkEnd w:id="162"/>
    <w:p w14:paraId="14DEAD71">
      <w:pPr>
        <w:pStyle w:val="3"/>
        <w:rPr>
          <w:rFonts w:hint="default" w:ascii="Times New Roman" w:hAnsi="Times New Roman" w:cs="Times New Roman"/>
          <w:color w:val="auto"/>
          <w:u w:val="none" w:color="auto"/>
        </w:rPr>
      </w:pPr>
      <w:bookmarkStart w:id="164" w:name="_Toc3299"/>
      <w:bookmarkStart w:id="165" w:name="_Toc6379"/>
      <w:bookmarkStart w:id="166" w:name="_Toc32454"/>
      <w:bookmarkStart w:id="167" w:name="_Toc24866"/>
      <w:bookmarkStart w:id="168" w:name="_Toc494049380"/>
      <w:bookmarkStart w:id="169" w:name="_Toc10414"/>
      <w:bookmarkStart w:id="170" w:name="_Toc24452"/>
      <w:r>
        <w:rPr>
          <w:rFonts w:hint="default" w:ascii="Times New Roman" w:hAnsi="Times New Roman" w:cs="Times New Roman"/>
          <w:color w:val="auto"/>
          <w:u w:val="none" w:color="auto"/>
        </w:rPr>
        <w:t>总量控制</w:t>
      </w:r>
      <w:bookmarkEnd w:id="164"/>
      <w:bookmarkEnd w:id="165"/>
      <w:bookmarkEnd w:id="166"/>
      <w:bookmarkEnd w:id="167"/>
      <w:bookmarkEnd w:id="168"/>
      <w:bookmarkEnd w:id="169"/>
      <w:r>
        <w:rPr>
          <w:rFonts w:hint="default" w:ascii="Times New Roman" w:hAnsi="Times New Roman" w:cs="Times New Roman"/>
          <w:color w:val="auto"/>
          <w:u w:val="none" w:color="auto"/>
        </w:rPr>
        <w:t>污染物分析</w:t>
      </w:r>
      <w:bookmarkEnd w:id="170"/>
    </w:p>
    <w:p w14:paraId="32C1BA22">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项目营运后排放的COD和</w:t>
      </w:r>
      <w:r>
        <w:rPr>
          <w:rFonts w:hint="eastAsia" w:cs="Times New Roman"/>
          <w:color w:val="auto"/>
          <w:u w:val="none" w:color="auto"/>
          <w:lang w:val="en-US" w:eastAsia="zh-CN"/>
        </w:rPr>
        <w:t>NH</w:t>
      </w:r>
      <w:r>
        <w:rPr>
          <w:rFonts w:hint="eastAsia" w:cs="Times New Roman"/>
          <w:color w:val="auto"/>
          <w:u w:val="none" w:color="auto"/>
          <w:vertAlign w:val="subscript"/>
          <w:lang w:val="en-US" w:eastAsia="zh-CN"/>
        </w:rPr>
        <w:t>3</w:t>
      </w:r>
      <w:r>
        <w:rPr>
          <w:rFonts w:hint="default" w:ascii="Times New Roman" w:hAnsi="Times New Roman" w:cs="Times New Roman"/>
          <w:color w:val="auto"/>
          <w:u w:val="none" w:color="auto"/>
          <w:lang w:val="en-US" w:eastAsia="zh-CN"/>
        </w:rPr>
        <w:t>-N主要来源于水库管理所管理人员生活污水的排放，但此排污是原来就存在的，并不是项目改造后的新增排污。因此本项目不需要重新申请总量控制指标。</w:t>
      </w:r>
    </w:p>
    <w:p w14:paraId="2FC00D52">
      <w:pPr>
        <w:ind w:firstLine="480"/>
        <w:rPr>
          <w:rFonts w:hint="default" w:ascii="Times New Roman" w:hAnsi="Times New Roman" w:cs="Times New Roman"/>
          <w:color w:val="auto"/>
          <w:u w:val="none" w:color="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linePitch="312" w:charSpace="0"/>
        </w:sectPr>
      </w:pPr>
    </w:p>
    <w:p w14:paraId="181AD314">
      <w:pPr>
        <w:bidi w:val="0"/>
        <w:rPr>
          <w:rFonts w:hint="default"/>
        </w:rPr>
      </w:pPr>
    </w:p>
    <w:p w14:paraId="5B847D90">
      <w:pPr>
        <w:pStyle w:val="2"/>
        <w:rPr>
          <w:rFonts w:hint="default" w:ascii="Times New Roman" w:hAnsi="Times New Roman" w:cs="Times New Roman"/>
          <w:color w:val="auto"/>
          <w:u w:val="none" w:color="auto"/>
        </w:rPr>
      </w:pPr>
      <w:bookmarkStart w:id="171" w:name="_Toc1234"/>
      <w:r>
        <w:rPr>
          <w:rFonts w:hint="default" w:ascii="Times New Roman" w:hAnsi="Times New Roman" w:cs="Times New Roman"/>
          <w:color w:val="auto"/>
          <w:u w:val="none" w:color="auto"/>
        </w:rPr>
        <w:t>环境现状</w:t>
      </w:r>
      <w:bookmarkEnd w:id="150"/>
      <w:bookmarkEnd w:id="151"/>
      <w:bookmarkEnd w:id="152"/>
      <w:bookmarkEnd w:id="153"/>
      <w:r>
        <w:rPr>
          <w:rFonts w:hint="default" w:ascii="Times New Roman" w:hAnsi="Times New Roman" w:cs="Times New Roman"/>
          <w:color w:val="auto"/>
          <w:u w:val="none" w:color="auto"/>
        </w:rPr>
        <w:t>调查与评价</w:t>
      </w:r>
      <w:bookmarkEnd w:id="171"/>
    </w:p>
    <w:p w14:paraId="3F322A88">
      <w:pPr>
        <w:pStyle w:val="3"/>
        <w:rPr>
          <w:rFonts w:hint="default" w:ascii="Times New Roman" w:hAnsi="Times New Roman" w:cs="Times New Roman"/>
          <w:color w:val="auto"/>
          <w:u w:val="none" w:color="auto"/>
        </w:rPr>
      </w:pPr>
      <w:bookmarkStart w:id="172" w:name="_Toc494233744"/>
      <w:bookmarkStart w:id="173" w:name="_Toc6019"/>
      <w:bookmarkStart w:id="174" w:name="_Toc27081"/>
      <w:bookmarkStart w:id="175" w:name="_Toc494049364"/>
      <w:bookmarkStart w:id="176" w:name="_Toc25729"/>
      <w:r>
        <w:rPr>
          <w:rFonts w:hint="default" w:ascii="Times New Roman" w:hAnsi="Times New Roman" w:cs="Times New Roman"/>
          <w:color w:val="auto"/>
          <w:u w:val="none" w:color="auto"/>
        </w:rPr>
        <w:t>自然环境</w:t>
      </w:r>
      <w:bookmarkEnd w:id="172"/>
      <w:bookmarkEnd w:id="173"/>
      <w:bookmarkEnd w:id="174"/>
      <w:bookmarkEnd w:id="175"/>
      <w:bookmarkEnd w:id="176"/>
    </w:p>
    <w:p w14:paraId="78418990">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地理位置</w:t>
      </w:r>
    </w:p>
    <w:p w14:paraId="535CDDCD">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lang w:val="en-US" w:eastAsia="zh-CN"/>
        </w:rPr>
        <w:t>廊洞水库大坝位于</w:t>
      </w:r>
      <w:r>
        <w:rPr>
          <w:rFonts w:hint="default" w:ascii="Times New Roman" w:hAnsi="Times New Roman" w:cs="Times New Roman" w:eastAsiaTheme="minorEastAsia"/>
          <w:color w:val="auto"/>
          <w:spacing w:val="-4"/>
          <w:sz w:val="24"/>
          <w:szCs w:val="24"/>
          <w:u w:val="none" w:color="auto"/>
        </w:rPr>
        <w:t>湘江水系潇水一级支流宜水河</w:t>
      </w:r>
      <w:r>
        <w:rPr>
          <w:rFonts w:hint="eastAsia" w:cs="Times New Roman" w:eastAsiaTheme="minorEastAsia"/>
          <w:color w:val="auto"/>
          <w:spacing w:val="-4"/>
          <w:sz w:val="24"/>
          <w:szCs w:val="24"/>
          <w:u w:val="none" w:color="auto"/>
          <w:lang w:val="en-US" w:eastAsia="zh-CN"/>
        </w:rPr>
        <w:t>支流</w:t>
      </w:r>
      <w:r>
        <w:rPr>
          <w:rFonts w:hint="default" w:ascii="Times New Roman" w:hAnsi="Times New Roman" w:cs="Times New Roman" w:eastAsiaTheme="minorEastAsia"/>
          <w:color w:val="auto"/>
          <w:spacing w:val="-4"/>
          <w:sz w:val="24"/>
          <w:szCs w:val="24"/>
          <w:u w:val="none" w:color="auto"/>
        </w:rPr>
        <w:t>宜阳河，位于湖南</w:t>
      </w:r>
      <w:r>
        <w:rPr>
          <w:rFonts w:hint="default" w:ascii="Times New Roman" w:hAnsi="Times New Roman" w:cs="Times New Roman" w:eastAsiaTheme="minorEastAsia"/>
          <w:color w:val="auto"/>
          <w:spacing w:val="-3"/>
          <w:sz w:val="24"/>
          <w:szCs w:val="24"/>
          <w:u w:val="none" w:color="auto"/>
        </w:rPr>
        <w:t>省永州市道县北部，坝址座落在道县梅花镇廊洞</w:t>
      </w:r>
      <w:r>
        <w:rPr>
          <w:rFonts w:hint="default" w:ascii="Times New Roman" w:hAnsi="Times New Roman" w:cs="Times New Roman" w:eastAsiaTheme="minorEastAsia"/>
          <w:color w:val="auto"/>
          <w:spacing w:val="-4"/>
          <w:sz w:val="24"/>
          <w:szCs w:val="24"/>
          <w:u w:val="none" w:color="auto"/>
        </w:rPr>
        <w:t>村境内，距道县县城</w:t>
      </w:r>
      <w:r>
        <w:rPr>
          <w:rFonts w:hint="default" w:ascii="Times New Roman" w:hAnsi="Times New Roman" w:cs="Times New Roman" w:eastAsiaTheme="minorEastAsia"/>
          <w:color w:val="auto"/>
          <w:spacing w:val="-3"/>
          <w:sz w:val="24"/>
          <w:szCs w:val="24"/>
          <w:u w:val="none" w:color="auto"/>
        </w:rPr>
        <w:t>18km，距G207国道1.5km，库区伸入永州市双牌县打鼓坪</w:t>
      </w:r>
      <w:r>
        <w:rPr>
          <w:rFonts w:hint="default" w:ascii="Times New Roman" w:hAnsi="Times New Roman" w:cs="Times New Roman" w:eastAsiaTheme="minorEastAsia"/>
          <w:color w:val="auto"/>
          <w:spacing w:val="-4"/>
          <w:sz w:val="24"/>
          <w:szCs w:val="24"/>
          <w:u w:val="none" w:color="auto"/>
        </w:rPr>
        <w:t>林场3km</w:t>
      </w:r>
      <w:r>
        <w:rPr>
          <w:rFonts w:hint="default" w:ascii="Times New Roman" w:hAnsi="Times New Roman" w:cs="Times New Roman" w:eastAsiaTheme="minorEastAsia"/>
          <w:color w:val="auto"/>
          <w:sz w:val="24"/>
          <w:szCs w:val="24"/>
          <w:u w:val="none" w:color="auto"/>
          <w:lang w:val="en-US" w:eastAsia="zh-CN"/>
        </w:rPr>
        <w:t>。有村级公路通往水库坝址区，对外交通方便。廊洞水库大坝工程地理位置见附图1。</w:t>
      </w:r>
    </w:p>
    <w:p w14:paraId="4C1D033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地形地貌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地震</w:t>
      </w:r>
    </w:p>
    <w:p w14:paraId="2E38E3A2">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道县属南岭地区，四周高山环绕，中部岗丘起伏，平川交错。东南有九嶷山，南有铜山岭，西有都庞岭，北有紫金山。海拔千米以上的山峰150多个，且多与邻近山脉连成整体，最高峰韭菜岭，海拔2009米。整个地势从四周向中间倾斜，呈盆状结构。山地占总面积的44.7%，丘陵占11.4%，岗地占24.6%，平原占14.9%。</w:t>
      </w:r>
    </w:p>
    <w:p w14:paraId="19E27D63">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区位于羌塘-扬子-华南板块华南新元古代-早古生代造山带云开晚古生代沉陷带西南部。出露的主要地层及岩性由下至上有寒武系、奥陶系浅变质砂岩、板岩岩组；泥盆系源口组至跳马问组的坚硬厚层状石英砂岩、砾岩及粉岩岩组；泥盆、石炭、二叠坚硬一较坚硬、厚一中厚层灰岩、白云质灰岩、泥质灰岩、白云岩、泥灰岩；侏罗系、白垩系较坚硬一软质砂砾岩、砂岩、泥质粉砂岩及泥岩；第四系粉质粘土、砾砂单一双层结构土体及少量加里东、燕山期岩浆岩等。</w:t>
      </w:r>
    </w:p>
    <w:p w14:paraId="4CD8DD17">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工程区附近无深大断裂，但区内构造较为复杂，主要为双牌至江永县的复式向斜，向斜轴部主要为下石炭系地层：近南北走向的褶皱及与其轴线大体上相并行的逆断层极为发育。其次规模较大的褶皱主要有江永一富川向斜、西边岭一河路口背斜等；与褶皱相伴生的压性断裂亦十分发育。主要出现在江永一富川向斜、桥头铺一涛圩向斜的轴部和东翼，其次是西边岭一河路口背斜的轴部，断裂基本均为西南-东北向，不属于工程活动断裂，未与其他断裂产生活动交叉点，对工程影响不大。</w:t>
      </w:r>
    </w:p>
    <w:p w14:paraId="3C256E47">
      <w:pPr>
        <w:keepNext w:val="0"/>
        <w:keepLines w:val="0"/>
        <w:pageBreakBefore w:val="0"/>
        <w:widowControl w:val="0"/>
        <w:kinsoku/>
        <w:wordWrap/>
        <w:overflowPunct/>
        <w:topLinePunct w:val="0"/>
        <w:autoSpaceDE/>
        <w:autoSpaceDN/>
        <w:bidi w:val="0"/>
        <w:adjustRightInd/>
        <w:snapToGrid/>
        <w:spacing w:line="360" w:lineRule="auto"/>
        <w:ind w:left="0" w:right="0" w:firstLine="538"/>
        <w:jc w:val="both"/>
        <w:textAlignment w:val="auto"/>
        <w:rPr>
          <w:rFonts w:hint="default" w:ascii="Times New Roman" w:hAnsi="Times New Roman" w:cs="Times New Roman" w:eastAsiaTheme="minorEastAsia"/>
          <w:color w:val="auto"/>
          <w:sz w:val="24"/>
          <w:szCs w:val="24"/>
          <w:u w:val="none" w:color="auto"/>
          <w:lang w:val="en-US" w:eastAsia="zh-CN"/>
        </w:rPr>
      </w:pPr>
      <w:r>
        <w:rPr>
          <w:rFonts w:hint="default" w:ascii="Times New Roman" w:hAnsi="Times New Roman" w:cs="Times New Roman" w:eastAsiaTheme="minorEastAsia"/>
          <w:color w:val="auto"/>
          <w:sz w:val="24"/>
          <w:szCs w:val="24"/>
          <w:u w:val="none" w:color="auto"/>
          <w:lang w:val="en-US" w:eastAsia="zh-CN"/>
        </w:rPr>
        <w:t>廊洞水库位于湖南省永州市道县北部宜山岭的西北侧</w:t>
      </w:r>
      <w:r>
        <w:rPr>
          <w:rFonts w:hint="eastAsia" w:cs="Times New Roman" w:eastAsiaTheme="minorEastAsia"/>
          <w:color w:val="auto"/>
          <w:sz w:val="24"/>
          <w:szCs w:val="24"/>
          <w:u w:val="none" w:color="auto"/>
          <w:lang w:val="en-US" w:eastAsia="zh-CN"/>
        </w:rPr>
        <w:t>，</w:t>
      </w:r>
      <w:r>
        <w:rPr>
          <w:rFonts w:hint="default" w:ascii="Times New Roman" w:hAnsi="Times New Roman" w:cs="Times New Roman" w:eastAsiaTheme="minorEastAsia"/>
          <w:color w:val="auto"/>
          <w:sz w:val="24"/>
          <w:szCs w:val="24"/>
          <w:u w:val="none" w:color="auto"/>
          <w:lang w:val="en-US" w:eastAsia="zh-CN"/>
        </w:rPr>
        <w:t>属中低山与平原的过渡地带，剥蚀构造地貌边缘。大坝为不对称“U”形纵向河谷，河床高程245m~277m，河床宽130m~170m。左岸山坡20°~25°，山顶高程328m。右岸山坡25~35°，山顶高程375m。</w:t>
      </w:r>
    </w:p>
    <w:p w14:paraId="143B44D4">
      <w:pPr>
        <w:keepNext w:val="0"/>
        <w:keepLines w:val="0"/>
        <w:pageBreakBefore w:val="0"/>
        <w:widowControl w:val="0"/>
        <w:kinsoku/>
        <w:wordWrap/>
        <w:overflowPunct/>
        <w:topLinePunct w:val="0"/>
        <w:autoSpaceDE/>
        <w:autoSpaceDN/>
        <w:bidi w:val="0"/>
        <w:adjustRightInd/>
        <w:snapToGrid/>
        <w:spacing w:line="360" w:lineRule="auto"/>
        <w:ind w:left="0" w:right="0" w:firstLine="538"/>
        <w:jc w:val="left"/>
        <w:textAlignment w:val="auto"/>
        <w:rPr>
          <w:rFonts w:hint="default" w:ascii="Times New Roman" w:hAnsi="Times New Roman" w:cs="Times New Roman"/>
          <w:color w:val="auto"/>
          <w:u w:val="none" w:color="auto"/>
        </w:rPr>
      </w:pPr>
      <w:r>
        <w:rPr>
          <w:rFonts w:hint="default" w:ascii="Times New Roman" w:hAnsi="Times New Roman" w:cs="Times New Roman" w:eastAsiaTheme="minorEastAsia"/>
          <w:color w:val="auto"/>
          <w:sz w:val="24"/>
          <w:szCs w:val="24"/>
          <w:u w:val="none" w:color="auto"/>
          <w:lang w:val="en-US" w:eastAsia="zh-CN"/>
        </w:rPr>
        <w:t>根据1:400万《中国地震动峰值加速度区划图》和《中国地震动反应谱特征周期区划图》(GB18306-2015)，工程区基本地震动峰值加速度0.05g，地震动反应谱特征周期为0.35s，相应的地震基本烈度为Ⅵ度，区域构造稳定性好</w:t>
      </w:r>
      <w:r>
        <w:rPr>
          <w:rFonts w:hint="default" w:ascii="Times New Roman" w:hAnsi="Times New Roman" w:cs="Times New Roman"/>
          <w:color w:val="auto"/>
          <w:u w:val="none" w:color="auto"/>
        </w:rPr>
        <w:t>。</w:t>
      </w:r>
    </w:p>
    <w:p w14:paraId="3639FF1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地层岩性</w:t>
      </w:r>
    </w:p>
    <w:p w14:paraId="633707C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位于湖南省永州市道县北部宜山岭的西北侧，属中低山与平原的过渡地带，剥蚀构造地貌边缘。库区周边山体高程300~400m，相对高差100~200m，外围地表水分水岭山体雄厚，无单薄分水岭存在。在正常蓄水位以下，岩性单一，多为泥盆系中统跳马涧组灰绿色、紫色石英砂岩、砂岩，含砾砂岩、灰页岩，透水性较弱，库盆蓄水性能良好。区内河曲发育，河流大致由北向南流。廊洞水库坝址区出露地层有：</w:t>
      </w:r>
    </w:p>
    <w:p w14:paraId="64D8C15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(1)泥盆系中统跳马涧组(D2t)：为紫红色、黄白色粉砂岩、石英砂岩及页岩，分布于整个坝区，为大坝持力层。</w:t>
      </w:r>
    </w:p>
    <w:p w14:paraId="1574665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(2)第四系(Q)：</w:t>
      </w:r>
    </w:p>
    <w:p w14:paraId="23687C3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残坡积层(Qel+dl)为紫红色含碎石粘土，厚度0-5m，主要分布在坝址两岸；</w:t>
      </w:r>
    </w:p>
    <w:p w14:paraId="3D519EF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冲积层(Qal)为含泥砂砾石等，厚度4-8m，主要分布于老坝河床及坝址左侧河漫滩。</w:t>
      </w:r>
    </w:p>
    <w:p w14:paraId="2375198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人工堆积(Qs)为大坝砼及碎石、块石、粘土等，主要为坝体。</w:t>
      </w:r>
    </w:p>
    <w:p w14:paraId="4E91E4B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库区附近无深大断裂，但区内构造较为复杂，主要为双牌至江永县的复式向斜，向斜轴部主要为下石炭系地层：近南北走向的褶皱及与其轴线大体上相并行的逆断层极为发育。其次规模较大的褶皱主要有江永一富川向斜、西边岭一河路口背斜等；与褶皱相伴生的压性断裂亦十分发育。主要出现在江永一富川向斜、桥头铺一涛圩向斜的轴部和东翼，其次是西边岭一河路口背斜的轴部，断裂基本均为西南-东北向，不属于工程活动断裂，未与其他断裂产生活动交叉点，对工程影响不大。</w:t>
      </w:r>
    </w:p>
    <w:p w14:paraId="4553BA5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气候、气象</w:t>
      </w:r>
    </w:p>
    <w:p w14:paraId="471B785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sz w:val="24"/>
          <w:szCs w:val="24"/>
          <w:u w:val="none" w:color="auto"/>
          <w:lang w:eastAsia="zh-CN"/>
        </w:rPr>
        <w:t>道县</w:t>
      </w:r>
      <w:r>
        <w:rPr>
          <w:rFonts w:hint="default" w:ascii="Times New Roman" w:hAnsi="Times New Roman" w:cs="Times New Roman"/>
          <w:color w:val="auto"/>
          <w:sz w:val="24"/>
          <w:szCs w:val="24"/>
          <w:u w:val="none" w:color="auto"/>
        </w:rPr>
        <w:t>廊洞水库所在流域属于中亚热带季风性湿润气候区，具有气候温和、四季分明、严冬期短、夏热期长、春温多变、春夏多雨、夏秋多旱、光热充足、无霜期长等气候特点。根据道县气象站实测资料统计：多年平均气温为18.5℃,历年极端最高气温为39.2℃,1989年8月16日</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，极端最低气温为</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5.4℃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1991年12月29日</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；历年降水量在992.1-1909.4mm之间，多年平均降水量为1509.3mm，其中4-6月份降水量最多，约占全年降水总量的46.5%；多年平均风速为</w:t>
      </w:r>
      <w:r>
        <w:rPr>
          <w:rFonts w:hint="default" w:ascii="Times New Roman" w:hAnsi="Times New Roman" w:eastAsia="宋体" w:cs="Times New Roman"/>
          <w:i w:val="0"/>
          <w:iCs w:val="0"/>
          <w:color w:val="auto"/>
          <w:kern w:val="0"/>
          <w:sz w:val="24"/>
          <w:szCs w:val="24"/>
          <w:highlight w:val="none"/>
          <w:u w:val="none" w:color="auto"/>
          <w:lang w:val="en-US" w:eastAsia="zh-CN" w:bidi="ar"/>
        </w:rPr>
        <w:t>1.85</w:t>
      </w:r>
      <w:r>
        <w:rPr>
          <w:rFonts w:hint="default" w:ascii="Times New Roman" w:hAnsi="Times New Roman" w:cs="Times New Roman"/>
          <w:color w:val="auto"/>
          <w:sz w:val="24"/>
          <w:szCs w:val="24"/>
          <w:u w:val="none" w:color="auto"/>
        </w:rPr>
        <w:t>m/s，多年平均最大风速为16.8m/s，瞬时最大风速为28.0m/s(1968年5月22日)，每年12月至次年4月份以NE风向居多，5-8月份则以SSW风向为主，9-11月份风向多为N向；多年平均蒸发量为1643.8mm；年平均相对湿度为78%，最小相对湿度为11%；多年平均日照时数为1577</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1h，年平均降雪日为3.7天，最多达12天，也有全年未出现降雪情况，约占7%；平均无霜期305天</w:t>
      </w:r>
      <w:r>
        <w:rPr>
          <w:rFonts w:hint="default" w:ascii="Times New Roman" w:hAnsi="Times New Roman" w:cs="Times New Roman"/>
          <w:color w:val="auto"/>
          <w:u w:val="none" w:color="auto"/>
          <w:lang w:eastAsia="zh-CN"/>
        </w:rPr>
        <w:t>。</w:t>
      </w:r>
    </w:p>
    <w:p w14:paraId="40CC70D6">
      <w:pPr>
        <w:pStyle w:val="178"/>
        <w:keepNext w:val="0"/>
        <w:keepLines w:val="0"/>
        <w:pageBreakBefore w:val="0"/>
        <w:widowControl w:val="0"/>
        <w:kinsoku/>
        <w:wordWrap/>
        <w:overflowPunct/>
        <w:topLinePunct w:val="0"/>
        <w:autoSpaceDE/>
        <w:autoSpaceDN/>
        <w:bidi w:val="0"/>
        <w:adjustRightInd/>
        <w:spacing w:line="360" w:lineRule="auto"/>
        <w:ind w:firstLine="480"/>
        <w:jc w:val="left"/>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根据200</w:t>
      </w:r>
      <w:r>
        <w:rPr>
          <w:rFonts w:hint="default" w:ascii="Times New Roman" w:hAnsi="Times New Roman" w:eastAsia="宋体" w:cs="Times New Roman"/>
          <w:color w:val="auto"/>
          <w:sz w:val="24"/>
          <w:u w:val="none" w:color="auto"/>
          <w:lang w:val="en-US" w:eastAsia="zh-CN"/>
        </w:rPr>
        <w:t>3</w:t>
      </w:r>
      <w:r>
        <w:rPr>
          <w:rFonts w:hint="default" w:ascii="Times New Roman" w:hAnsi="Times New Roman" w:eastAsia="宋体" w:cs="Times New Roman"/>
          <w:color w:val="auto"/>
          <w:sz w:val="24"/>
          <w:u w:val="none" w:color="auto"/>
        </w:rPr>
        <w:t>-202</w:t>
      </w:r>
      <w:r>
        <w:rPr>
          <w:rFonts w:hint="default" w:ascii="Times New Roman" w:hAnsi="Times New Roman" w:eastAsia="宋体" w:cs="Times New Roman"/>
          <w:color w:val="auto"/>
          <w:sz w:val="24"/>
          <w:u w:val="none" w:color="auto"/>
          <w:lang w:val="en-US" w:eastAsia="zh-CN"/>
        </w:rPr>
        <w:t>3</w:t>
      </w:r>
      <w:r>
        <w:rPr>
          <w:rFonts w:hint="default" w:ascii="Times New Roman" w:hAnsi="Times New Roman" w:eastAsia="宋体" w:cs="Times New Roman"/>
          <w:color w:val="auto"/>
          <w:sz w:val="24"/>
          <w:u w:val="none" w:color="auto"/>
        </w:rPr>
        <w:t>年道县气象站气象数据统计分析详见下表。</w:t>
      </w:r>
    </w:p>
    <w:p w14:paraId="141374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u w:val="none" w:color="auto"/>
          <w:lang w:eastAsia="zh-CN"/>
        </w:rPr>
      </w:pPr>
      <w:r>
        <w:rPr>
          <w:rFonts w:hint="default" w:ascii="Times New Roman" w:hAnsi="Times New Roman" w:eastAsia="宋体" w:cs="Times New Roman"/>
          <w:b/>
          <w:color w:val="auto"/>
          <w:kern w:val="0"/>
          <w:sz w:val="21"/>
          <w:szCs w:val="21"/>
          <w:highlight w:val="none"/>
          <w:u w:val="none" w:color="auto"/>
        </w:rPr>
        <w:t>表</w:t>
      </w:r>
      <w:r>
        <w:rPr>
          <w:rFonts w:hint="eastAsia" w:cs="Times New Roman"/>
          <w:b/>
          <w:color w:val="auto"/>
          <w:kern w:val="0"/>
          <w:sz w:val="21"/>
          <w:szCs w:val="21"/>
          <w:highlight w:val="none"/>
          <w:u w:val="none" w:color="auto"/>
          <w:lang w:val="en-US" w:eastAsia="zh-CN"/>
        </w:rPr>
        <w:t>5</w:t>
      </w:r>
      <w:r>
        <w:rPr>
          <w:rFonts w:hint="default" w:ascii="Times New Roman" w:hAnsi="Times New Roman" w:eastAsia="宋体" w:cs="Times New Roman"/>
          <w:b/>
          <w:color w:val="auto"/>
          <w:kern w:val="0"/>
          <w:sz w:val="21"/>
          <w:szCs w:val="21"/>
          <w:highlight w:val="none"/>
          <w:u w:val="none" w:color="auto"/>
        </w:rPr>
        <w:t>.</w:t>
      </w:r>
      <w:r>
        <w:rPr>
          <w:rFonts w:hint="default" w:ascii="Times New Roman" w:hAnsi="Times New Roman" w:eastAsia="宋体" w:cs="Times New Roman"/>
          <w:b/>
          <w:color w:val="auto"/>
          <w:kern w:val="0"/>
          <w:sz w:val="21"/>
          <w:szCs w:val="21"/>
          <w:highlight w:val="none"/>
          <w:u w:val="none" w:color="auto"/>
          <w:lang w:val="en-US" w:eastAsia="zh-CN"/>
        </w:rPr>
        <w:t>1</w:t>
      </w:r>
      <w:r>
        <w:rPr>
          <w:rFonts w:hint="default" w:ascii="Times New Roman" w:hAnsi="Times New Roman" w:eastAsia="宋体" w:cs="Times New Roman"/>
          <w:b/>
          <w:color w:val="auto"/>
          <w:kern w:val="0"/>
          <w:sz w:val="21"/>
          <w:szCs w:val="21"/>
          <w:highlight w:val="none"/>
          <w:u w:val="none" w:color="auto"/>
        </w:rPr>
        <w:t xml:space="preserve">-1 </w:t>
      </w:r>
      <w:r>
        <w:rPr>
          <w:rFonts w:hint="eastAsia" w:cs="Times New Roman"/>
          <w:b/>
          <w:color w:val="auto"/>
          <w:kern w:val="0"/>
          <w:sz w:val="21"/>
          <w:szCs w:val="21"/>
          <w:highlight w:val="none"/>
          <w:u w:val="none" w:color="auto"/>
          <w:lang w:val="en-US" w:eastAsia="zh-CN"/>
        </w:rPr>
        <w:t xml:space="preserve"> </w:t>
      </w:r>
      <w:r>
        <w:rPr>
          <w:rFonts w:hint="default" w:ascii="Times New Roman" w:hAnsi="Times New Roman" w:eastAsia="宋体" w:cs="Times New Roman"/>
          <w:b/>
          <w:color w:val="auto"/>
          <w:kern w:val="0"/>
          <w:sz w:val="21"/>
          <w:szCs w:val="21"/>
          <w:highlight w:val="none"/>
          <w:u w:val="none" w:color="auto"/>
        </w:rPr>
        <w:t>道县气象站常规气象要素统计表</w:t>
      </w:r>
      <w:r>
        <w:rPr>
          <w:rFonts w:hint="default" w:ascii="Times New Roman" w:hAnsi="Times New Roman" w:eastAsia="宋体" w:cs="Times New Roman"/>
          <w:b/>
          <w:color w:val="auto"/>
          <w:kern w:val="0"/>
          <w:sz w:val="21"/>
          <w:szCs w:val="21"/>
          <w:highlight w:val="none"/>
          <w:u w:val="none" w:color="auto"/>
          <w:lang w:eastAsia="zh-CN"/>
        </w:rPr>
        <w:t>(</w:t>
      </w:r>
      <w:r>
        <w:rPr>
          <w:rFonts w:hint="default" w:ascii="Times New Roman" w:hAnsi="Times New Roman" w:eastAsia="宋体" w:cs="Times New Roman"/>
          <w:b/>
          <w:color w:val="auto"/>
          <w:kern w:val="0"/>
          <w:sz w:val="21"/>
          <w:szCs w:val="21"/>
          <w:highlight w:val="none"/>
          <w:u w:val="none" w:color="auto"/>
        </w:rPr>
        <w:t>200</w:t>
      </w:r>
      <w:r>
        <w:rPr>
          <w:rFonts w:hint="default" w:ascii="Times New Roman" w:hAnsi="Times New Roman" w:eastAsia="宋体" w:cs="Times New Roman"/>
          <w:b/>
          <w:color w:val="auto"/>
          <w:kern w:val="0"/>
          <w:sz w:val="21"/>
          <w:szCs w:val="21"/>
          <w:highlight w:val="none"/>
          <w:u w:val="none" w:color="auto"/>
          <w:lang w:val="en-US" w:eastAsia="zh-CN"/>
        </w:rPr>
        <w:t>3</w:t>
      </w:r>
      <w:r>
        <w:rPr>
          <w:rFonts w:hint="default" w:ascii="Times New Roman" w:hAnsi="Times New Roman" w:eastAsia="宋体" w:cs="Times New Roman"/>
          <w:b/>
          <w:color w:val="auto"/>
          <w:kern w:val="0"/>
          <w:sz w:val="21"/>
          <w:szCs w:val="21"/>
          <w:highlight w:val="none"/>
          <w:u w:val="none" w:color="auto"/>
        </w:rPr>
        <w:t>-202</w:t>
      </w:r>
      <w:r>
        <w:rPr>
          <w:rFonts w:hint="default" w:ascii="Times New Roman" w:hAnsi="Times New Roman" w:eastAsia="宋体" w:cs="Times New Roman"/>
          <w:b/>
          <w:color w:val="auto"/>
          <w:kern w:val="0"/>
          <w:sz w:val="21"/>
          <w:szCs w:val="21"/>
          <w:highlight w:val="none"/>
          <w:u w:val="none" w:color="auto"/>
          <w:lang w:val="en-US" w:eastAsia="zh-CN"/>
        </w:rPr>
        <w:t>3</w:t>
      </w:r>
      <w:r>
        <w:rPr>
          <w:rFonts w:hint="default" w:ascii="Times New Roman" w:hAnsi="Times New Roman" w:eastAsia="宋体" w:cs="Times New Roman"/>
          <w:b/>
          <w:color w:val="auto"/>
          <w:kern w:val="0"/>
          <w:sz w:val="21"/>
          <w:szCs w:val="21"/>
          <w:highlight w:val="none"/>
          <w:u w:val="none" w:color="auto"/>
          <w:lang w:eastAsia="zh-CN"/>
        </w:rPr>
        <w:t>)</w:t>
      </w:r>
    </w:p>
    <w:tbl>
      <w:tblPr>
        <w:tblStyle w:val="37"/>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7"/>
        <w:gridCol w:w="4843"/>
      </w:tblGrid>
      <w:tr w14:paraId="4D746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B832CC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多年平均大风日数</w:t>
            </w:r>
          </w:p>
        </w:tc>
        <w:tc>
          <w:tcPr>
            <w:tcW w:w="4843" w:type="dxa"/>
            <w:tcBorders>
              <w:tl2br w:val="nil"/>
              <w:tr2bl w:val="nil"/>
            </w:tcBorders>
            <w:noWrap/>
            <w:vAlign w:val="center"/>
          </w:tcPr>
          <w:p w14:paraId="7295609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1.45</w:t>
            </w:r>
          </w:p>
        </w:tc>
      </w:tr>
      <w:tr w14:paraId="7BF94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28301B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多年平均雷暴日数</w:t>
            </w:r>
          </w:p>
        </w:tc>
        <w:tc>
          <w:tcPr>
            <w:tcW w:w="4843" w:type="dxa"/>
            <w:tcBorders>
              <w:tl2br w:val="nil"/>
              <w:tr2bl w:val="nil"/>
            </w:tcBorders>
            <w:noWrap/>
            <w:vAlign w:val="center"/>
          </w:tcPr>
          <w:p w14:paraId="406E2E4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53.4</w:t>
            </w:r>
          </w:p>
        </w:tc>
      </w:tr>
      <w:tr w14:paraId="1216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B4932B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多年平均沙尘暴日数</w:t>
            </w:r>
          </w:p>
        </w:tc>
        <w:tc>
          <w:tcPr>
            <w:tcW w:w="4843" w:type="dxa"/>
            <w:tcBorders>
              <w:tl2br w:val="nil"/>
              <w:tr2bl w:val="nil"/>
            </w:tcBorders>
            <w:noWrap/>
            <w:vAlign w:val="center"/>
          </w:tcPr>
          <w:p w14:paraId="09C20D5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0.4</w:t>
            </w:r>
          </w:p>
        </w:tc>
      </w:tr>
      <w:tr w14:paraId="3AB6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F9B3D2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多年平均冰雹日数</w:t>
            </w:r>
          </w:p>
        </w:tc>
        <w:tc>
          <w:tcPr>
            <w:tcW w:w="4843" w:type="dxa"/>
            <w:tcBorders>
              <w:tl2br w:val="nil"/>
              <w:tr2bl w:val="nil"/>
            </w:tcBorders>
            <w:noWrap/>
            <w:vAlign w:val="center"/>
          </w:tcPr>
          <w:p w14:paraId="079EBF4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0.6</w:t>
            </w:r>
          </w:p>
        </w:tc>
      </w:tr>
      <w:tr w14:paraId="3D05E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342F1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多年平均气压</w:t>
            </w:r>
          </w:p>
        </w:tc>
        <w:tc>
          <w:tcPr>
            <w:tcW w:w="4843" w:type="dxa"/>
            <w:tcBorders>
              <w:tl2br w:val="nil"/>
              <w:tr2bl w:val="nil"/>
            </w:tcBorders>
            <w:noWrap/>
            <w:vAlign w:val="center"/>
          </w:tcPr>
          <w:p w14:paraId="0A5390A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992.52</w:t>
            </w:r>
          </w:p>
        </w:tc>
      </w:tr>
      <w:tr w14:paraId="55F2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6D8639D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多年平均水汽压</w:t>
            </w:r>
          </w:p>
        </w:tc>
        <w:tc>
          <w:tcPr>
            <w:tcW w:w="4843" w:type="dxa"/>
            <w:tcBorders>
              <w:tl2br w:val="nil"/>
              <w:tr2bl w:val="nil"/>
            </w:tcBorders>
            <w:noWrap/>
            <w:vAlign w:val="center"/>
          </w:tcPr>
          <w:p w14:paraId="1DE288B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18.52</w:t>
            </w:r>
          </w:p>
        </w:tc>
      </w:tr>
      <w:tr w14:paraId="15DD5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B47C35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多年平均相对湿度</w:t>
            </w:r>
          </w:p>
        </w:tc>
        <w:tc>
          <w:tcPr>
            <w:tcW w:w="4843" w:type="dxa"/>
            <w:tcBorders>
              <w:tl2br w:val="nil"/>
              <w:tr2bl w:val="nil"/>
            </w:tcBorders>
            <w:noWrap/>
            <w:vAlign w:val="center"/>
          </w:tcPr>
          <w:p w14:paraId="4E079A2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76.04</w:t>
            </w:r>
          </w:p>
        </w:tc>
      </w:tr>
      <w:tr w14:paraId="265C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9CE5EE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多年平均气温</w:t>
            </w:r>
          </w:p>
        </w:tc>
        <w:tc>
          <w:tcPr>
            <w:tcW w:w="4843" w:type="dxa"/>
            <w:tcBorders>
              <w:tl2br w:val="nil"/>
              <w:tr2bl w:val="nil"/>
            </w:tcBorders>
            <w:noWrap/>
            <w:vAlign w:val="center"/>
          </w:tcPr>
          <w:p w14:paraId="68BEB8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19.4</w:t>
            </w:r>
          </w:p>
        </w:tc>
      </w:tr>
      <w:tr w14:paraId="2276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D299D1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多年平均风速</w:t>
            </w:r>
          </w:p>
        </w:tc>
        <w:tc>
          <w:tcPr>
            <w:tcW w:w="4843" w:type="dxa"/>
            <w:tcBorders>
              <w:tl2br w:val="nil"/>
              <w:tr2bl w:val="nil"/>
            </w:tcBorders>
            <w:noWrap/>
            <w:vAlign w:val="center"/>
          </w:tcPr>
          <w:p w14:paraId="146EBD5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1.85</w:t>
            </w:r>
          </w:p>
        </w:tc>
      </w:tr>
      <w:tr w14:paraId="116F7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37DA22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多年平均静风出现频率</w:t>
            </w:r>
          </w:p>
        </w:tc>
        <w:tc>
          <w:tcPr>
            <w:tcW w:w="4843" w:type="dxa"/>
            <w:tcBorders>
              <w:tl2br w:val="nil"/>
              <w:tr2bl w:val="nil"/>
            </w:tcBorders>
            <w:noWrap/>
            <w:vAlign w:val="center"/>
          </w:tcPr>
          <w:p w14:paraId="3FC86C7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8.68</w:t>
            </w:r>
          </w:p>
        </w:tc>
      </w:tr>
      <w:tr w14:paraId="0D89A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D27DA5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多年平均年降水量</w:t>
            </w:r>
          </w:p>
        </w:tc>
        <w:tc>
          <w:tcPr>
            <w:tcW w:w="4843" w:type="dxa"/>
            <w:tcBorders>
              <w:tl2br w:val="nil"/>
              <w:tr2bl w:val="nil"/>
            </w:tcBorders>
            <w:noWrap/>
            <w:vAlign w:val="center"/>
          </w:tcPr>
          <w:p w14:paraId="6F2A449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1604.61</w:t>
            </w:r>
          </w:p>
        </w:tc>
      </w:tr>
      <w:tr w14:paraId="7B611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C566E4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多年平均最大日降水量</w:t>
            </w:r>
          </w:p>
        </w:tc>
        <w:tc>
          <w:tcPr>
            <w:tcW w:w="4843" w:type="dxa"/>
            <w:tcBorders>
              <w:tl2br w:val="nil"/>
              <w:tr2bl w:val="nil"/>
            </w:tcBorders>
            <w:noWrap/>
            <w:vAlign w:val="center"/>
          </w:tcPr>
          <w:p w14:paraId="43BFB58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119.25</w:t>
            </w:r>
          </w:p>
        </w:tc>
      </w:tr>
      <w:tr w14:paraId="642D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1FD67B3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1B8E9D5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224.9</w:t>
            </w:r>
          </w:p>
        </w:tc>
      </w:tr>
      <w:tr w14:paraId="7AA1A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503D45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264960B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20070607</w:t>
            </w:r>
          </w:p>
        </w:tc>
      </w:tr>
      <w:tr w14:paraId="45D44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4ED40C9">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极大风速统计值</w:t>
            </w:r>
          </w:p>
        </w:tc>
        <w:tc>
          <w:tcPr>
            <w:tcW w:w="4843" w:type="dxa"/>
            <w:tcBorders>
              <w:tl2br w:val="nil"/>
              <w:tr2bl w:val="nil"/>
            </w:tcBorders>
            <w:noWrap/>
            <w:vAlign w:val="center"/>
          </w:tcPr>
          <w:p w14:paraId="0DFE9BC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19.84</w:t>
            </w:r>
          </w:p>
        </w:tc>
      </w:tr>
      <w:tr w14:paraId="79E50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E7F3F7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1F61575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30.7</w:t>
            </w:r>
          </w:p>
        </w:tc>
      </w:tr>
      <w:tr w14:paraId="2DFC6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51D30AF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7A680C7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20130320</w:t>
            </w:r>
          </w:p>
        </w:tc>
      </w:tr>
      <w:tr w14:paraId="1F17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A11E62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风向(单位：度)</w:t>
            </w:r>
          </w:p>
        </w:tc>
        <w:tc>
          <w:tcPr>
            <w:tcW w:w="4843" w:type="dxa"/>
            <w:tcBorders>
              <w:tl2br w:val="nil"/>
              <w:tr2bl w:val="nil"/>
            </w:tcBorders>
            <w:noWrap/>
            <w:vAlign w:val="center"/>
          </w:tcPr>
          <w:p w14:paraId="60C10F0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999015</w:t>
            </w:r>
          </w:p>
        </w:tc>
      </w:tr>
      <w:tr w14:paraId="5B541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4C2A8C9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多年平均最低气温统计值</w:t>
            </w:r>
          </w:p>
        </w:tc>
        <w:tc>
          <w:tcPr>
            <w:tcW w:w="4843" w:type="dxa"/>
            <w:tcBorders>
              <w:tl2br w:val="nil"/>
              <w:tr2bl w:val="nil"/>
            </w:tcBorders>
            <w:noWrap/>
            <w:vAlign w:val="center"/>
          </w:tcPr>
          <w:p w14:paraId="04DFD76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-1.21</w:t>
            </w:r>
          </w:p>
        </w:tc>
      </w:tr>
      <w:tr w14:paraId="1B292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06155C1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4A0DAA3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-3.3</w:t>
            </w:r>
          </w:p>
        </w:tc>
      </w:tr>
      <w:tr w14:paraId="4BC1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2DBB00A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02C4EF8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20050101</w:t>
            </w:r>
          </w:p>
        </w:tc>
      </w:tr>
      <w:tr w14:paraId="7C55E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76F6AD5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多年平均最高气温统计值</w:t>
            </w:r>
          </w:p>
        </w:tc>
        <w:tc>
          <w:tcPr>
            <w:tcW w:w="4843" w:type="dxa"/>
            <w:tcBorders>
              <w:tl2br w:val="nil"/>
              <w:tr2bl w:val="nil"/>
            </w:tcBorders>
            <w:noWrap/>
            <w:vAlign w:val="center"/>
          </w:tcPr>
          <w:p w14:paraId="09A2DFB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38.3</w:t>
            </w:r>
          </w:p>
        </w:tc>
      </w:tr>
      <w:tr w14:paraId="58F2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6B1E67E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极值</w:t>
            </w:r>
          </w:p>
        </w:tc>
        <w:tc>
          <w:tcPr>
            <w:tcW w:w="4843" w:type="dxa"/>
            <w:tcBorders>
              <w:tl2br w:val="nil"/>
              <w:tr2bl w:val="nil"/>
            </w:tcBorders>
            <w:noWrap/>
            <w:vAlign w:val="center"/>
          </w:tcPr>
          <w:p w14:paraId="666FA4D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39.5</w:t>
            </w:r>
          </w:p>
        </w:tc>
      </w:tr>
      <w:tr w14:paraId="62401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7" w:type="dxa"/>
            <w:tcBorders>
              <w:tl2br w:val="nil"/>
              <w:tr2bl w:val="nil"/>
            </w:tcBorders>
            <w:noWrap/>
            <w:vAlign w:val="center"/>
          </w:tcPr>
          <w:p w14:paraId="311C64A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日期</w:t>
            </w:r>
          </w:p>
        </w:tc>
        <w:tc>
          <w:tcPr>
            <w:tcW w:w="4843" w:type="dxa"/>
            <w:tcBorders>
              <w:tl2br w:val="nil"/>
              <w:tr2bl w:val="nil"/>
            </w:tcBorders>
            <w:noWrap/>
            <w:vAlign w:val="center"/>
          </w:tcPr>
          <w:p w14:paraId="221DC36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20100805</w:t>
            </w:r>
          </w:p>
        </w:tc>
      </w:tr>
    </w:tbl>
    <w:p w14:paraId="21956ED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据</w:t>
      </w:r>
      <w:r>
        <w:rPr>
          <w:rFonts w:hint="default" w:ascii="Times New Roman" w:hAnsi="Times New Roman" w:cs="Times New Roman"/>
          <w:color w:val="auto"/>
          <w:kern w:val="0"/>
          <w:sz w:val="24"/>
          <w:highlight w:val="none"/>
          <w:u w:val="none" w:color="auto"/>
          <w:lang w:eastAsia="zh-CN"/>
        </w:rPr>
        <w:t>道县</w:t>
      </w:r>
      <w:r>
        <w:rPr>
          <w:rFonts w:hint="default" w:ascii="Times New Roman" w:hAnsi="Times New Roman" w:cs="Times New Roman"/>
          <w:color w:val="auto"/>
          <w:kern w:val="0"/>
          <w:sz w:val="24"/>
          <w:highlight w:val="none"/>
          <w:u w:val="none" w:color="auto"/>
        </w:rPr>
        <w:t>气象站2003</w:t>
      </w:r>
      <w:r>
        <w:rPr>
          <w:rFonts w:hint="default" w:ascii="Times New Roman" w:hAnsi="Times New Roman" w:cs="Times New Roman"/>
          <w:color w:val="auto"/>
          <w:kern w:val="0"/>
          <w:sz w:val="24"/>
          <w:highlight w:val="none"/>
          <w:u w:val="none" w:color="auto"/>
          <w:lang w:eastAsia="zh-CN"/>
        </w:rPr>
        <w:t>~2023年</w:t>
      </w:r>
      <w:r>
        <w:rPr>
          <w:rFonts w:hint="default" w:ascii="Times New Roman" w:hAnsi="Times New Roman" w:cs="Times New Roman"/>
          <w:color w:val="auto"/>
          <w:kern w:val="0"/>
          <w:sz w:val="24"/>
          <w:highlight w:val="none"/>
          <w:u w:val="none" w:color="auto"/>
        </w:rPr>
        <w:t>累计</w:t>
      </w:r>
      <w:r>
        <w:rPr>
          <w:rFonts w:hint="default" w:ascii="Times New Roman" w:hAnsi="Times New Roman" w:cs="Times New Roman"/>
          <w:color w:val="auto"/>
          <w:sz w:val="24"/>
          <w:highlight w:val="none"/>
          <w:u w:val="none" w:color="auto"/>
        </w:rPr>
        <w:t>气象观测资料统计，主要气象特征如下：</w:t>
      </w:r>
    </w:p>
    <w:p w14:paraId="4130A4B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水文、水资源</w:t>
      </w:r>
    </w:p>
    <w:p w14:paraId="04C0B5E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水文基本资料</w:t>
      </w:r>
    </w:p>
    <w:p w14:paraId="35C453D7">
      <w:pPr>
        <w:spacing w:before="283" w:line="332" w:lineRule="auto"/>
        <w:ind w:left="21" w:right="74" w:firstLine="554"/>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所在的</w:t>
      </w:r>
      <w:r>
        <w:rPr>
          <w:rFonts w:hint="default" w:ascii="Times New Roman" w:hAnsi="Times New Roman" w:eastAsia="宋体" w:cs="Times New Roman"/>
          <w:color w:val="auto"/>
          <w:sz w:val="24"/>
          <w:szCs w:val="24"/>
          <w:u w:val="none" w:color="auto"/>
          <w:lang w:eastAsia="zh-CN"/>
        </w:rPr>
        <w:t>宜水河</w:t>
      </w:r>
      <w:r>
        <w:rPr>
          <w:rFonts w:hint="default" w:ascii="Times New Roman" w:hAnsi="Times New Roman" w:eastAsia="宋体" w:cs="Times New Roman"/>
          <w:color w:val="auto"/>
          <w:sz w:val="24"/>
          <w:szCs w:val="24"/>
          <w:highlight w:val="none"/>
          <w:u w:val="none" w:color="auto"/>
        </w:rPr>
        <w:t>河</w:t>
      </w:r>
      <w:r>
        <w:rPr>
          <w:rFonts w:hint="default" w:ascii="Times New Roman" w:hAnsi="Times New Roman" w:eastAsia="宋体" w:cs="Times New Roman"/>
          <w:color w:val="auto"/>
          <w:sz w:val="24"/>
          <w:szCs w:val="24"/>
          <w:u w:val="none" w:color="auto"/>
        </w:rPr>
        <w:t>流域内无基本水文站，</w:t>
      </w:r>
      <w:r>
        <w:rPr>
          <w:rFonts w:hint="default" w:ascii="Times New Roman" w:hAnsi="Times New Roman" w:eastAsia="宋体" w:cs="Times New Roman"/>
          <w:color w:val="auto"/>
          <w:spacing w:val="-4"/>
          <w:sz w:val="24"/>
          <w:szCs w:val="24"/>
          <w:u w:val="none" w:color="auto"/>
        </w:rPr>
        <w:t>廊洞水库坝址位于湘江水系潇水一级支流宜水河中游宜阳河。复</w:t>
      </w:r>
      <w:r>
        <w:rPr>
          <w:rFonts w:hint="default" w:ascii="Times New Roman" w:hAnsi="Times New Roman" w:eastAsia="宋体" w:cs="Times New Roman"/>
          <w:color w:val="auto"/>
          <w:spacing w:val="-3"/>
          <w:sz w:val="24"/>
          <w:szCs w:val="24"/>
          <w:u w:val="none" w:color="auto"/>
        </w:rPr>
        <w:t>核后的水库坝址以上控制流域集雨面积35.6k</w:t>
      </w:r>
      <w:r>
        <w:rPr>
          <w:rFonts w:hint="eastAsia" w:cs="Times New Roman"/>
          <w:color w:val="auto"/>
          <w:spacing w:val="-3"/>
          <w:sz w:val="24"/>
          <w:szCs w:val="24"/>
          <w:u w:val="none" w:color="auto"/>
          <w:lang w:eastAsia="zh-CN"/>
        </w:rPr>
        <w:t>m</w:t>
      </w:r>
      <w:r>
        <w:rPr>
          <w:rFonts w:hint="eastAsia" w:cs="Times New Roman"/>
          <w:color w:val="auto"/>
          <w:spacing w:val="-3"/>
          <w:sz w:val="24"/>
          <w:szCs w:val="24"/>
          <w:u w:val="none" w:color="auto"/>
          <w:vertAlign w:val="superscript"/>
          <w:lang w:eastAsia="zh-CN"/>
        </w:rPr>
        <w:t>2</w:t>
      </w:r>
      <w:r>
        <w:rPr>
          <w:rFonts w:hint="default" w:ascii="Times New Roman" w:hAnsi="Times New Roman" w:eastAsia="宋体" w:cs="Times New Roman"/>
          <w:color w:val="auto"/>
          <w:spacing w:val="-3"/>
          <w:sz w:val="24"/>
          <w:szCs w:val="24"/>
          <w:u w:val="none" w:color="auto"/>
        </w:rPr>
        <w:t>，干流长度17.78km，</w:t>
      </w:r>
      <w:r>
        <w:rPr>
          <w:rFonts w:hint="default" w:ascii="Times New Roman" w:hAnsi="Times New Roman" w:eastAsia="宋体" w:cs="Times New Roman"/>
          <w:color w:val="auto"/>
          <w:spacing w:val="-1"/>
          <w:sz w:val="24"/>
          <w:szCs w:val="24"/>
          <w:u w:val="none" w:color="auto"/>
        </w:rPr>
        <w:t>干流平均坡降20.91‰。</w:t>
      </w:r>
    </w:p>
    <w:p w14:paraId="3BE780A9">
      <w:pPr>
        <w:bidi w:val="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廊洞水库大坝正常蓄水位289.85m，根据水文调洪演算</w:t>
      </w:r>
      <w:r>
        <w:rPr>
          <w:rFonts w:hint="default" w:ascii="Times New Roman" w:hAnsi="Times New Roman" w:eastAsia="宋体" w:cs="Times New Roman"/>
          <w:color w:val="auto"/>
          <w:spacing w:val="-1"/>
          <w:sz w:val="24"/>
          <w:szCs w:val="24"/>
          <w:u w:val="none" w:color="auto"/>
        </w:rPr>
        <w:t>成果，廊</w:t>
      </w:r>
      <w:r>
        <w:rPr>
          <w:rFonts w:hint="default" w:ascii="Times New Roman" w:hAnsi="Times New Roman" w:eastAsia="宋体" w:cs="Times New Roman"/>
          <w:color w:val="auto"/>
          <w:spacing w:val="8"/>
          <w:sz w:val="24"/>
          <w:szCs w:val="24"/>
          <w:u w:val="none" w:color="auto"/>
        </w:rPr>
        <w:t>洞水库全年时段，P=0</w:t>
      </w:r>
      <w:r>
        <w:rPr>
          <w:rFonts w:hint="eastAsia" w:cs="Times New Roman"/>
          <w:color w:val="auto"/>
          <w:spacing w:val="8"/>
          <w:sz w:val="24"/>
          <w:szCs w:val="24"/>
          <w:u w:val="none" w:color="auto"/>
          <w:lang w:eastAsia="zh-CN"/>
        </w:rPr>
        <w:t>.</w:t>
      </w:r>
      <w:r>
        <w:rPr>
          <w:rFonts w:hint="default" w:ascii="Times New Roman" w:hAnsi="Times New Roman" w:eastAsia="宋体" w:cs="Times New Roman"/>
          <w:color w:val="auto"/>
          <w:spacing w:val="8"/>
          <w:sz w:val="24"/>
          <w:szCs w:val="24"/>
          <w:u w:val="none" w:color="auto"/>
        </w:rPr>
        <w:t>1%时，相应库水位291.84m，相应</w:t>
      </w:r>
      <w:r>
        <w:rPr>
          <w:rFonts w:hint="default" w:ascii="Times New Roman" w:hAnsi="Times New Roman" w:eastAsia="宋体" w:cs="Times New Roman"/>
          <w:color w:val="auto"/>
          <w:spacing w:val="-79"/>
          <w:sz w:val="24"/>
          <w:szCs w:val="24"/>
          <w:u w:val="none" w:color="auto"/>
        </w:rPr>
        <w:t xml:space="preserve"> </w:t>
      </w:r>
      <w:r>
        <w:rPr>
          <w:rFonts w:hint="default" w:ascii="Times New Roman" w:hAnsi="Times New Roman" w:eastAsia="宋体" w:cs="Times New Roman"/>
          <w:color w:val="auto"/>
          <w:spacing w:val="8"/>
          <w:sz w:val="24"/>
          <w:szCs w:val="24"/>
          <w:u w:val="none" w:color="auto"/>
        </w:rPr>
        <w:t>泄量</w:t>
      </w:r>
      <w:r>
        <w:rPr>
          <w:rFonts w:hint="default" w:ascii="Times New Roman" w:hAnsi="Times New Roman" w:eastAsia="宋体" w:cs="Times New Roman"/>
          <w:color w:val="auto"/>
          <w:sz w:val="24"/>
          <w:szCs w:val="24"/>
          <w:u w:val="none" w:color="auto"/>
        </w:rPr>
        <w:t xml:space="preserve"> </w:t>
      </w:r>
      <w:r>
        <w:rPr>
          <w:rFonts w:hint="default" w:ascii="Times New Roman" w:hAnsi="Times New Roman" w:eastAsia="宋体" w:cs="Times New Roman"/>
          <w:color w:val="auto"/>
          <w:spacing w:val="2"/>
          <w:sz w:val="24"/>
          <w:szCs w:val="24"/>
          <w:u w:val="none" w:color="auto"/>
        </w:rPr>
        <w:t>315.21</w:t>
      </w:r>
      <w:r>
        <w:rPr>
          <w:rFonts w:hint="default" w:ascii="Times New Roman" w:hAnsi="Times New Roman" w:eastAsia="宋体" w:cs="Times New Roman"/>
          <w:color w:val="auto"/>
          <w:sz w:val="24"/>
          <w:szCs w:val="24"/>
          <w:u w:val="none" w:color="auto"/>
        </w:rPr>
        <w:t>m³</w:t>
      </w:r>
      <w:r>
        <w:rPr>
          <w:rFonts w:hint="default" w:ascii="Times New Roman" w:hAnsi="Times New Roman" w:eastAsia="宋体" w:cs="Times New Roman"/>
          <w:color w:val="auto"/>
          <w:spacing w:val="2"/>
          <w:sz w:val="24"/>
          <w:szCs w:val="24"/>
          <w:u w:val="none" w:color="auto"/>
        </w:rPr>
        <w:t>/s；P=</w:t>
      </w:r>
      <w:r>
        <w:rPr>
          <w:rFonts w:hint="default" w:ascii="Times New Roman" w:hAnsi="Times New Roman" w:eastAsia="宋体" w:cs="Times New Roman"/>
          <w:color w:val="auto"/>
          <w:spacing w:val="-37"/>
          <w:sz w:val="24"/>
          <w:szCs w:val="24"/>
          <w:u w:val="none" w:color="auto"/>
        </w:rPr>
        <w:t xml:space="preserve"> </w:t>
      </w:r>
      <w:r>
        <w:rPr>
          <w:rFonts w:hint="default" w:ascii="Times New Roman" w:hAnsi="Times New Roman" w:eastAsia="宋体" w:cs="Times New Roman"/>
          <w:color w:val="auto"/>
          <w:spacing w:val="2"/>
          <w:sz w:val="24"/>
          <w:szCs w:val="24"/>
          <w:u w:val="none" w:color="auto"/>
        </w:rPr>
        <w:t>1%时，相应库水位291.31m</w:t>
      </w:r>
      <w:r>
        <w:rPr>
          <w:rFonts w:hint="eastAsia" w:cs="Times New Roman"/>
          <w:color w:val="auto"/>
          <w:spacing w:val="-21"/>
          <w:sz w:val="24"/>
          <w:szCs w:val="24"/>
          <w:u w:val="none" w:color="auto"/>
          <w:lang w:eastAsia="zh-CN"/>
        </w:rPr>
        <w:t>，</w:t>
      </w:r>
      <w:r>
        <w:rPr>
          <w:rFonts w:hint="default" w:ascii="Times New Roman" w:hAnsi="Times New Roman" w:eastAsia="宋体" w:cs="Times New Roman"/>
          <w:color w:val="auto"/>
          <w:spacing w:val="2"/>
          <w:sz w:val="24"/>
          <w:szCs w:val="24"/>
          <w:u w:val="none" w:color="auto"/>
        </w:rPr>
        <w:t>相应泄量189.01</w:t>
      </w:r>
      <w:r>
        <w:rPr>
          <w:rFonts w:hint="default" w:ascii="Times New Roman" w:hAnsi="Times New Roman" w:cs="Times New Roman"/>
          <w:color w:val="auto"/>
          <w:spacing w:val="2"/>
          <w:sz w:val="24"/>
          <w:szCs w:val="24"/>
          <w:u w:val="none" w:color="auto"/>
          <w:lang w:eastAsia="zh-CN"/>
        </w:rPr>
        <w:t>m³</w:t>
      </w:r>
      <w:r>
        <w:rPr>
          <w:rFonts w:hint="default" w:ascii="Times New Roman" w:hAnsi="Times New Roman" w:eastAsia="宋体" w:cs="Times New Roman"/>
          <w:color w:val="auto"/>
          <w:spacing w:val="2"/>
          <w:sz w:val="24"/>
          <w:szCs w:val="24"/>
          <w:u w:val="none" w:color="auto"/>
        </w:rPr>
        <w:t>/</w:t>
      </w:r>
      <w:r>
        <w:rPr>
          <w:rFonts w:hint="default" w:ascii="Times New Roman" w:hAnsi="Times New Roman" w:eastAsia="宋体" w:cs="Times New Roman"/>
          <w:color w:val="auto"/>
          <w:spacing w:val="1"/>
          <w:sz w:val="24"/>
          <w:szCs w:val="24"/>
          <w:u w:val="none" w:color="auto"/>
        </w:rPr>
        <w:t>s</w:t>
      </w:r>
      <w:r>
        <w:rPr>
          <w:rFonts w:hint="eastAsia" w:cs="Times New Roman"/>
          <w:color w:val="auto"/>
          <w:spacing w:val="1"/>
          <w:sz w:val="24"/>
          <w:szCs w:val="24"/>
          <w:u w:val="none" w:color="auto"/>
          <w:lang w:eastAsia="zh-CN"/>
        </w:rPr>
        <w:t>；</w:t>
      </w:r>
      <w:r>
        <w:rPr>
          <w:rFonts w:hint="default" w:ascii="Times New Roman" w:hAnsi="Times New Roman" w:eastAsia="宋体" w:cs="Times New Roman"/>
          <w:color w:val="auto"/>
          <w:spacing w:val="-1"/>
          <w:sz w:val="24"/>
          <w:szCs w:val="24"/>
          <w:u w:val="none" w:color="auto"/>
        </w:rPr>
        <w:t>P=3.33%时，相应库水位290.77m</w:t>
      </w:r>
      <w:r>
        <w:rPr>
          <w:rFonts w:hint="default" w:ascii="Times New Roman" w:hAnsi="Times New Roman" w:eastAsia="宋体" w:cs="Times New Roman"/>
          <w:color w:val="auto"/>
          <w:spacing w:val="-31"/>
          <w:sz w:val="24"/>
          <w:szCs w:val="24"/>
          <w:u w:val="none" w:color="auto"/>
        </w:rPr>
        <w:t xml:space="preserve"> </w:t>
      </w:r>
      <w:r>
        <w:rPr>
          <w:rFonts w:hint="default" w:ascii="Times New Roman" w:hAnsi="Times New Roman" w:eastAsia="宋体" w:cs="Times New Roman"/>
          <w:color w:val="auto"/>
          <w:spacing w:val="-1"/>
          <w:sz w:val="24"/>
          <w:szCs w:val="24"/>
          <w:u w:val="none" w:color="auto"/>
        </w:rPr>
        <w:t>，相应泄量130</w:t>
      </w:r>
      <w:r>
        <w:rPr>
          <w:rFonts w:hint="default" w:ascii="Times New Roman" w:hAnsi="Times New Roman" w:eastAsia="宋体" w:cs="Times New Roman"/>
          <w:color w:val="auto"/>
          <w:spacing w:val="-2"/>
          <w:sz w:val="24"/>
          <w:szCs w:val="24"/>
          <w:u w:val="none" w:color="auto"/>
        </w:rPr>
        <w:t>.28</w:t>
      </w:r>
      <w:r>
        <w:rPr>
          <w:rFonts w:hint="default" w:ascii="Times New Roman" w:hAnsi="Times New Roman" w:cs="Times New Roman"/>
          <w:color w:val="auto"/>
          <w:spacing w:val="-2"/>
          <w:sz w:val="24"/>
          <w:szCs w:val="24"/>
          <w:u w:val="none" w:color="auto"/>
          <w:lang w:eastAsia="zh-CN"/>
        </w:rPr>
        <w:t>m³</w:t>
      </w:r>
      <w:r>
        <w:rPr>
          <w:rFonts w:hint="default" w:ascii="Times New Roman" w:hAnsi="Times New Roman" w:eastAsia="宋体" w:cs="Times New Roman"/>
          <w:color w:val="auto"/>
          <w:spacing w:val="-2"/>
          <w:sz w:val="24"/>
          <w:szCs w:val="24"/>
          <w:u w:val="none" w:color="auto"/>
        </w:rPr>
        <w:t>/s</w:t>
      </w:r>
      <w:r>
        <w:rPr>
          <w:rFonts w:hint="default" w:ascii="Times New Roman" w:hAnsi="Times New Roman" w:eastAsia="宋体" w:cs="Times New Roman"/>
          <w:color w:val="auto"/>
          <w:sz w:val="24"/>
          <w:szCs w:val="24"/>
          <w:u w:val="none" w:color="auto"/>
        </w:rPr>
        <w:t>。</w:t>
      </w:r>
    </w:p>
    <w:p w14:paraId="3445F5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库区地下水主要类型有孔隙性潜水和基岩裂隙性潜水。</w:t>
      </w:r>
    </w:p>
    <w:p w14:paraId="49BB8C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孔隙水：孔隙潜水主要分布于第四系冲积层、坡崩积层，水量丰富，水位与库水有密切的水力联系，水化学类型基本一致，其补给主 要来源于大气降水，排泄主要为蒸发，水量分布不均，受大气降水影 响十分明显。</w:t>
      </w:r>
    </w:p>
    <w:p w14:paraId="5DE50F2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基岩裂隙性潜水：基岩裂隙性潜水主要分布于基岩中，其补给主要为大气降水和地表水入渗补给，向河床径流及排泄。左岸坝肩与溢洪道之间F1与F2断层破碎带相交，形成以F2断层往下游渗漏通道。</w:t>
      </w:r>
    </w:p>
    <w:p w14:paraId="052436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根据现场调查，水库水质较好，附近不存在工业污染，依据实际情况及《水利水电工程地质勘察规范》综合判定，其水对混凝土无腐蚀性，对钢筋混凝土中的钢筋具弱腐蚀性。</w:t>
      </w:r>
    </w:p>
    <w:p w14:paraId="1940483D">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径流</w:t>
      </w:r>
    </w:p>
    <w:p w14:paraId="408C23E0">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廊洞水库所在流域径流主要由降雨形成，鉴于廊洞水库所在流域无水文测站，只有雨量站，本身水文资料比较缺乏，而邻近流域有豪福水文站，该站始建于1959年，资料系列较长，资料可靠，且两相邻流域地理位置、下垫层条件等基本相似，故本次初步设计廊洞水库径流采用豪福水文站作为参证站，同时采用面平均雨量和流域面积进行修正。</w:t>
      </w:r>
    </w:p>
    <w:p w14:paraId="55279BC7">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经计算，</w:t>
      </w:r>
      <w:r>
        <w:rPr>
          <w:rFonts w:hint="default" w:ascii="Times New Roman" w:hAnsi="Times New Roman" w:cs="Times New Roman" w:eastAsiaTheme="minorEastAsia"/>
          <w:color w:val="auto"/>
          <w:spacing w:val="-3"/>
          <w:sz w:val="24"/>
          <w:szCs w:val="24"/>
          <w:u w:val="none" w:color="auto"/>
        </w:rPr>
        <w:t>廊洞水库多年平均径流量为0.96</w:t>
      </w:r>
      <w:r>
        <w:rPr>
          <w:rFonts w:hint="default" w:ascii="Times New Roman" w:hAnsi="Times New Roman" w:cs="Times New Roman" w:eastAsiaTheme="minorEastAsia"/>
          <w:color w:val="auto"/>
          <w:spacing w:val="-4"/>
          <w:sz w:val="24"/>
          <w:szCs w:val="24"/>
          <w:u w:val="none" w:color="auto"/>
        </w:rPr>
        <w:t>5</w:t>
      </w:r>
      <w:r>
        <w:rPr>
          <w:rFonts w:hint="default" w:ascii="Times New Roman" w:hAnsi="Times New Roman" w:cs="Times New Roman" w:eastAsiaTheme="minorEastAsia"/>
          <w:color w:val="auto"/>
          <w:spacing w:val="-4"/>
          <w:sz w:val="24"/>
          <w:szCs w:val="24"/>
          <w:u w:val="none" w:color="auto"/>
          <w:lang w:eastAsia="zh-CN"/>
        </w:rPr>
        <w:t>m³</w:t>
      </w:r>
      <w:r>
        <w:rPr>
          <w:rFonts w:hint="default" w:ascii="Times New Roman" w:hAnsi="Times New Roman" w:cs="Times New Roman" w:eastAsiaTheme="minorEastAsia"/>
          <w:color w:val="auto"/>
          <w:spacing w:val="-4"/>
          <w:sz w:val="24"/>
          <w:szCs w:val="24"/>
          <w:u w:val="none" w:color="auto"/>
          <w:lang w:val="en-US" w:eastAsia="zh-CN"/>
        </w:rPr>
        <w:t>/</w:t>
      </w:r>
      <w:r>
        <w:rPr>
          <w:rFonts w:hint="default" w:ascii="Times New Roman" w:hAnsi="Times New Roman" w:cs="Times New Roman" w:eastAsiaTheme="minorEastAsia"/>
          <w:color w:val="auto"/>
          <w:spacing w:val="-4"/>
          <w:sz w:val="24"/>
          <w:szCs w:val="24"/>
          <w:u w:val="none" w:color="auto"/>
        </w:rPr>
        <w:t>s，多年平均径流深</w:t>
      </w:r>
      <w:r>
        <w:rPr>
          <w:rFonts w:hint="default" w:ascii="Times New Roman" w:hAnsi="Times New Roman" w:cs="Times New Roman" w:eastAsiaTheme="minorEastAsia"/>
          <w:color w:val="auto"/>
          <w:spacing w:val="-2"/>
          <w:sz w:val="24"/>
          <w:szCs w:val="24"/>
          <w:u w:val="none" w:color="auto"/>
        </w:rPr>
        <w:t>854.92mm，多年平均径流总量3043.51万</w:t>
      </w:r>
      <w:r>
        <w:rPr>
          <w:rFonts w:hint="default" w:ascii="Times New Roman" w:hAnsi="Times New Roman" w:cs="Times New Roman" w:eastAsiaTheme="minorEastAsia"/>
          <w:color w:val="auto"/>
          <w:spacing w:val="-3"/>
          <w:sz w:val="24"/>
          <w:szCs w:val="24"/>
          <w:u w:val="none" w:color="auto"/>
          <w:lang w:eastAsia="zh-CN"/>
        </w:rPr>
        <w:t>m³</w:t>
      </w:r>
      <w:r>
        <w:rPr>
          <w:rFonts w:hint="default" w:ascii="Times New Roman" w:hAnsi="Times New Roman" w:cs="Times New Roman" w:eastAsiaTheme="minorEastAsia"/>
          <w:color w:val="auto"/>
          <w:sz w:val="24"/>
          <w:szCs w:val="24"/>
          <w:u w:val="none" w:color="auto"/>
        </w:rPr>
        <w:t>。</w:t>
      </w:r>
    </w:p>
    <w:p w14:paraId="504AE3D2">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施工洪水</w:t>
      </w:r>
    </w:p>
    <w:p w14:paraId="67ED2C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根据本次施工设计要求，廊洞水库一般</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月至次年</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月为枯水期，水库除险加固施工最好在枯水期进行。根据司仙坳雨量站1991~2023年非汛期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10月次年3月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最大日降水量数据统计，10月~次年3月、10月~次年1月、11月~次年2月、12月~次年3月、10月~次年2月、11月~次年3月的统计参数见下表</w:t>
      </w:r>
      <w:r>
        <w:rPr>
          <w:rFonts w:hint="default" w:ascii="Times New Roman" w:hAnsi="Times New Roman" w:cs="Times New Roman"/>
          <w:color w:val="auto"/>
          <w:u w:val="none" w:color="auto"/>
          <w:lang w:eastAsia="zh-CN"/>
        </w:rPr>
        <w:t>，根据调洪计算，可以得到不同施工期所对应的施工期水位，</w:t>
      </w:r>
      <w:r>
        <w:rPr>
          <w:rFonts w:hint="default" w:ascii="Times New Roman" w:hAnsi="Times New Roman" w:cs="Times New Roman"/>
          <w:color w:val="auto"/>
          <w:u w:val="none" w:color="auto"/>
        </w:rPr>
        <w:t>成果见表</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.1-2</w:t>
      </w:r>
      <w:r>
        <w:rPr>
          <w:rFonts w:hint="default" w:ascii="Times New Roman" w:hAnsi="Times New Roman" w:cs="Times New Roman"/>
          <w:color w:val="auto"/>
          <w:u w:val="none" w:color="auto"/>
        </w:rPr>
        <w:t>。</w:t>
      </w:r>
    </w:p>
    <w:p w14:paraId="46D1171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lang w:val="en-US" w:eastAsia="zh-CN"/>
        </w:rPr>
        <w:t xml:space="preserve">.1-2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施工洪水成果表</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7"/>
        <w:gridCol w:w="1196"/>
        <w:gridCol w:w="1196"/>
        <w:gridCol w:w="1303"/>
        <w:gridCol w:w="1303"/>
        <w:gridCol w:w="1304"/>
        <w:gridCol w:w="1304"/>
      </w:tblGrid>
      <w:tr w14:paraId="49B7E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906" w:type="dxa"/>
            <w:vMerge w:val="restart"/>
            <w:tcBorders>
              <w:top w:val="single" w:color="000000" w:sz="8" w:space="0"/>
              <w:left w:val="single" w:color="000000" w:sz="8" w:space="0"/>
              <w:bottom w:val="single" w:color="000000" w:sz="4" w:space="0"/>
              <w:right w:val="single" w:color="000000" w:sz="4" w:space="0"/>
            </w:tcBorders>
            <w:shd w:val="clear" w:color="auto" w:fill="auto"/>
            <w:vAlign w:val="center"/>
          </w:tcPr>
          <w:p w14:paraId="0877B22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施工期</w:t>
            </w:r>
          </w:p>
        </w:tc>
        <w:tc>
          <w:tcPr>
            <w:tcW w:w="116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BABE6D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10月~次年3月</w:t>
            </w:r>
          </w:p>
        </w:tc>
        <w:tc>
          <w:tcPr>
            <w:tcW w:w="1169"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E8F61F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10月~次年1月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1BA2DB5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11月~次年2月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C34BB1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12月~次年3月</w:t>
            </w:r>
          </w:p>
        </w:tc>
        <w:tc>
          <w:tcPr>
            <w:tcW w:w="127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8FFDD6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10月~次年2月</w:t>
            </w:r>
          </w:p>
        </w:tc>
        <w:tc>
          <w:tcPr>
            <w:tcW w:w="127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28C0D9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11月~次年3月</w:t>
            </w:r>
          </w:p>
        </w:tc>
      </w:tr>
      <w:tr w14:paraId="08B28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906" w:type="dxa"/>
            <w:tcBorders>
              <w:top w:val="single" w:color="000000" w:sz="4" w:space="0"/>
              <w:left w:val="single" w:color="000000" w:sz="8" w:space="0"/>
              <w:bottom w:val="single" w:color="000000" w:sz="8" w:space="0"/>
              <w:right w:val="single" w:color="000000" w:sz="4" w:space="0"/>
            </w:tcBorders>
            <w:shd w:val="clear" w:color="auto" w:fill="auto"/>
            <w:vAlign w:val="center"/>
          </w:tcPr>
          <w:p w14:paraId="57A6429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kern w:val="0"/>
                <w:sz w:val="21"/>
                <w:szCs w:val="21"/>
                <w:u w:val="none" w:color="auto"/>
                <w:lang w:val="en-US" w:eastAsia="zh-CN" w:bidi="ar"/>
              </w:rPr>
              <w:t>施工期水位(m)</w:t>
            </w:r>
          </w:p>
        </w:tc>
        <w:tc>
          <w:tcPr>
            <w:tcW w:w="116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4E4328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261.4</w:t>
            </w:r>
          </w:p>
        </w:tc>
        <w:tc>
          <w:tcPr>
            <w:tcW w:w="1169"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3BAD1D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260.3</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CE998F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260.69</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7F87505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259.79</w:t>
            </w:r>
          </w:p>
        </w:tc>
        <w:tc>
          <w:tcPr>
            <w:tcW w:w="127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8E2871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261.03</w:t>
            </w:r>
          </w:p>
        </w:tc>
        <w:tc>
          <w:tcPr>
            <w:tcW w:w="1274" w:type="dxa"/>
            <w:tcBorders>
              <w:top w:val="single" w:color="000000" w:sz="4" w:space="0"/>
              <w:left w:val="single" w:color="000000" w:sz="4" w:space="0"/>
              <w:bottom w:val="single" w:color="000000" w:sz="8" w:space="0"/>
              <w:right w:val="single" w:color="000000" w:sz="8" w:space="0"/>
            </w:tcBorders>
            <w:shd w:val="clear" w:color="auto" w:fill="auto"/>
            <w:vAlign w:val="center"/>
          </w:tcPr>
          <w:p w14:paraId="5948093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center"/>
              <w:textAlignment w:val="center"/>
              <w:rPr>
                <w:rFonts w:hint="default" w:ascii="Times New Roman" w:hAnsi="Times New Roman" w:cs="Times New Roman" w:eastAsiaTheme="minorEastAsia"/>
                <w:i w:val="0"/>
                <w:iCs w:val="0"/>
                <w:color w:val="auto"/>
                <w:kern w:val="2"/>
                <w:sz w:val="21"/>
                <w:szCs w:val="21"/>
                <w:u w:val="none" w:color="auto"/>
                <w:lang w:val="en-US" w:eastAsia="zh-CN" w:bidi="ar-SA"/>
              </w:rPr>
            </w:pPr>
            <w:r>
              <w:rPr>
                <w:rFonts w:hint="default" w:ascii="Times New Roman" w:hAnsi="Times New Roman" w:cs="Times New Roman" w:eastAsiaTheme="minorEastAsia"/>
                <w:i w:val="0"/>
                <w:iCs w:val="0"/>
                <w:color w:val="auto"/>
                <w:kern w:val="0"/>
                <w:sz w:val="21"/>
                <w:szCs w:val="21"/>
                <w:u w:val="none" w:color="auto"/>
                <w:lang w:val="en-US" w:eastAsia="zh-CN" w:bidi="ar"/>
              </w:rPr>
              <w:t>261.22</w:t>
            </w:r>
          </w:p>
        </w:tc>
      </w:tr>
    </w:tbl>
    <w:p w14:paraId="7B9DCDD5">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水文地质条件</w:t>
      </w:r>
    </w:p>
    <w:p w14:paraId="5FDAFA10">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水库流域区以潇水为主干流。境内流经审章塘、蚣坝、祥霖铺、上关、万家庄、道江镇、东门、白马渡5乡4镇，由南到北贯穿全县。大气降雨是地下水、地表水的主要补给来源；潇水河是境内地下水的主要排泄区。</w:t>
      </w:r>
    </w:p>
    <w:p w14:paraId="2E6142BE">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坝址区域地下水主要为松散堆积物孔隙潜水及基岩裂隙水。</w:t>
      </w:r>
    </w:p>
    <w:p w14:paraId="6ED29B54">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松散堆积物孔隙潜水主要分布在第四系松散堆积物中及河谷地带分布的残坡积堆积层中。地下水受气候、季节影响。地下水的补给来自大气降水和地表水，并排泄于河谷或溪流，地下水一般径流途径短，循环交替迅速，动态变化大。</w:t>
      </w:r>
    </w:p>
    <w:p w14:paraId="12CB8BF2">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基岩裂隙水，赋存于泥盆系中统跳马涧组(D2t)泥质砂岩、石英砂岩节理裂隙当中，水位埋藏较深，赋水量贫乏，主要接受大气降水与水库水的垂直入渗补给，沿节理裂隙方向向库底深部以及下游河道排泄。</w:t>
      </w:r>
    </w:p>
    <w:p w14:paraId="5960A87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坝体内浸润线水位受到水库水位控制，勘察时水位较低，揭露到的初见浸润水位基本位于坝体填筑土之中。根据现场调查，水库水质较好，附近不存在工业污染，其水对混凝土无腐蚀性，对钢筋混凝土中的钢筋具弱腐蚀性</w:t>
      </w:r>
      <w:r>
        <w:rPr>
          <w:rFonts w:hint="default" w:ascii="Times New Roman" w:hAnsi="Times New Roman" w:cs="Times New Roman"/>
          <w:color w:val="auto"/>
          <w:u w:val="none" w:color="auto"/>
        </w:rPr>
        <w:t>。</w:t>
      </w:r>
    </w:p>
    <w:p w14:paraId="35684A9D">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水库坝址区两岸均为丘陵，库区宽阔，大坝两岸山体平缓；两岸基岩外露。根据本次勘探揭露，坝基主要地层如下：</w:t>
      </w:r>
    </w:p>
    <w:p w14:paraId="709981F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③含泥质砂(Qal)：含泥砂砾石，主要分布于老坝河床及坝址左侧河漫滩，灰黄色，灰白色，饱和，中密，卵石成分为石英、长石，钻孔可见卵石一般粒径为5-10cm，卵石含量为20%左右，粘性土与中粗砂充填其中，分选性较差，磨圆度中等。该地层厚度:6.30~8.50m，平均7.40m;层底标高:241.89~244.16m，平均243.03m；层底埋深:49.80~52.00m，平均50.90m，位于坝基岩体上层。</w:t>
      </w:r>
    </w:p>
    <w:p w14:paraId="77E5445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④强风化砂岩(D2t))：紫红色，粉砂质结构，纹层状构造，中厚层粉砂岩，泥质胶结，节理裂隙发育，岩芯多呈碎块状，局部砂土状，其分类为极差，岩体完整程度为极破碎-破碎，岩石的坚硬程度属极软岩，岩体基本质量等级为V级，岩芯采取率在20%-60%。</w:t>
      </w:r>
    </w:p>
    <w:p w14:paraId="7016B685">
      <w:pPr>
        <w:bidi w:val="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⑤弱风化砂岩(D2t))：紫红色，粉砂质结构，纹层状构造，中厚层粉砂岩，泥质胶结，节理裂隙不发育，岩芯可成柱状，少量呈碎块状，岩石质量指标RQD值0-60%，其分类为差的，岩体完整程度为较破碎-较完整，岩石的坚硬程度属软岩，岩体基本质量等级为V级，岩芯采取率在40%</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lang w:eastAsia="zh-CN"/>
        </w:rPr>
        <w:t>90%。</w:t>
      </w:r>
    </w:p>
    <w:p w14:paraId="7A6FAF6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环境水化学特性</w:t>
      </w:r>
    </w:p>
    <w:p w14:paraId="0AC45E9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为查明环境水及其腐蚀性，前期对坝址河水及地下水分别进行水样采集做室内水质简分析试验，根据</w:t>
      </w:r>
      <w:r>
        <w:rPr>
          <w:rFonts w:hint="default" w:ascii="Times New Roman" w:hAnsi="Times New Roman" w:cs="Times New Roman"/>
          <w:color w:val="auto"/>
          <w:u w:val="none" w:color="auto"/>
          <w:lang w:val="en-US" w:eastAsia="zh-CN"/>
        </w:rPr>
        <w:t>地勘报告</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库水和地下水的水化学类型均属重碳酸钙型水，</w:t>
      </w:r>
      <w:r>
        <w:rPr>
          <w:rFonts w:hint="default" w:ascii="Times New Roman" w:hAnsi="Times New Roman" w:cs="Times New Roman"/>
          <w:color w:val="auto"/>
          <w:u w:val="none" w:color="auto"/>
          <w:lang w:eastAsia="zh-CN"/>
        </w:rPr>
        <w:t>pH值</w:t>
      </w:r>
      <w:r>
        <w:rPr>
          <w:rFonts w:hint="default" w:ascii="Times New Roman" w:hAnsi="Times New Roman" w:cs="Times New Roman"/>
          <w:color w:val="auto"/>
          <w:u w:val="none" w:color="auto"/>
        </w:rPr>
        <w:t>6.79~6.88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HCO₃含量3.652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3.695mmol/L</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对混凝土无腐蚀性，对钢筋混凝土中的钢筋无腐蚀性，对钢结构具有弱腐蚀性。</w:t>
      </w:r>
    </w:p>
    <w:p w14:paraId="5718665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植被及生物多样性</w:t>
      </w:r>
    </w:p>
    <w:p w14:paraId="5566E02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植物资源现状</w:t>
      </w:r>
    </w:p>
    <w:p w14:paraId="42B0DC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区域内植物资源比较简单，林地以人工次生林、幼林及自然灌木类植物为主。林地主要分布于山坡和山丘顶部等坡度较大地带，谷地多为菜地、农田、民舍。内基本无原生植被，多为人工植被，植被主要为农作物群落</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水稻、蔬菜</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、经济林木和绿化树林。区内现有植物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乔松、湿地</w:t>
      </w:r>
      <w:r>
        <w:rPr>
          <w:rFonts w:hint="default" w:ascii="Times New Roman" w:hAnsi="Times New Roman" w:cs="Times New Roman"/>
          <w:color w:val="auto"/>
          <w:u w:val="none" w:color="auto"/>
        </w:rPr>
        <w:t>松树、杉树、樟树等及农作物群落。经调查，区域内除樟树为国家二级保护植物外，选址内没有天然分布的珍稀濒危植物种类和古树木。樟树为</w:t>
      </w:r>
      <w:r>
        <w:rPr>
          <w:rFonts w:hint="default" w:ascii="Times New Roman" w:hAnsi="Times New Roman" w:cs="Times New Roman"/>
          <w:color w:val="auto"/>
          <w:u w:val="none" w:color="auto"/>
          <w:lang w:val="en-US" w:eastAsia="zh-CN"/>
        </w:rPr>
        <w:t>区域内</w:t>
      </w:r>
      <w:r>
        <w:rPr>
          <w:rFonts w:hint="default" w:ascii="Times New Roman" w:hAnsi="Times New Roman" w:cs="Times New Roman"/>
          <w:color w:val="auto"/>
          <w:u w:val="none" w:color="auto"/>
        </w:rPr>
        <w:t>常见</w:t>
      </w:r>
      <w:r>
        <w:rPr>
          <w:rFonts w:hint="default" w:ascii="Times New Roman" w:hAnsi="Times New Roman" w:cs="Times New Roman"/>
          <w:color w:val="auto"/>
          <w:u w:val="none" w:color="auto"/>
          <w:lang w:val="en-US" w:eastAsia="zh-CN"/>
        </w:rPr>
        <w:t>物种</w:t>
      </w:r>
      <w:r>
        <w:rPr>
          <w:rFonts w:hint="default" w:ascii="Times New Roman" w:hAnsi="Times New Roman" w:cs="Times New Roman"/>
          <w:color w:val="auto"/>
          <w:u w:val="none" w:color="auto"/>
        </w:rPr>
        <w:t>，分布普遍。</w:t>
      </w:r>
    </w:p>
    <w:p w14:paraId="4C51A95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动物资源现状</w:t>
      </w:r>
    </w:p>
    <w:p w14:paraId="002CF0F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区内大部分处于人类长期活动区域，野生动植物的生存环境</w:t>
      </w:r>
      <w:r>
        <w:rPr>
          <w:rFonts w:hint="default" w:ascii="Times New Roman" w:hAnsi="Times New Roman" w:cs="Times New Roman"/>
          <w:color w:val="auto"/>
          <w:u w:val="none" w:color="auto"/>
          <w:lang w:eastAsia="zh-CN"/>
        </w:rPr>
        <w:t>基本上已</w:t>
      </w:r>
      <w:r>
        <w:rPr>
          <w:rFonts w:hint="default" w:ascii="Times New Roman" w:hAnsi="Times New Roman" w:cs="Times New Roman"/>
          <w:color w:val="auto"/>
          <w:u w:val="none" w:color="auto"/>
        </w:rPr>
        <w:t>遭到破坏。野生动物多为适应耕地和居民点的种类，主要动物物种有斑鸠、</w:t>
      </w:r>
      <w:r>
        <w:rPr>
          <w:rFonts w:hint="default" w:ascii="Times New Roman" w:hAnsi="Times New Roman" w:cs="Times New Roman"/>
          <w:color w:val="auto"/>
          <w:u w:val="none" w:color="auto"/>
          <w:lang w:val="en-US" w:eastAsia="zh-CN"/>
        </w:rPr>
        <w:t>喜鹊</w:t>
      </w:r>
      <w:r>
        <w:rPr>
          <w:rFonts w:hint="default" w:ascii="Times New Roman" w:hAnsi="Times New Roman" w:cs="Times New Roman"/>
          <w:color w:val="auto"/>
          <w:u w:val="none" w:color="auto"/>
        </w:rPr>
        <w:t>、麻雀等鸟类及鼠类、蛙类、蛇类等常见中小型动物，家畜、家禽主要有猪、牛、羊、鸡、鸭，鱼类有青、草、鲢、鲤、鲫等。</w:t>
      </w:r>
    </w:p>
    <w:p w14:paraId="53E7FA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通过现场踏勘及向当地居民进行调查了解，区内未发现国家和省级重点保护野生动物，无珍稀保护动物，也未发现其栖息地和迁徙通道。</w:t>
      </w:r>
    </w:p>
    <w:p w14:paraId="21E5BA43">
      <w:pPr>
        <w:pStyle w:val="3"/>
        <w:tabs>
          <w:tab w:val="left" w:pos="851"/>
        </w:tabs>
        <w:rPr>
          <w:rFonts w:hint="default" w:ascii="Times New Roman" w:hAnsi="Times New Roman" w:cs="Times New Roman"/>
          <w:color w:val="auto"/>
          <w:u w:val="none" w:color="auto"/>
        </w:rPr>
      </w:pPr>
      <w:bookmarkStart w:id="177" w:name="_Toc28020"/>
      <w:bookmarkStart w:id="178" w:name="_Toc6961"/>
      <w:bookmarkStart w:id="179" w:name="_Toc494049365"/>
      <w:bookmarkStart w:id="180" w:name="_Toc21763"/>
      <w:bookmarkStart w:id="181" w:name="_Toc22829"/>
      <w:bookmarkStart w:id="182" w:name="_Toc494233751"/>
      <w:r>
        <w:rPr>
          <w:rFonts w:hint="default" w:ascii="Times New Roman" w:hAnsi="Times New Roman" w:cs="Times New Roman"/>
          <w:color w:val="auto"/>
          <w:u w:val="none" w:color="auto"/>
        </w:rPr>
        <w:t>环境质量现状调查及评价</w:t>
      </w:r>
      <w:bookmarkEnd w:id="177"/>
      <w:bookmarkEnd w:id="178"/>
      <w:bookmarkEnd w:id="179"/>
      <w:bookmarkEnd w:id="180"/>
      <w:bookmarkEnd w:id="181"/>
      <w:bookmarkEnd w:id="182"/>
    </w:p>
    <w:p w14:paraId="72904C86">
      <w:pPr>
        <w:pStyle w:val="4"/>
        <w:rPr>
          <w:rFonts w:hint="default" w:ascii="Times New Roman" w:hAnsi="Times New Roman" w:cs="Times New Roman"/>
          <w:color w:val="auto"/>
          <w:u w:val="none" w:color="auto"/>
        </w:rPr>
      </w:pPr>
      <w:bookmarkStart w:id="183" w:name="_Toc7557"/>
      <w:bookmarkStart w:id="184" w:name="_Toc494233752"/>
      <w:bookmarkStart w:id="185" w:name="_Toc23937"/>
      <w:r>
        <w:rPr>
          <w:rFonts w:hint="default" w:ascii="Times New Roman" w:hAnsi="Times New Roman" w:cs="Times New Roman"/>
          <w:color w:val="auto"/>
          <w:u w:val="none" w:color="auto"/>
        </w:rPr>
        <w:t>环境空气质量现状监测和评价</w:t>
      </w:r>
      <w:bookmarkEnd w:id="183"/>
      <w:bookmarkEnd w:id="184"/>
      <w:bookmarkEnd w:id="185"/>
    </w:p>
    <w:p w14:paraId="3034475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大气环境》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HJ2.2-2018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空气质量现状调查与评价，基本污染物环境质量现状数据采用评价范围内国家或地方环境空气质量监测网中评价基准年连续1年的监测数据，或采用生态环境主管部门公开发布的环境空气质量现状数据。项目所在区域达标判定优先采用国家或地方生态环境主管部门公开发布的环境质量公报或环境质量报告中的数据或结论。评价范围内没有环境空气质量</w:t>
      </w:r>
      <w:r>
        <w:rPr>
          <w:rFonts w:hint="default" w:ascii="Times New Roman" w:hAnsi="Times New Roman" w:cs="Times New Roman"/>
          <w:color w:val="auto"/>
          <w:highlight w:val="none"/>
          <w:u w:val="none" w:color="auto"/>
        </w:rPr>
        <w:t>检测网</w:t>
      </w:r>
      <w:r>
        <w:rPr>
          <w:rFonts w:hint="default" w:ascii="Times New Roman" w:hAnsi="Times New Roman" w:cs="Times New Roman"/>
          <w:color w:val="auto"/>
          <w:u w:val="none" w:color="auto"/>
        </w:rPr>
        <w:t>数据或公开发布的环境空气质量现状数据的，可选择符合HJ664规定，并且与评价范围地理位置临近，地形气候条件相近的环境空气质量城市点或区域点监测数据。</w:t>
      </w:r>
    </w:p>
    <w:p w14:paraId="3CE911C8">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lang w:eastAsia="zh-CN"/>
        </w:rPr>
        <w:t>常规监测数据</w:t>
      </w:r>
    </w:p>
    <w:p w14:paraId="1338DA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依据评价所需环境空气质量现状、气象资料等数据的可获得性、数据质量、代表性等因素，选择近三年中数据相对完整的一个日历年作为基准年。</w:t>
      </w:r>
    </w:p>
    <w:p w14:paraId="2A49C0B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项目位于</w:t>
      </w:r>
      <w:r>
        <w:rPr>
          <w:rFonts w:hint="default" w:ascii="Times New Roman" w:hAnsi="Times New Roman" w:cs="Times New Roman"/>
          <w:color w:val="auto"/>
          <w:u w:val="none" w:color="auto"/>
          <w:lang w:eastAsia="zh-CN" w:bidi="ar"/>
        </w:rPr>
        <w:t>永州市道县</w:t>
      </w:r>
      <w:r>
        <w:rPr>
          <w:rFonts w:hint="default" w:ascii="Times New Roman" w:hAnsi="Times New Roman" w:cs="Times New Roman"/>
          <w:color w:val="auto"/>
          <w:u w:val="none" w:color="auto"/>
          <w:lang w:bidi="ar"/>
        </w:rPr>
        <w:t>，评价选择202</w:t>
      </w:r>
      <w:r>
        <w:rPr>
          <w:rFonts w:hint="default" w:ascii="Times New Roman" w:hAnsi="Times New Roman" w:cs="Times New Roman"/>
          <w:color w:val="auto"/>
          <w:u w:val="none" w:color="auto"/>
          <w:lang w:val="en-US" w:eastAsia="zh-CN" w:bidi="ar"/>
        </w:rPr>
        <w:t>3</w:t>
      </w:r>
      <w:r>
        <w:rPr>
          <w:rFonts w:hint="default" w:ascii="Times New Roman" w:hAnsi="Times New Roman" w:cs="Times New Roman"/>
          <w:color w:val="auto"/>
          <w:u w:val="none" w:color="auto"/>
          <w:lang w:bidi="ar"/>
        </w:rPr>
        <w:t>年</w:t>
      </w:r>
      <w:r>
        <w:rPr>
          <w:rFonts w:hint="default" w:ascii="Times New Roman" w:hAnsi="Times New Roman" w:cs="Times New Roman"/>
          <w:color w:val="auto"/>
          <w:u w:val="none" w:color="auto"/>
          <w:lang w:eastAsia="zh-CN" w:bidi="ar"/>
        </w:rPr>
        <w:t>道县</w:t>
      </w:r>
      <w:r>
        <w:rPr>
          <w:rFonts w:hint="default" w:ascii="Times New Roman" w:hAnsi="Times New Roman" w:cs="Times New Roman"/>
          <w:color w:val="auto"/>
          <w:u w:val="none" w:color="auto"/>
        </w:rPr>
        <w:t>空气监测点的环境空气质量监测数据，202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年为近三年中数据相对完整的一个基准年，且项目位于城区规划范围内</w:t>
      </w:r>
      <w:r>
        <w:rPr>
          <w:rFonts w:hint="default" w:ascii="Times New Roman" w:hAnsi="Times New Roman" w:cs="Times New Roman"/>
          <w:color w:val="auto"/>
          <w:u w:val="none" w:color="auto"/>
          <w:lang w:bidi="ar"/>
        </w:rPr>
        <w:t>，为监测点有效范围内的常规数据监测点数据</w:t>
      </w:r>
      <w:r>
        <w:rPr>
          <w:rFonts w:hint="default" w:ascii="Times New Roman" w:hAnsi="Times New Roman" w:cs="Times New Roman"/>
          <w:color w:val="auto"/>
          <w:u w:val="none" w:color="auto"/>
        </w:rPr>
        <w:t>。</w:t>
      </w:r>
    </w:p>
    <w:p w14:paraId="1E74CB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①监测因子</w:t>
      </w:r>
      <w:r>
        <w:rPr>
          <w:rFonts w:hint="default" w:ascii="Times New Roman" w:hAnsi="Times New Roman" w:cs="Times New Roman"/>
          <w:color w:val="auto"/>
          <w:u w:val="none" w:color="auto"/>
          <w:lang w:eastAsia="zh-CN" w:bidi="ar"/>
        </w:rPr>
        <w:t>:</w:t>
      </w:r>
      <w:r>
        <w:rPr>
          <w:rFonts w:hint="eastAsia" w:cs="Times New Roman"/>
          <w:color w:val="auto"/>
          <w:u w:val="none" w:color="auto"/>
          <w:lang w:eastAsia="zh-CN" w:bidi="ar"/>
        </w:rPr>
        <w:t>SO</w:t>
      </w:r>
      <w:r>
        <w:rPr>
          <w:rFonts w:hint="eastAsia" w:cs="Times New Roman"/>
          <w:color w:val="auto"/>
          <w:u w:val="none" w:color="auto"/>
          <w:vertAlign w:val="subscript"/>
          <w:lang w:eastAsia="zh-CN" w:bidi="ar"/>
        </w:rPr>
        <w:t>2</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NO</w:t>
      </w:r>
      <w:r>
        <w:rPr>
          <w:rFonts w:hint="eastAsia" w:cs="Times New Roman"/>
          <w:color w:val="auto"/>
          <w:u w:val="none" w:color="auto"/>
          <w:vertAlign w:val="subscript"/>
          <w:lang w:eastAsia="zh-CN" w:bidi="ar"/>
        </w:rPr>
        <w:t>2</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PM</w:t>
      </w:r>
      <w:r>
        <w:rPr>
          <w:rFonts w:hint="eastAsia" w:cs="Times New Roman"/>
          <w:color w:val="auto"/>
          <w:u w:val="none" w:color="auto"/>
          <w:vertAlign w:val="subscript"/>
          <w:lang w:eastAsia="zh-CN" w:bidi="ar"/>
        </w:rPr>
        <w:t>2.5</w:t>
      </w:r>
      <w:r>
        <w:rPr>
          <w:rFonts w:hint="default" w:ascii="Times New Roman" w:hAnsi="Times New Roman" w:cs="Times New Roman"/>
          <w:color w:val="auto"/>
          <w:u w:val="none" w:color="auto"/>
          <w:lang w:bidi="ar"/>
        </w:rPr>
        <w:t>、</w:t>
      </w:r>
      <w:r>
        <w:rPr>
          <w:rFonts w:hint="eastAsia" w:cs="Times New Roman"/>
          <w:color w:val="auto"/>
          <w:u w:val="none" w:color="auto"/>
          <w:lang w:eastAsia="zh-CN" w:bidi="ar"/>
        </w:rPr>
        <w:t>PM</w:t>
      </w:r>
      <w:r>
        <w:rPr>
          <w:rFonts w:hint="eastAsia" w:cs="Times New Roman"/>
          <w:color w:val="auto"/>
          <w:u w:val="none" w:color="auto"/>
          <w:vertAlign w:val="subscript"/>
          <w:lang w:eastAsia="zh-CN" w:bidi="ar"/>
        </w:rPr>
        <w:t>10</w:t>
      </w:r>
      <w:r>
        <w:rPr>
          <w:rFonts w:hint="default" w:ascii="Times New Roman" w:hAnsi="Times New Roman" w:cs="Times New Roman"/>
          <w:color w:val="auto"/>
          <w:u w:val="none" w:color="auto"/>
          <w:lang w:bidi="ar"/>
        </w:rPr>
        <w:t>、CO、O</w:t>
      </w:r>
      <w:r>
        <w:rPr>
          <w:rFonts w:hint="default" w:ascii="Times New Roman" w:hAnsi="Times New Roman" w:cs="Times New Roman"/>
          <w:color w:val="auto"/>
          <w:u w:val="none" w:color="auto"/>
          <w:vertAlign w:val="subscript"/>
          <w:lang w:bidi="ar"/>
        </w:rPr>
        <w:t>3</w:t>
      </w:r>
      <w:r>
        <w:rPr>
          <w:rFonts w:hint="default" w:ascii="Times New Roman" w:hAnsi="Times New Roman" w:cs="Times New Roman"/>
          <w:color w:val="auto"/>
          <w:u w:val="none" w:color="auto"/>
          <w:lang w:bidi="ar"/>
        </w:rPr>
        <w:t>。</w:t>
      </w:r>
    </w:p>
    <w:p w14:paraId="4AFC2383">
      <w:pPr>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bidi="ar"/>
        </w:rPr>
        <w:t>②</w:t>
      </w:r>
      <w:r>
        <w:rPr>
          <w:rFonts w:hint="default" w:ascii="Times New Roman" w:hAnsi="Times New Roman" w:cs="Times New Roman"/>
          <w:color w:val="auto"/>
          <w:u w:val="none" w:color="auto"/>
          <w:lang w:bidi="ar"/>
        </w:rPr>
        <w:t>监测时间</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202</w:t>
      </w:r>
      <w:r>
        <w:rPr>
          <w:rFonts w:hint="default" w:ascii="Times New Roman" w:hAnsi="Times New Roman" w:cs="Times New Roman"/>
          <w:color w:val="auto"/>
          <w:u w:val="none" w:color="auto"/>
          <w:lang w:val="en-US" w:eastAsia="zh-CN" w:bidi="ar"/>
        </w:rPr>
        <w:t>3</w:t>
      </w:r>
      <w:r>
        <w:rPr>
          <w:rFonts w:hint="default" w:ascii="Times New Roman" w:hAnsi="Times New Roman" w:cs="Times New Roman"/>
          <w:color w:val="auto"/>
          <w:u w:val="none" w:color="auto"/>
          <w:lang w:bidi="ar"/>
        </w:rPr>
        <w:t>年。</w:t>
      </w:r>
    </w:p>
    <w:p w14:paraId="754E6E8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bidi="ar"/>
        </w:rPr>
        <w:t>③执行标准</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执行《环境空气质量标准》</w:t>
      </w:r>
      <w:r>
        <w:rPr>
          <w:rFonts w:hint="default" w:ascii="Times New Roman" w:hAnsi="Times New Roman" w:cs="Times New Roman"/>
          <w:color w:val="auto"/>
          <w:u w:val="none" w:color="auto"/>
          <w:lang w:eastAsia="zh-CN" w:bidi="ar"/>
        </w:rPr>
        <w:t>(</w:t>
      </w:r>
      <w:r>
        <w:rPr>
          <w:rFonts w:hint="default" w:ascii="Times New Roman" w:hAnsi="Times New Roman" w:cs="Times New Roman"/>
          <w:color w:val="auto"/>
          <w:u w:val="none" w:color="auto"/>
          <w:lang w:bidi="ar"/>
        </w:rPr>
        <w:t>GB3095-2012</w:t>
      </w:r>
      <w:r>
        <w:rPr>
          <w:rFonts w:hint="default" w:ascii="Times New Roman" w:hAnsi="Times New Roman" w:cs="Times New Roman"/>
          <w:color w:val="auto"/>
          <w:highlight w:val="none"/>
          <w:u w:val="none" w:color="auto"/>
          <w:lang w:eastAsia="zh-CN" w:bidi="ar"/>
        </w:rPr>
        <w:t>)</w:t>
      </w:r>
      <w:r>
        <w:rPr>
          <w:rFonts w:hint="eastAsia" w:cs="Times New Roman"/>
          <w:color w:val="auto"/>
          <w:highlight w:val="none"/>
          <w:u w:val="none" w:color="auto"/>
          <w:lang w:val="en-US" w:eastAsia="zh-CN" w:bidi="ar"/>
        </w:rPr>
        <w:t>及其修改单</w:t>
      </w:r>
      <w:r>
        <w:rPr>
          <w:rFonts w:hint="default" w:ascii="Times New Roman" w:hAnsi="Times New Roman" w:cs="Times New Roman"/>
          <w:color w:val="auto"/>
          <w:u w:val="none" w:color="auto"/>
          <w:lang w:bidi="ar"/>
        </w:rPr>
        <w:t>中的二级标准。</w:t>
      </w:r>
    </w:p>
    <w:p w14:paraId="0294D1F9">
      <w:pPr>
        <w:ind w:firstLine="480"/>
        <w:rPr>
          <w:rFonts w:hint="default" w:ascii="Times New Roman" w:hAnsi="Times New Roman" w:cs="Times New Roman"/>
          <w:color w:val="auto"/>
          <w:u w:val="none" w:color="auto"/>
          <w:lang w:bidi="ar"/>
        </w:rPr>
      </w:pPr>
      <w:r>
        <w:rPr>
          <w:rFonts w:hint="default" w:ascii="Times New Roman" w:hAnsi="Times New Roman" w:cs="Times New Roman"/>
          <w:color w:val="auto"/>
          <w:kern w:val="0"/>
          <w:u w:val="none" w:color="auto"/>
          <w:lang w:eastAsia="zh-CN" w:bidi="ar"/>
        </w:rPr>
        <w:t>道县</w:t>
      </w:r>
      <w:r>
        <w:rPr>
          <w:rFonts w:hint="default" w:ascii="Times New Roman" w:hAnsi="Times New Roman" w:cs="Times New Roman"/>
          <w:color w:val="auto"/>
          <w:u w:val="none" w:color="auto"/>
          <w:lang w:bidi="ar"/>
        </w:rPr>
        <w:t>基本污染物</w:t>
      </w:r>
      <w:r>
        <w:rPr>
          <w:rFonts w:hint="default" w:ascii="Times New Roman" w:hAnsi="Times New Roman" w:cs="Times New Roman"/>
          <w:color w:val="auto"/>
          <w:kern w:val="0"/>
          <w:u w:val="none" w:color="auto"/>
          <w:lang w:bidi="ar"/>
        </w:rPr>
        <w:t>空气质量现状评价</w:t>
      </w:r>
      <w:r>
        <w:rPr>
          <w:rFonts w:hint="eastAsia" w:cs="Times New Roman"/>
          <w:color w:val="auto"/>
          <w:kern w:val="0"/>
          <w:u w:val="none" w:color="auto"/>
          <w:lang w:val="en-US" w:eastAsia="zh-CN" w:bidi="ar"/>
        </w:rPr>
        <w:t>详</w:t>
      </w:r>
      <w:r>
        <w:rPr>
          <w:rFonts w:hint="default" w:ascii="Times New Roman" w:hAnsi="Times New Roman" w:cs="Times New Roman"/>
          <w:color w:val="auto"/>
          <w:u w:val="none" w:color="auto"/>
          <w:lang w:bidi="ar"/>
        </w:rPr>
        <w:t>见下表</w:t>
      </w:r>
      <w:r>
        <w:rPr>
          <w:rFonts w:hint="eastAsia" w:cs="Times New Roman"/>
          <w:color w:val="auto"/>
          <w:u w:val="none" w:color="auto"/>
          <w:lang w:val="en-US" w:eastAsia="zh-CN" w:bidi="ar"/>
        </w:rPr>
        <w:t>5</w:t>
      </w:r>
      <w:r>
        <w:rPr>
          <w:rFonts w:hint="default" w:ascii="Times New Roman" w:hAnsi="Times New Roman" w:cs="Times New Roman"/>
          <w:color w:val="auto"/>
          <w:u w:val="none" w:color="auto"/>
          <w:lang w:bidi="ar"/>
        </w:rPr>
        <w:t>.</w:t>
      </w:r>
      <w:r>
        <w:rPr>
          <w:rFonts w:hint="default" w:ascii="Times New Roman" w:hAnsi="Times New Roman" w:cs="Times New Roman"/>
          <w:color w:val="auto"/>
          <w:u w:val="none" w:color="auto"/>
          <w:lang w:val="en-US" w:eastAsia="zh-CN" w:bidi="ar"/>
        </w:rPr>
        <w:t>2</w:t>
      </w:r>
      <w:r>
        <w:rPr>
          <w:rFonts w:hint="default" w:ascii="Times New Roman" w:hAnsi="Times New Roman" w:cs="Times New Roman"/>
          <w:color w:val="auto"/>
          <w:u w:val="none" w:color="auto"/>
          <w:lang w:bidi="ar"/>
        </w:rPr>
        <w:t>-1。</w:t>
      </w:r>
    </w:p>
    <w:p w14:paraId="1993A83C">
      <w:pPr>
        <w:spacing w:line="240" w:lineRule="auto"/>
        <w:ind w:firstLine="422"/>
        <w:jc w:val="center"/>
        <w:rPr>
          <w:rFonts w:hint="default" w:ascii="Times New Roman" w:hAnsi="Times New Roman" w:cs="Times New Roman"/>
          <w:b/>
          <w:bCs/>
          <w:color w:val="auto"/>
          <w:kern w:val="0"/>
          <w:sz w:val="21"/>
          <w:szCs w:val="21"/>
          <w:u w:val="none" w:color="auto"/>
          <w:lang w:bidi="ar"/>
        </w:rPr>
      </w:pPr>
      <w:r>
        <w:rPr>
          <w:rFonts w:hint="default" w:ascii="Times New Roman" w:hAnsi="Times New Roman" w:cs="Times New Roman"/>
          <w:b/>
          <w:bCs/>
          <w:color w:val="auto"/>
          <w:kern w:val="0"/>
          <w:sz w:val="21"/>
          <w:szCs w:val="21"/>
          <w:u w:val="none" w:color="auto"/>
          <w:lang w:bidi="ar"/>
        </w:rPr>
        <w:t>表</w:t>
      </w:r>
      <w:r>
        <w:rPr>
          <w:rFonts w:hint="eastAsia" w:cs="Times New Roman"/>
          <w:b/>
          <w:bCs/>
          <w:color w:val="auto"/>
          <w:kern w:val="0"/>
          <w:sz w:val="21"/>
          <w:szCs w:val="21"/>
          <w:u w:val="none" w:color="auto"/>
          <w:lang w:val="en-US" w:eastAsia="zh-CN" w:bidi="ar"/>
        </w:rPr>
        <w:t>5</w:t>
      </w:r>
      <w:r>
        <w:rPr>
          <w:rFonts w:hint="default" w:ascii="Times New Roman" w:hAnsi="Times New Roman" w:cs="Times New Roman"/>
          <w:b/>
          <w:bCs/>
          <w:color w:val="auto"/>
          <w:kern w:val="0"/>
          <w:sz w:val="21"/>
          <w:szCs w:val="21"/>
          <w:u w:val="none" w:color="auto"/>
          <w:lang w:bidi="ar"/>
        </w:rPr>
        <w:t>.</w:t>
      </w:r>
      <w:r>
        <w:rPr>
          <w:rFonts w:hint="default" w:ascii="Times New Roman" w:hAnsi="Times New Roman" w:cs="Times New Roman"/>
          <w:b/>
          <w:bCs/>
          <w:color w:val="auto"/>
          <w:kern w:val="0"/>
          <w:sz w:val="21"/>
          <w:szCs w:val="21"/>
          <w:u w:val="none" w:color="auto"/>
          <w:lang w:val="en-US" w:eastAsia="zh-CN" w:bidi="ar"/>
        </w:rPr>
        <w:t>2</w:t>
      </w:r>
      <w:r>
        <w:rPr>
          <w:rFonts w:hint="default" w:ascii="Times New Roman" w:hAnsi="Times New Roman" w:cs="Times New Roman"/>
          <w:b/>
          <w:bCs/>
          <w:color w:val="auto"/>
          <w:kern w:val="0"/>
          <w:sz w:val="21"/>
          <w:szCs w:val="21"/>
          <w:u w:val="none" w:color="auto"/>
          <w:lang w:bidi="ar"/>
        </w:rPr>
        <w:t>-1</w:t>
      </w:r>
      <w:r>
        <w:rPr>
          <w:rFonts w:hint="default" w:ascii="Times New Roman" w:hAnsi="Times New Roman" w:cs="Times New Roman"/>
          <w:b/>
          <w:bCs/>
          <w:color w:val="auto"/>
          <w:kern w:val="0"/>
          <w:sz w:val="21"/>
          <w:szCs w:val="21"/>
          <w:u w:val="none" w:color="auto"/>
          <w:lang w:bidi="ar"/>
        </w:rPr>
        <w:tab/>
      </w:r>
      <w:r>
        <w:rPr>
          <w:rFonts w:hint="default" w:ascii="Times New Roman" w:hAnsi="Times New Roman" w:cs="Times New Roman"/>
          <w:b/>
          <w:bCs/>
          <w:color w:val="auto"/>
          <w:kern w:val="0"/>
          <w:sz w:val="21"/>
          <w:szCs w:val="21"/>
          <w:u w:val="none" w:color="auto"/>
          <w:lang w:val="en-US" w:eastAsia="zh-CN" w:bidi="ar"/>
        </w:rPr>
        <w:t>永州市道县</w:t>
      </w:r>
      <w:r>
        <w:rPr>
          <w:rFonts w:hint="default" w:ascii="Times New Roman" w:hAnsi="Times New Roman" w:cs="Times New Roman"/>
          <w:b/>
          <w:bCs/>
          <w:color w:val="auto"/>
          <w:sz w:val="21"/>
          <w:szCs w:val="21"/>
          <w:u w:val="none" w:color="auto"/>
          <w:lang w:bidi="ar"/>
        </w:rPr>
        <w:t>基本污染物</w:t>
      </w:r>
      <w:r>
        <w:rPr>
          <w:rFonts w:hint="default" w:ascii="Times New Roman" w:hAnsi="Times New Roman" w:cs="Times New Roman"/>
          <w:b/>
          <w:bCs/>
          <w:color w:val="auto"/>
          <w:kern w:val="0"/>
          <w:sz w:val="21"/>
          <w:szCs w:val="21"/>
          <w:u w:val="none" w:color="auto"/>
          <w:lang w:bidi="ar"/>
        </w:rPr>
        <w:t>空气质量现状评价表</w:t>
      </w:r>
    </w:p>
    <w:tbl>
      <w:tblPr>
        <w:tblStyle w:val="37"/>
        <w:tblW w:w="8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772"/>
        <w:gridCol w:w="2431"/>
        <w:gridCol w:w="1288"/>
        <w:gridCol w:w="1200"/>
        <w:gridCol w:w="1406"/>
        <w:gridCol w:w="818"/>
      </w:tblGrid>
      <w:tr w14:paraId="7B8A2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noWrap/>
            <w:vAlign w:val="center"/>
          </w:tcPr>
          <w:p w14:paraId="5981C6D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监测点位</w:t>
            </w:r>
          </w:p>
        </w:tc>
        <w:tc>
          <w:tcPr>
            <w:tcW w:w="772" w:type="dxa"/>
            <w:noWrap/>
            <w:vAlign w:val="center"/>
          </w:tcPr>
          <w:p w14:paraId="03EA085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w:t>
            </w:r>
          </w:p>
          <w:p w14:paraId="3E2F3AE5">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w:t>
            </w:r>
          </w:p>
        </w:tc>
        <w:tc>
          <w:tcPr>
            <w:tcW w:w="2431" w:type="dxa"/>
            <w:noWrap/>
            <w:vAlign w:val="center"/>
          </w:tcPr>
          <w:p w14:paraId="29F7264F">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年评价指标</w:t>
            </w:r>
          </w:p>
        </w:tc>
        <w:tc>
          <w:tcPr>
            <w:tcW w:w="1288" w:type="dxa"/>
            <w:noWrap/>
            <w:vAlign w:val="center"/>
          </w:tcPr>
          <w:p w14:paraId="033C36E4">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现状浓度</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μg/</w:t>
            </w:r>
            <w:r>
              <w:rPr>
                <w:rFonts w:hint="default" w:ascii="Times New Roman" w:hAnsi="Times New Roman" w:cs="Times New Roman"/>
                <w:color w:val="auto"/>
                <w:sz w:val="21"/>
                <w:szCs w:val="21"/>
                <w:u w:val="none" w:color="auto"/>
                <w:lang w:eastAsia="zh-CN"/>
              </w:rPr>
              <w:t>m³</w:t>
            </w:r>
            <w:r>
              <w:rPr>
                <w:rFonts w:hint="default" w:ascii="Times New Roman" w:hAnsi="Times New Roman" w:eastAsia="宋体" w:cs="Times New Roman"/>
                <w:color w:val="auto"/>
                <w:sz w:val="21"/>
                <w:szCs w:val="21"/>
                <w:u w:val="none" w:color="auto"/>
                <w:lang w:eastAsia="zh-CN"/>
              </w:rPr>
              <w:t>)</w:t>
            </w:r>
          </w:p>
        </w:tc>
        <w:tc>
          <w:tcPr>
            <w:tcW w:w="1200" w:type="dxa"/>
            <w:noWrap/>
            <w:vAlign w:val="center"/>
          </w:tcPr>
          <w:p w14:paraId="4E0C407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标准值</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μg/</w:t>
            </w:r>
            <w:r>
              <w:rPr>
                <w:rFonts w:hint="default" w:ascii="Times New Roman" w:hAnsi="Times New Roman" w:cs="Times New Roman"/>
                <w:color w:val="auto"/>
                <w:sz w:val="21"/>
                <w:szCs w:val="21"/>
                <w:u w:val="none" w:color="auto"/>
                <w:lang w:eastAsia="zh-CN"/>
              </w:rPr>
              <w:t>m³</w:t>
            </w:r>
            <w:r>
              <w:rPr>
                <w:rFonts w:hint="default" w:ascii="Times New Roman" w:hAnsi="Times New Roman" w:eastAsia="宋体" w:cs="Times New Roman"/>
                <w:color w:val="auto"/>
                <w:sz w:val="21"/>
                <w:szCs w:val="21"/>
                <w:u w:val="none" w:color="auto"/>
                <w:lang w:eastAsia="zh-CN"/>
              </w:rPr>
              <w:t>)</w:t>
            </w:r>
          </w:p>
        </w:tc>
        <w:tc>
          <w:tcPr>
            <w:tcW w:w="1406" w:type="dxa"/>
            <w:noWrap/>
            <w:vAlign w:val="center"/>
          </w:tcPr>
          <w:p w14:paraId="1BA9F23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占标率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w:t>
            </w:r>
            <w:r>
              <w:rPr>
                <w:rFonts w:hint="default" w:ascii="Times New Roman" w:hAnsi="Times New Roman" w:eastAsia="宋体" w:cs="Times New Roman"/>
                <w:color w:val="auto"/>
                <w:sz w:val="21"/>
                <w:szCs w:val="21"/>
                <w:u w:val="none" w:color="auto"/>
                <w:lang w:eastAsia="zh-CN"/>
              </w:rPr>
              <w:t>)</w:t>
            </w:r>
          </w:p>
        </w:tc>
        <w:tc>
          <w:tcPr>
            <w:tcW w:w="818" w:type="dxa"/>
            <w:noWrap/>
            <w:vAlign w:val="center"/>
          </w:tcPr>
          <w:p w14:paraId="4D00814F">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是否达标</w:t>
            </w:r>
          </w:p>
        </w:tc>
      </w:tr>
      <w:tr w14:paraId="4B15C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restart"/>
            <w:noWrap/>
            <w:vAlign w:val="center"/>
          </w:tcPr>
          <w:p w14:paraId="7A49D6B2">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道县</w:t>
            </w:r>
          </w:p>
        </w:tc>
        <w:tc>
          <w:tcPr>
            <w:tcW w:w="772" w:type="dxa"/>
            <w:noWrap/>
            <w:vAlign w:val="center"/>
          </w:tcPr>
          <w:p w14:paraId="73253B58">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SO</w:t>
            </w:r>
            <w:r>
              <w:rPr>
                <w:rFonts w:hint="eastAsia" w:cs="Times New Roman"/>
                <w:color w:val="auto"/>
                <w:sz w:val="21"/>
                <w:szCs w:val="21"/>
                <w:u w:val="none" w:color="auto"/>
                <w:vertAlign w:val="subscript"/>
                <w:lang w:eastAsia="zh-CN"/>
              </w:rPr>
              <w:t>2</w:t>
            </w:r>
          </w:p>
        </w:tc>
        <w:tc>
          <w:tcPr>
            <w:tcW w:w="2431" w:type="dxa"/>
            <w:noWrap/>
            <w:vAlign w:val="center"/>
          </w:tcPr>
          <w:p w14:paraId="0FD9DBC4">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7901E9A5">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8</w:t>
            </w:r>
          </w:p>
        </w:tc>
        <w:tc>
          <w:tcPr>
            <w:tcW w:w="1200" w:type="dxa"/>
            <w:noWrap/>
            <w:vAlign w:val="center"/>
          </w:tcPr>
          <w:p w14:paraId="3E9F9804">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60</w:t>
            </w:r>
          </w:p>
        </w:tc>
        <w:tc>
          <w:tcPr>
            <w:tcW w:w="1406" w:type="dxa"/>
            <w:noWrap/>
            <w:vAlign w:val="center"/>
          </w:tcPr>
          <w:p w14:paraId="1AEF290F">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13.3</w:t>
            </w:r>
          </w:p>
        </w:tc>
        <w:tc>
          <w:tcPr>
            <w:tcW w:w="818" w:type="dxa"/>
            <w:noWrap/>
            <w:vAlign w:val="center"/>
          </w:tcPr>
          <w:p w14:paraId="0088BAC6">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26B56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3AD24D3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47949D65">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NO</w:t>
            </w:r>
            <w:r>
              <w:rPr>
                <w:rFonts w:hint="eastAsia" w:cs="Times New Roman"/>
                <w:color w:val="auto"/>
                <w:sz w:val="21"/>
                <w:szCs w:val="21"/>
                <w:u w:val="none" w:color="auto"/>
                <w:vertAlign w:val="subscript"/>
                <w:lang w:eastAsia="zh-CN"/>
              </w:rPr>
              <w:t>2</w:t>
            </w:r>
          </w:p>
        </w:tc>
        <w:tc>
          <w:tcPr>
            <w:tcW w:w="2431" w:type="dxa"/>
            <w:noWrap/>
            <w:vAlign w:val="center"/>
          </w:tcPr>
          <w:p w14:paraId="2C60D94B">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28EDCEB9">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w:t>
            </w:r>
          </w:p>
        </w:tc>
        <w:tc>
          <w:tcPr>
            <w:tcW w:w="1200" w:type="dxa"/>
            <w:noWrap/>
            <w:vAlign w:val="center"/>
          </w:tcPr>
          <w:p w14:paraId="58249AF5">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40</w:t>
            </w:r>
          </w:p>
        </w:tc>
        <w:tc>
          <w:tcPr>
            <w:tcW w:w="1406" w:type="dxa"/>
            <w:noWrap/>
            <w:vAlign w:val="center"/>
          </w:tcPr>
          <w:p w14:paraId="44E01330">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25.0</w:t>
            </w:r>
          </w:p>
        </w:tc>
        <w:tc>
          <w:tcPr>
            <w:tcW w:w="818" w:type="dxa"/>
            <w:noWrap/>
            <w:vAlign w:val="center"/>
          </w:tcPr>
          <w:p w14:paraId="431279E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0A0D2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21EF42A5">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72CB6857">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10</w:t>
            </w:r>
          </w:p>
        </w:tc>
        <w:tc>
          <w:tcPr>
            <w:tcW w:w="2431" w:type="dxa"/>
            <w:noWrap/>
            <w:vAlign w:val="center"/>
          </w:tcPr>
          <w:p w14:paraId="5521A54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5F5CD649">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44</w:t>
            </w:r>
          </w:p>
        </w:tc>
        <w:tc>
          <w:tcPr>
            <w:tcW w:w="1200" w:type="dxa"/>
            <w:noWrap/>
            <w:vAlign w:val="center"/>
          </w:tcPr>
          <w:p w14:paraId="2518032D">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70</w:t>
            </w:r>
          </w:p>
        </w:tc>
        <w:tc>
          <w:tcPr>
            <w:tcW w:w="1406" w:type="dxa"/>
            <w:noWrap/>
            <w:vAlign w:val="center"/>
          </w:tcPr>
          <w:p w14:paraId="2F5D9C9D">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62.9</w:t>
            </w:r>
          </w:p>
        </w:tc>
        <w:tc>
          <w:tcPr>
            <w:tcW w:w="818" w:type="dxa"/>
            <w:noWrap/>
            <w:vAlign w:val="center"/>
          </w:tcPr>
          <w:p w14:paraId="251E2017">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367DB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184ADA19">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18BA2355">
            <w:pPr>
              <w:spacing w:line="240" w:lineRule="auto"/>
              <w:ind w:firstLine="0" w:firstLineChars="0"/>
              <w:contextualSpacing/>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PM</w:t>
            </w:r>
            <w:r>
              <w:rPr>
                <w:rFonts w:hint="eastAsia" w:cs="Times New Roman"/>
                <w:color w:val="auto"/>
                <w:sz w:val="21"/>
                <w:szCs w:val="21"/>
                <w:u w:val="none" w:color="auto"/>
                <w:vertAlign w:val="subscript"/>
                <w:lang w:eastAsia="zh-CN"/>
              </w:rPr>
              <w:t>2.5</w:t>
            </w:r>
          </w:p>
        </w:tc>
        <w:tc>
          <w:tcPr>
            <w:tcW w:w="2431" w:type="dxa"/>
            <w:noWrap/>
            <w:vAlign w:val="center"/>
          </w:tcPr>
          <w:p w14:paraId="2787ED21">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288" w:type="dxa"/>
            <w:noWrap/>
            <w:vAlign w:val="center"/>
          </w:tcPr>
          <w:p w14:paraId="05A89006">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25</w:t>
            </w:r>
          </w:p>
        </w:tc>
        <w:tc>
          <w:tcPr>
            <w:tcW w:w="1200" w:type="dxa"/>
            <w:noWrap/>
            <w:vAlign w:val="center"/>
          </w:tcPr>
          <w:p w14:paraId="0F944BFF">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35</w:t>
            </w:r>
          </w:p>
        </w:tc>
        <w:tc>
          <w:tcPr>
            <w:tcW w:w="1406" w:type="dxa"/>
            <w:noWrap/>
            <w:vAlign w:val="center"/>
          </w:tcPr>
          <w:p w14:paraId="31187BB2">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71.4</w:t>
            </w:r>
          </w:p>
        </w:tc>
        <w:tc>
          <w:tcPr>
            <w:tcW w:w="818" w:type="dxa"/>
            <w:noWrap/>
            <w:vAlign w:val="center"/>
          </w:tcPr>
          <w:p w14:paraId="6E9AEE5C">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73B4C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1CDDEE3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7C957347">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w:t>
            </w:r>
          </w:p>
        </w:tc>
        <w:tc>
          <w:tcPr>
            <w:tcW w:w="2431" w:type="dxa"/>
            <w:noWrap/>
            <w:vAlign w:val="center"/>
          </w:tcPr>
          <w:p w14:paraId="208645A2">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95百分位数日平均质量浓度</w:t>
            </w:r>
          </w:p>
        </w:tc>
        <w:tc>
          <w:tcPr>
            <w:tcW w:w="1288" w:type="dxa"/>
            <w:noWrap/>
            <w:vAlign w:val="center"/>
          </w:tcPr>
          <w:p w14:paraId="71E7906D">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0.</w:t>
            </w:r>
            <w:r>
              <w:rPr>
                <w:rFonts w:hint="default" w:ascii="Times New Roman" w:hAnsi="Times New Roman" w:eastAsia="宋体" w:cs="Times New Roman"/>
                <w:color w:val="auto"/>
                <w:sz w:val="21"/>
                <w:szCs w:val="21"/>
                <w:u w:val="none" w:color="auto"/>
                <w:lang w:val="en-US" w:eastAsia="zh-CN"/>
              </w:rPr>
              <w:t>7</w:t>
            </w:r>
            <w:r>
              <w:rPr>
                <w:rFonts w:hint="default" w:ascii="Times New Roman" w:hAnsi="Times New Roman" w:eastAsia="宋体" w:cs="Times New Roman"/>
                <w:color w:val="auto"/>
                <w:sz w:val="21"/>
                <w:szCs w:val="21"/>
                <w:u w:val="none" w:color="auto"/>
              </w:rPr>
              <w:t>mg/</w:t>
            </w:r>
            <w:r>
              <w:rPr>
                <w:rFonts w:hint="default" w:ascii="Times New Roman" w:hAnsi="Times New Roman" w:cs="Times New Roman"/>
                <w:color w:val="auto"/>
                <w:sz w:val="21"/>
                <w:szCs w:val="21"/>
                <w:u w:val="none" w:color="auto"/>
                <w:lang w:eastAsia="zh-CN"/>
              </w:rPr>
              <w:t>m³</w:t>
            </w:r>
          </w:p>
        </w:tc>
        <w:tc>
          <w:tcPr>
            <w:tcW w:w="1200" w:type="dxa"/>
            <w:noWrap/>
            <w:vAlign w:val="center"/>
          </w:tcPr>
          <w:p w14:paraId="363D50BA">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4mg/</w:t>
            </w:r>
            <w:r>
              <w:rPr>
                <w:rFonts w:hint="default" w:ascii="Times New Roman" w:hAnsi="Times New Roman" w:cs="Times New Roman"/>
                <w:color w:val="auto"/>
                <w:sz w:val="21"/>
                <w:szCs w:val="21"/>
                <w:u w:val="none" w:color="auto"/>
                <w:lang w:eastAsia="zh-CN"/>
              </w:rPr>
              <w:t>m³</w:t>
            </w:r>
          </w:p>
        </w:tc>
        <w:tc>
          <w:tcPr>
            <w:tcW w:w="1406" w:type="dxa"/>
            <w:noWrap/>
            <w:vAlign w:val="center"/>
          </w:tcPr>
          <w:p w14:paraId="3FAFE97E">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20</w:t>
            </w:r>
          </w:p>
        </w:tc>
        <w:tc>
          <w:tcPr>
            <w:tcW w:w="818" w:type="dxa"/>
            <w:noWrap/>
            <w:vAlign w:val="center"/>
          </w:tcPr>
          <w:p w14:paraId="4364885D">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434F2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vMerge w:val="continue"/>
            <w:noWrap/>
            <w:vAlign w:val="center"/>
          </w:tcPr>
          <w:p w14:paraId="4276C4F1">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p>
        </w:tc>
        <w:tc>
          <w:tcPr>
            <w:tcW w:w="772" w:type="dxa"/>
            <w:noWrap/>
            <w:vAlign w:val="center"/>
          </w:tcPr>
          <w:p w14:paraId="58054479">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O</w:t>
            </w:r>
            <w:r>
              <w:rPr>
                <w:rFonts w:hint="default" w:ascii="Times New Roman" w:hAnsi="Times New Roman" w:eastAsia="宋体" w:cs="Times New Roman"/>
                <w:color w:val="auto"/>
                <w:sz w:val="21"/>
                <w:szCs w:val="21"/>
                <w:u w:val="none" w:color="auto"/>
                <w:vertAlign w:val="subscript"/>
              </w:rPr>
              <w:t>3</w:t>
            </w:r>
          </w:p>
        </w:tc>
        <w:tc>
          <w:tcPr>
            <w:tcW w:w="2431" w:type="dxa"/>
            <w:noWrap/>
            <w:vAlign w:val="center"/>
          </w:tcPr>
          <w:p w14:paraId="57D77E56">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90百分位数最大8小时平均质量浓度</w:t>
            </w:r>
          </w:p>
        </w:tc>
        <w:tc>
          <w:tcPr>
            <w:tcW w:w="1288" w:type="dxa"/>
            <w:noWrap/>
            <w:vAlign w:val="center"/>
          </w:tcPr>
          <w:p w14:paraId="645D2F51">
            <w:pPr>
              <w:spacing w:line="240" w:lineRule="auto"/>
              <w:ind w:firstLine="0" w:firstLineChars="0"/>
              <w:contextualSpacing/>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1</w:t>
            </w:r>
            <w:r>
              <w:rPr>
                <w:rFonts w:hint="default" w:ascii="Times New Roman" w:hAnsi="Times New Roman" w:eastAsia="宋体" w:cs="Times New Roman"/>
                <w:color w:val="auto"/>
                <w:sz w:val="21"/>
                <w:szCs w:val="21"/>
                <w:u w:val="none" w:color="auto"/>
                <w:lang w:val="en-US" w:eastAsia="zh-CN"/>
              </w:rPr>
              <w:t>18</w:t>
            </w:r>
          </w:p>
        </w:tc>
        <w:tc>
          <w:tcPr>
            <w:tcW w:w="1200" w:type="dxa"/>
            <w:noWrap/>
            <w:vAlign w:val="center"/>
          </w:tcPr>
          <w:p w14:paraId="3C7681DC">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160</w:t>
            </w:r>
          </w:p>
        </w:tc>
        <w:tc>
          <w:tcPr>
            <w:tcW w:w="1406" w:type="dxa"/>
            <w:noWrap/>
            <w:vAlign w:val="center"/>
          </w:tcPr>
          <w:p w14:paraId="3E14FDED">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73.8</w:t>
            </w:r>
          </w:p>
        </w:tc>
        <w:tc>
          <w:tcPr>
            <w:tcW w:w="818" w:type="dxa"/>
            <w:noWrap/>
            <w:vAlign w:val="center"/>
          </w:tcPr>
          <w:p w14:paraId="4BF3617A">
            <w:pPr>
              <w:spacing w:line="240" w:lineRule="auto"/>
              <w:ind w:firstLine="0" w:firstLineChars="0"/>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bl>
    <w:p w14:paraId="3D132DB0">
      <w:pPr>
        <w:snapToGrid w:val="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w:t>
      </w:r>
      <w:r>
        <w:rPr>
          <w:rFonts w:hint="default" w:ascii="Times New Roman" w:hAnsi="Times New Roman" w:cs="Times New Roman"/>
          <w:color w:val="auto"/>
          <w:u w:val="none" w:color="auto"/>
          <w:lang w:eastAsia="zh-CN"/>
        </w:rPr>
        <w:t>道县</w:t>
      </w:r>
      <w:r>
        <w:rPr>
          <w:rFonts w:hint="default" w:ascii="Times New Roman" w:hAnsi="Times New Roman" w:cs="Times New Roman"/>
          <w:color w:val="auto"/>
          <w:u w:val="none" w:color="auto"/>
        </w:rPr>
        <w:t>常规因子</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NO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10</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2.5、</w:t>
      </w:r>
      <w:r>
        <w:rPr>
          <w:rFonts w:hint="default" w:ascii="Times New Roman" w:hAnsi="Times New Roman" w:cs="Times New Roman"/>
          <w:color w:val="auto"/>
          <w:u w:val="none" w:color="auto"/>
        </w:rPr>
        <w:t>CO、O</w:t>
      </w:r>
      <w:r>
        <w:rPr>
          <w:rFonts w:hint="default" w:ascii="Times New Roman" w:hAnsi="Times New Roman" w:cs="Times New Roman"/>
          <w:color w:val="auto"/>
          <w:u w:val="none" w:color="auto"/>
          <w:vertAlign w:val="subscript"/>
        </w:rPr>
        <w:t>3</w:t>
      </w:r>
      <w:r>
        <w:rPr>
          <w:rFonts w:hint="default" w:ascii="Times New Roman" w:hAnsi="Times New Roman" w:cs="Times New Roman"/>
          <w:color w:val="auto"/>
          <w:u w:val="none" w:color="auto"/>
        </w:rPr>
        <w:t>年均值或百分位数8h平均质量浓度</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eastAsia" w:cs="Times New Roman"/>
          <w:color w:val="auto"/>
          <w:highlight w:val="none"/>
          <w:u w:val="none" w:color="auto"/>
          <w:lang w:val="en-US" w:eastAsia="zh-CN"/>
        </w:rPr>
        <w:t>及其修改单</w:t>
      </w:r>
      <w:r>
        <w:rPr>
          <w:rFonts w:hint="default" w:ascii="Times New Roman" w:hAnsi="Times New Roman" w:cs="Times New Roman"/>
          <w:color w:val="auto"/>
          <w:u w:val="none" w:color="auto"/>
        </w:rPr>
        <w:t>中的二级标准。</w:t>
      </w:r>
    </w:p>
    <w:p w14:paraId="7CDEABAF">
      <w:pPr>
        <w:ind w:firstLine="480"/>
        <w:rPr>
          <w:rFonts w:hint="default" w:ascii="Times New Roman" w:hAnsi="Times New Roman" w:eastAsia="宋体"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其他污染物环境质量现状补充监测数据</w:t>
      </w:r>
    </w:p>
    <w:p w14:paraId="5BAE2607">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评价期间</w:t>
      </w:r>
      <w:r>
        <w:rPr>
          <w:rFonts w:hint="eastAsia" w:cs="Times New Roman"/>
          <w:color w:val="auto"/>
          <w:szCs w:val="21"/>
          <w:highlight w:val="none"/>
          <w:u w:val="none" w:color="auto"/>
          <w:lang w:val="en-US" w:eastAsia="zh-CN"/>
        </w:rPr>
        <w:t>委托湖南乾诚检测有限公司</w:t>
      </w:r>
      <w:r>
        <w:rPr>
          <w:rFonts w:hint="default" w:ascii="Times New Roman" w:hAnsi="Times New Roman" w:cs="Times New Roman"/>
          <w:color w:val="auto"/>
          <w:szCs w:val="21"/>
          <w:highlight w:val="none"/>
          <w:u w:val="none" w:color="auto"/>
          <w:lang w:val="en-US" w:eastAsia="zh-CN"/>
        </w:rPr>
        <w:t>对项目地TSP进行了现状监测，具体如下:</w:t>
      </w:r>
    </w:p>
    <w:p w14:paraId="00F3DA74">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监测因子</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TSP日均值，连续监测</w:t>
      </w:r>
      <w:r>
        <w:rPr>
          <w:rFonts w:hint="default" w:ascii="Times New Roman" w:hAnsi="Times New Roman" w:cs="Times New Roman"/>
          <w:color w:val="auto"/>
          <w:szCs w:val="21"/>
          <w:highlight w:val="none"/>
          <w:u w:val="none" w:color="auto"/>
          <w:lang w:val="en-US" w:eastAsia="zh-CN"/>
        </w:rPr>
        <w:t>7</w:t>
      </w:r>
      <w:r>
        <w:rPr>
          <w:rFonts w:hint="default" w:ascii="Times New Roman" w:hAnsi="Times New Roman" w:cs="Times New Roman"/>
          <w:color w:val="auto"/>
          <w:szCs w:val="21"/>
          <w:highlight w:val="none"/>
          <w:u w:val="none" w:color="auto"/>
        </w:rPr>
        <w:t>天。</w:t>
      </w:r>
    </w:p>
    <w:p w14:paraId="0E36D03C">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评价标准</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《环境空气质量标准》</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GB3095-2012</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中二级标准及2018年修改单。</w:t>
      </w:r>
    </w:p>
    <w:p w14:paraId="66DC655A">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监测时间</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202</w:t>
      </w:r>
      <w:r>
        <w:rPr>
          <w:rFonts w:hint="default" w:ascii="Times New Roman" w:hAnsi="Times New Roman" w:cs="Times New Roman"/>
          <w:color w:val="auto"/>
          <w:szCs w:val="21"/>
          <w:highlight w:val="none"/>
          <w:u w:val="none" w:color="auto"/>
          <w:lang w:val="en-US" w:eastAsia="zh-CN"/>
        </w:rPr>
        <w:t>4</w:t>
      </w:r>
      <w:r>
        <w:rPr>
          <w:rFonts w:hint="default" w:ascii="Times New Roman" w:hAnsi="Times New Roman" w:cs="Times New Roman"/>
          <w:color w:val="auto"/>
          <w:szCs w:val="21"/>
          <w:highlight w:val="none"/>
          <w:u w:val="none" w:color="auto"/>
        </w:rPr>
        <w:t>年</w:t>
      </w:r>
      <w:r>
        <w:rPr>
          <w:rFonts w:hint="eastAsia" w:cs="Times New Roman"/>
          <w:color w:val="auto"/>
          <w:szCs w:val="21"/>
          <w:highlight w:val="none"/>
          <w:u w:val="none" w:color="auto"/>
          <w:lang w:val="en-US" w:eastAsia="zh-CN"/>
        </w:rPr>
        <w:t>12月16</w:t>
      </w:r>
      <w:r>
        <w:rPr>
          <w:rFonts w:hint="default" w:ascii="Times New Roman" w:hAnsi="Times New Roman" w:cs="Times New Roman"/>
          <w:color w:val="auto"/>
          <w:szCs w:val="21"/>
          <w:highlight w:val="none"/>
          <w:u w:val="none" w:color="auto"/>
        </w:rPr>
        <w:t>日</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202</w:t>
      </w:r>
      <w:r>
        <w:rPr>
          <w:rFonts w:hint="default" w:ascii="Times New Roman" w:hAnsi="Times New Roman" w:cs="Times New Roman"/>
          <w:color w:val="auto"/>
          <w:szCs w:val="21"/>
          <w:highlight w:val="none"/>
          <w:u w:val="none" w:color="auto"/>
          <w:lang w:val="en-US" w:eastAsia="zh-CN"/>
        </w:rPr>
        <w:t>4</w:t>
      </w:r>
      <w:r>
        <w:rPr>
          <w:rFonts w:hint="default" w:ascii="Times New Roman" w:hAnsi="Times New Roman" w:cs="Times New Roman"/>
          <w:color w:val="auto"/>
          <w:szCs w:val="21"/>
          <w:highlight w:val="none"/>
          <w:u w:val="none" w:color="auto"/>
        </w:rPr>
        <w:t>年</w:t>
      </w:r>
      <w:r>
        <w:rPr>
          <w:rFonts w:hint="eastAsia" w:cs="Times New Roman"/>
          <w:color w:val="auto"/>
          <w:szCs w:val="21"/>
          <w:highlight w:val="none"/>
          <w:u w:val="none" w:color="auto"/>
          <w:lang w:val="en-US" w:eastAsia="zh-CN"/>
        </w:rPr>
        <w:t>12月22</w:t>
      </w:r>
      <w:r>
        <w:rPr>
          <w:rFonts w:hint="default" w:ascii="Times New Roman" w:hAnsi="Times New Roman" w:cs="Times New Roman"/>
          <w:color w:val="auto"/>
          <w:szCs w:val="21"/>
          <w:highlight w:val="none"/>
          <w:u w:val="none" w:color="auto"/>
        </w:rPr>
        <w:t>日。</w:t>
      </w:r>
    </w:p>
    <w:p w14:paraId="28E43C0F">
      <w:pPr>
        <w:spacing w:line="360" w:lineRule="auto"/>
        <w:ind w:firstLine="480" w:firstLineChars="200"/>
        <w:rPr>
          <w:rFonts w:hint="default" w:ascii="Times New Roman" w:hAnsi="Times New Roman" w:eastAsia="宋体" w:cs="Times New Roman"/>
          <w:color w:val="auto"/>
          <w:kern w:val="0"/>
          <w:szCs w:val="21"/>
          <w:highlight w:val="none"/>
          <w:u w:val="none" w:color="auto"/>
        </w:rPr>
      </w:pPr>
      <w:r>
        <w:rPr>
          <w:rFonts w:hint="default" w:ascii="Times New Roman" w:hAnsi="Times New Roman" w:cs="Times New Roman"/>
          <w:color w:val="auto"/>
          <w:szCs w:val="21"/>
          <w:highlight w:val="none"/>
          <w:u w:val="none" w:color="auto"/>
        </w:rPr>
        <w:t>监测点位</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G1</w:t>
      </w:r>
      <w:r>
        <w:rPr>
          <w:rFonts w:hint="default" w:ascii="Times New Roman" w:hAnsi="Times New Roman" w:cs="Times New Roman"/>
          <w:color w:val="auto"/>
          <w:szCs w:val="21"/>
          <w:highlight w:val="none"/>
          <w:u w:val="none" w:color="auto"/>
          <w:lang w:val="en-US" w:eastAsia="zh-CN"/>
        </w:rPr>
        <w:t>廊洞水库大坝</w:t>
      </w:r>
      <w:r>
        <w:rPr>
          <w:rFonts w:hint="default" w:ascii="Times New Roman" w:hAnsi="Times New Roman" w:eastAsia="宋体" w:cs="Times New Roman"/>
          <w:color w:val="auto"/>
          <w:kern w:val="0"/>
          <w:szCs w:val="21"/>
          <w:highlight w:val="none"/>
          <w:u w:val="none" w:color="auto"/>
        </w:rPr>
        <w:t>。</w:t>
      </w:r>
    </w:p>
    <w:p w14:paraId="681E7B79">
      <w:pPr>
        <w:spacing w:line="360" w:lineRule="auto"/>
        <w:ind w:firstLine="480" w:firstLineChars="200"/>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监测结果</w:t>
      </w:r>
      <w:r>
        <w:rPr>
          <w:rFonts w:hint="default" w:ascii="Times New Roman" w:hAnsi="Times New Roman" w:cs="Times New Roman"/>
          <w:color w:val="auto"/>
          <w:szCs w:val="21"/>
          <w:highlight w:val="none"/>
          <w:u w:val="none" w:color="auto"/>
          <w:lang w:eastAsia="zh-CN"/>
        </w:rPr>
        <w:t>:</w:t>
      </w:r>
      <w:r>
        <w:rPr>
          <w:rFonts w:hint="default" w:ascii="Times New Roman" w:hAnsi="Times New Roman" w:cs="Times New Roman"/>
          <w:color w:val="auto"/>
          <w:szCs w:val="21"/>
          <w:highlight w:val="none"/>
          <w:u w:val="none" w:color="auto"/>
        </w:rPr>
        <w:t>见表</w:t>
      </w:r>
      <w:r>
        <w:rPr>
          <w:rFonts w:hint="eastAsia" w:cs="Times New Roman"/>
          <w:color w:val="auto"/>
          <w:szCs w:val="21"/>
          <w:highlight w:val="none"/>
          <w:u w:val="none" w:color="auto"/>
          <w:lang w:val="en-US" w:eastAsia="zh-CN"/>
        </w:rPr>
        <w:t>5</w:t>
      </w:r>
      <w:r>
        <w:rPr>
          <w:rFonts w:hint="default" w:ascii="Times New Roman" w:hAnsi="Times New Roman" w:cs="Times New Roman"/>
          <w:color w:val="auto"/>
          <w:szCs w:val="21"/>
          <w:highlight w:val="none"/>
          <w:u w:val="none" w:color="auto"/>
          <w:lang w:val="en-US" w:eastAsia="zh-CN"/>
        </w:rPr>
        <w:t>.2</w:t>
      </w:r>
      <w:r>
        <w:rPr>
          <w:rFonts w:hint="default" w:ascii="Times New Roman" w:hAnsi="Times New Roman" w:cs="Times New Roman"/>
          <w:color w:val="auto"/>
          <w:szCs w:val="21"/>
          <w:highlight w:val="none"/>
          <w:u w:val="none" w:color="auto"/>
        </w:rPr>
        <w:t>-2。</w:t>
      </w:r>
    </w:p>
    <w:p w14:paraId="156C4F24">
      <w:pPr>
        <w:spacing w:line="240" w:lineRule="auto"/>
        <w:ind w:firstLine="422"/>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-2</w:t>
      </w:r>
      <w:r>
        <w:rPr>
          <w:rFonts w:hint="eastAsia" w:ascii="Times New Roman" w:hAnsi="Times New Roman" w:cs="Times New Roman"/>
          <w:b/>
          <w:bCs/>
          <w:color w:val="auto"/>
          <w:sz w:val="21"/>
          <w:szCs w:val="21"/>
          <w:u w:val="none" w:color="auto"/>
          <w:lang w:val="en-US" w:eastAsia="zh-CN"/>
        </w:rPr>
        <w:t xml:space="preserve"> </w:t>
      </w:r>
      <w:r>
        <w:rPr>
          <w:rFonts w:hint="eastAsia" w:cs="Times New Roman"/>
          <w:b/>
          <w:bCs/>
          <w:color w:val="auto"/>
          <w:sz w:val="21"/>
          <w:szCs w:val="21"/>
          <w:u w:val="none" w:color="auto"/>
          <w:lang w:val="en-US" w:eastAsia="zh-CN"/>
        </w:rPr>
        <w:t xml:space="preserve"> </w:t>
      </w:r>
      <w:r>
        <w:rPr>
          <w:rFonts w:hint="default" w:ascii="Times New Roman" w:hAnsi="Times New Roman" w:eastAsia="宋体" w:cs="Times New Roman"/>
          <w:b/>
          <w:bCs/>
          <w:color w:val="auto"/>
          <w:sz w:val="21"/>
          <w:szCs w:val="21"/>
          <w:u w:val="none" w:color="auto"/>
        </w:rPr>
        <w:t>项目所在区域空气监测评价结果</w:t>
      </w:r>
      <w:r>
        <w:rPr>
          <w:rFonts w:hint="default" w:ascii="Times New Roman" w:hAnsi="Times New Roman" w:cs="Times New Roman"/>
          <w:b/>
          <w:bCs/>
          <w:color w:val="auto"/>
          <w:sz w:val="21"/>
          <w:szCs w:val="21"/>
          <w:highlight w:val="none"/>
          <w:u w:val="none" w:color="auto"/>
          <w:lang w:eastAsia="zh-CN"/>
        </w:rPr>
        <w:t>(</w:t>
      </w:r>
      <w:r>
        <w:rPr>
          <w:rFonts w:hint="default" w:ascii="Times New Roman" w:hAnsi="Times New Roman" w:eastAsia="宋体" w:cs="Times New Roman"/>
          <w:b/>
          <w:bCs/>
          <w:color w:val="auto"/>
          <w:sz w:val="21"/>
          <w:szCs w:val="21"/>
          <w:u w:val="none" w:color="auto"/>
        </w:rPr>
        <w:t>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eastAsia="宋体" w:cs="Times New Roman"/>
          <w:b/>
          <w:bCs/>
          <w:color w:val="auto"/>
          <w:sz w:val="21"/>
          <w:szCs w:val="21"/>
          <w:u w:val="none" w:color="auto"/>
        </w:rPr>
        <w:t>mg/</w:t>
      </w:r>
      <w:r>
        <w:rPr>
          <w:rFonts w:hint="default" w:ascii="Times New Roman" w:hAnsi="Times New Roman" w:cs="Times New Roman"/>
          <w:b/>
          <w:bCs/>
          <w:color w:val="auto"/>
          <w:sz w:val="21"/>
          <w:szCs w:val="21"/>
          <w:u w:val="none" w:color="auto"/>
          <w:lang w:eastAsia="zh-CN"/>
        </w:rPr>
        <w:t>m³</w:t>
      </w:r>
      <w:r>
        <w:rPr>
          <w:rFonts w:hint="default" w:ascii="Times New Roman" w:hAnsi="Times New Roman" w:cs="Times New Roman"/>
          <w:b/>
          <w:bCs/>
          <w:color w:val="auto"/>
          <w:sz w:val="21"/>
          <w:szCs w:val="21"/>
          <w:highlight w:val="none"/>
          <w:u w:val="none" w:color="auto"/>
          <w:lang w:eastAsia="zh-CN"/>
        </w:rPr>
        <w:t>)</w:t>
      </w:r>
    </w:p>
    <w:tbl>
      <w:tblPr>
        <w:tblStyle w:val="162"/>
        <w:tblW w:w="8318"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4"/>
        <w:gridCol w:w="1187"/>
        <w:gridCol w:w="1363"/>
        <w:gridCol w:w="1462"/>
        <w:gridCol w:w="1601"/>
        <w:gridCol w:w="1052"/>
        <w:gridCol w:w="939"/>
      </w:tblGrid>
      <w:tr w14:paraId="4A9BE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714" w:type="dxa"/>
            <w:tcBorders>
              <w:tl2br w:val="nil"/>
              <w:tr2bl w:val="nil"/>
            </w:tcBorders>
            <w:vAlign w:val="center"/>
          </w:tcPr>
          <w:p w14:paraId="0DB57D0E">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类别</w:t>
            </w:r>
          </w:p>
        </w:tc>
        <w:tc>
          <w:tcPr>
            <w:tcW w:w="1187" w:type="dxa"/>
            <w:tcBorders>
              <w:tl2br w:val="nil"/>
              <w:tr2bl w:val="nil"/>
            </w:tcBorders>
            <w:vAlign w:val="center"/>
          </w:tcPr>
          <w:p w14:paraId="5C4B9C94">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检测点位</w:t>
            </w:r>
          </w:p>
        </w:tc>
        <w:tc>
          <w:tcPr>
            <w:tcW w:w="1363" w:type="dxa"/>
            <w:tcBorders>
              <w:tl2br w:val="nil"/>
              <w:tr2bl w:val="nil"/>
            </w:tcBorders>
            <w:vAlign w:val="center"/>
          </w:tcPr>
          <w:p w14:paraId="71CC063B">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采样日期</w:t>
            </w:r>
          </w:p>
        </w:tc>
        <w:tc>
          <w:tcPr>
            <w:tcW w:w="1462" w:type="dxa"/>
            <w:tcBorders>
              <w:tl2br w:val="nil"/>
              <w:tr2bl w:val="nil"/>
            </w:tcBorders>
            <w:vAlign w:val="center"/>
          </w:tcPr>
          <w:p w14:paraId="263DAC93">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检测项目</w:t>
            </w:r>
          </w:p>
        </w:tc>
        <w:tc>
          <w:tcPr>
            <w:tcW w:w="1601" w:type="dxa"/>
            <w:tcBorders>
              <w:tl2br w:val="nil"/>
              <w:tr2bl w:val="nil"/>
            </w:tcBorders>
            <w:vAlign w:val="center"/>
          </w:tcPr>
          <w:p w14:paraId="282D398C">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检测结果</w:t>
            </w:r>
          </w:p>
        </w:tc>
        <w:tc>
          <w:tcPr>
            <w:tcW w:w="1052" w:type="dxa"/>
            <w:tcBorders>
              <w:tl2br w:val="nil"/>
              <w:tr2bl w:val="nil"/>
            </w:tcBorders>
            <w:vAlign w:val="center"/>
          </w:tcPr>
          <w:p w14:paraId="0B8C7833">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参考限值</w:t>
            </w:r>
          </w:p>
        </w:tc>
        <w:tc>
          <w:tcPr>
            <w:tcW w:w="939" w:type="dxa"/>
            <w:tcBorders>
              <w:tl2br w:val="nil"/>
              <w:tr2bl w:val="nil"/>
            </w:tcBorders>
            <w:vAlign w:val="center"/>
          </w:tcPr>
          <w:p w14:paraId="457B4B4A">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是否达标</w:t>
            </w:r>
          </w:p>
        </w:tc>
      </w:tr>
      <w:tr w14:paraId="688792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8" w:hRule="atLeast"/>
        </w:trPr>
        <w:tc>
          <w:tcPr>
            <w:tcW w:w="714" w:type="dxa"/>
            <w:tcBorders>
              <w:tl2br w:val="nil"/>
              <w:tr2bl w:val="nil"/>
            </w:tcBorders>
            <w:vAlign w:val="center"/>
          </w:tcPr>
          <w:p w14:paraId="7148FD6F">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环境</w:t>
            </w:r>
          </w:p>
          <w:p w14:paraId="05ACF112">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空气</w:t>
            </w:r>
          </w:p>
        </w:tc>
        <w:tc>
          <w:tcPr>
            <w:tcW w:w="1187" w:type="dxa"/>
            <w:tcBorders>
              <w:tl2br w:val="nil"/>
              <w:tr2bl w:val="nil"/>
            </w:tcBorders>
            <w:vAlign w:val="center"/>
          </w:tcPr>
          <w:p w14:paraId="75752327">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G1廊洞水库大坝坝址附近</w:t>
            </w:r>
          </w:p>
        </w:tc>
        <w:tc>
          <w:tcPr>
            <w:tcW w:w="1363" w:type="dxa"/>
            <w:tcBorders>
              <w:tl2br w:val="nil"/>
              <w:tr2bl w:val="nil"/>
            </w:tcBorders>
            <w:vAlign w:val="center"/>
          </w:tcPr>
          <w:p w14:paraId="2FF57B08">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2024.12.16</w:t>
            </w:r>
          </w:p>
          <w:p w14:paraId="0DF6A845">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~12.22</w:t>
            </w:r>
          </w:p>
        </w:tc>
        <w:tc>
          <w:tcPr>
            <w:tcW w:w="1462" w:type="dxa"/>
            <w:tcBorders>
              <w:tl2br w:val="nil"/>
              <w:tr2bl w:val="nil"/>
            </w:tcBorders>
            <w:vAlign w:val="center"/>
          </w:tcPr>
          <w:p w14:paraId="0F239874">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总悬浮颗粒物(24h平均)</w:t>
            </w:r>
          </w:p>
        </w:tc>
        <w:tc>
          <w:tcPr>
            <w:tcW w:w="1601" w:type="dxa"/>
            <w:tcBorders>
              <w:tl2br w:val="nil"/>
              <w:tr2bl w:val="nil"/>
            </w:tcBorders>
            <w:vAlign w:val="center"/>
          </w:tcPr>
          <w:p w14:paraId="52D87508">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0.150~0.186</w:t>
            </w:r>
          </w:p>
        </w:tc>
        <w:tc>
          <w:tcPr>
            <w:tcW w:w="1052" w:type="dxa"/>
            <w:tcBorders>
              <w:tl2br w:val="nil"/>
              <w:tr2bl w:val="nil"/>
            </w:tcBorders>
            <w:vAlign w:val="center"/>
          </w:tcPr>
          <w:p w14:paraId="68326A39">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0.300</w:t>
            </w:r>
          </w:p>
        </w:tc>
        <w:tc>
          <w:tcPr>
            <w:tcW w:w="939" w:type="dxa"/>
            <w:tcBorders>
              <w:tl2br w:val="nil"/>
              <w:tr2bl w:val="nil"/>
            </w:tcBorders>
            <w:vAlign w:val="center"/>
          </w:tcPr>
          <w:p w14:paraId="55B726A0">
            <w:pPr>
              <w:pStyle w:val="53"/>
              <w:keepNext w:val="0"/>
              <w:keepLines w:val="0"/>
              <w:suppressLineNumbers w:val="0"/>
              <w:spacing w:before="31" w:beforeAutospacing="0" w:after="31" w:afterAutospacing="0"/>
              <w:ind w:left="0" w:right="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达标</w:t>
            </w:r>
          </w:p>
        </w:tc>
      </w:tr>
    </w:tbl>
    <w:p w14:paraId="32E3E9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由上表</w:t>
      </w:r>
      <w:r>
        <w:rPr>
          <w:rFonts w:hint="default" w:ascii="Times New Roman" w:hAnsi="Times New Roman" w:cs="Times New Roman"/>
          <w:color w:val="auto"/>
          <w:u w:val="none" w:color="auto"/>
        </w:rPr>
        <w:t>监测结果表明，项目所在地环境空气TSP日均浓度均满足《环境空气质量标准》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及2018年修改单中二级标准要求。</w:t>
      </w:r>
    </w:p>
    <w:p w14:paraId="1270B965">
      <w:pPr>
        <w:pStyle w:val="4"/>
        <w:rPr>
          <w:rFonts w:hint="default" w:ascii="Times New Roman" w:hAnsi="Times New Roman" w:cs="Times New Roman"/>
          <w:color w:val="auto"/>
          <w:u w:val="none" w:color="auto"/>
        </w:rPr>
      </w:pPr>
      <w:bookmarkStart w:id="186" w:name="_Toc494233753"/>
      <w:bookmarkStart w:id="187" w:name="_Toc13941"/>
      <w:bookmarkStart w:id="188" w:name="_Toc12966"/>
      <w:r>
        <w:rPr>
          <w:rFonts w:hint="default" w:ascii="Times New Roman" w:hAnsi="Times New Roman" w:cs="Times New Roman"/>
          <w:color w:val="auto"/>
          <w:u w:val="none" w:color="auto"/>
        </w:rPr>
        <w:t>地表水</w:t>
      </w:r>
      <w:r>
        <w:rPr>
          <w:rFonts w:hint="default" w:ascii="Times New Roman" w:hAnsi="Times New Roman" w:cs="Times New Roman"/>
          <w:color w:val="auto"/>
          <w:u w:val="none" w:color="auto"/>
          <w:lang w:val="en-US" w:eastAsia="zh-CN"/>
        </w:rPr>
        <w:t>环境质量现状调查</w:t>
      </w:r>
    </w:p>
    <w:bookmarkEnd w:id="186"/>
    <w:bookmarkEnd w:id="187"/>
    <w:bookmarkEnd w:id="188"/>
    <w:p w14:paraId="7A6174C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1、常规检测数据</w:t>
      </w:r>
    </w:p>
    <w:p w14:paraId="280BB337">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为了解项目区地表水环境质量现状，</w:t>
      </w:r>
      <w:r>
        <w:rPr>
          <w:rFonts w:hint="default" w:ascii="Times New Roman" w:hAnsi="Times New Roman" w:eastAsia="宋体" w:cs="Times New Roman"/>
          <w:color w:val="auto"/>
          <w:sz w:val="24"/>
          <w:szCs w:val="24"/>
          <w:highlight w:val="none"/>
          <w:u w:val="none" w:color="auto"/>
          <w:lang w:val="en-US" w:eastAsia="zh-CN"/>
        </w:rPr>
        <w:t>本次收集了廊洞水库2024年3月、6月期间的常规检测数据，统计如下:</w:t>
      </w:r>
    </w:p>
    <w:p w14:paraId="07CF0B17">
      <w:pPr>
        <w:bidi w:val="0"/>
        <w:spacing w:line="240" w:lineRule="auto"/>
        <w:ind w:left="0" w:leftChars="0" w:firstLine="0" w:firstLineChars="0"/>
        <w:jc w:val="center"/>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3  廊洞水库常规</w:t>
      </w:r>
      <w:r>
        <w:rPr>
          <w:rFonts w:hint="default" w:ascii="Times New Roman" w:hAnsi="Times New Roman" w:cs="Times New Roman"/>
          <w:b/>
          <w:bCs/>
          <w:color w:val="auto"/>
          <w:sz w:val="21"/>
          <w:szCs w:val="21"/>
          <w:u w:val="none" w:color="auto"/>
        </w:rPr>
        <w:t>监测</w:t>
      </w:r>
      <w:r>
        <w:rPr>
          <w:rFonts w:hint="default" w:ascii="Times New Roman" w:hAnsi="Times New Roman" w:cs="Times New Roman"/>
          <w:b/>
          <w:bCs/>
          <w:color w:val="auto"/>
          <w:sz w:val="21"/>
          <w:szCs w:val="21"/>
          <w:u w:val="none" w:color="auto"/>
          <w:lang w:val="en-US" w:eastAsia="zh-CN"/>
        </w:rPr>
        <w:t>数据单位:mg/L、pH无量纲、水温℃</w:t>
      </w:r>
    </w:p>
    <w:tbl>
      <w:tblPr>
        <w:tblStyle w:val="37"/>
        <w:tblW w:w="517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37"/>
        <w:gridCol w:w="392"/>
        <w:gridCol w:w="1910"/>
        <w:gridCol w:w="1086"/>
        <w:gridCol w:w="1208"/>
        <w:gridCol w:w="870"/>
        <w:gridCol w:w="2026"/>
      </w:tblGrid>
      <w:tr w14:paraId="5BA0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restart"/>
            <w:tcBorders>
              <w:top w:val="single" w:color="000000" w:sz="4" w:space="0"/>
              <w:left w:val="single" w:color="000000" w:sz="4" w:space="0"/>
              <w:right w:val="single" w:color="000000" w:sz="4" w:space="0"/>
            </w:tcBorders>
            <w:shd w:val="clear" w:color="auto" w:fill="auto"/>
            <w:vAlign w:val="center"/>
          </w:tcPr>
          <w:p w14:paraId="3EBE9A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断面名称</w:t>
            </w:r>
          </w:p>
        </w:tc>
        <w:tc>
          <w:tcPr>
            <w:tcW w:w="392" w:type="dxa"/>
            <w:vMerge w:val="restart"/>
            <w:tcBorders>
              <w:top w:val="single" w:color="000000" w:sz="4" w:space="0"/>
              <w:left w:val="single" w:color="000000" w:sz="4" w:space="0"/>
              <w:right w:val="single" w:color="000000" w:sz="4" w:space="0"/>
            </w:tcBorders>
            <w:shd w:val="clear" w:color="auto" w:fill="auto"/>
            <w:vAlign w:val="center"/>
          </w:tcPr>
          <w:p w14:paraId="04F5BE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所属水源</w:t>
            </w:r>
          </w:p>
        </w:tc>
        <w:tc>
          <w:tcPr>
            <w:tcW w:w="1910" w:type="dxa"/>
            <w:vMerge w:val="restart"/>
            <w:tcBorders>
              <w:top w:val="single" w:color="000000" w:sz="4" w:space="0"/>
              <w:left w:val="single" w:color="000000" w:sz="4" w:space="0"/>
              <w:right w:val="single" w:color="000000" w:sz="4" w:space="0"/>
            </w:tcBorders>
            <w:shd w:val="clear" w:color="auto" w:fill="auto"/>
            <w:vAlign w:val="center"/>
          </w:tcPr>
          <w:p w14:paraId="3C013D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检测项目</w:t>
            </w:r>
          </w:p>
        </w:tc>
        <w:tc>
          <w:tcPr>
            <w:tcW w:w="2294" w:type="dxa"/>
            <w:gridSpan w:val="2"/>
            <w:tcBorders>
              <w:top w:val="single" w:color="000000" w:sz="4" w:space="0"/>
              <w:left w:val="single" w:color="000000" w:sz="4" w:space="0"/>
              <w:bottom w:val="single" w:color="auto" w:sz="4" w:space="0"/>
              <w:right w:val="single" w:color="000000" w:sz="4" w:space="0"/>
            </w:tcBorders>
            <w:shd w:val="clear" w:color="auto" w:fill="auto"/>
            <w:vAlign w:val="center"/>
          </w:tcPr>
          <w:p w14:paraId="466538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检测结果</w:t>
            </w:r>
          </w:p>
        </w:tc>
        <w:tc>
          <w:tcPr>
            <w:tcW w:w="870" w:type="dxa"/>
            <w:vMerge w:val="restart"/>
            <w:tcBorders>
              <w:top w:val="single" w:color="000000" w:sz="4" w:space="0"/>
              <w:left w:val="single" w:color="000000" w:sz="4" w:space="0"/>
              <w:right w:val="single" w:color="000000" w:sz="4" w:space="0"/>
            </w:tcBorders>
            <w:shd w:val="clear" w:color="auto" w:fill="auto"/>
            <w:vAlign w:val="center"/>
          </w:tcPr>
          <w:p w14:paraId="6BB941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计量单位</w:t>
            </w:r>
          </w:p>
        </w:tc>
        <w:tc>
          <w:tcPr>
            <w:tcW w:w="2026" w:type="dxa"/>
            <w:vMerge w:val="restart"/>
            <w:tcBorders>
              <w:top w:val="single" w:color="000000" w:sz="4" w:space="0"/>
              <w:left w:val="single" w:color="000000" w:sz="4" w:space="0"/>
              <w:right w:val="single" w:color="000000" w:sz="4" w:space="0"/>
            </w:tcBorders>
            <w:shd w:val="clear" w:color="auto" w:fill="auto"/>
            <w:vAlign w:val="center"/>
          </w:tcPr>
          <w:p w14:paraId="5455F4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(GB3838-2002)表1</w:t>
            </w:r>
            <w:r>
              <w:rPr>
                <w:rFonts w:hint="default" w:ascii="Times New Roman" w:hAnsi="Times New Roman" w:cs="Times New Roman"/>
                <w:color w:val="auto"/>
                <w:sz w:val="21"/>
                <w:szCs w:val="21"/>
                <w:u w:val="none" w:color="auto"/>
              </w:rPr>
              <w:t>Ⅱ</w:t>
            </w:r>
            <w:r>
              <w:rPr>
                <w:rFonts w:hint="default" w:ascii="Times New Roman" w:hAnsi="Times New Roman" w:eastAsia="宋体" w:cs="Times New Roman"/>
                <w:i w:val="0"/>
                <w:iCs w:val="0"/>
                <w:color w:val="auto"/>
                <w:kern w:val="0"/>
                <w:sz w:val="21"/>
                <w:szCs w:val="21"/>
                <w:u w:val="none" w:color="auto"/>
                <w:lang w:val="en-US" w:eastAsia="zh-CN" w:bidi="ar"/>
              </w:rPr>
              <w:t>类</w:t>
            </w:r>
          </w:p>
        </w:tc>
      </w:tr>
      <w:tr w14:paraId="795AE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bottom w:val="single" w:color="000000" w:sz="4" w:space="0"/>
              <w:right w:val="single" w:color="000000" w:sz="4" w:space="0"/>
            </w:tcBorders>
            <w:shd w:val="clear" w:color="auto" w:fill="auto"/>
            <w:vAlign w:val="center"/>
          </w:tcPr>
          <w:p w14:paraId="37A106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392" w:type="dxa"/>
            <w:vMerge w:val="continue"/>
            <w:tcBorders>
              <w:left w:val="single" w:color="000000" w:sz="4" w:space="0"/>
              <w:bottom w:val="single" w:color="000000" w:sz="4" w:space="0"/>
              <w:right w:val="single" w:color="000000" w:sz="4" w:space="0"/>
            </w:tcBorders>
            <w:shd w:val="clear" w:color="auto" w:fill="auto"/>
            <w:vAlign w:val="center"/>
          </w:tcPr>
          <w:p w14:paraId="1D491F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1910" w:type="dxa"/>
            <w:vMerge w:val="continue"/>
            <w:tcBorders>
              <w:left w:val="single" w:color="000000" w:sz="4" w:space="0"/>
              <w:bottom w:val="single" w:color="000000" w:sz="4" w:space="0"/>
              <w:right w:val="single" w:color="000000" w:sz="4" w:space="0"/>
            </w:tcBorders>
            <w:shd w:val="clear" w:color="auto" w:fill="auto"/>
            <w:vAlign w:val="center"/>
          </w:tcPr>
          <w:p w14:paraId="6D27B6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1086" w:type="dxa"/>
            <w:tcBorders>
              <w:top w:val="single" w:color="auto" w:sz="4" w:space="0"/>
              <w:left w:val="single" w:color="000000" w:sz="4" w:space="0"/>
              <w:bottom w:val="single" w:color="000000" w:sz="4" w:space="0"/>
              <w:right w:val="single" w:color="000000" w:sz="4" w:space="0"/>
            </w:tcBorders>
            <w:shd w:val="clear" w:color="auto" w:fill="auto"/>
            <w:vAlign w:val="center"/>
          </w:tcPr>
          <w:p w14:paraId="2A77DC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2024-</w:t>
            </w:r>
            <w:r>
              <w:rPr>
                <w:rFonts w:hint="default" w:ascii="Times New Roman" w:hAnsi="Times New Roman" w:cs="Times New Roman"/>
                <w:i w:val="0"/>
                <w:iCs w:val="0"/>
                <w:color w:val="auto"/>
                <w:kern w:val="0"/>
                <w:sz w:val="21"/>
                <w:szCs w:val="21"/>
                <w:u w:val="none" w:color="auto"/>
                <w:lang w:val="en-US" w:eastAsia="zh-CN" w:bidi="ar"/>
              </w:rPr>
              <w:t>03-12</w:t>
            </w:r>
          </w:p>
        </w:tc>
        <w:tc>
          <w:tcPr>
            <w:tcW w:w="1208" w:type="dxa"/>
            <w:tcBorders>
              <w:top w:val="single" w:color="auto" w:sz="4" w:space="0"/>
              <w:left w:val="single" w:color="000000" w:sz="4" w:space="0"/>
              <w:bottom w:val="single" w:color="000000" w:sz="4" w:space="0"/>
              <w:right w:val="single" w:color="000000" w:sz="4" w:space="0"/>
            </w:tcBorders>
            <w:shd w:val="clear" w:color="auto" w:fill="auto"/>
            <w:vAlign w:val="center"/>
          </w:tcPr>
          <w:p w14:paraId="714664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2024-06-12</w:t>
            </w:r>
          </w:p>
        </w:tc>
        <w:tc>
          <w:tcPr>
            <w:tcW w:w="870" w:type="dxa"/>
            <w:vMerge w:val="continue"/>
            <w:tcBorders>
              <w:left w:val="single" w:color="000000" w:sz="4" w:space="0"/>
              <w:bottom w:val="single" w:color="000000" w:sz="4" w:space="0"/>
              <w:right w:val="single" w:color="000000" w:sz="4" w:space="0"/>
            </w:tcBorders>
            <w:shd w:val="clear" w:color="auto" w:fill="auto"/>
            <w:vAlign w:val="center"/>
          </w:tcPr>
          <w:p w14:paraId="532A9B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2026" w:type="dxa"/>
            <w:vMerge w:val="continue"/>
            <w:tcBorders>
              <w:left w:val="single" w:color="000000" w:sz="4" w:space="0"/>
              <w:bottom w:val="single" w:color="000000" w:sz="4" w:space="0"/>
              <w:right w:val="single" w:color="000000" w:sz="4" w:space="0"/>
            </w:tcBorders>
            <w:shd w:val="clear" w:color="auto" w:fill="auto"/>
            <w:vAlign w:val="center"/>
          </w:tcPr>
          <w:p w14:paraId="0CDE6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r>
      <w:tr w14:paraId="50CE5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restart"/>
            <w:tcBorders>
              <w:top w:val="single" w:color="000000" w:sz="4" w:space="0"/>
              <w:left w:val="single" w:color="000000" w:sz="4" w:space="0"/>
              <w:right w:val="single" w:color="000000" w:sz="4" w:space="0"/>
            </w:tcBorders>
            <w:shd w:val="clear" w:color="auto" w:fill="auto"/>
            <w:vAlign w:val="center"/>
          </w:tcPr>
          <w:p w14:paraId="5C81D3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道县梅花镇廊洞水库饮用水水源保护区E111.5953508°</w:t>
            </w:r>
          </w:p>
          <w:p w14:paraId="35691E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N25.6792471°</w:t>
            </w:r>
          </w:p>
        </w:tc>
        <w:tc>
          <w:tcPr>
            <w:tcW w:w="392" w:type="dxa"/>
            <w:vMerge w:val="restart"/>
            <w:tcBorders>
              <w:top w:val="single" w:color="000000" w:sz="4" w:space="0"/>
              <w:left w:val="single" w:color="000000" w:sz="4" w:space="0"/>
              <w:right w:val="single" w:color="000000" w:sz="4" w:space="0"/>
            </w:tcBorders>
            <w:shd w:val="clear" w:color="auto" w:fill="auto"/>
            <w:vAlign w:val="center"/>
          </w:tcPr>
          <w:p w14:paraId="4F7A7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宜阳河</w:t>
            </w: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F9C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水温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B2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DDE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26.1</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749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36F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r>
      <w:tr w14:paraId="43FDA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A318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4D629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7FF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cs="Times New Roman"/>
                <w:i w:val="0"/>
                <w:iCs w:val="0"/>
                <w:color w:val="auto"/>
                <w:kern w:val="0"/>
                <w:sz w:val="21"/>
                <w:szCs w:val="21"/>
                <w:u w:val="none" w:color="auto"/>
                <w:lang w:val="en-US" w:eastAsia="zh-CN" w:bidi="ar"/>
              </w:rPr>
              <w:t>pH</w:t>
            </w:r>
            <w:r>
              <w:rPr>
                <w:rFonts w:hint="default" w:ascii="Times New Roman" w:hAnsi="Times New Roman" w:eastAsia="宋体" w:cs="Times New Roman"/>
                <w:i w:val="0"/>
                <w:iCs w:val="0"/>
                <w:color w:val="auto"/>
                <w:kern w:val="0"/>
                <w:sz w:val="21"/>
                <w:szCs w:val="21"/>
                <w:u w:val="none" w:color="auto"/>
                <w:lang w:val="en-US" w:eastAsia="zh-CN" w:bidi="ar"/>
              </w:rPr>
              <w:t>值</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538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CB7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13E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无量纲</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8EB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r>
              <w:rPr>
                <w:rFonts w:hint="eastAsia"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9</w:t>
            </w:r>
          </w:p>
        </w:tc>
      </w:tr>
      <w:tr w14:paraId="71389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A82E1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C670F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26E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溶解氧</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F8A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8.73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0B3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7.41</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971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E58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r>
      <w:tr w14:paraId="21802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17F2D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198D7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38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电导率</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67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4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A20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ms/m</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766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eastAsia" w:cs="Times New Roman"/>
                <w:i w:val="0"/>
                <w:iCs w:val="0"/>
                <w:color w:val="auto"/>
                <w:kern w:val="0"/>
                <w:sz w:val="21"/>
                <w:szCs w:val="21"/>
                <w:u w:val="none" w:color="auto"/>
                <w:lang w:val="en-US" w:eastAsia="zh-CN" w:bidi="ar"/>
              </w:rPr>
              <w:t>-</w:t>
            </w:r>
          </w:p>
        </w:tc>
      </w:tr>
      <w:tr w14:paraId="6B522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41C8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6322E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6A9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高锰酸盐指数</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2CF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36B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9E5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DED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r>
      <w:tr w14:paraId="13B6F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1D39C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91849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3E3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E1D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FA6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C4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91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w:t>
            </w:r>
          </w:p>
        </w:tc>
      </w:tr>
      <w:tr w14:paraId="78DE0C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FA2BC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60131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8C0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eastAsia" w:cs="Times New Roman"/>
                <w:i w:val="0"/>
                <w:iCs w:val="0"/>
                <w:color w:val="auto"/>
                <w:sz w:val="21"/>
                <w:szCs w:val="21"/>
                <w:u w:val="none" w:color="auto"/>
                <w:lang w:val="en-US" w:eastAsia="zh-CN"/>
              </w:rPr>
              <w:t>BOD</w:t>
            </w:r>
            <w:r>
              <w:rPr>
                <w:rFonts w:hint="eastAsia" w:cs="Times New Roman"/>
                <w:i w:val="0"/>
                <w:iCs w:val="0"/>
                <w:color w:val="auto"/>
                <w:sz w:val="21"/>
                <w:szCs w:val="21"/>
                <w:u w:val="none" w:color="auto"/>
                <w:vertAlign w:val="subscript"/>
                <w:lang w:val="en-US" w:eastAsia="zh-CN"/>
              </w:rPr>
              <w:t>5</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71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85A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9F6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338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r>
      <w:tr w14:paraId="689B1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2" w:hRule="atLeast"/>
          <w:jc w:val="center"/>
        </w:trPr>
        <w:tc>
          <w:tcPr>
            <w:tcW w:w="1337" w:type="dxa"/>
            <w:vMerge w:val="continue"/>
            <w:tcBorders>
              <w:left w:val="single" w:color="000000" w:sz="4" w:space="0"/>
              <w:right w:val="single" w:color="000000" w:sz="4" w:space="0"/>
            </w:tcBorders>
            <w:shd w:val="clear" w:color="auto" w:fill="auto"/>
            <w:noWrap/>
            <w:vAlign w:val="center"/>
          </w:tcPr>
          <w:p w14:paraId="632106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2361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A37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558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759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DC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C44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w:t>
            </w:r>
            <w:r>
              <w:rPr>
                <w:rFonts w:hint="eastAsia" w:cs="Times New Roman"/>
                <w:i w:val="0"/>
                <w:iCs w:val="0"/>
                <w:color w:val="auto"/>
                <w:kern w:val="0"/>
                <w:sz w:val="21"/>
                <w:szCs w:val="21"/>
                <w:u w:val="none" w:color="auto"/>
                <w:lang w:val="en-US" w:eastAsia="zh-CN" w:bidi="ar"/>
              </w:rPr>
              <w:t>0.5</w:t>
            </w:r>
          </w:p>
        </w:tc>
      </w:tr>
      <w:tr w14:paraId="0102A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337" w:type="dxa"/>
            <w:vMerge w:val="continue"/>
            <w:tcBorders>
              <w:left w:val="single" w:color="000000" w:sz="4" w:space="0"/>
              <w:right w:val="single" w:color="000000" w:sz="4" w:space="0"/>
            </w:tcBorders>
            <w:shd w:val="clear" w:color="auto" w:fill="auto"/>
            <w:noWrap/>
            <w:vAlign w:val="center"/>
          </w:tcPr>
          <w:p w14:paraId="0D27D3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CC53D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3CA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总磷(以P计)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E5F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8F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D1C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3D8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≤0.2(湖、库0.05)</w:t>
            </w:r>
          </w:p>
        </w:tc>
      </w:tr>
      <w:tr w14:paraId="62023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45531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C0370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EF2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总氮(以N计)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0E3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478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D14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72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r>
              <w:rPr>
                <w:rFonts w:hint="eastAsia" w:cs="Times New Roman"/>
                <w:i w:val="0"/>
                <w:iCs w:val="0"/>
                <w:color w:val="auto"/>
                <w:kern w:val="0"/>
                <w:sz w:val="21"/>
                <w:szCs w:val="21"/>
                <w:u w:val="none" w:color="auto"/>
                <w:lang w:val="en-US" w:eastAsia="zh-CN" w:bidi="ar"/>
              </w:rPr>
              <w:t>0.5</w:t>
            </w:r>
            <w:r>
              <w:rPr>
                <w:rFonts w:hint="default" w:ascii="Times New Roman" w:hAnsi="Times New Roman" w:eastAsia="宋体" w:cs="Times New Roman"/>
                <w:i w:val="0"/>
                <w:iCs w:val="0"/>
                <w:color w:val="auto"/>
                <w:kern w:val="0"/>
                <w:sz w:val="21"/>
                <w:szCs w:val="21"/>
                <w:u w:val="none" w:color="auto"/>
                <w:lang w:val="en-US" w:eastAsia="zh-CN" w:bidi="ar"/>
              </w:rPr>
              <w:t>(湖、库以N计)</w:t>
            </w:r>
          </w:p>
        </w:tc>
      </w:tr>
      <w:tr w14:paraId="3E589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DB4A2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56873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37D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铜</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3A2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30F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F0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62F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28E16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225776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F5608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95A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锌</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6C5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D4F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26F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BD0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79D17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2F14C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CCA9E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F4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氟化物(以F计)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D81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0.061</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31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2EB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425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771EF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B39C3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076D88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F8C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硒</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712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0.00041L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38E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0.00041L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1D6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E11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w:t>
            </w:r>
          </w:p>
        </w:tc>
      </w:tr>
      <w:tr w14:paraId="0164B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8E93B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99169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B72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砷</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45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9CB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37B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AB7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21361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5FC8E4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B9C8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258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汞</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7BF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181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08D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4F7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≤0.0001</w:t>
            </w:r>
          </w:p>
        </w:tc>
      </w:tr>
      <w:tr w14:paraId="6FB19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3E0570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AB4AB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C3E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镉</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89D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0.00005L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029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0.00005L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FC1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EA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≤0.005</w:t>
            </w:r>
          </w:p>
        </w:tc>
      </w:tr>
      <w:tr w14:paraId="72C7C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2187B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5822BD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38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铬(六价)</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C1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3E0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CB2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2C8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15126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2D5D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65ECA1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B79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铅</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54B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0.00009L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0D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0.00058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2D9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33A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3FD1B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B0C95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75B8C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0A5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氰化物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D72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975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32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1D0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5B85E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0C4CBD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2292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1B9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挥发酚</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AF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925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0.0003L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1E0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464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≤0.005</w:t>
            </w:r>
          </w:p>
        </w:tc>
      </w:tr>
      <w:tr w14:paraId="3A654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ABC0F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4D0858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5D0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9B0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016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289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BA2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r>
      <w:tr w14:paraId="749E97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350998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1AEDCE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F24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阴离子表面</w:t>
            </w:r>
          </w:p>
          <w:p w14:paraId="55729E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活性剂</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543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C33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68C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32A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0FFC6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F4FA5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0AC5D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324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硫化物</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0CC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EC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D51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889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w:t>
            </w:r>
          </w:p>
        </w:tc>
      </w:tr>
      <w:tr w14:paraId="26ED2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68B59A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A2A75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D3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粪大肠菌群</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729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799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A5B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个/L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858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≤10000</w:t>
            </w:r>
          </w:p>
        </w:tc>
      </w:tr>
      <w:tr w14:paraId="3DD2D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82B5B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A355D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0CB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硫酸盐(以SO</w:t>
            </w:r>
            <w:r>
              <w:rPr>
                <w:rStyle w:val="182"/>
                <w:rFonts w:hint="default" w:ascii="Times New Roman" w:hAnsi="Times New Roman" w:eastAsia="宋体" w:cs="Times New Roman"/>
                <w:color w:val="auto"/>
                <w:sz w:val="21"/>
                <w:szCs w:val="21"/>
                <w:u w:val="none" w:color="auto"/>
                <w:lang w:val="en-US" w:eastAsia="zh-CN" w:bidi="ar"/>
              </w:rPr>
              <w:t>₄</w:t>
            </w:r>
            <w:r>
              <w:rPr>
                <w:rFonts w:hint="default" w:ascii="Times New Roman" w:hAnsi="Times New Roman" w:eastAsia="宋体" w:cs="Times New Roman"/>
                <w:i w:val="0"/>
                <w:iCs w:val="0"/>
                <w:color w:val="auto"/>
                <w:kern w:val="0"/>
                <w:sz w:val="21"/>
                <w:szCs w:val="21"/>
                <w:u w:val="none" w:color="auto"/>
                <w:lang w:val="en-US" w:eastAsia="zh-CN" w:bidi="ar"/>
              </w:rPr>
              <w:t>²计)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FCC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1.24</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805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2.06</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93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2DD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250</w:t>
            </w:r>
          </w:p>
        </w:tc>
      </w:tr>
      <w:tr w14:paraId="1F2F5C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787B1C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76DB39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54E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氯化物(以Cl计)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1B4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1.23</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C02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59A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2D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250</w:t>
            </w:r>
          </w:p>
        </w:tc>
      </w:tr>
      <w:tr w14:paraId="620A7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406C4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293E58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EB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硝酸盐(以N计)</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4C5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1.09</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29E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0.72</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85D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D3C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r>
      <w:tr w14:paraId="5B75F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right w:val="single" w:color="000000" w:sz="4" w:space="0"/>
            </w:tcBorders>
            <w:shd w:val="clear" w:color="auto" w:fill="auto"/>
            <w:noWrap/>
            <w:vAlign w:val="center"/>
          </w:tcPr>
          <w:p w14:paraId="199FFC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right w:val="single" w:color="000000" w:sz="4" w:space="0"/>
            </w:tcBorders>
            <w:shd w:val="clear" w:color="auto" w:fill="auto"/>
            <w:noWrap/>
            <w:vAlign w:val="center"/>
          </w:tcPr>
          <w:p w14:paraId="3739C0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BF8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铁</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F33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831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AA2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11D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r>
      <w:tr w14:paraId="04029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337" w:type="dxa"/>
            <w:vMerge w:val="continue"/>
            <w:tcBorders>
              <w:left w:val="single" w:color="000000" w:sz="4" w:space="0"/>
              <w:bottom w:val="single" w:color="000000" w:sz="4" w:space="0"/>
              <w:right w:val="single" w:color="000000" w:sz="4" w:space="0"/>
            </w:tcBorders>
            <w:shd w:val="clear" w:color="auto" w:fill="auto"/>
            <w:noWrap/>
            <w:vAlign w:val="center"/>
          </w:tcPr>
          <w:p w14:paraId="39197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392" w:type="dxa"/>
            <w:vMerge w:val="continue"/>
            <w:tcBorders>
              <w:left w:val="single" w:color="000000" w:sz="4" w:space="0"/>
              <w:bottom w:val="single" w:color="000000" w:sz="4" w:space="0"/>
              <w:right w:val="single" w:color="000000" w:sz="4" w:space="0"/>
            </w:tcBorders>
            <w:shd w:val="clear" w:color="auto" w:fill="auto"/>
            <w:noWrap/>
            <w:vAlign w:val="center"/>
          </w:tcPr>
          <w:p w14:paraId="1B9A05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color="auto"/>
              </w:rPr>
            </w:pPr>
          </w:p>
        </w:tc>
        <w:tc>
          <w:tcPr>
            <w:tcW w:w="1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DF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锰</w:t>
            </w:r>
          </w:p>
        </w:tc>
        <w:tc>
          <w:tcPr>
            <w:tcW w:w="10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D98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0.0IL</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18D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0.01L</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AD8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mg/L</w:t>
            </w:r>
          </w:p>
        </w:tc>
        <w:tc>
          <w:tcPr>
            <w:tcW w:w="2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681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r>
    </w:tbl>
    <w:p w14:paraId="044E0F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由上述</w:t>
      </w:r>
      <w:r>
        <w:rPr>
          <w:rFonts w:hint="default" w:ascii="Times New Roman" w:hAnsi="Times New Roman" w:cs="Times New Roman"/>
          <w:color w:val="auto"/>
          <w:u w:val="none" w:color="auto"/>
        </w:rPr>
        <w:t>常规监测数据结果可知，</w:t>
      </w:r>
      <w:r>
        <w:rPr>
          <w:rFonts w:hint="default" w:ascii="Times New Roman" w:hAnsi="Times New Roman" w:eastAsia="宋体" w:cs="Times New Roman"/>
          <w:color w:val="auto"/>
          <w:sz w:val="24"/>
          <w:szCs w:val="24"/>
          <w:highlight w:val="none"/>
          <w:u w:val="none" w:color="auto"/>
          <w:lang w:val="en-US" w:eastAsia="zh-CN"/>
        </w:rPr>
        <w:t>2024年</w:t>
      </w:r>
      <w:r>
        <w:rPr>
          <w:rFonts w:hint="default" w:ascii="Times New Roman" w:hAnsi="Times New Roman" w:cs="Times New Roman"/>
          <w:color w:val="auto"/>
          <w:u w:val="none" w:color="auto"/>
          <w:lang w:val="en-US" w:eastAsia="zh-CN"/>
        </w:rPr>
        <w:t>廊洞水库除总氮外，各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Ⅱ类水质。</w:t>
      </w:r>
    </w:p>
    <w:p w14:paraId="092791C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2、现状监测数据</w:t>
      </w:r>
    </w:p>
    <w:p w14:paraId="6F21DD56">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为进一步了解项目区地表水环境质量现状，</w:t>
      </w:r>
      <w:r>
        <w:rPr>
          <w:rFonts w:hint="default" w:ascii="Times New Roman" w:hAnsi="Times New Roman" w:eastAsia="宋体" w:cs="Times New Roman"/>
          <w:color w:val="auto"/>
          <w:sz w:val="24"/>
          <w:szCs w:val="24"/>
          <w:highlight w:val="none"/>
          <w:u w:val="none" w:color="auto"/>
          <w:lang w:val="en-US" w:eastAsia="zh-CN"/>
        </w:rPr>
        <w:t>评价期间设两个地表水质监测点</w:t>
      </w:r>
      <w:r>
        <w:rPr>
          <w:rFonts w:hint="eastAsia" w:eastAsia="宋体"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廊洞水库大坝</w:t>
      </w:r>
      <w:r>
        <w:rPr>
          <w:rFonts w:hint="eastAsia" w:eastAsia="宋体" w:cs="Times New Roman"/>
          <w:color w:val="auto"/>
          <w:sz w:val="24"/>
          <w:szCs w:val="24"/>
          <w:highlight w:val="none"/>
          <w:u w:val="none" w:color="auto"/>
          <w:lang w:val="en-US" w:eastAsia="zh-CN"/>
        </w:rPr>
        <w:t>上游</w:t>
      </w:r>
      <w:r>
        <w:rPr>
          <w:rFonts w:hint="default" w:ascii="Times New Roman" w:hAnsi="Times New Roman" w:eastAsia="宋体" w:cs="Times New Roman"/>
          <w:color w:val="auto"/>
          <w:sz w:val="24"/>
          <w:szCs w:val="24"/>
          <w:highlight w:val="none"/>
          <w:u w:val="none" w:color="auto"/>
          <w:lang w:val="en-US" w:eastAsia="zh-CN"/>
        </w:rPr>
        <w:t>1000mW1、大坝</w:t>
      </w:r>
      <w:r>
        <w:rPr>
          <w:rFonts w:hint="eastAsia" w:eastAsia="宋体" w:cs="Times New Roman"/>
          <w:color w:val="auto"/>
          <w:sz w:val="24"/>
          <w:szCs w:val="24"/>
          <w:highlight w:val="none"/>
          <w:u w:val="none" w:color="auto"/>
          <w:lang w:val="en-US" w:eastAsia="zh-CN"/>
        </w:rPr>
        <w:t>下</w:t>
      </w:r>
      <w:r>
        <w:rPr>
          <w:rFonts w:hint="default" w:ascii="Times New Roman" w:hAnsi="Times New Roman" w:eastAsia="宋体" w:cs="Times New Roman"/>
          <w:color w:val="auto"/>
          <w:sz w:val="24"/>
          <w:szCs w:val="24"/>
          <w:highlight w:val="none"/>
          <w:u w:val="none" w:color="auto"/>
          <w:lang w:val="en-US" w:eastAsia="zh-CN"/>
        </w:rPr>
        <w:t>游</w:t>
      </w:r>
      <w:r>
        <w:rPr>
          <w:rFonts w:hint="eastAsia" w:eastAsia="宋体"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lang w:val="en-US" w:eastAsia="zh-CN"/>
        </w:rPr>
        <w:t>00m处W2。</w:t>
      </w:r>
    </w:p>
    <w:p w14:paraId="61EF8887">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val="en-US" w:eastAsia="zh-CN"/>
        </w:rPr>
        <w:t>监测</w:t>
      </w:r>
      <w:r>
        <w:rPr>
          <w:rFonts w:hint="eastAsia" w:eastAsia="宋体" w:cs="Times New Roman"/>
          <w:color w:val="auto"/>
          <w:sz w:val="24"/>
          <w:szCs w:val="24"/>
          <w:highlight w:val="none"/>
          <w:u w:val="none" w:color="auto"/>
          <w:lang w:val="en-US" w:eastAsia="zh-CN"/>
        </w:rPr>
        <w:t>因子</w:t>
      </w:r>
    </w:p>
    <w:p w14:paraId="5D5E74D4">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水温、pH值、溶解氧、高锰酸盐指数、化学需氧量、五日生化需氧量、氨氮、总磷(以P计)、总氮(以N计)、铜、锌、氟化物(以F</w:t>
      </w:r>
      <w:r>
        <w:rPr>
          <w:rFonts w:hint="default" w:ascii="Times New Roman" w:hAnsi="Times New Roman" w:eastAsia="宋体" w:cs="Times New Roman"/>
          <w:color w:val="auto"/>
          <w:sz w:val="24"/>
          <w:szCs w:val="24"/>
          <w:highlight w:val="none"/>
          <w:u w:val="none" w:color="auto"/>
          <w:vertAlign w:val="superscript"/>
          <w:lang w:val="en-US" w:eastAsia="zh-CN"/>
        </w:rPr>
        <w:t>-</w:t>
      </w:r>
      <w:r>
        <w:rPr>
          <w:rFonts w:hint="default" w:ascii="Times New Roman" w:hAnsi="Times New Roman" w:eastAsia="宋体" w:cs="Times New Roman"/>
          <w:color w:val="auto"/>
          <w:sz w:val="24"/>
          <w:szCs w:val="24"/>
          <w:highlight w:val="none"/>
          <w:u w:val="none" w:color="auto"/>
          <w:lang w:val="en-US" w:eastAsia="zh-CN"/>
        </w:rPr>
        <w:t>计)、硒、砷、汞、镉、</w:t>
      </w:r>
      <w:r>
        <w:rPr>
          <w:rFonts w:hint="eastAsia" w:eastAsia="宋体" w:cs="Times New Roman"/>
          <w:color w:val="auto"/>
          <w:sz w:val="24"/>
          <w:szCs w:val="24"/>
          <w:highlight w:val="none"/>
          <w:u w:val="none" w:color="auto"/>
          <w:lang w:val="en-US" w:eastAsia="zh-CN"/>
        </w:rPr>
        <w:t>铬(六价)</w:t>
      </w:r>
      <w:r>
        <w:rPr>
          <w:rFonts w:hint="default" w:ascii="Times New Roman" w:hAnsi="Times New Roman" w:eastAsia="宋体" w:cs="Times New Roman"/>
          <w:color w:val="auto"/>
          <w:sz w:val="24"/>
          <w:szCs w:val="24"/>
          <w:highlight w:val="none"/>
          <w:u w:val="none" w:color="auto"/>
          <w:lang w:val="en-US" w:eastAsia="zh-CN"/>
        </w:rPr>
        <w:t>、铅、氰化物、挥发酚、石油类、阴离子表面活性剂、硫化物、粪大肠菌群(个/L)、硫酸盐(以SO</w:t>
      </w:r>
      <w:r>
        <w:rPr>
          <w:rFonts w:hint="default" w:ascii="Times New Roman" w:hAnsi="Times New Roman" w:eastAsia="宋体" w:cs="Times New Roman"/>
          <w:color w:val="auto"/>
          <w:sz w:val="24"/>
          <w:szCs w:val="24"/>
          <w:highlight w:val="none"/>
          <w:u w:val="none" w:color="auto"/>
          <w:vertAlign w:val="subscript"/>
          <w:lang w:val="en-US" w:eastAsia="zh-CN"/>
        </w:rPr>
        <w:t>4</w:t>
      </w:r>
      <w:r>
        <w:rPr>
          <w:rFonts w:hint="default" w:ascii="Times New Roman" w:hAnsi="Times New Roman" w:eastAsia="宋体" w:cs="Times New Roman"/>
          <w:color w:val="auto"/>
          <w:sz w:val="24"/>
          <w:szCs w:val="24"/>
          <w:highlight w:val="none"/>
          <w:u w:val="none" w:color="auto"/>
          <w:vertAlign w:val="superscript"/>
          <w:lang w:val="en-US" w:eastAsia="zh-CN"/>
        </w:rPr>
        <w:t>2-</w:t>
      </w:r>
      <w:r>
        <w:rPr>
          <w:rFonts w:hint="default" w:ascii="Times New Roman" w:hAnsi="Times New Roman" w:eastAsia="宋体" w:cs="Times New Roman"/>
          <w:color w:val="auto"/>
          <w:sz w:val="24"/>
          <w:szCs w:val="24"/>
          <w:highlight w:val="none"/>
          <w:u w:val="none" w:color="auto"/>
          <w:lang w:val="en-US" w:eastAsia="zh-CN"/>
        </w:rPr>
        <w:t>计)、氯化物(以Cl</w:t>
      </w:r>
      <w:r>
        <w:rPr>
          <w:rFonts w:hint="default" w:ascii="Times New Roman" w:hAnsi="Times New Roman" w:eastAsia="宋体" w:cs="Times New Roman"/>
          <w:color w:val="auto"/>
          <w:sz w:val="24"/>
          <w:szCs w:val="24"/>
          <w:highlight w:val="none"/>
          <w:u w:val="none" w:color="auto"/>
          <w:vertAlign w:val="superscript"/>
          <w:lang w:val="en-US" w:eastAsia="zh-CN"/>
        </w:rPr>
        <w:t>-</w:t>
      </w:r>
      <w:r>
        <w:rPr>
          <w:rFonts w:hint="default" w:ascii="Times New Roman" w:hAnsi="Times New Roman" w:eastAsia="宋体" w:cs="Times New Roman"/>
          <w:color w:val="auto"/>
          <w:sz w:val="24"/>
          <w:szCs w:val="24"/>
          <w:highlight w:val="none"/>
          <w:u w:val="none" w:color="auto"/>
          <w:lang w:val="en-US" w:eastAsia="zh-CN"/>
        </w:rPr>
        <w:t>计)、硝酸盐(以N计)、铁、锰、叶绿素a。</w:t>
      </w:r>
    </w:p>
    <w:p w14:paraId="0E0D00E3">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val="en-US" w:eastAsia="zh-CN"/>
        </w:rPr>
        <w:t>监测频次</w:t>
      </w:r>
      <w:r>
        <w:rPr>
          <w:rFonts w:hint="eastAsia" w:eastAsia="宋体"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连续三天、每天一次。</w:t>
      </w:r>
    </w:p>
    <w:p w14:paraId="40215FE2">
      <w:pPr>
        <w:pStyle w:val="177"/>
        <w:keepNext w:val="0"/>
        <w:keepLines w:val="0"/>
        <w:pageBreakBefore w:val="0"/>
        <w:widowControl/>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eastAsia="宋体"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lang w:val="en-US" w:eastAsia="zh-CN"/>
        </w:rPr>
        <w:t>执行《地表水环境质量标准》(GB3838-2002)中</w:t>
      </w:r>
      <w:bookmarkStart w:id="189" w:name="OLE_LINK1"/>
      <w:r>
        <w:rPr>
          <w:rFonts w:hint="default" w:ascii="Times New Roman" w:hAnsi="Times New Roman" w:eastAsia="宋体" w:cs="Times New Roman"/>
          <w:color w:val="auto"/>
          <w:sz w:val="24"/>
          <w:szCs w:val="24"/>
          <w:highlight w:val="none"/>
          <w:u w:val="none" w:color="auto"/>
          <w:lang w:val="en-US" w:eastAsia="zh-CN"/>
        </w:rPr>
        <w:t>Ⅲ类标准</w:t>
      </w:r>
      <w:bookmarkEnd w:id="189"/>
      <w:r>
        <w:rPr>
          <w:rFonts w:hint="default" w:ascii="Times New Roman" w:hAnsi="Times New Roman" w:eastAsia="宋体" w:cs="Times New Roman"/>
          <w:color w:val="auto"/>
          <w:sz w:val="24"/>
          <w:szCs w:val="24"/>
          <w:highlight w:val="none"/>
          <w:u w:val="none" w:color="auto"/>
          <w:lang w:val="en-US" w:eastAsia="zh-CN"/>
        </w:rPr>
        <w:t>。</w:t>
      </w:r>
    </w:p>
    <w:p w14:paraId="0A5B8DC2">
      <w:pPr>
        <w:pStyle w:val="16"/>
        <w:keepNext w:val="0"/>
        <w:keepLines w:val="0"/>
        <w:pageBreakBefore w:val="0"/>
        <w:kinsoku/>
        <w:wordWrap/>
        <w:overflowPunct/>
        <w:topLinePunct w:val="0"/>
        <w:autoSpaceDE/>
        <w:autoSpaceDN/>
        <w:bidi w:val="0"/>
        <w:adjustRightInd/>
        <w:snapToGrid/>
        <w:ind w:firstLine="480"/>
        <w:jc w:val="left"/>
        <w:textAlignment w:val="auto"/>
        <w:rPr>
          <w:rFonts w:hint="default" w:ascii="Times New Roman" w:hAnsi="Times New Roman" w:eastAsia="宋体" w:cs="Times New Roman"/>
          <w:color w:val="auto"/>
          <w:u w:val="none" w:color="auto"/>
          <w:lang w:eastAsia="zh-CN"/>
        </w:rPr>
      </w:pPr>
      <w:r>
        <w:rPr>
          <w:rFonts w:hint="eastAsia" w:eastAsia="宋体"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4</w:t>
      </w:r>
      <w:r>
        <w:rPr>
          <w:rFonts w:hint="eastAsia" w:eastAsia="宋体" w:cs="Times New Roman"/>
          <w:color w:val="auto"/>
          <w:sz w:val="24"/>
          <w:szCs w:val="24"/>
          <w:highlight w:val="none"/>
          <w:u w:val="none" w:color="auto"/>
          <w:lang w:val="en-US" w:eastAsia="zh-CN"/>
        </w:rPr>
        <w:t>)</w:t>
      </w:r>
      <w:r>
        <w:rPr>
          <w:rFonts w:hint="eastAsia" w:cs="Times New Roman"/>
          <w:color w:val="auto"/>
          <w:u w:val="none" w:color="auto"/>
          <w:lang w:val="en-US" w:eastAsia="zh-CN"/>
        </w:rPr>
        <w:t>地表水</w:t>
      </w:r>
      <w:r>
        <w:rPr>
          <w:rFonts w:hint="default" w:ascii="Times New Roman" w:hAnsi="Times New Roman" w:cs="Times New Roman"/>
          <w:color w:val="auto"/>
          <w:u w:val="none" w:color="auto"/>
          <w:lang w:val="en-US" w:eastAsia="zh-CN"/>
        </w:rPr>
        <w:t>监测结果</w:t>
      </w:r>
      <w:r>
        <w:rPr>
          <w:rFonts w:hint="default" w:ascii="Times New Roman" w:hAnsi="Times New Roman" w:cs="Times New Roman"/>
          <w:color w:val="auto"/>
          <w:u w:val="none" w:color="auto"/>
        </w:rPr>
        <w:t>统计如下</w:t>
      </w:r>
      <w:r>
        <w:rPr>
          <w:rFonts w:hint="eastAsia" w:cs="Times New Roman"/>
          <w:color w:val="auto"/>
          <w:u w:val="none" w:color="auto"/>
          <w:lang w:eastAsia="zh-CN"/>
        </w:rPr>
        <w:t>：</w:t>
      </w:r>
    </w:p>
    <w:p w14:paraId="26A04AD2">
      <w:pPr>
        <w:pStyle w:val="120"/>
        <w:snapToGrid/>
        <w:spacing w:line="240" w:lineRule="auto"/>
        <w:ind w:firstLine="0"/>
        <w:jc w:val="center"/>
        <w:rPr>
          <w:rFonts w:hint="default" w:ascii="Times New Roman" w:hAnsi="Times New Roman" w:eastAsia="宋体" w:cs="Times New Roman"/>
          <w:b/>
          <w:bCs w:val="0"/>
          <w:color w:val="auto"/>
          <w:kern w:val="2"/>
          <w:sz w:val="21"/>
          <w:szCs w:val="21"/>
          <w:u w:val="none" w:color="auto"/>
          <w:lang w:val="en-US" w:eastAsia="zh-CN" w:bidi="ar-SA"/>
        </w:rPr>
      </w:pPr>
      <w:r>
        <w:rPr>
          <w:rFonts w:hint="default" w:ascii="Times New Roman" w:hAnsi="Times New Roman" w:eastAsia="宋体" w:cs="Times New Roman"/>
          <w:b/>
          <w:color w:val="auto"/>
          <w:kern w:val="2"/>
          <w:sz w:val="21"/>
          <w:szCs w:val="21"/>
          <w:u w:val="none" w:color="auto"/>
          <w:lang w:val="en-US" w:eastAsia="zh-CN" w:bidi="ar-SA"/>
        </w:rPr>
        <w:t>表</w:t>
      </w:r>
      <w:r>
        <w:rPr>
          <w:rFonts w:hint="eastAsia" w:cs="Times New Roman"/>
          <w:b/>
          <w:color w:val="auto"/>
          <w:kern w:val="2"/>
          <w:sz w:val="21"/>
          <w:szCs w:val="21"/>
          <w:u w:val="none" w:color="auto"/>
          <w:lang w:val="en-US" w:eastAsia="zh-CN" w:bidi="ar-SA"/>
        </w:rPr>
        <w:t>5</w:t>
      </w:r>
      <w:r>
        <w:rPr>
          <w:rFonts w:hint="default" w:ascii="Times New Roman" w:hAnsi="Times New Roman" w:eastAsia="宋体" w:cs="Times New Roman"/>
          <w:b/>
          <w:color w:val="auto"/>
          <w:kern w:val="2"/>
          <w:sz w:val="21"/>
          <w:szCs w:val="21"/>
          <w:u w:val="none" w:color="auto"/>
          <w:lang w:val="en-US" w:eastAsia="zh-CN" w:bidi="ar-SA"/>
        </w:rPr>
        <w:t>.</w:t>
      </w:r>
      <w:r>
        <w:rPr>
          <w:rFonts w:hint="eastAsia" w:cs="Times New Roman"/>
          <w:b/>
          <w:color w:val="auto"/>
          <w:kern w:val="2"/>
          <w:sz w:val="21"/>
          <w:szCs w:val="21"/>
          <w:u w:val="none" w:color="auto"/>
          <w:lang w:val="en-US" w:eastAsia="zh-CN" w:bidi="ar-SA"/>
        </w:rPr>
        <w:t>2</w:t>
      </w:r>
      <w:r>
        <w:rPr>
          <w:rFonts w:hint="default" w:ascii="Times New Roman" w:hAnsi="Times New Roman" w:eastAsia="宋体" w:cs="Times New Roman"/>
          <w:b/>
          <w:color w:val="auto"/>
          <w:kern w:val="2"/>
          <w:sz w:val="21"/>
          <w:szCs w:val="21"/>
          <w:u w:val="none" w:color="auto"/>
          <w:lang w:val="en-US" w:eastAsia="zh-CN" w:bidi="ar-SA"/>
        </w:rPr>
        <w:t>-</w:t>
      </w:r>
      <w:r>
        <w:rPr>
          <w:rFonts w:hint="eastAsia" w:ascii="Times New Roman" w:hAnsi="Times New Roman" w:eastAsia="宋体" w:cs="Times New Roman"/>
          <w:b/>
          <w:color w:val="auto"/>
          <w:kern w:val="2"/>
          <w:sz w:val="21"/>
          <w:szCs w:val="21"/>
          <w:u w:val="none" w:color="auto"/>
          <w:lang w:val="en-US" w:eastAsia="zh-CN" w:bidi="ar-SA"/>
        </w:rPr>
        <w:t xml:space="preserve">4  </w:t>
      </w:r>
      <w:r>
        <w:rPr>
          <w:rFonts w:hint="default" w:ascii="Times New Roman" w:hAnsi="Times New Roman" w:eastAsia="宋体" w:cs="Times New Roman"/>
          <w:b/>
          <w:color w:val="auto"/>
          <w:kern w:val="2"/>
          <w:sz w:val="21"/>
          <w:szCs w:val="21"/>
          <w:u w:val="none" w:color="auto"/>
          <w:lang w:val="en-US" w:eastAsia="zh-CN" w:bidi="ar-SA"/>
        </w:rPr>
        <w:t>地表水现状监测结果统计表</w:t>
      </w:r>
      <w:r>
        <w:rPr>
          <w:rFonts w:hint="eastAsia" w:cs="Times New Roman"/>
          <w:b/>
          <w:color w:val="auto"/>
          <w:kern w:val="2"/>
          <w:sz w:val="21"/>
          <w:szCs w:val="21"/>
          <w:u w:val="none" w:color="auto"/>
          <w:lang w:val="en-US" w:eastAsia="zh-CN" w:bidi="ar-SA"/>
        </w:rPr>
        <w:t xml:space="preserve">  </w:t>
      </w:r>
      <w:r>
        <w:rPr>
          <w:rFonts w:hint="eastAsia" w:cs="Times New Roman"/>
          <w:b/>
          <w:bCs w:val="0"/>
          <w:color w:val="auto"/>
          <w:kern w:val="2"/>
          <w:sz w:val="21"/>
          <w:szCs w:val="21"/>
          <w:u w:val="none" w:color="auto"/>
          <w:lang w:val="en-US" w:eastAsia="zh-CN" w:bidi="ar-SA"/>
        </w:rPr>
        <w:t>单位：水温</w:t>
      </w:r>
      <w:r>
        <w:rPr>
          <w:rFonts w:hint="default" w:ascii="Times New Roman" w:hAnsi="Times New Roman" w:eastAsia="宋体" w:cs="Times New Roman"/>
          <w:b/>
          <w:bCs w:val="0"/>
          <w:snapToGrid/>
          <w:color w:val="auto"/>
          <w:kern w:val="2"/>
          <w:sz w:val="21"/>
          <w:szCs w:val="21"/>
          <w:u w:val="none" w:color="auto"/>
          <w:lang w:val="en-US" w:eastAsia="zh-CN"/>
        </w:rPr>
        <w:t>℃</w:t>
      </w:r>
      <w:r>
        <w:rPr>
          <w:rFonts w:hint="eastAsia" w:cs="Times New Roman"/>
          <w:b/>
          <w:bCs w:val="0"/>
          <w:snapToGrid/>
          <w:color w:val="auto"/>
          <w:kern w:val="2"/>
          <w:sz w:val="21"/>
          <w:szCs w:val="21"/>
          <w:u w:val="none" w:color="auto"/>
          <w:lang w:val="en-US" w:eastAsia="zh-CN"/>
        </w:rPr>
        <w:t>，</w:t>
      </w:r>
      <w:r>
        <w:rPr>
          <w:rFonts w:hint="default" w:ascii="Times New Roman" w:hAnsi="Times New Roman" w:cs="Times New Roman"/>
          <w:b/>
          <w:bCs w:val="0"/>
          <w:snapToGrid/>
          <w:color w:val="auto"/>
          <w:kern w:val="2"/>
          <w:sz w:val="21"/>
          <w:szCs w:val="21"/>
          <w:u w:val="none" w:color="auto"/>
          <w:lang w:val="en-US" w:eastAsia="zh-CN"/>
        </w:rPr>
        <w:t>pH</w:t>
      </w:r>
      <w:r>
        <w:rPr>
          <w:rFonts w:hint="default" w:ascii="Times New Roman" w:hAnsi="Times New Roman" w:eastAsia="宋体" w:cs="Times New Roman"/>
          <w:b/>
          <w:bCs w:val="0"/>
          <w:snapToGrid/>
          <w:color w:val="auto"/>
          <w:kern w:val="2"/>
          <w:sz w:val="21"/>
          <w:szCs w:val="21"/>
          <w:u w:val="none" w:color="auto"/>
          <w:lang w:val="en-US" w:eastAsia="zh-CN"/>
        </w:rPr>
        <w:t>无量纲</w:t>
      </w:r>
      <w:r>
        <w:rPr>
          <w:rFonts w:hint="eastAsia" w:cs="Times New Roman"/>
          <w:b/>
          <w:bCs w:val="0"/>
          <w:snapToGrid/>
          <w:color w:val="auto"/>
          <w:kern w:val="2"/>
          <w:sz w:val="21"/>
          <w:szCs w:val="21"/>
          <w:u w:val="none" w:color="auto"/>
          <w:lang w:val="en-US" w:eastAsia="zh-CN"/>
        </w:rPr>
        <w:t>，其余</w:t>
      </w:r>
      <w:r>
        <w:rPr>
          <w:rFonts w:hint="default" w:ascii="Times New Roman" w:hAnsi="Times New Roman" w:eastAsia="宋体" w:cs="Times New Roman"/>
          <w:b/>
          <w:bCs w:val="0"/>
          <w:snapToGrid/>
          <w:color w:val="auto"/>
          <w:kern w:val="2"/>
          <w:sz w:val="21"/>
          <w:szCs w:val="21"/>
          <w:u w:val="none" w:color="auto"/>
          <w:lang w:val="en-US" w:eastAsia="zh-CN"/>
        </w:rPr>
        <w:t>mg/L</w:t>
      </w:r>
    </w:p>
    <w:tbl>
      <w:tblPr>
        <w:tblStyle w:val="162"/>
        <w:tblW w:w="561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2"/>
        <w:gridCol w:w="1584"/>
        <w:gridCol w:w="1249"/>
        <w:gridCol w:w="1256"/>
        <w:gridCol w:w="1141"/>
        <w:gridCol w:w="1975"/>
        <w:gridCol w:w="1346"/>
      </w:tblGrid>
      <w:tr w14:paraId="05056C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27220F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检测点位</w:t>
            </w:r>
          </w:p>
        </w:tc>
        <w:tc>
          <w:tcPr>
            <w:tcW w:w="1583" w:type="dxa"/>
            <w:vMerge w:val="restart"/>
            <w:tcBorders>
              <w:tl2br w:val="nil"/>
              <w:tr2bl w:val="nil"/>
            </w:tcBorders>
            <w:vAlign w:val="center"/>
          </w:tcPr>
          <w:p w14:paraId="2633FE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检测项目</w:t>
            </w:r>
          </w:p>
        </w:tc>
        <w:tc>
          <w:tcPr>
            <w:tcW w:w="3643" w:type="dxa"/>
            <w:gridSpan w:val="3"/>
            <w:tcBorders>
              <w:tl2br w:val="nil"/>
              <w:tr2bl w:val="nil"/>
            </w:tcBorders>
            <w:vAlign w:val="center"/>
          </w:tcPr>
          <w:p w14:paraId="651BCC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采样日期及检测结果</w:t>
            </w:r>
          </w:p>
        </w:tc>
        <w:tc>
          <w:tcPr>
            <w:tcW w:w="1974" w:type="dxa"/>
            <w:vMerge w:val="restart"/>
            <w:tcBorders>
              <w:tl2br w:val="nil"/>
              <w:tr2bl w:val="nil"/>
            </w:tcBorders>
            <w:vAlign w:val="center"/>
          </w:tcPr>
          <w:p w14:paraId="0FBF61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GB3838-2002</w:t>
            </w:r>
            <w:r>
              <w:rPr>
                <w:rFonts w:hint="default" w:ascii="Times New Roman" w:hAnsi="Times New Roman" w:cs="Times New Roman"/>
                <w:color w:val="auto"/>
                <w:sz w:val="21"/>
                <w:szCs w:val="21"/>
                <w:highlight w:val="none"/>
                <w:u w:val="none" w:color="auto"/>
                <w:lang w:eastAsia="zh-CN"/>
              </w:rPr>
              <w:t>)</w:t>
            </w:r>
          </w:p>
          <w:p w14:paraId="551691E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Ⅲ</w:t>
            </w:r>
            <w:r>
              <w:rPr>
                <w:rFonts w:hint="default" w:ascii="Times New Roman" w:hAnsi="Times New Roman" w:cs="Times New Roman"/>
                <w:color w:val="auto"/>
                <w:sz w:val="21"/>
                <w:szCs w:val="21"/>
                <w:u w:val="none" w:color="auto"/>
                <w:lang w:val="en-US" w:eastAsia="zh-CN"/>
              </w:rPr>
              <w:t>类</w:t>
            </w:r>
            <w:r>
              <w:rPr>
                <w:rFonts w:hint="default" w:ascii="Times New Roman" w:hAnsi="Times New Roman" w:cs="Times New Roman"/>
                <w:color w:val="auto"/>
                <w:sz w:val="21"/>
                <w:szCs w:val="21"/>
                <w:u w:val="none" w:color="auto"/>
              </w:rPr>
              <w:t>标准</w:t>
            </w:r>
            <w:r>
              <w:rPr>
                <w:rFonts w:hint="default" w:ascii="Times New Roman" w:hAnsi="Times New Roman" w:eastAsia="宋体" w:cs="Times New Roman"/>
                <w:snapToGrid/>
                <w:color w:val="auto"/>
                <w:kern w:val="2"/>
                <w:sz w:val="21"/>
                <w:szCs w:val="21"/>
                <w:u w:val="none" w:color="auto"/>
                <w:lang w:val="en-US" w:eastAsia="zh-CN"/>
              </w:rPr>
              <w:t>参考限值</w:t>
            </w:r>
          </w:p>
        </w:tc>
        <w:tc>
          <w:tcPr>
            <w:tcW w:w="1345" w:type="dxa"/>
            <w:vMerge w:val="restart"/>
            <w:tcBorders>
              <w:tl2br w:val="nil"/>
              <w:tr2bl w:val="nil"/>
            </w:tcBorders>
            <w:vAlign w:val="center"/>
          </w:tcPr>
          <w:p w14:paraId="37C122D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标准指数</w:t>
            </w:r>
          </w:p>
        </w:tc>
      </w:tr>
      <w:tr w14:paraId="758745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A8A78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vMerge w:val="continue"/>
            <w:tcBorders>
              <w:tl2br w:val="nil"/>
              <w:tr2bl w:val="nil"/>
            </w:tcBorders>
            <w:vAlign w:val="center"/>
          </w:tcPr>
          <w:p w14:paraId="40437F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248" w:type="dxa"/>
            <w:tcBorders>
              <w:tl2br w:val="nil"/>
              <w:tr2bl w:val="nil"/>
            </w:tcBorders>
            <w:vAlign w:val="center"/>
          </w:tcPr>
          <w:p w14:paraId="0F5F159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2024-12-19</w:t>
            </w:r>
          </w:p>
        </w:tc>
        <w:tc>
          <w:tcPr>
            <w:tcW w:w="1255" w:type="dxa"/>
            <w:tcBorders>
              <w:tl2br w:val="nil"/>
              <w:tr2bl w:val="nil"/>
            </w:tcBorders>
            <w:vAlign w:val="center"/>
          </w:tcPr>
          <w:p w14:paraId="73B04D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-20</w:t>
            </w:r>
          </w:p>
        </w:tc>
        <w:tc>
          <w:tcPr>
            <w:tcW w:w="1140" w:type="dxa"/>
            <w:tcBorders>
              <w:tl2br w:val="nil"/>
              <w:tr2bl w:val="nil"/>
            </w:tcBorders>
            <w:vAlign w:val="center"/>
          </w:tcPr>
          <w:p w14:paraId="524D52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-21</w:t>
            </w:r>
          </w:p>
        </w:tc>
        <w:tc>
          <w:tcPr>
            <w:tcW w:w="1974" w:type="dxa"/>
            <w:vMerge w:val="continue"/>
            <w:tcBorders>
              <w:tl2br w:val="nil"/>
              <w:tr2bl w:val="nil"/>
            </w:tcBorders>
            <w:vAlign w:val="center"/>
          </w:tcPr>
          <w:p w14:paraId="335E35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345" w:type="dxa"/>
            <w:vMerge w:val="continue"/>
            <w:tcBorders>
              <w:tl2br w:val="nil"/>
              <w:tr2bl w:val="nil"/>
            </w:tcBorders>
            <w:vAlign w:val="center"/>
          </w:tcPr>
          <w:p w14:paraId="376A01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r>
      <w:tr w14:paraId="3D5F22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570A0A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W1</w:t>
            </w:r>
            <w:r>
              <w:rPr>
                <w:rFonts w:hint="default" w:ascii="Times New Roman" w:hAnsi="Times New Roman" w:cs="Times New Roman"/>
                <w:snapToGrid/>
                <w:color w:val="auto"/>
                <w:kern w:val="2"/>
                <w:sz w:val="21"/>
                <w:szCs w:val="21"/>
                <w:u w:val="none" w:color="auto"/>
                <w:lang w:val="en-US" w:eastAsia="zh-CN"/>
              </w:rPr>
              <w:t>廊洞水库</w:t>
            </w:r>
            <w:r>
              <w:rPr>
                <w:rFonts w:hint="default" w:ascii="Times New Roman" w:hAnsi="Times New Roman" w:eastAsia="宋体" w:cs="Times New Roman"/>
                <w:snapToGrid/>
                <w:color w:val="auto"/>
                <w:kern w:val="2"/>
                <w:sz w:val="21"/>
                <w:szCs w:val="21"/>
                <w:u w:val="none" w:color="auto"/>
                <w:lang w:val="en-US" w:eastAsia="zh-CN"/>
              </w:rPr>
              <w:t>大坝</w:t>
            </w:r>
            <w:r>
              <w:rPr>
                <w:rFonts w:hint="default" w:ascii="Times New Roman" w:hAnsi="Times New Roman" w:eastAsia="宋体" w:cs="Times New Roman"/>
                <w:color w:val="auto"/>
                <w:sz w:val="21"/>
                <w:szCs w:val="21"/>
                <w:highlight w:val="none"/>
                <w:u w:val="none" w:color="auto"/>
                <w:lang w:val="en-US" w:eastAsia="zh-CN"/>
              </w:rPr>
              <w:t>上游1000m</w:t>
            </w:r>
          </w:p>
        </w:tc>
        <w:tc>
          <w:tcPr>
            <w:tcW w:w="1583" w:type="dxa"/>
            <w:tcBorders>
              <w:tl2br w:val="nil"/>
              <w:tr2bl w:val="nil"/>
            </w:tcBorders>
            <w:vAlign w:val="center"/>
          </w:tcPr>
          <w:p w14:paraId="3C00AE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水温</w:t>
            </w:r>
          </w:p>
        </w:tc>
        <w:tc>
          <w:tcPr>
            <w:tcW w:w="1248" w:type="dxa"/>
            <w:tcBorders>
              <w:tl2br w:val="nil"/>
              <w:tr2bl w:val="nil"/>
            </w:tcBorders>
            <w:vAlign w:val="center"/>
          </w:tcPr>
          <w:p w14:paraId="3E58B4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15.3</w:t>
            </w:r>
          </w:p>
        </w:tc>
        <w:tc>
          <w:tcPr>
            <w:tcW w:w="1255" w:type="dxa"/>
            <w:tcBorders>
              <w:tl2br w:val="nil"/>
              <w:tr2bl w:val="nil"/>
            </w:tcBorders>
            <w:vAlign w:val="center"/>
          </w:tcPr>
          <w:p w14:paraId="3D46582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14.2</w:t>
            </w:r>
          </w:p>
        </w:tc>
        <w:tc>
          <w:tcPr>
            <w:tcW w:w="1140" w:type="dxa"/>
            <w:tcBorders>
              <w:tl2br w:val="nil"/>
              <w:tr2bl w:val="nil"/>
            </w:tcBorders>
            <w:vAlign w:val="center"/>
          </w:tcPr>
          <w:p w14:paraId="3C5397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w:t>
            </w:r>
          </w:p>
        </w:tc>
        <w:tc>
          <w:tcPr>
            <w:tcW w:w="1974" w:type="dxa"/>
            <w:tcBorders>
              <w:tl2br w:val="nil"/>
              <w:tr2bl w:val="nil"/>
            </w:tcBorders>
            <w:vAlign w:val="center"/>
          </w:tcPr>
          <w:p w14:paraId="6448F4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c>
          <w:tcPr>
            <w:tcW w:w="1345" w:type="dxa"/>
            <w:tcBorders>
              <w:tl2br w:val="nil"/>
              <w:tr2bl w:val="nil"/>
            </w:tcBorders>
            <w:vAlign w:val="center"/>
          </w:tcPr>
          <w:p w14:paraId="78F860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82F1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88B1C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59D1BA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pH</w:t>
            </w:r>
            <w:r>
              <w:rPr>
                <w:rFonts w:hint="default" w:ascii="Times New Roman" w:hAnsi="Times New Roman" w:eastAsia="宋体" w:cs="Times New Roman"/>
                <w:snapToGrid/>
                <w:color w:val="auto"/>
                <w:kern w:val="2"/>
                <w:sz w:val="21"/>
                <w:szCs w:val="21"/>
                <w:u w:val="none" w:color="auto"/>
                <w:lang w:val="en-US" w:eastAsia="zh-CN"/>
              </w:rPr>
              <w:t>值</w:t>
            </w:r>
          </w:p>
        </w:tc>
        <w:tc>
          <w:tcPr>
            <w:tcW w:w="1248" w:type="dxa"/>
            <w:tcBorders>
              <w:tl2br w:val="nil"/>
              <w:tr2bl w:val="nil"/>
            </w:tcBorders>
            <w:vAlign w:val="center"/>
          </w:tcPr>
          <w:p w14:paraId="2DF6D2C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255" w:type="dxa"/>
            <w:tcBorders>
              <w:tl2br w:val="nil"/>
              <w:tr2bl w:val="nil"/>
            </w:tcBorders>
            <w:vAlign w:val="center"/>
          </w:tcPr>
          <w:p w14:paraId="7F5270C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140" w:type="dxa"/>
            <w:tcBorders>
              <w:tl2br w:val="nil"/>
              <w:tr2bl w:val="nil"/>
            </w:tcBorders>
            <w:vAlign w:val="center"/>
          </w:tcPr>
          <w:p w14:paraId="5D8EC60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974" w:type="dxa"/>
            <w:tcBorders>
              <w:tl2br w:val="nil"/>
              <w:tr2bl w:val="nil"/>
            </w:tcBorders>
            <w:vAlign w:val="center"/>
          </w:tcPr>
          <w:p w14:paraId="7E8689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6-9</w:t>
            </w:r>
          </w:p>
        </w:tc>
        <w:tc>
          <w:tcPr>
            <w:tcW w:w="1345" w:type="dxa"/>
            <w:tcBorders>
              <w:tl2br w:val="nil"/>
              <w:tr2bl w:val="nil"/>
            </w:tcBorders>
            <w:vAlign w:val="center"/>
          </w:tcPr>
          <w:p w14:paraId="3212E96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0.05-0.15</w:t>
            </w:r>
          </w:p>
        </w:tc>
      </w:tr>
      <w:tr w14:paraId="1BD8E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B882A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C1622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溶解氧</w:t>
            </w:r>
          </w:p>
        </w:tc>
        <w:tc>
          <w:tcPr>
            <w:tcW w:w="1248" w:type="dxa"/>
            <w:tcBorders>
              <w:tl2br w:val="nil"/>
              <w:tr2bl w:val="nil"/>
            </w:tcBorders>
            <w:vAlign w:val="center"/>
          </w:tcPr>
          <w:p w14:paraId="085C62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10.09</w:t>
            </w:r>
          </w:p>
        </w:tc>
        <w:tc>
          <w:tcPr>
            <w:tcW w:w="1255" w:type="dxa"/>
            <w:tcBorders>
              <w:tl2br w:val="nil"/>
              <w:tr2bl w:val="nil"/>
            </w:tcBorders>
            <w:vAlign w:val="center"/>
          </w:tcPr>
          <w:p w14:paraId="1347286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10.33</w:t>
            </w:r>
          </w:p>
        </w:tc>
        <w:tc>
          <w:tcPr>
            <w:tcW w:w="1140" w:type="dxa"/>
            <w:tcBorders>
              <w:tl2br w:val="nil"/>
              <w:tr2bl w:val="nil"/>
            </w:tcBorders>
            <w:vAlign w:val="center"/>
          </w:tcPr>
          <w:p w14:paraId="638BBC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9.96</w:t>
            </w:r>
          </w:p>
        </w:tc>
        <w:tc>
          <w:tcPr>
            <w:tcW w:w="1974" w:type="dxa"/>
            <w:tcBorders>
              <w:tl2br w:val="nil"/>
              <w:tr2bl w:val="nil"/>
            </w:tcBorders>
            <w:vAlign w:val="center"/>
          </w:tcPr>
          <w:p w14:paraId="266B854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626AA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042594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09FA50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06C386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叶绿素a</w:t>
            </w:r>
          </w:p>
        </w:tc>
        <w:tc>
          <w:tcPr>
            <w:tcW w:w="1248" w:type="dxa"/>
            <w:tcBorders>
              <w:tl2br w:val="nil"/>
              <w:tr2bl w:val="nil"/>
            </w:tcBorders>
            <w:vAlign w:val="center"/>
          </w:tcPr>
          <w:p w14:paraId="63598DE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255" w:type="dxa"/>
            <w:tcBorders>
              <w:tl2br w:val="nil"/>
              <w:tr2bl w:val="nil"/>
            </w:tcBorders>
            <w:vAlign w:val="center"/>
          </w:tcPr>
          <w:p w14:paraId="01E024A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0.38</w:t>
            </w:r>
          </w:p>
        </w:tc>
        <w:tc>
          <w:tcPr>
            <w:tcW w:w="1140" w:type="dxa"/>
            <w:tcBorders>
              <w:tl2br w:val="nil"/>
              <w:tr2bl w:val="nil"/>
            </w:tcBorders>
            <w:vAlign w:val="center"/>
          </w:tcPr>
          <w:p w14:paraId="3ED03C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0.39</w:t>
            </w:r>
          </w:p>
        </w:tc>
        <w:tc>
          <w:tcPr>
            <w:tcW w:w="1974" w:type="dxa"/>
            <w:tcBorders>
              <w:tl2br w:val="nil"/>
              <w:tr2bl w:val="nil"/>
            </w:tcBorders>
            <w:vAlign w:val="center"/>
          </w:tcPr>
          <w:p w14:paraId="100A33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7A7EA19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2D3A04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01" w:type="dxa"/>
            <w:vMerge w:val="continue"/>
            <w:tcBorders>
              <w:tl2br w:val="nil"/>
              <w:tr2bl w:val="nil"/>
            </w:tcBorders>
            <w:vAlign w:val="center"/>
          </w:tcPr>
          <w:p w14:paraId="318D09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F6F83C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48" w:type="dxa"/>
            <w:tcBorders>
              <w:tl2br w:val="nil"/>
              <w:tr2bl w:val="nil"/>
            </w:tcBorders>
            <w:vAlign w:val="center"/>
          </w:tcPr>
          <w:p w14:paraId="3CBFD74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255" w:type="dxa"/>
            <w:tcBorders>
              <w:tl2br w:val="nil"/>
              <w:tr2bl w:val="nil"/>
            </w:tcBorders>
            <w:vAlign w:val="center"/>
          </w:tcPr>
          <w:p w14:paraId="7E14D8F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40" w:type="dxa"/>
            <w:tcBorders>
              <w:tl2br w:val="nil"/>
              <w:tr2bl w:val="nil"/>
            </w:tcBorders>
            <w:vAlign w:val="center"/>
          </w:tcPr>
          <w:p w14:paraId="7C902E6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974" w:type="dxa"/>
            <w:tcBorders>
              <w:tl2br w:val="nil"/>
              <w:tr2bl w:val="nil"/>
            </w:tcBorders>
            <w:vAlign w:val="center"/>
          </w:tcPr>
          <w:p w14:paraId="17EFEC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3F03DC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9942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EE45B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426664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i w:val="0"/>
                <w:iCs w:val="0"/>
                <w:color w:val="auto"/>
                <w:kern w:val="0"/>
                <w:sz w:val="21"/>
                <w:szCs w:val="21"/>
                <w:u w:val="none"/>
                <w:lang w:val="en-US" w:eastAsia="zh-CN" w:bidi="ar"/>
              </w:rPr>
              <w:t>BOD</w:t>
            </w:r>
            <w:r>
              <w:rPr>
                <w:rFonts w:hint="eastAsia" w:cs="Times New Roman"/>
                <w:i w:val="0"/>
                <w:iCs w:val="0"/>
                <w:color w:val="auto"/>
                <w:kern w:val="0"/>
                <w:sz w:val="21"/>
                <w:szCs w:val="21"/>
                <w:u w:val="none"/>
                <w:vertAlign w:val="subscript"/>
                <w:lang w:val="en-US" w:eastAsia="zh-CN" w:bidi="ar"/>
              </w:rPr>
              <w:t>5</w:t>
            </w:r>
          </w:p>
        </w:tc>
        <w:tc>
          <w:tcPr>
            <w:tcW w:w="1248" w:type="dxa"/>
            <w:tcBorders>
              <w:tl2br w:val="nil"/>
              <w:tr2bl w:val="nil"/>
            </w:tcBorders>
            <w:vAlign w:val="center"/>
          </w:tcPr>
          <w:p w14:paraId="74C27E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255" w:type="dxa"/>
            <w:tcBorders>
              <w:tl2br w:val="nil"/>
              <w:tr2bl w:val="nil"/>
            </w:tcBorders>
            <w:vAlign w:val="center"/>
          </w:tcPr>
          <w:p w14:paraId="5747FC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140" w:type="dxa"/>
            <w:tcBorders>
              <w:tl2br w:val="nil"/>
              <w:tr2bl w:val="nil"/>
            </w:tcBorders>
            <w:vAlign w:val="center"/>
          </w:tcPr>
          <w:p w14:paraId="406053E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974" w:type="dxa"/>
            <w:tcBorders>
              <w:tl2br w:val="nil"/>
              <w:tr2bl w:val="nil"/>
            </w:tcBorders>
            <w:vAlign w:val="center"/>
          </w:tcPr>
          <w:p w14:paraId="11C01C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p>
        </w:tc>
        <w:tc>
          <w:tcPr>
            <w:tcW w:w="1345" w:type="dxa"/>
            <w:tcBorders>
              <w:tl2br w:val="nil"/>
              <w:tr2bl w:val="nil"/>
            </w:tcBorders>
            <w:vAlign w:val="center"/>
          </w:tcPr>
          <w:p w14:paraId="53AE45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47</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55</w:t>
            </w:r>
            <w:r>
              <w:rPr>
                <w:rFonts w:hint="default" w:ascii="Times New Roman" w:hAnsi="Times New Roman" w:cs="Times New Roman"/>
                <w:snapToGrid/>
                <w:color w:val="auto"/>
                <w:kern w:val="2"/>
                <w:sz w:val="21"/>
                <w:szCs w:val="21"/>
                <w:u w:val="none" w:color="auto"/>
                <w:lang w:val="en-US" w:eastAsia="zh-CN"/>
              </w:rPr>
              <w:t xml:space="preserve"> </w:t>
            </w:r>
          </w:p>
        </w:tc>
      </w:tr>
      <w:tr w14:paraId="048D3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4D3B4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749803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1248" w:type="dxa"/>
            <w:tcBorders>
              <w:tl2br w:val="nil"/>
              <w:tr2bl w:val="nil"/>
            </w:tcBorders>
            <w:vAlign w:val="center"/>
          </w:tcPr>
          <w:p w14:paraId="0A03615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255" w:type="dxa"/>
            <w:tcBorders>
              <w:tl2br w:val="nil"/>
              <w:tr2bl w:val="nil"/>
            </w:tcBorders>
            <w:vAlign w:val="center"/>
          </w:tcPr>
          <w:p w14:paraId="2D67442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40" w:type="dxa"/>
            <w:tcBorders>
              <w:tl2br w:val="nil"/>
              <w:tr2bl w:val="nil"/>
            </w:tcBorders>
            <w:vAlign w:val="center"/>
          </w:tcPr>
          <w:p w14:paraId="4B5C8DE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974" w:type="dxa"/>
            <w:tcBorders>
              <w:tl2br w:val="nil"/>
              <w:tr2bl w:val="nil"/>
            </w:tcBorders>
            <w:vAlign w:val="center"/>
          </w:tcPr>
          <w:p w14:paraId="4D3789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20</w:t>
            </w:r>
          </w:p>
        </w:tc>
        <w:tc>
          <w:tcPr>
            <w:tcW w:w="1345" w:type="dxa"/>
            <w:tcBorders>
              <w:tl2br w:val="nil"/>
              <w:tr2bl w:val="nil"/>
            </w:tcBorders>
            <w:vAlign w:val="center"/>
          </w:tcPr>
          <w:p w14:paraId="3DF15A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0.35</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45</w:t>
            </w:r>
          </w:p>
        </w:tc>
      </w:tr>
      <w:tr w14:paraId="6BEB12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00AA6F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679829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248" w:type="dxa"/>
            <w:tcBorders>
              <w:tl2br w:val="nil"/>
              <w:tr2bl w:val="nil"/>
            </w:tcBorders>
            <w:vAlign w:val="center"/>
          </w:tcPr>
          <w:p w14:paraId="07A831A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255" w:type="dxa"/>
            <w:tcBorders>
              <w:tl2br w:val="nil"/>
              <w:tr2bl w:val="nil"/>
            </w:tcBorders>
            <w:vAlign w:val="center"/>
          </w:tcPr>
          <w:p w14:paraId="3BA0BD6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140" w:type="dxa"/>
            <w:tcBorders>
              <w:tl2br w:val="nil"/>
              <w:tr2bl w:val="nil"/>
            </w:tcBorders>
            <w:vAlign w:val="center"/>
          </w:tcPr>
          <w:p w14:paraId="744C7F5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c>
          <w:tcPr>
            <w:tcW w:w="1974" w:type="dxa"/>
            <w:tcBorders>
              <w:tl2br w:val="nil"/>
              <w:tr2bl w:val="nil"/>
            </w:tcBorders>
            <w:vAlign w:val="center"/>
          </w:tcPr>
          <w:p w14:paraId="66BFA0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3C4E4A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3</w:t>
            </w: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4</w:t>
            </w:r>
          </w:p>
        </w:tc>
      </w:tr>
      <w:tr w14:paraId="4045F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D768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E86AF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总氮</w:t>
            </w:r>
          </w:p>
        </w:tc>
        <w:tc>
          <w:tcPr>
            <w:tcW w:w="1248" w:type="dxa"/>
            <w:tcBorders>
              <w:tl2br w:val="nil"/>
              <w:tr2bl w:val="nil"/>
            </w:tcBorders>
            <w:vAlign w:val="center"/>
          </w:tcPr>
          <w:p w14:paraId="2FF44BE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0.59</w:t>
            </w:r>
          </w:p>
        </w:tc>
        <w:tc>
          <w:tcPr>
            <w:tcW w:w="1255" w:type="dxa"/>
            <w:tcBorders>
              <w:tl2br w:val="nil"/>
              <w:tr2bl w:val="nil"/>
            </w:tcBorders>
            <w:vAlign w:val="center"/>
          </w:tcPr>
          <w:p w14:paraId="4A1B529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0.63</w:t>
            </w:r>
          </w:p>
        </w:tc>
        <w:tc>
          <w:tcPr>
            <w:tcW w:w="1140" w:type="dxa"/>
            <w:tcBorders>
              <w:tl2br w:val="nil"/>
              <w:tr2bl w:val="nil"/>
            </w:tcBorders>
            <w:vAlign w:val="center"/>
          </w:tcPr>
          <w:p w14:paraId="207C4F0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0.61</w:t>
            </w:r>
          </w:p>
        </w:tc>
        <w:tc>
          <w:tcPr>
            <w:tcW w:w="1974" w:type="dxa"/>
            <w:tcBorders>
              <w:tl2br w:val="nil"/>
              <w:tr2bl w:val="nil"/>
            </w:tcBorders>
            <w:vAlign w:val="center"/>
          </w:tcPr>
          <w:p w14:paraId="1EE1E2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0A660BE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0.59</w:t>
            </w:r>
            <w:r>
              <w:rPr>
                <w:rFonts w:hint="default" w:ascii="Times New Roman" w:hAnsi="Times New Roman" w:cs="Times New Roman"/>
                <w:snapToGrid/>
                <w:color w:val="auto"/>
                <w:kern w:val="2"/>
                <w:sz w:val="21"/>
                <w:szCs w:val="21"/>
                <w:u w:val="none" w:color="auto"/>
                <w:lang w:val="en-US" w:eastAsia="zh-CN"/>
              </w:rPr>
              <w:t>-</w:t>
            </w:r>
            <w:r>
              <w:rPr>
                <w:rFonts w:hint="eastAsia" w:cs="Times New Roman"/>
                <w:snapToGrid/>
                <w:color w:val="auto"/>
                <w:kern w:val="2"/>
                <w:sz w:val="21"/>
                <w:szCs w:val="21"/>
                <w:u w:val="none" w:color="auto"/>
                <w:lang w:val="en-US" w:eastAsia="zh-CN"/>
              </w:rPr>
              <w:t>0.63</w:t>
            </w:r>
          </w:p>
        </w:tc>
      </w:tr>
      <w:tr w14:paraId="74865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B56A4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BC89EC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高锰酸盐指数</w:t>
            </w:r>
          </w:p>
        </w:tc>
        <w:tc>
          <w:tcPr>
            <w:tcW w:w="1248" w:type="dxa"/>
            <w:tcBorders>
              <w:tl2br w:val="nil"/>
              <w:tr2bl w:val="nil"/>
            </w:tcBorders>
            <w:vAlign w:val="center"/>
          </w:tcPr>
          <w:p w14:paraId="1788CF2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255" w:type="dxa"/>
            <w:tcBorders>
              <w:tl2br w:val="nil"/>
              <w:tr2bl w:val="nil"/>
            </w:tcBorders>
            <w:vAlign w:val="center"/>
          </w:tcPr>
          <w:p w14:paraId="3E5B6C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140" w:type="dxa"/>
            <w:tcBorders>
              <w:tl2br w:val="nil"/>
              <w:tr2bl w:val="nil"/>
            </w:tcBorders>
            <w:vAlign w:val="center"/>
          </w:tcPr>
          <w:p w14:paraId="508AB20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974" w:type="dxa"/>
            <w:tcBorders>
              <w:tl2br w:val="nil"/>
              <w:tr2bl w:val="nil"/>
            </w:tcBorders>
            <w:vAlign w:val="center"/>
          </w:tcPr>
          <w:p w14:paraId="7F60E9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6</w:t>
            </w:r>
          </w:p>
        </w:tc>
        <w:tc>
          <w:tcPr>
            <w:tcW w:w="1345" w:type="dxa"/>
            <w:tcBorders>
              <w:tl2br w:val="nil"/>
              <w:tr2bl w:val="nil"/>
            </w:tcBorders>
            <w:vAlign w:val="center"/>
          </w:tcPr>
          <w:p w14:paraId="2BAC6D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36</w:t>
            </w: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38</w:t>
            </w:r>
          </w:p>
        </w:tc>
      </w:tr>
      <w:tr w14:paraId="0B2564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43753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16DC40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1248" w:type="dxa"/>
            <w:tcBorders>
              <w:tl2br w:val="nil"/>
              <w:tr2bl w:val="nil"/>
            </w:tcBorders>
            <w:vAlign w:val="center"/>
          </w:tcPr>
          <w:p w14:paraId="75FC2B0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19D59D4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743ABED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11E901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w:t>
            </w:r>
          </w:p>
        </w:tc>
        <w:tc>
          <w:tcPr>
            <w:tcW w:w="1345" w:type="dxa"/>
            <w:tcBorders>
              <w:tl2br w:val="nil"/>
              <w:tr2bl w:val="nil"/>
            </w:tcBorders>
            <w:shd w:val="clear" w:color="auto" w:fill="auto"/>
            <w:vAlign w:val="center"/>
          </w:tcPr>
          <w:p w14:paraId="34D8B70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w:t>
            </w:r>
            <w:r>
              <w:rPr>
                <w:rFonts w:hint="eastAsia" w:cs="Times New Roman"/>
                <w:snapToGrid/>
                <w:color w:val="auto"/>
                <w:kern w:val="2"/>
                <w:sz w:val="21"/>
                <w:szCs w:val="21"/>
                <w:u w:val="none" w:color="auto"/>
                <w:lang w:val="en-US" w:eastAsia="zh-CN"/>
              </w:rPr>
              <w:t>2</w:t>
            </w:r>
          </w:p>
        </w:tc>
      </w:tr>
      <w:tr w14:paraId="189CEC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984F8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B88AC4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粪大肠菌群</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snapToGrid/>
                <w:color w:val="auto"/>
                <w:kern w:val="2"/>
                <w:sz w:val="21"/>
                <w:szCs w:val="21"/>
                <w:u w:val="none" w:color="auto"/>
                <w:lang w:val="en-US" w:eastAsia="zh-CN"/>
              </w:rPr>
              <w:t>MPN/L</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01355DA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130</w:t>
            </w:r>
          </w:p>
        </w:tc>
        <w:tc>
          <w:tcPr>
            <w:tcW w:w="1255" w:type="dxa"/>
            <w:tcBorders>
              <w:tl2br w:val="nil"/>
              <w:tr2bl w:val="nil"/>
            </w:tcBorders>
            <w:vAlign w:val="center"/>
          </w:tcPr>
          <w:p w14:paraId="07D401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r>
              <w:rPr>
                <w:rFonts w:hint="default" w:ascii="Times New Roman" w:hAnsi="Times New Roman" w:cs="Times New Roman"/>
                <w:i w:val="0"/>
                <w:iCs w:val="0"/>
                <w:color w:val="000000"/>
                <w:kern w:val="0"/>
                <w:sz w:val="21"/>
                <w:szCs w:val="21"/>
                <w:u w:val="none"/>
                <w:lang w:val="en-US" w:eastAsia="zh-CN" w:bidi="ar"/>
              </w:rPr>
              <w:t>0</w:t>
            </w:r>
          </w:p>
        </w:tc>
        <w:tc>
          <w:tcPr>
            <w:tcW w:w="1140" w:type="dxa"/>
            <w:tcBorders>
              <w:tl2br w:val="nil"/>
              <w:tr2bl w:val="nil"/>
            </w:tcBorders>
            <w:vAlign w:val="center"/>
          </w:tcPr>
          <w:p w14:paraId="7F8FEB3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w:t>
            </w:r>
            <w:r>
              <w:rPr>
                <w:rFonts w:hint="default" w:ascii="Times New Roman" w:hAnsi="Times New Roman" w:cs="Times New Roman"/>
                <w:i w:val="0"/>
                <w:iCs w:val="0"/>
                <w:color w:val="000000"/>
                <w:kern w:val="0"/>
                <w:sz w:val="21"/>
                <w:szCs w:val="21"/>
                <w:u w:val="none"/>
                <w:lang w:val="en-US" w:eastAsia="zh-CN" w:bidi="ar"/>
              </w:rPr>
              <w:t>0</w:t>
            </w:r>
          </w:p>
        </w:tc>
        <w:tc>
          <w:tcPr>
            <w:tcW w:w="1974" w:type="dxa"/>
            <w:tcBorders>
              <w:tl2br w:val="nil"/>
              <w:tr2bl w:val="nil"/>
            </w:tcBorders>
            <w:vAlign w:val="center"/>
          </w:tcPr>
          <w:p w14:paraId="718393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r>
              <w:rPr>
                <w:rFonts w:hint="default" w:ascii="Times New Roman" w:hAnsi="Times New Roman" w:cs="Times New Roman"/>
                <w:sz w:val="21"/>
                <w:szCs w:val="21"/>
              </w:rPr>
              <w:t>000</w:t>
            </w:r>
          </w:p>
        </w:tc>
        <w:tc>
          <w:tcPr>
            <w:tcW w:w="1345" w:type="dxa"/>
            <w:tcBorders>
              <w:tl2br w:val="nil"/>
              <w:tr2bl w:val="nil"/>
            </w:tcBorders>
            <w:vAlign w:val="center"/>
          </w:tcPr>
          <w:p w14:paraId="5D5EEA2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0.013</w:t>
            </w:r>
            <w:r>
              <w:rPr>
                <w:rFonts w:hint="default" w:ascii="Times New Roman" w:hAnsi="Times New Roman" w:cs="Times New Roman"/>
                <w:snapToGrid/>
                <w:color w:val="auto"/>
                <w:kern w:val="2"/>
                <w:sz w:val="21"/>
                <w:szCs w:val="21"/>
                <w:u w:val="none" w:color="auto"/>
                <w:lang w:val="en-US" w:eastAsia="zh-CN"/>
              </w:rPr>
              <w:t>-0.0</w:t>
            </w:r>
            <w:r>
              <w:rPr>
                <w:rFonts w:hint="eastAsia" w:cs="Times New Roman"/>
                <w:snapToGrid/>
                <w:color w:val="auto"/>
                <w:kern w:val="2"/>
                <w:sz w:val="21"/>
                <w:szCs w:val="21"/>
                <w:u w:val="none" w:color="auto"/>
                <w:lang w:val="en-US" w:eastAsia="zh-CN"/>
              </w:rPr>
              <w:t>15</w:t>
            </w:r>
          </w:p>
        </w:tc>
      </w:tr>
      <w:tr w14:paraId="1B1CA2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20951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3BBBA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1248" w:type="dxa"/>
            <w:tcBorders>
              <w:tl2br w:val="nil"/>
              <w:tr2bl w:val="nil"/>
            </w:tcBorders>
            <w:vAlign w:val="center"/>
          </w:tcPr>
          <w:p w14:paraId="52FBE87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55" w:type="dxa"/>
            <w:tcBorders>
              <w:tl2br w:val="nil"/>
              <w:tr2bl w:val="nil"/>
            </w:tcBorders>
            <w:vAlign w:val="center"/>
          </w:tcPr>
          <w:p w14:paraId="3F95205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140" w:type="dxa"/>
            <w:tcBorders>
              <w:tl2br w:val="nil"/>
              <w:tr2bl w:val="nil"/>
            </w:tcBorders>
            <w:vAlign w:val="center"/>
          </w:tcPr>
          <w:p w14:paraId="0C5DDD5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974" w:type="dxa"/>
            <w:tcBorders>
              <w:tl2br w:val="nil"/>
              <w:tr2bl w:val="nil"/>
            </w:tcBorders>
            <w:vAlign w:val="center"/>
          </w:tcPr>
          <w:p w14:paraId="1D87EF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0FBC15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w:t>
            </w:r>
            <w:r>
              <w:rPr>
                <w:rFonts w:hint="eastAsia" w:cs="Times New Roman"/>
                <w:sz w:val="21"/>
                <w:szCs w:val="21"/>
                <w:lang w:val="en-US" w:eastAsia="zh-CN"/>
              </w:rPr>
              <w:t>1</w:t>
            </w:r>
          </w:p>
        </w:tc>
      </w:tr>
      <w:tr w14:paraId="7A84FB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F5B16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6DE2F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锌</w:t>
            </w:r>
          </w:p>
        </w:tc>
        <w:tc>
          <w:tcPr>
            <w:tcW w:w="1248" w:type="dxa"/>
            <w:tcBorders>
              <w:tl2br w:val="nil"/>
              <w:tr2bl w:val="nil"/>
            </w:tcBorders>
            <w:vAlign w:val="center"/>
          </w:tcPr>
          <w:p w14:paraId="1C7BCC4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255" w:type="dxa"/>
            <w:tcBorders>
              <w:tl2br w:val="nil"/>
              <w:tr2bl w:val="nil"/>
            </w:tcBorders>
            <w:vAlign w:val="center"/>
          </w:tcPr>
          <w:p w14:paraId="4E8FA42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140" w:type="dxa"/>
            <w:tcBorders>
              <w:tl2br w:val="nil"/>
              <w:tr2bl w:val="nil"/>
            </w:tcBorders>
            <w:vAlign w:val="center"/>
          </w:tcPr>
          <w:p w14:paraId="5AAE767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974" w:type="dxa"/>
            <w:tcBorders>
              <w:tl2br w:val="nil"/>
              <w:tr2bl w:val="nil"/>
            </w:tcBorders>
            <w:vAlign w:val="center"/>
          </w:tcPr>
          <w:p w14:paraId="3FBEC1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11BBC6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5</w:t>
            </w:r>
          </w:p>
        </w:tc>
      </w:tr>
      <w:tr w14:paraId="1C3872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DA885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C0B2E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248" w:type="dxa"/>
            <w:tcBorders>
              <w:tl2br w:val="nil"/>
              <w:tr2bl w:val="nil"/>
            </w:tcBorders>
            <w:vAlign w:val="center"/>
          </w:tcPr>
          <w:p w14:paraId="4CBBDB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255" w:type="dxa"/>
            <w:tcBorders>
              <w:tl2br w:val="nil"/>
              <w:tr2bl w:val="nil"/>
            </w:tcBorders>
            <w:vAlign w:val="center"/>
          </w:tcPr>
          <w:p w14:paraId="0E88FDB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140" w:type="dxa"/>
            <w:tcBorders>
              <w:tl2br w:val="nil"/>
              <w:tr2bl w:val="nil"/>
            </w:tcBorders>
            <w:vAlign w:val="center"/>
          </w:tcPr>
          <w:p w14:paraId="330076D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0.0001L</w:t>
            </w:r>
          </w:p>
        </w:tc>
        <w:tc>
          <w:tcPr>
            <w:tcW w:w="1974" w:type="dxa"/>
            <w:tcBorders>
              <w:tl2br w:val="nil"/>
              <w:tr2bl w:val="nil"/>
            </w:tcBorders>
            <w:vAlign w:val="center"/>
          </w:tcPr>
          <w:p w14:paraId="41B1EF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≤0.005</w:t>
            </w:r>
          </w:p>
        </w:tc>
        <w:tc>
          <w:tcPr>
            <w:tcW w:w="1345" w:type="dxa"/>
            <w:tcBorders>
              <w:tl2br w:val="nil"/>
              <w:tr2bl w:val="nil"/>
            </w:tcBorders>
            <w:vAlign w:val="center"/>
          </w:tcPr>
          <w:p w14:paraId="734A63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2</w:t>
            </w:r>
          </w:p>
        </w:tc>
      </w:tr>
      <w:tr w14:paraId="35BD35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E733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C813D4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248" w:type="dxa"/>
            <w:tcBorders>
              <w:tl2br w:val="nil"/>
              <w:tr2bl w:val="nil"/>
            </w:tcBorders>
            <w:vAlign w:val="center"/>
          </w:tcPr>
          <w:p w14:paraId="268C0AF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55" w:type="dxa"/>
            <w:tcBorders>
              <w:tl2br w:val="nil"/>
              <w:tr2bl w:val="nil"/>
            </w:tcBorders>
            <w:vAlign w:val="center"/>
          </w:tcPr>
          <w:p w14:paraId="533A94A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140" w:type="dxa"/>
            <w:tcBorders>
              <w:tl2br w:val="nil"/>
              <w:tr2bl w:val="nil"/>
            </w:tcBorders>
            <w:vAlign w:val="center"/>
          </w:tcPr>
          <w:p w14:paraId="334A63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974" w:type="dxa"/>
            <w:tcBorders>
              <w:tl2br w:val="nil"/>
              <w:tr2bl w:val="nil"/>
            </w:tcBorders>
            <w:vAlign w:val="center"/>
          </w:tcPr>
          <w:p w14:paraId="369465B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5</w:t>
            </w:r>
          </w:p>
        </w:tc>
        <w:tc>
          <w:tcPr>
            <w:tcW w:w="1345" w:type="dxa"/>
            <w:tcBorders>
              <w:tl2br w:val="nil"/>
              <w:tr2bl w:val="nil"/>
            </w:tcBorders>
            <w:vAlign w:val="center"/>
          </w:tcPr>
          <w:p w14:paraId="5F6722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w:t>
            </w:r>
            <w:r>
              <w:rPr>
                <w:rFonts w:hint="eastAsia" w:cs="Times New Roman"/>
                <w:sz w:val="21"/>
                <w:szCs w:val="21"/>
                <w:lang w:val="en-US" w:eastAsia="zh-CN"/>
              </w:rPr>
              <w:t>02</w:t>
            </w:r>
          </w:p>
        </w:tc>
      </w:tr>
      <w:tr w14:paraId="00A376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729E1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B4DF1E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248" w:type="dxa"/>
            <w:tcBorders>
              <w:tl2br w:val="nil"/>
              <w:tr2bl w:val="nil"/>
            </w:tcBorders>
            <w:vAlign w:val="center"/>
          </w:tcPr>
          <w:p w14:paraId="5D054DF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55" w:type="dxa"/>
            <w:tcBorders>
              <w:tl2br w:val="nil"/>
              <w:tr2bl w:val="nil"/>
            </w:tcBorders>
            <w:vAlign w:val="center"/>
          </w:tcPr>
          <w:p w14:paraId="40A9F1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140" w:type="dxa"/>
            <w:tcBorders>
              <w:tl2br w:val="nil"/>
              <w:tr2bl w:val="nil"/>
            </w:tcBorders>
            <w:vAlign w:val="center"/>
          </w:tcPr>
          <w:p w14:paraId="4FCF50D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974" w:type="dxa"/>
            <w:tcBorders>
              <w:tl2br w:val="nil"/>
              <w:tr2bl w:val="nil"/>
            </w:tcBorders>
            <w:vAlign w:val="center"/>
          </w:tcPr>
          <w:p w14:paraId="6DCAC1E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1920DC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w:t>
            </w:r>
          </w:p>
        </w:tc>
      </w:tr>
      <w:tr w14:paraId="739D4B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49A08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B7E5EC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248" w:type="dxa"/>
            <w:tcBorders>
              <w:tl2br w:val="nil"/>
              <w:tr2bl w:val="nil"/>
            </w:tcBorders>
            <w:vAlign w:val="center"/>
          </w:tcPr>
          <w:p w14:paraId="1A080F7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4805681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1C1FE4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270619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w:t>
            </w:r>
          </w:p>
        </w:tc>
        <w:tc>
          <w:tcPr>
            <w:tcW w:w="1345" w:type="dxa"/>
            <w:tcBorders>
              <w:tl2br w:val="nil"/>
              <w:tr2bl w:val="nil"/>
            </w:tcBorders>
            <w:vAlign w:val="center"/>
          </w:tcPr>
          <w:p w14:paraId="3ACEC8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snapToGrid/>
                <w:color w:val="auto"/>
                <w:kern w:val="2"/>
                <w:sz w:val="21"/>
                <w:szCs w:val="21"/>
                <w:u w:val="none" w:color="auto"/>
                <w:lang w:val="en-US" w:eastAsia="zh-CN"/>
              </w:rPr>
              <w:t>-</w:t>
            </w:r>
          </w:p>
        </w:tc>
      </w:tr>
      <w:tr w14:paraId="502B48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22067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727FD15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氟化物</w:t>
            </w:r>
          </w:p>
        </w:tc>
        <w:tc>
          <w:tcPr>
            <w:tcW w:w="1248" w:type="dxa"/>
            <w:tcBorders>
              <w:tl2br w:val="nil"/>
              <w:tr2bl w:val="nil"/>
            </w:tcBorders>
            <w:vAlign w:val="center"/>
          </w:tcPr>
          <w:p w14:paraId="1DD4E8F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0.247</w:t>
            </w:r>
          </w:p>
        </w:tc>
        <w:tc>
          <w:tcPr>
            <w:tcW w:w="1255" w:type="dxa"/>
            <w:tcBorders>
              <w:tl2br w:val="nil"/>
              <w:tr2bl w:val="nil"/>
            </w:tcBorders>
            <w:vAlign w:val="center"/>
          </w:tcPr>
          <w:p w14:paraId="591072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0.248</w:t>
            </w:r>
          </w:p>
        </w:tc>
        <w:tc>
          <w:tcPr>
            <w:tcW w:w="1140" w:type="dxa"/>
            <w:tcBorders>
              <w:tl2br w:val="nil"/>
              <w:tr2bl w:val="nil"/>
            </w:tcBorders>
            <w:vAlign w:val="center"/>
          </w:tcPr>
          <w:p w14:paraId="1099638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0.241</w:t>
            </w:r>
          </w:p>
        </w:tc>
        <w:tc>
          <w:tcPr>
            <w:tcW w:w="1974" w:type="dxa"/>
            <w:tcBorders>
              <w:tl2br w:val="nil"/>
              <w:tr2bl w:val="nil"/>
            </w:tcBorders>
            <w:vAlign w:val="center"/>
          </w:tcPr>
          <w:p w14:paraId="00E512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74C564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0.241</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0.248</w:t>
            </w:r>
          </w:p>
        </w:tc>
      </w:tr>
      <w:tr w14:paraId="7941F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E1CE0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4D2A3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硫酸盐</w:t>
            </w:r>
          </w:p>
        </w:tc>
        <w:tc>
          <w:tcPr>
            <w:tcW w:w="1248" w:type="dxa"/>
            <w:tcBorders>
              <w:tl2br w:val="nil"/>
              <w:tr2bl w:val="nil"/>
            </w:tcBorders>
            <w:vAlign w:val="center"/>
          </w:tcPr>
          <w:p w14:paraId="41D6C6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6.9</w:t>
            </w:r>
          </w:p>
        </w:tc>
        <w:tc>
          <w:tcPr>
            <w:tcW w:w="1255" w:type="dxa"/>
            <w:tcBorders>
              <w:tl2br w:val="nil"/>
              <w:tr2bl w:val="nil"/>
            </w:tcBorders>
            <w:vAlign w:val="center"/>
          </w:tcPr>
          <w:p w14:paraId="6EB46A9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6.56</w:t>
            </w:r>
          </w:p>
        </w:tc>
        <w:tc>
          <w:tcPr>
            <w:tcW w:w="1140" w:type="dxa"/>
            <w:tcBorders>
              <w:tl2br w:val="nil"/>
              <w:tr2bl w:val="nil"/>
            </w:tcBorders>
            <w:vAlign w:val="center"/>
          </w:tcPr>
          <w:p w14:paraId="59A855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6.76</w:t>
            </w:r>
          </w:p>
        </w:tc>
        <w:tc>
          <w:tcPr>
            <w:tcW w:w="1974" w:type="dxa"/>
            <w:tcBorders>
              <w:tl2br w:val="nil"/>
              <w:tr2bl w:val="nil"/>
            </w:tcBorders>
            <w:vAlign w:val="center"/>
          </w:tcPr>
          <w:p w14:paraId="76FC1C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527C63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0.0262-0.0276</w:t>
            </w:r>
          </w:p>
        </w:tc>
      </w:tr>
      <w:tr w14:paraId="3A17AF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D270AF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51DB14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248" w:type="dxa"/>
            <w:tcBorders>
              <w:tl2br w:val="nil"/>
              <w:tr2bl w:val="nil"/>
            </w:tcBorders>
            <w:vAlign w:val="center"/>
          </w:tcPr>
          <w:p w14:paraId="59EEB56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255" w:type="dxa"/>
            <w:tcBorders>
              <w:tl2br w:val="nil"/>
              <w:tr2bl w:val="nil"/>
            </w:tcBorders>
            <w:vAlign w:val="center"/>
          </w:tcPr>
          <w:p w14:paraId="6CAA767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140" w:type="dxa"/>
            <w:tcBorders>
              <w:tl2br w:val="nil"/>
              <w:tr2bl w:val="nil"/>
            </w:tcBorders>
            <w:vAlign w:val="center"/>
          </w:tcPr>
          <w:p w14:paraId="1A7353B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w:t>
            </w:r>
          </w:p>
        </w:tc>
        <w:tc>
          <w:tcPr>
            <w:tcW w:w="1974" w:type="dxa"/>
            <w:tcBorders>
              <w:tl2br w:val="nil"/>
              <w:tr2bl w:val="nil"/>
            </w:tcBorders>
            <w:vAlign w:val="center"/>
          </w:tcPr>
          <w:p w14:paraId="09CA1E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shd w:val="clear" w:color="auto" w:fill="auto"/>
            <w:vAlign w:val="center"/>
          </w:tcPr>
          <w:p w14:paraId="46E12C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0.013</w:t>
            </w:r>
          </w:p>
        </w:tc>
      </w:tr>
      <w:tr w14:paraId="669D25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98C28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E48847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硝酸盐</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以</w:t>
            </w:r>
            <w:r>
              <w:rPr>
                <w:rFonts w:hint="default" w:ascii="Times New Roman" w:hAnsi="Times New Roman" w:cs="Times New Roman"/>
                <w:i w:val="0"/>
                <w:iCs w:val="0"/>
                <w:color w:val="auto"/>
                <w:kern w:val="0"/>
                <w:sz w:val="21"/>
                <w:szCs w:val="21"/>
                <w:u w:val="none"/>
                <w:lang w:val="en-US" w:eastAsia="zh-CN" w:bidi="ar"/>
              </w:rPr>
              <w:t>N</w:t>
            </w:r>
            <w:r>
              <w:rPr>
                <w:rFonts w:hint="default" w:ascii="Times New Roman" w:hAnsi="Times New Roman" w:eastAsia="宋体" w:cs="Times New Roman"/>
                <w:i w:val="0"/>
                <w:iCs w:val="0"/>
                <w:color w:val="auto"/>
                <w:kern w:val="0"/>
                <w:sz w:val="21"/>
                <w:szCs w:val="21"/>
                <w:u w:val="none"/>
                <w:lang w:val="en-US" w:eastAsia="zh-CN" w:bidi="ar"/>
              </w:rPr>
              <w:t>计</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05380FC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0.813</w:t>
            </w:r>
          </w:p>
        </w:tc>
        <w:tc>
          <w:tcPr>
            <w:tcW w:w="1255" w:type="dxa"/>
            <w:tcBorders>
              <w:tl2br w:val="nil"/>
              <w:tr2bl w:val="nil"/>
            </w:tcBorders>
            <w:vAlign w:val="center"/>
          </w:tcPr>
          <w:p w14:paraId="1B95F00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0.789</w:t>
            </w:r>
          </w:p>
        </w:tc>
        <w:tc>
          <w:tcPr>
            <w:tcW w:w="1140" w:type="dxa"/>
            <w:tcBorders>
              <w:tl2br w:val="nil"/>
              <w:tr2bl w:val="nil"/>
            </w:tcBorders>
            <w:vAlign w:val="center"/>
          </w:tcPr>
          <w:p w14:paraId="7BF0F6E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0.757</w:t>
            </w:r>
          </w:p>
        </w:tc>
        <w:tc>
          <w:tcPr>
            <w:tcW w:w="1974" w:type="dxa"/>
            <w:tcBorders>
              <w:tl2br w:val="nil"/>
              <w:tr2bl w:val="nil"/>
            </w:tcBorders>
            <w:vAlign w:val="center"/>
          </w:tcPr>
          <w:p w14:paraId="709EE2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38B396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t>757</w:t>
            </w:r>
            <w:r>
              <w:rPr>
                <w:rFonts w:hint="default"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t>813</w:t>
            </w:r>
          </w:p>
        </w:tc>
      </w:tr>
      <w:tr w14:paraId="2729A9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48689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E5CE6B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硒</w:t>
            </w:r>
          </w:p>
        </w:tc>
        <w:tc>
          <w:tcPr>
            <w:tcW w:w="1248" w:type="dxa"/>
            <w:tcBorders>
              <w:tl2br w:val="nil"/>
              <w:tr2bl w:val="nil"/>
            </w:tcBorders>
            <w:vAlign w:val="center"/>
          </w:tcPr>
          <w:p w14:paraId="3908604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255" w:type="dxa"/>
            <w:tcBorders>
              <w:tl2br w:val="nil"/>
              <w:tr2bl w:val="nil"/>
            </w:tcBorders>
            <w:vAlign w:val="center"/>
          </w:tcPr>
          <w:p w14:paraId="5A14AC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140" w:type="dxa"/>
            <w:tcBorders>
              <w:tl2br w:val="nil"/>
              <w:tr2bl w:val="nil"/>
            </w:tcBorders>
            <w:vAlign w:val="center"/>
          </w:tcPr>
          <w:p w14:paraId="3E23127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0.0004L</w:t>
            </w:r>
          </w:p>
        </w:tc>
        <w:tc>
          <w:tcPr>
            <w:tcW w:w="1974" w:type="dxa"/>
            <w:tcBorders>
              <w:tl2br w:val="nil"/>
              <w:tr2bl w:val="nil"/>
            </w:tcBorders>
            <w:vAlign w:val="center"/>
          </w:tcPr>
          <w:p w14:paraId="5EB3E9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0.01</w:t>
            </w:r>
          </w:p>
        </w:tc>
        <w:tc>
          <w:tcPr>
            <w:tcW w:w="1345" w:type="dxa"/>
            <w:tcBorders>
              <w:tl2br w:val="nil"/>
              <w:tr2bl w:val="nil"/>
            </w:tcBorders>
            <w:vAlign w:val="center"/>
          </w:tcPr>
          <w:p w14:paraId="31D625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r>
      <w:tr w14:paraId="405EC8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4B8E80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3334DD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248" w:type="dxa"/>
            <w:tcBorders>
              <w:tl2br w:val="nil"/>
              <w:tr2bl w:val="nil"/>
            </w:tcBorders>
            <w:vAlign w:val="center"/>
          </w:tcPr>
          <w:p w14:paraId="718060B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255" w:type="dxa"/>
            <w:tcBorders>
              <w:tl2br w:val="nil"/>
              <w:tr2bl w:val="nil"/>
            </w:tcBorders>
            <w:vAlign w:val="center"/>
          </w:tcPr>
          <w:p w14:paraId="0546410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140" w:type="dxa"/>
            <w:tcBorders>
              <w:tl2br w:val="nil"/>
              <w:tr2bl w:val="nil"/>
            </w:tcBorders>
            <w:vAlign w:val="center"/>
          </w:tcPr>
          <w:p w14:paraId="22776A3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974" w:type="dxa"/>
            <w:tcBorders>
              <w:tl2br w:val="nil"/>
              <w:tr2bl w:val="nil"/>
            </w:tcBorders>
            <w:vAlign w:val="center"/>
          </w:tcPr>
          <w:p w14:paraId="267A12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02C865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0.003</w:t>
            </w:r>
          </w:p>
        </w:tc>
      </w:tr>
      <w:tr w14:paraId="75C310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15C9C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8F30FC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248" w:type="dxa"/>
            <w:tcBorders>
              <w:tl2br w:val="nil"/>
              <w:tr2bl w:val="nil"/>
            </w:tcBorders>
            <w:vAlign w:val="center"/>
          </w:tcPr>
          <w:p w14:paraId="02D6ED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55" w:type="dxa"/>
            <w:tcBorders>
              <w:tl2br w:val="nil"/>
              <w:tr2bl w:val="nil"/>
            </w:tcBorders>
            <w:vAlign w:val="center"/>
          </w:tcPr>
          <w:p w14:paraId="710AE6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140" w:type="dxa"/>
            <w:tcBorders>
              <w:tl2br w:val="nil"/>
              <w:tr2bl w:val="nil"/>
            </w:tcBorders>
            <w:vAlign w:val="center"/>
          </w:tcPr>
          <w:p w14:paraId="0DAC23D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974" w:type="dxa"/>
            <w:tcBorders>
              <w:tl2br w:val="nil"/>
              <w:tr2bl w:val="nil"/>
            </w:tcBorders>
            <w:vAlign w:val="center"/>
          </w:tcPr>
          <w:p w14:paraId="01B41C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0.000</w:t>
            </w:r>
            <w:r>
              <w:rPr>
                <w:rFonts w:hint="default" w:ascii="Times New Roman" w:hAnsi="Times New Roman" w:cs="Times New Roman"/>
                <w:snapToGrid/>
                <w:color w:val="auto"/>
                <w:kern w:val="2"/>
                <w:sz w:val="21"/>
                <w:szCs w:val="21"/>
                <w:u w:val="none" w:color="auto"/>
                <w:lang w:val="en-US" w:eastAsia="zh-CN"/>
              </w:rPr>
              <w:t>1</w:t>
            </w:r>
          </w:p>
        </w:tc>
        <w:tc>
          <w:tcPr>
            <w:tcW w:w="1345" w:type="dxa"/>
            <w:tcBorders>
              <w:tl2br w:val="nil"/>
              <w:tr2bl w:val="nil"/>
            </w:tcBorders>
            <w:vAlign w:val="center"/>
          </w:tcPr>
          <w:p w14:paraId="766BB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w:t>
            </w:r>
          </w:p>
        </w:tc>
      </w:tr>
      <w:tr w14:paraId="1C63F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55026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9725BF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i w:val="0"/>
                <w:iCs w:val="0"/>
                <w:color w:val="auto"/>
                <w:kern w:val="0"/>
                <w:sz w:val="21"/>
                <w:szCs w:val="21"/>
                <w:u w:val="none"/>
                <w:lang w:val="en-US" w:eastAsia="zh-CN" w:bidi="ar"/>
              </w:rPr>
              <w:t>铬(六价)</w:t>
            </w:r>
          </w:p>
        </w:tc>
        <w:tc>
          <w:tcPr>
            <w:tcW w:w="1248" w:type="dxa"/>
            <w:tcBorders>
              <w:tl2br w:val="nil"/>
              <w:tr2bl w:val="nil"/>
            </w:tcBorders>
            <w:vAlign w:val="center"/>
          </w:tcPr>
          <w:p w14:paraId="6503FD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55" w:type="dxa"/>
            <w:tcBorders>
              <w:tl2br w:val="nil"/>
              <w:tr2bl w:val="nil"/>
            </w:tcBorders>
            <w:vAlign w:val="center"/>
          </w:tcPr>
          <w:p w14:paraId="7DF19C9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140" w:type="dxa"/>
            <w:tcBorders>
              <w:tl2br w:val="nil"/>
              <w:tr2bl w:val="nil"/>
            </w:tcBorders>
            <w:vAlign w:val="center"/>
          </w:tcPr>
          <w:p w14:paraId="689D841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974" w:type="dxa"/>
            <w:tcBorders>
              <w:tl2br w:val="nil"/>
              <w:tr2bl w:val="nil"/>
            </w:tcBorders>
            <w:vAlign w:val="center"/>
          </w:tcPr>
          <w:p w14:paraId="1B95D9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2FDCE8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0692F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D2BF6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56E633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氰化物</w:t>
            </w:r>
          </w:p>
        </w:tc>
        <w:tc>
          <w:tcPr>
            <w:tcW w:w="1248" w:type="dxa"/>
            <w:tcBorders>
              <w:tl2br w:val="nil"/>
              <w:tr2bl w:val="nil"/>
            </w:tcBorders>
            <w:vAlign w:val="center"/>
          </w:tcPr>
          <w:p w14:paraId="57F052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55" w:type="dxa"/>
            <w:tcBorders>
              <w:tl2br w:val="nil"/>
              <w:tr2bl w:val="nil"/>
            </w:tcBorders>
            <w:vAlign w:val="center"/>
          </w:tcPr>
          <w:p w14:paraId="69E6019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140" w:type="dxa"/>
            <w:tcBorders>
              <w:tl2br w:val="nil"/>
              <w:tr2bl w:val="nil"/>
            </w:tcBorders>
            <w:vAlign w:val="center"/>
          </w:tcPr>
          <w:p w14:paraId="59D0D2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974" w:type="dxa"/>
            <w:tcBorders>
              <w:tl2br w:val="nil"/>
              <w:tr2bl w:val="nil"/>
            </w:tcBorders>
            <w:vAlign w:val="center"/>
          </w:tcPr>
          <w:p w14:paraId="2D2B0BC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70B546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1139CB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073C8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EC681D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挥发酚</w:t>
            </w:r>
          </w:p>
        </w:tc>
        <w:tc>
          <w:tcPr>
            <w:tcW w:w="1248" w:type="dxa"/>
            <w:tcBorders>
              <w:tl2br w:val="nil"/>
              <w:tr2bl w:val="nil"/>
            </w:tcBorders>
            <w:vAlign w:val="center"/>
          </w:tcPr>
          <w:p w14:paraId="73B254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255" w:type="dxa"/>
            <w:tcBorders>
              <w:tl2br w:val="nil"/>
              <w:tr2bl w:val="nil"/>
            </w:tcBorders>
            <w:vAlign w:val="center"/>
          </w:tcPr>
          <w:p w14:paraId="372BF3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140" w:type="dxa"/>
            <w:tcBorders>
              <w:tl2br w:val="nil"/>
              <w:tr2bl w:val="nil"/>
            </w:tcBorders>
            <w:vAlign w:val="center"/>
          </w:tcPr>
          <w:p w14:paraId="2160054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0.0003L</w:t>
            </w:r>
          </w:p>
        </w:tc>
        <w:tc>
          <w:tcPr>
            <w:tcW w:w="1974" w:type="dxa"/>
            <w:tcBorders>
              <w:tl2br w:val="nil"/>
              <w:tr2bl w:val="nil"/>
            </w:tcBorders>
            <w:vAlign w:val="center"/>
          </w:tcPr>
          <w:p w14:paraId="07E2DB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05</w:t>
            </w:r>
          </w:p>
        </w:tc>
        <w:tc>
          <w:tcPr>
            <w:tcW w:w="1345" w:type="dxa"/>
            <w:tcBorders>
              <w:tl2br w:val="nil"/>
              <w:tr2bl w:val="nil"/>
            </w:tcBorders>
            <w:vAlign w:val="center"/>
          </w:tcPr>
          <w:p w14:paraId="29BDAE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0.075</w:t>
            </w:r>
          </w:p>
        </w:tc>
      </w:tr>
      <w:tr w14:paraId="3B8B5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95D85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B7CA6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LAS</w:t>
            </w:r>
          </w:p>
        </w:tc>
        <w:tc>
          <w:tcPr>
            <w:tcW w:w="1248" w:type="dxa"/>
            <w:tcBorders>
              <w:tl2br w:val="nil"/>
              <w:tr2bl w:val="nil"/>
            </w:tcBorders>
            <w:vAlign w:val="center"/>
          </w:tcPr>
          <w:p w14:paraId="2C6E5C5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255" w:type="dxa"/>
            <w:tcBorders>
              <w:tl2br w:val="nil"/>
              <w:tr2bl w:val="nil"/>
            </w:tcBorders>
            <w:vAlign w:val="center"/>
          </w:tcPr>
          <w:p w14:paraId="134734A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140" w:type="dxa"/>
            <w:tcBorders>
              <w:tl2br w:val="nil"/>
              <w:tr2bl w:val="nil"/>
            </w:tcBorders>
            <w:vAlign w:val="center"/>
          </w:tcPr>
          <w:p w14:paraId="6FAF036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0.05L</w:t>
            </w:r>
          </w:p>
        </w:tc>
        <w:tc>
          <w:tcPr>
            <w:tcW w:w="1974" w:type="dxa"/>
            <w:tcBorders>
              <w:tl2br w:val="nil"/>
              <w:tr2bl w:val="nil"/>
            </w:tcBorders>
            <w:vAlign w:val="center"/>
          </w:tcPr>
          <w:p w14:paraId="2AC93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37BB6B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0.125</w:t>
            </w:r>
          </w:p>
        </w:tc>
      </w:tr>
      <w:tr w14:paraId="58C6F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25E76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shd w:val="clear" w:color="auto" w:fill="auto"/>
            <w:vAlign w:val="center"/>
          </w:tcPr>
          <w:p w14:paraId="3964CB0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硫化物</w:t>
            </w:r>
          </w:p>
        </w:tc>
        <w:tc>
          <w:tcPr>
            <w:tcW w:w="1248" w:type="dxa"/>
            <w:tcBorders>
              <w:tl2br w:val="nil"/>
              <w:tr2bl w:val="nil"/>
            </w:tcBorders>
            <w:vAlign w:val="center"/>
          </w:tcPr>
          <w:p w14:paraId="4FF0A9E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5D32DA9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1E380F4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70BA15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0.2</w:t>
            </w:r>
          </w:p>
        </w:tc>
        <w:tc>
          <w:tcPr>
            <w:tcW w:w="1345" w:type="dxa"/>
            <w:tcBorders>
              <w:tl2br w:val="nil"/>
              <w:tr2bl w:val="nil"/>
            </w:tcBorders>
            <w:vAlign w:val="center"/>
          </w:tcPr>
          <w:p w14:paraId="21595F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r>
      <w:tr w14:paraId="7198A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801" w:type="dxa"/>
            <w:vMerge w:val="restart"/>
            <w:tcBorders>
              <w:tl2br w:val="nil"/>
              <w:tr2bl w:val="nil"/>
            </w:tcBorders>
            <w:shd w:val="clear" w:color="auto" w:fill="auto"/>
            <w:vAlign w:val="center"/>
          </w:tcPr>
          <w:p w14:paraId="5CA1B0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检测点位</w:t>
            </w:r>
          </w:p>
        </w:tc>
        <w:tc>
          <w:tcPr>
            <w:tcW w:w="1583" w:type="dxa"/>
            <w:vMerge w:val="restart"/>
            <w:tcBorders>
              <w:tl2br w:val="nil"/>
              <w:tr2bl w:val="nil"/>
            </w:tcBorders>
            <w:shd w:val="clear" w:color="auto" w:fill="auto"/>
            <w:vAlign w:val="center"/>
          </w:tcPr>
          <w:p w14:paraId="73AEC1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检测项目</w:t>
            </w:r>
          </w:p>
        </w:tc>
        <w:tc>
          <w:tcPr>
            <w:tcW w:w="3643" w:type="dxa"/>
            <w:gridSpan w:val="3"/>
            <w:tcBorders>
              <w:bottom w:val="single" w:color="auto" w:sz="4" w:space="0"/>
              <w:tl2br w:val="nil"/>
              <w:tr2bl w:val="nil"/>
            </w:tcBorders>
            <w:vAlign w:val="center"/>
          </w:tcPr>
          <w:p w14:paraId="0D5C92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采样日期及检测结果</w:t>
            </w:r>
          </w:p>
        </w:tc>
        <w:tc>
          <w:tcPr>
            <w:tcW w:w="1974" w:type="dxa"/>
            <w:vMerge w:val="restart"/>
            <w:tcBorders>
              <w:tl2br w:val="nil"/>
              <w:tr2bl w:val="nil"/>
            </w:tcBorders>
            <w:vAlign w:val="center"/>
          </w:tcPr>
          <w:p w14:paraId="07E017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u w:val="none" w:color="auto"/>
                <w:lang w:eastAsia="zh-CN"/>
              </w:rPr>
            </w:pP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GB3838-2002</w:t>
            </w:r>
            <w:r>
              <w:rPr>
                <w:rFonts w:hint="default" w:ascii="Times New Roman" w:hAnsi="Times New Roman" w:cs="Times New Roman"/>
                <w:color w:val="auto"/>
                <w:sz w:val="21"/>
                <w:szCs w:val="21"/>
                <w:highlight w:val="none"/>
                <w:u w:val="none" w:color="auto"/>
                <w:lang w:eastAsia="zh-CN"/>
              </w:rPr>
              <w:t>)</w:t>
            </w:r>
          </w:p>
          <w:p w14:paraId="14B528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napToGrid/>
                <w:color w:val="auto"/>
                <w:kern w:val="2"/>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Ⅲ</w:t>
            </w:r>
            <w:r>
              <w:rPr>
                <w:rFonts w:hint="default" w:ascii="Times New Roman" w:hAnsi="Times New Roman" w:cs="Times New Roman"/>
                <w:color w:val="auto"/>
                <w:sz w:val="21"/>
                <w:szCs w:val="21"/>
                <w:u w:val="none" w:color="auto"/>
                <w:lang w:val="en-US" w:eastAsia="zh-CN"/>
              </w:rPr>
              <w:t>类</w:t>
            </w:r>
            <w:r>
              <w:rPr>
                <w:rFonts w:hint="default" w:ascii="Times New Roman" w:hAnsi="Times New Roman" w:cs="Times New Roman"/>
                <w:color w:val="auto"/>
                <w:sz w:val="21"/>
                <w:szCs w:val="21"/>
                <w:u w:val="none" w:color="auto"/>
              </w:rPr>
              <w:t>标准</w:t>
            </w:r>
            <w:r>
              <w:rPr>
                <w:rFonts w:hint="default" w:ascii="Times New Roman" w:hAnsi="Times New Roman" w:eastAsia="宋体" w:cs="Times New Roman"/>
                <w:snapToGrid/>
                <w:color w:val="auto"/>
                <w:kern w:val="2"/>
                <w:sz w:val="21"/>
                <w:szCs w:val="21"/>
                <w:u w:val="none" w:color="auto"/>
                <w:lang w:val="en-US" w:eastAsia="zh-CN"/>
              </w:rPr>
              <w:t>参考限值</w:t>
            </w:r>
          </w:p>
        </w:tc>
        <w:tc>
          <w:tcPr>
            <w:tcW w:w="1345" w:type="dxa"/>
            <w:vMerge w:val="restart"/>
            <w:tcBorders>
              <w:tl2br w:val="nil"/>
              <w:tr2bl w:val="nil"/>
            </w:tcBorders>
            <w:vAlign w:val="center"/>
          </w:tcPr>
          <w:p w14:paraId="2D5503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标准指数</w:t>
            </w:r>
          </w:p>
        </w:tc>
      </w:tr>
      <w:tr w14:paraId="6A32F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 w:hRule="atLeast"/>
          <w:jc w:val="center"/>
        </w:trPr>
        <w:tc>
          <w:tcPr>
            <w:tcW w:w="801" w:type="dxa"/>
            <w:vMerge w:val="continue"/>
            <w:tcBorders>
              <w:tl2br w:val="nil"/>
              <w:tr2bl w:val="nil"/>
            </w:tcBorders>
            <w:shd w:val="clear" w:color="auto" w:fill="auto"/>
            <w:vAlign w:val="center"/>
          </w:tcPr>
          <w:p w14:paraId="0246E4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vMerge w:val="continue"/>
            <w:tcBorders>
              <w:tl2br w:val="nil"/>
              <w:tr2bl w:val="nil"/>
            </w:tcBorders>
            <w:shd w:val="clear" w:color="auto" w:fill="auto"/>
            <w:vAlign w:val="center"/>
          </w:tcPr>
          <w:p w14:paraId="0160F0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248" w:type="dxa"/>
            <w:tcBorders>
              <w:top w:val="single" w:color="auto" w:sz="4" w:space="0"/>
              <w:tl2br w:val="nil"/>
              <w:tr2bl w:val="nil"/>
            </w:tcBorders>
            <w:vAlign w:val="center"/>
          </w:tcPr>
          <w:p w14:paraId="678094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snapToGrid/>
                <w:color w:val="auto"/>
                <w:kern w:val="2"/>
                <w:sz w:val="21"/>
                <w:szCs w:val="21"/>
                <w:u w:val="none" w:color="auto"/>
                <w:lang w:val="en-US" w:eastAsia="zh-CN"/>
              </w:rPr>
              <w:t>2024-12-19</w:t>
            </w:r>
          </w:p>
        </w:tc>
        <w:tc>
          <w:tcPr>
            <w:tcW w:w="1255" w:type="dxa"/>
            <w:tcBorders>
              <w:top w:val="single" w:color="auto" w:sz="4" w:space="0"/>
              <w:tl2br w:val="nil"/>
              <w:tr2bl w:val="nil"/>
            </w:tcBorders>
            <w:vAlign w:val="center"/>
          </w:tcPr>
          <w:p w14:paraId="161827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-20</w:t>
            </w:r>
          </w:p>
        </w:tc>
        <w:tc>
          <w:tcPr>
            <w:tcW w:w="1140" w:type="dxa"/>
            <w:tcBorders>
              <w:top w:val="single" w:color="auto" w:sz="4" w:space="0"/>
              <w:tl2br w:val="nil"/>
              <w:tr2bl w:val="nil"/>
            </w:tcBorders>
            <w:vAlign w:val="center"/>
          </w:tcPr>
          <w:p w14:paraId="67490B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snapToGrid/>
                <w:color w:val="auto"/>
                <w:kern w:val="2"/>
                <w:sz w:val="21"/>
                <w:szCs w:val="21"/>
                <w:u w:val="none" w:color="auto"/>
                <w:lang w:val="en-US" w:eastAsia="zh-CN"/>
              </w:rPr>
              <w:t>2024</w:t>
            </w:r>
            <w:r>
              <w:rPr>
                <w:rFonts w:hint="default" w:ascii="Times New Roman" w:hAnsi="Times New Roman" w:cs="Times New Roman"/>
                <w:snapToGrid/>
                <w:color w:val="auto"/>
                <w:kern w:val="2"/>
                <w:sz w:val="21"/>
                <w:szCs w:val="21"/>
                <w:u w:val="none" w:color="auto"/>
                <w:lang w:val="en-US" w:eastAsia="zh-CN"/>
              </w:rPr>
              <w:t>-12</w:t>
            </w:r>
            <w:r>
              <w:rPr>
                <w:rFonts w:hint="default" w:ascii="Times New Roman" w:hAnsi="Times New Roman" w:eastAsia="宋体" w:cs="Times New Roman"/>
                <w:snapToGrid/>
                <w:color w:val="auto"/>
                <w:kern w:val="2"/>
                <w:sz w:val="21"/>
                <w:szCs w:val="21"/>
                <w:u w:val="none" w:color="auto"/>
                <w:lang w:val="en-US" w:eastAsia="zh-CN"/>
              </w:rPr>
              <w:t>-21</w:t>
            </w:r>
          </w:p>
        </w:tc>
        <w:tc>
          <w:tcPr>
            <w:tcW w:w="1974" w:type="dxa"/>
            <w:vMerge w:val="continue"/>
            <w:tcBorders>
              <w:tl2br w:val="nil"/>
              <w:tr2bl w:val="nil"/>
            </w:tcBorders>
            <w:vAlign w:val="center"/>
          </w:tcPr>
          <w:p w14:paraId="4B14CC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u w:val="none" w:color="auto"/>
                <w:lang w:eastAsia="zh-CN"/>
              </w:rPr>
            </w:pPr>
          </w:p>
        </w:tc>
        <w:tc>
          <w:tcPr>
            <w:tcW w:w="1345" w:type="dxa"/>
            <w:vMerge w:val="continue"/>
            <w:tcBorders>
              <w:tl2br w:val="nil"/>
              <w:tr2bl w:val="nil"/>
            </w:tcBorders>
            <w:vAlign w:val="center"/>
          </w:tcPr>
          <w:p w14:paraId="7ABCAE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r>
      <w:tr w14:paraId="2D6E5F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restart"/>
            <w:tcBorders>
              <w:tl2br w:val="nil"/>
              <w:tr2bl w:val="nil"/>
            </w:tcBorders>
            <w:vAlign w:val="center"/>
          </w:tcPr>
          <w:p w14:paraId="79B8E1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W2大坝下游</w:t>
            </w:r>
            <w:r>
              <w:rPr>
                <w:rFonts w:hint="default" w:ascii="Times New Roman" w:hAnsi="Times New Roman" w:cs="Times New Roman"/>
                <w:snapToGrid/>
                <w:color w:val="auto"/>
                <w:kern w:val="2"/>
                <w:sz w:val="21"/>
                <w:szCs w:val="21"/>
                <w:u w:val="none" w:color="auto"/>
                <w:lang w:val="en-US" w:eastAsia="zh-CN"/>
              </w:rPr>
              <w:t>5</w:t>
            </w:r>
            <w:r>
              <w:rPr>
                <w:rFonts w:hint="default" w:ascii="Times New Roman" w:hAnsi="Times New Roman" w:eastAsia="宋体" w:cs="Times New Roman"/>
                <w:snapToGrid/>
                <w:color w:val="auto"/>
                <w:kern w:val="2"/>
                <w:sz w:val="21"/>
                <w:szCs w:val="21"/>
                <w:u w:val="none" w:color="auto"/>
                <w:lang w:val="en-US" w:eastAsia="zh-CN"/>
              </w:rPr>
              <w:t>00m处</w:t>
            </w:r>
          </w:p>
        </w:tc>
        <w:tc>
          <w:tcPr>
            <w:tcW w:w="1583" w:type="dxa"/>
            <w:tcBorders>
              <w:tl2br w:val="nil"/>
              <w:tr2bl w:val="nil"/>
            </w:tcBorders>
            <w:vAlign w:val="center"/>
          </w:tcPr>
          <w:p w14:paraId="76C4A8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水温</w:t>
            </w:r>
          </w:p>
        </w:tc>
        <w:tc>
          <w:tcPr>
            <w:tcW w:w="1248" w:type="dxa"/>
            <w:tcBorders>
              <w:tl2br w:val="nil"/>
              <w:tr2bl w:val="nil"/>
            </w:tcBorders>
            <w:vAlign w:val="center"/>
          </w:tcPr>
          <w:p w14:paraId="73B4AA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15.8</w:t>
            </w:r>
          </w:p>
        </w:tc>
        <w:tc>
          <w:tcPr>
            <w:tcW w:w="1255" w:type="dxa"/>
            <w:tcBorders>
              <w:tl2br w:val="nil"/>
              <w:tr2bl w:val="nil"/>
            </w:tcBorders>
            <w:vAlign w:val="center"/>
          </w:tcPr>
          <w:p w14:paraId="711935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14.5</w:t>
            </w:r>
          </w:p>
        </w:tc>
        <w:tc>
          <w:tcPr>
            <w:tcW w:w="1140" w:type="dxa"/>
            <w:tcBorders>
              <w:tl2br w:val="nil"/>
              <w:tr2bl w:val="nil"/>
            </w:tcBorders>
            <w:vAlign w:val="center"/>
          </w:tcPr>
          <w:p w14:paraId="20B215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15.9</w:t>
            </w:r>
          </w:p>
        </w:tc>
        <w:tc>
          <w:tcPr>
            <w:tcW w:w="1974" w:type="dxa"/>
            <w:tcBorders>
              <w:tl2br w:val="nil"/>
              <w:tr2bl w:val="nil"/>
            </w:tcBorders>
            <w:vAlign w:val="center"/>
          </w:tcPr>
          <w:p w14:paraId="57DDA94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周平均最大温升≤1</w:t>
            </w:r>
            <w:r>
              <w:rPr>
                <w:rFonts w:hint="default"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周平均最大温降≤2</w:t>
            </w:r>
          </w:p>
        </w:tc>
        <w:tc>
          <w:tcPr>
            <w:tcW w:w="1345" w:type="dxa"/>
            <w:tcBorders>
              <w:tl2br w:val="nil"/>
              <w:tr2bl w:val="nil"/>
            </w:tcBorders>
            <w:vAlign w:val="center"/>
          </w:tcPr>
          <w:p w14:paraId="1AE561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161575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47169A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shd w:val="clear" w:color="auto" w:fill="auto"/>
            <w:vAlign w:val="center"/>
          </w:tcPr>
          <w:p w14:paraId="0C554E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napToGrid/>
                <w:color w:val="auto"/>
                <w:kern w:val="2"/>
                <w:sz w:val="21"/>
                <w:szCs w:val="21"/>
                <w:u w:val="none" w:color="auto"/>
                <w:lang w:val="en-US" w:eastAsia="zh-CN"/>
              </w:rPr>
              <w:t>pH</w:t>
            </w:r>
            <w:r>
              <w:rPr>
                <w:rFonts w:hint="default" w:ascii="Times New Roman" w:hAnsi="Times New Roman" w:eastAsia="宋体" w:cs="Times New Roman"/>
                <w:snapToGrid/>
                <w:color w:val="auto"/>
                <w:kern w:val="2"/>
                <w:sz w:val="21"/>
                <w:szCs w:val="21"/>
                <w:u w:val="none" w:color="auto"/>
                <w:lang w:val="en-US" w:eastAsia="zh-CN"/>
              </w:rPr>
              <w:t>值</w:t>
            </w:r>
          </w:p>
        </w:tc>
        <w:tc>
          <w:tcPr>
            <w:tcW w:w="1248" w:type="dxa"/>
            <w:tcBorders>
              <w:tl2br w:val="nil"/>
              <w:tr2bl w:val="nil"/>
            </w:tcBorders>
            <w:shd w:val="clear" w:color="auto" w:fill="auto"/>
            <w:vAlign w:val="center"/>
          </w:tcPr>
          <w:p w14:paraId="0B36A4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7.2</w:t>
            </w:r>
          </w:p>
        </w:tc>
        <w:tc>
          <w:tcPr>
            <w:tcW w:w="1255" w:type="dxa"/>
            <w:tcBorders>
              <w:tl2br w:val="nil"/>
              <w:tr2bl w:val="nil"/>
            </w:tcBorders>
            <w:shd w:val="clear" w:color="auto" w:fill="auto"/>
            <w:vAlign w:val="center"/>
          </w:tcPr>
          <w:p w14:paraId="0E194F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7.0</w:t>
            </w:r>
          </w:p>
        </w:tc>
        <w:tc>
          <w:tcPr>
            <w:tcW w:w="1140" w:type="dxa"/>
            <w:tcBorders>
              <w:tl2br w:val="nil"/>
              <w:tr2bl w:val="nil"/>
            </w:tcBorders>
            <w:shd w:val="clear" w:color="auto" w:fill="auto"/>
            <w:vAlign w:val="center"/>
          </w:tcPr>
          <w:p w14:paraId="5600AF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z w:val="21"/>
                <w:szCs w:val="21"/>
              </w:rPr>
              <w:t>7.4</w:t>
            </w:r>
          </w:p>
        </w:tc>
        <w:tc>
          <w:tcPr>
            <w:tcW w:w="1974" w:type="dxa"/>
            <w:tcBorders>
              <w:tl2br w:val="nil"/>
              <w:tr2bl w:val="nil"/>
            </w:tcBorders>
            <w:shd w:val="clear" w:color="auto" w:fill="auto"/>
            <w:vAlign w:val="center"/>
          </w:tcPr>
          <w:p w14:paraId="02D98A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宋体" w:cs="Times New Roman"/>
                <w:snapToGrid/>
                <w:color w:val="auto"/>
                <w:kern w:val="2"/>
                <w:sz w:val="21"/>
                <w:szCs w:val="21"/>
                <w:u w:val="none" w:color="auto"/>
                <w:lang w:val="en-US" w:eastAsia="zh-CN"/>
              </w:rPr>
              <w:t>6-9</w:t>
            </w:r>
          </w:p>
        </w:tc>
        <w:tc>
          <w:tcPr>
            <w:tcW w:w="1345" w:type="dxa"/>
            <w:tcBorders>
              <w:tl2br w:val="nil"/>
              <w:tr2bl w:val="nil"/>
            </w:tcBorders>
            <w:shd w:val="clear" w:color="auto" w:fill="auto"/>
            <w:vAlign w:val="center"/>
          </w:tcPr>
          <w:p w14:paraId="2C3FAC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cs="Times New Roman"/>
                <w:snapToGrid/>
                <w:color w:val="auto"/>
                <w:kern w:val="2"/>
                <w:sz w:val="21"/>
                <w:szCs w:val="21"/>
                <w:u w:val="none" w:color="auto"/>
                <w:lang w:val="en-US" w:eastAsia="zh-CN" w:bidi="ar-SA"/>
              </w:rPr>
              <w:t>0-0.2</w:t>
            </w:r>
          </w:p>
        </w:tc>
      </w:tr>
      <w:tr w14:paraId="1B0FBB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C448A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4FB543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溶解氧</w:t>
            </w:r>
          </w:p>
        </w:tc>
        <w:tc>
          <w:tcPr>
            <w:tcW w:w="1248" w:type="dxa"/>
            <w:tcBorders>
              <w:tl2br w:val="nil"/>
              <w:tr2bl w:val="nil"/>
            </w:tcBorders>
            <w:vAlign w:val="center"/>
          </w:tcPr>
          <w:p w14:paraId="2A35583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10.03</w:t>
            </w:r>
          </w:p>
        </w:tc>
        <w:tc>
          <w:tcPr>
            <w:tcW w:w="1255" w:type="dxa"/>
            <w:tcBorders>
              <w:tl2br w:val="nil"/>
              <w:tr2bl w:val="nil"/>
            </w:tcBorders>
            <w:vAlign w:val="center"/>
          </w:tcPr>
          <w:p w14:paraId="0DE6177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10.3</w:t>
            </w:r>
          </w:p>
        </w:tc>
        <w:tc>
          <w:tcPr>
            <w:tcW w:w="1140" w:type="dxa"/>
            <w:tcBorders>
              <w:tl2br w:val="nil"/>
              <w:tr2bl w:val="nil"/>
            </w:tcBorders>
            <w:vAlign w:val="center"/>
          </w:tcPr>
          <w:p w14:paraId="0988666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9.91</w:t>
            </w:r>
          </w:p>
        </w:tc>
        <w:tc>
          <w:tcPr>
            <w:tcW w:w="1974" w:type="dxa"/>
            <w:tcBorders>
              <w:tl2br w:val="nil"/>
              <w:tr2bl w:val="nil"/>
            </w:tcBorders>
            <w:vAlign w:val="center"/>
          </w:tcPr>
          <w:p w14:paraId="6058A5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5BD85A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7A67F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34301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10B76A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叶绿素a</w:t>
            </w:r>
          </w:p>
        </w:tc>
        <w:tc>
          <w:tcPr>
            <w:tcW w:w="1248" w:type="dxa"/>
            <w:tcBorders>
              <w:tl2br w:val="nil"/>
              <w:tr2bl w:val="nil"/>
            </w:tcBorders>
            <w:vAlign w:val="center"/>
          </w:tcPr>
          <w:p w14:paraId="736C4DF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0.33</w:t>
            </w:r>
          </w:p>
        </w:tc>
        <w:tc>
          <w:tcPr>
            <w:tcW w:w="1255" w:type="dxa"/>
            <w:tcBorders>
              <w:tl2br w:val="nil"/>
              <w:tr2bl w:val="nil"/>
            </w:tcBorders>
            <w:vAlign w:val="center"/>
          </w:tcPr>
          <w:p w14:paraId="21407C2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140" w:type="dxa"/>
            <w:tcBorders>
              <w:tl2br w:val="nil"/>
              <w:tr2bl w:val="nil"/>
            </w:tcBorders>
            <w:vAlign w:val="center"/>
          </w:tcPr>
          <w:p w14:paraId="4F615EF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0.34</w:t>
            </w:r>
          </w:p>
        </w:tc>
        <w:tc>
          <w:tcPr>
            <w:tcW w:w="1974" w:type="dxa"/>
            <w:tcBorders>
              <w:tl2br w:val="nil"/>
              <w:tr2bl w:val="nil"/>
            </w:tcBorders>
            <w:vAlign w:val="center"/>
          </w:tcPr>
          <w:p w14:paraId="3C2E20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4089F0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3943E6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141FB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8F4B11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48" w:type="dxa"/>
            <w:tcBorders>
              <w:tl2br w:val="nil"/>
              <w:tr2bl w:val="nil"/>
            </w:tcBorders>
            <w:vAlign w:val="center"/>
          </w:tcPr>
          <w:p w14:paraId="626F8C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55" w:type="dxa"/>
            <w:tcBorders>
              <w:tl2br w:val="nil"/>
              <w:tr2bl w:val="nil"/>
            </w:tcBorders>
            <w:vAlign w:val="center"/>
          </w:tcPr>
          <w:p w14:paraId="07C54C0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140" w:type="dxa"/>
            <w:tcBorders>
              <w:tl2br w:val="nil"/>
              <w:tr2bl w:val="nil"/>
            </w:tcBorders>
            <w:vAlign w:val="center"/>
          </w:tcPr>
          <w:p w14:paraId="114BE0C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74" w:type="dxa"/>
            <w:tcBorders>
              <w:tl2br w:val="nil"/>
              <w:tr2bl w:val="nil"/>
            </w:tcBorders>
            <w:vAlign w:val="center"/>
          </w:tcPr>
          <w:p w14:paraId="55E231B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3D2FD0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5097A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C5355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F0FCD2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eastAsia" w:cs="Times New Roman"/>
                <w:i w:val="0"/>
                <w:iCs w:val="0"/>
                <w:color w:val="auto"/>
                <w:kern w:val="0"/>
                <w:sz w:val="21"/>
                <w:szCs w:val="21"/>
                <w:u w:val="none"/>
                <w:lang w:val="en-US" w:eastAsia="zh-CN" w:bidi="ar"/>
              </w:rPr>
              <w:t>BOD</w:t>
            </w:r>
            <w:r>
              <w:rPr>
                <w:rFonts w:hint="eastAsia" w:cs="Times New Roman"/>
                <w:i w:val="0"/>
                <w:iCs w:val="0"/>
                <w:color w:val="auto"/>
                <w:kern w:val="0"/>
                <w:sz w:val="21"/>
                <w:szCs w:val="21"/>
                <w:u w:val="none"/>
                <w:vertAlign w:val="subscript"/>
                <w:lang w:val="en-US" w:eastAsia="zh-CN" w:bidi="ar"/>
              </w:rPr>
              <w:t>5</w:t>
            </w:r>
          </w:p>
        </w:tc>
        <w:tc>
          <w:tcPr>
            <w:tcW w:w="1248" w:type="dxa"/>
            <w:tcBorders>
              <w:tl2br w:val="nil"/>
              <w:tr2bl w:val="nil"/>
            </w:tcBorders>
            <w:vAlign w:val="center"/>
          </w:tcPr>
          <w:p w14:paraId="40140AC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255" w:type="dxa"/>
            <w:tcBorders>
              <w:tl2br w:val="nil"/>
              <w:tr2bl w:val="nil"/>
            </w:tcBorders>
            <w:vAlign w:val="center"/>
          </w:tcPr>
          <w:p w14:paraId="467223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140" w:type="dxa"/>
            <w:tcBorders>
              <w:tl2br w:val="nil"/>
              <w:tr2bl w:val="nil"/>
            </w:tcBorders>
            <w:vAlign w:val="center"/>
          </w:tcPr>
          <w:p w14:paraId="7ACB21E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974" w:type="dxa"/>
            <w:tcBorders>
              <w:tl2br w:val="nil"/>
              <w:tr2bl w:val="nil"/>
            </w:tcBorders>
            <w:vAlign w:val="center"/>
          </w:tcPr>
          <w:p w14:paraId="5E968D5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p>
        </w:tc>
        <w:tc>
          <w:tcPr>
            <w:tcW w:w="1345" w:type="dxa"/>
            <w:tcBorders>
              <w:tl2br w:val="nil"/>
              <w:tr2bl w:val="nil"/>
            </w:tcBorders>
            <w:vAlign w:val="center"/>
          </w:tcPr>
          <w:p w14:paraId="5197F5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0.625-0.7</w:t>
            </w:r>
          </w:p>
        </w:tc>
      </w:tr>
      <w:tr w14:paraId="1E8BD9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402F3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9DF8A5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1248" w:type="dxa"/>
            <w:tcBorders>
              <w:tl2br w:val="nil"/>
              <w:tr2bl w:val="nil"/>
            </w:tcBorders>
            <w:vAlign w:val="center"/>
          </w:tcPr>
          <w:p w14:paraId="5EF288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55" w:type="dxa"/>
            <w:tcBorders>
              <w:tl2br w:val="nil"/>
              <w:tr2bl w:val="nil"/>
            </w:tcBorders>
            <w:vAlign w:val="center"/>
          </w:tcPr>
          <w:p w14:paraId="5583C05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140" w:type="dxa"/>
            <w:tcBorders>
              <w:tl2br w:val="nil"/>
              <w:tr2bl w:val="nil"/>
            </w:tcBorders>
            <w:vAlign w:val="center"/>
          </w:tcPr>
          <w:p w14:paraId="7A6671F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974" w:type="dxa"/>
            <w:tcBorders>
              <w:tl2br w:val="nil"/>
              <w:tr2bl w:val="nil"/>
            </w:tcBorders>
            <w:vAlign w:val="center"/>
          </w:tcPr>
          <w:p w14:paraId="3DAA7AA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20</w:t>
            </w:r>
          </w:p>
        </w:tc>
        <w:tc>
          <w:tcPr>
            <w:tcW w:w="1345" w:type="dxa"/>
            <w:tcBorders>
              <w:tl2br w:val="nil"/>
              <w:tr2bl w:val="nil"/>
            </w:tcBorders>
            <w:vAlign w:val="center"/>
          </w:tcPr>
          <w:p w14:paraId="4DE938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0.55</w:t>
            </w:r>
          </w:p>
        </w:tc>
      </w:tr>
      <w:tr w14:paraId="75AA08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8460F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91062C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248" w:type="dxa"/>
            <w:tcBorders>
              <w:tl2br w:val="nil"/>
              <w:tr2bl w:val="nil"/>
            </w:tcBorders>
            <w:vAlign w:val="center"/>
          </w:tcPr>
          <w:p w14:paraId="76FC7DB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w:t>
            </w:r>
          </w:p>
        </w:tc>
        <w:tc>
          <w:tcPr>
            <w:tcW w:w="1255" w:type="dxa"/>
            <w:tcBorders>
              <w:tl2br w:val="nil"/>
              <w:tr2bl w:val="nil"/>
            </w:tcBorders>
            <w:vAlign w:val="center"/>
          </w:tcPr>
          <w:p w14:paraId="10119B6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140" w:type="dxa"/>
            <w:tcBorders>
              <w:tl2br w:val="nil"/>
              <w:tr2bl w:val="nil"/>
            </w:tcBorders>
            <w:vAlign w:val="center"/>
          </w:tcPr>
          <w:p w14:paraId="4590071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974" w:type="dxa"/>
            <w:tcBorders>
              <w:tl2br w:val="nil"/>
              <w:tr2bl w:val="nil"/>
            </w:tcBorders>
            <w:vAlign w:val="center"/>
          </w:tcPr>
          <w:p w14:paraId="025C7A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6636D5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w:t>
            </w:r>
            <w:r>
              <w:rPr>
                <w:rFonts w:hint="default" w:ascii="Times New Roman" w:hAnsi="Times New Roman" w:cs="Times New Roman"/>
                <w:i w:val="0"/>
                <w:iCs w:val="0"/>
                <w:color w:val="000000"/>
                <w:kern w:val="0"/>
                <w:sz w:val="21"/>
                <w:szCs w:val="21"/>
                <w:u w:val="none"/>
                <w:lang w:val="en-US" w:eastAsia="zh-CN" w:bidi="ar"/>
              </w:rPr>
              <w:t>-0.32</w:t>
            </w:r>
          </w:p>
        </w:tc>
      </w:tr>
      <w:tr w14:paraId="679BBF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A59B3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B466B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总氮</w:t>
            </w:r>
          </w:p>
        </w:tc>
        <w:tc>
          <w:tcPr>
            <w:tcW w:w="1248" w:type="dxa"/>
            <w:tcBorders>
              <w:tl2br w:val="nil"/>
              <w:tr2bl w:val="nil"/>
            </w:tcBorders>
            <w:vAlign w:val="center"/>
          </w:tcPr>
          <w:p w14:paraId="1D068D7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1.76</w:t>
            </w:r>
          </w:p>
        </w:tc>
        <w:tc>
          <w:tcPr>
            <w:tcW w:w="1255" w:type="dxa"/>
            <w:tcBorders>
              <w:tl2br w:val="nil"/>
              <w:tr2bl w:val="nil"/>
            </w:tcBorders>
            <w:vAlign w:val="center"/>
          </w:tcPr>
          <w:p w14:paraId="1AE5D1A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1.74</w:t>
            </w:r>
          </w:p>
        </w:tc>
        <w:tc>
          <w:tcPr>
            <w:tcW w:w="1140" w:type="dxa"/>
            <w:tcBorders>
              <w:tl2br w:val="nil"/>
              <w:tr2bl w:val="nil"/>
            </w:tcBorders>
            <w:vAlign w:val="center"/>
          </w:tcPr>
          <w:p w14:paraId="49964EC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1.79</w:t>
            </w:r>
          </w:p>
        </w:tc>
        <w:tc>
          <w:tcPr>
            <w:tcW w:w="1974" w:type="dxa"/>
            <w:tcBorders>
              <w:tl2br w:val="nil"/>
              <w:tr2bl w:val="nil"/>
            </w:tcBorders>
            <w:vAlign w:val="center"/>
          </w:tcPr>
          <w:p w14:paraId="748EC3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1C3B6A9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C00000"/>
                <w:kern w:val="0"/>
                <w:sz w:val="21"/>
                <w:szCs w:val="21"/>
                <w:u w:val="none"/>
                <w:lang w:val="en-US" w:eastAsia="zh-CN" w:bidi="ar"/>
              </w:rPr>
              <w:t>1.74</w:t>
            </w:r>
            <w:r>
              <w:rPr>
                <w:rFonts w:hint="default" w:ascii="Times New Roman" w:hAnsi="Times New Roman" w:cs="Times New Roman"/>
                <w:i w:val="0"/>
                <w:iCs w:val="0"/>
                <w:color w:val="C00000"/>
                <w:kern w:val="0"/>
                <w:sz w:val="21"/>
                <w:szCs w:val="21"/>
                <w:u w:val="none"/>
                <w:lang w:val="en-US" w:eastAsia="zh-CN" w:bidi="ar"/>
              </w:rPr>
              <w:t>-1.79</w:t>
            </w:r>
          </w:p>
        </w:tc>
      </w:tr>
      <w:tr w14:paraId="4F698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4E7994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71193C7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高锰酸盐指数</w:t>
            </w:r>
          </w:p>
        </w:tc>
        <w:tc>
          <w:tcPr>
            <w:tcW w:w="1248" w:type="dxa"/>
            <w:tcBorders>
              <w:tl2br w:val="nil"/>
              <w:tr2bl w:val="nil"/>
            </w:tcBorders>
            <w:vAlign w:val="center"/>
          </w:tcPr>
          <w:p w14:paraId="4F96C1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w:t>
            </w:r>
          </w:p>
        </w:tc>
        <w:tc>
          <w:tcPr>
            <w:tcW w:w="1255" w:type="dxa"/>
            <w:tcBorders>
              <w:tl2br w:val="nil"/>
              <w:tr2bl w:val="nil"/>
            </w:tcBorders>
            <w:vAlign w:val="center"/>
          </w:tcPr>
          <w:p w14:paraId="0AA1BF8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140" w:type="dxa"/>
            <w:tcBorders>
              <w:tl2br w:val="nil"/>
              <w:tr2bl w:val="nil"/>
            </w:tcBorders>
            <w:vAlign w:val="center"/>
          </w:tcPr>
          <w:p w14:paraId="1C48B94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w:t>
            </w:r>
          </w:p>
        </w:tc>
        <w:tc>
          <w:tcPr>
            <w:tcW w:w="1974" w:type="dxa"/>
            <w:tcBorders>
              <w:tl2br w:val="nil"/>
              <w:tr2bl w:val="nil"/>
            </w:tcBorders>
            <w:vAlign w:val="center"/>
          </w:tcPr>
          <w:p w14:paraId="7CB16A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6</w:t>
            </w:r>
          </w:p>
        </w:tc>
        <w:tc>
          <w:tcPr>
            <w:tcW w:w="1345" w:type="dxa"/>
            <w:tcBorders>
              <w:tl2br w:val="nil"/>
              <w:tr2bl w:val="nil"/>
            </w:tcBorders>
            <w:vAlign w:val="center"/>
          </w:tcPr>
          <w:p w14:paraId="6CE21D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0.45-0.48</w:t>
            </w:r>
          </w:p>
        </w:tc>
      </w:tr>
      <w:tr w14:paraId="2C2F58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62897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9C754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1248" w:type="dxa"/>
            <w:tcBorders>
              <w:tl2br w:val="nil"/>
              <w:tr2bl w:val="nil"/>
            </w:tcBorders>
            <w:vAlign w:val="center"/>
          </w:tcPr>
          <w:p w14:paraId="0006C74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55" w:type="dxa"/>
            <w:tcBorders>
              <w:tl2br w:val="nil"/>
              <w:tr2bl w:val="nil"/>
            </w:tcBorders>
            <w:vAlign w:val="center"/>
          </w:tcPr>
          <w:p w14:paraId="20AD95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140" w:type="dxa"/>
            <w:tcBorders>
              <w:tl2br w:val="nil"/>
              <w:tr2bl w:val="nil"/>
            </w:tcBorders>
            <w:vAlign w:val="center"/>
          </w:tcPr>
          <w:p w14:paraId="326D890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974" w:type="dxa"/>
            <w:tcBorders>
              <w:tl2br w:val="nil"/>
              <w:tr2bl w:val="nil"/>
            </w:tcBorders>
            <w:vAlign w:val="center"/>
          </w:tcPr>
          <w:p w14:paraId="6415A7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≤0.05</w:t>
            </w:r>
          </w:p>
        </w:tc>
        <w:tc>
          <w:tcPr>
            <w:tcW w:w="1345" w:type="dxa"/>
            <w:tcBorders>
              <w:tl2br w:val="nil"/>
              <w:tr2bl w:val="nil"/>
            </w:tcBorders>
            <w:shd w:val="clear" w:color="auto" w:fill="auto"/>
            <w:vAlign w:val="center"/>
          </w:tcPr>
          <w:p w14:paraId="6D0DA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47E47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17840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CD7EA0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粪大肠菌群</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snapToGrid/>
                <w:color w:val="auto"/>
                <w:kern w:val="2"/>
                <w:sz w:val="21"/>
                <w:szCs w:val="21"/>
                <w:u w:val="none" w:color="auto"/>
                <w:lang w:val="en-US" w:eastAsia="zh-CN"/>
              </w:rPr>
              <w:t>MPN/L</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7085A2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255" w:type="dxa"/>
            <w:tcBorders>
              <w:tl2br w:val="nil"/>
              <w:tr2bl w:val="nil"/>
            </w:tcBorders>
            <w:vAlign w:val="center"/>
          </w:tcPr>
          <w:p w14:paraId="1F0794D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1.9</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140" w:type="dxa"/>
            <w:tcBorders>
              <w:tl2br w:val="nil"/>
              <w:tr2bl w:val="nil"/>
            </w:tcBorders>
            <w:vAlign w:val="center"/>
          </w:tcPr>
          <w:p w14:paraId="40F93D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2.1</w:t>
            </w:r>
            <w:r>
              <w:rPr>
                <w:rFonts w:hint="default" w:ascii="Times New Roman" w:hAnsi="Times New Roman" w:eastAsia="宋体" w:cs="Times New Roman"/>
                <w:snapToGrid/>
                <w:color w:val="auto"/>
                <w:kern w:val="2"/>
                <w:sz w:val="21"/>
                <w:szCs w:val="21"/>
                <w:u w:val="none" w:color="auto"/>
                <w:lang w:val="en-US" w:eastAsia="zh-CN"/>
              </w:rPr>
              <w:t>×10</w:t>
            </w:r>
            <w:r>
              <w:rPr>
                <w:rFonts w:hint="default" w:ascii="Times New Roman" w:hAnsi="Times New Roman" w:cs="Times New Roman"/>
                <w:snapToGrid/>
                <w:color w:val="auto"/>
                <w:kern w:val="2"/>
                <w:sz w:val="21"/>
                <w:szCs w:val="21"/>
                <w:highlight w:val="none"/>
                <w:u w:val="none" w:color="auto"/>
                <w:vertAlign w:val="superscript"/>
                <w:lang w:val="en-US" w:eastAsia="zh-CN"/>
              </w:rPr>
              <w:t>2</w:t>
            </w:r>
          </w:p>
        </w:tc>
        <w:tc>
          <w:tcPr>
            <w:tcW w:w="1974" w:type="dxa"/>
            <w:tcBorders>
              <w:tl2br w:val="nil"/>
              <w:tr2bl w:val="nil"/>
            </w:tcBorders>
            <w:vAlign w:val="center"/>
          </w:tcPr>
          <w:p w14:paraId="70EB74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10</w:t>
            </w:r>
            <w:r>
              <w:rPr>
                <w:rFonts w:hint="default" w:ascii="Times New Roman" w:hAnsi="Times New Roman" w:cs="Times New Roman"/>
                <w:sz w:val="21"/>
                <w:szCs w:val="21"/>
              </w:rPr>
              <w:t>000</w:t>
            </w:r>
          </w:p>
        </w:tc>
        <w:tc>
          <w:tcPr>
            <w:tcW w:w="1345" w:type="dxa"/>
            <w:tcBorders>
              <w:tl2br w:val="nil"/>
              <w:tr2bl w:val="nil"/>
            </w:tcBorders>
            <w:vAlign w:val="center"/>
          </w:tcPr>
          <w:p w14:paraId="2FBA7B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0.019-0.021</w:t>
            </w:r>
          </w:p>
        </w:tc>
      </w:tr>
      <w:tr w14:paraId="54B16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7836E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CC3A9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铜</w:t>
            </w:r>
          </w:p>
        </w:tc>
        <w:tc>
          <w:tcPr>
            <w:tcW w:w="1248" w:type="dxa"/>
            <w:tcBorders>
              <w:tl2br w:val="nil"/>
              <w:tr2bl w:val="nil"/>
            </w:tcBorders>
            <w:vAlign w:val="center"/>
          </w:tcPr>
          <w:p w14:paraId="47B8FA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255" w:type="dxa"/>
            <w:tcBorders>
              <w:tl2br w:val="nil"/>
              <w:tr2bl w:val="nil"/>
            </w:tcBorders>
            <w:vAlign w:val="center"/>
          </w:tcPr>
          <w:p w14:paraId="7A89B1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140" w:type="dxa"/>
            <w:tcBorders>
              <w:tl2br w:val="nil"/>
              <w:tr2bl w:val="nil"/>
            </w:tcBorders>
            <w:vAlign w:val="center"/>
          </w:tcPr>
          <w:p w14:paraId="7C6ADA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w:t>
            </w:r>
            <w:r>
              <w:rPr>
                <w:rFonts w:hint="default" w:ascii="Times New Roman" w:hAnsi="Times New Roman" w:cs="Times New Roman"/>
                <w:snapToGrid/>
                <w:color w:val="auto"/>
                <w:kern w:val="2"/>
                <w:sz w:val="21"/>
                <w:szCs w:val="21"/>
                <w:u w:val="none" w:color="auto"/>
                <w:lang w:val="en-US" w:eastAsia="zh-CN"/>
              </w:rPr>
              <w:t>1</w:t>
            </w:r>
            <w:r>
              <w:rPr>
                <w:rFonts w:hint="default" w:ascii="Times New Roman" w:hAnsi="Times New Roman" w:eastAsia="宋体" w:cs="Times New Roman"/>
                <w:snapToGrid/>
                <w:color w:val="auto"/>
                <w:kern w:val="2"/>
                <w:sz w:val="21"/>
                <w:szCs w:val="21"/>
                <w:u w:val="none" w:color="auto"/>
                <w:lang w:val="en-US" w:eastAsia="zh-CN"/>
              </w:rPr>
              <w:t>L</w:t>
            </w:r>
          </w:p>
        </w:tc>
        <w:tc>
          <w:tcPr>
            <w:tcW w:w="1974" w:type="dxa"/>
            <w:tcBorders>
              <w:tl2br w:val="nil"/>
              <w:tr2bl w:val="nil"/>
            </w:tcBorders>
            <w:vAlign w:val="center"/>
          </w:tcPr>
          <w:p w14:paraId="19A38F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346420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0.0005</w:t>
            </w:r>
          </w:p>
        </w:tc>
      </w:tr>
      <w:tr w14:paraId="023FE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B0E6C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B6878A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锌</w:t>
            </w:r>
          </w:p>
        </w:tc>
        <w:tc>
          <w:tcPr>
            <w:tcW w:w="1248" w:type="dxa"/>
            <w:tcBorders>
              <w:tl2br w:val="nil"/>
              <w:tr2bl w:val="nil"/>
            </w:tcBorders>
            <w:vAlign w:val="center"/>
          </w:tcPr>
          <w:p w14:paraId="4F5BFE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255" w:type="dxa"/>
            <w:tcBorders>
              <w:tl2br w:val="nil"/>
              <w:tr2bl w:val="nil"/>
            </w:tcBorders>
            <w:vAlign w:val="center"/>
          </w:tcPr>
          <w:p w14:paraId="19F8A3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140" w:type="dxa"/>
            <w:tcBorders>
              <w:tl2br w:val="nil"/>
              <w:tr2bl w:val="nil"/>
            </w:tcBorders>
            <w:vAlign w:val="center"/>
          </w:tcPr>
          <w:p w14:paraId="54AABD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0.05L</w:t>
            </w:r>
          </w:p>
        </w:tc>
        <w:tc>
          <w:tcPr>
            <w:tcW w:w="1974" w:type="dxa"/>
            <w:tcBorders>
              <w:tl2br w:val="nil"/>
              <w:tr2bl w:val="nil"/>
            </w:tcBorders>
            <w:vAlign w:val="center"/>
          </w:tcPr>
          <w:p w14:paraId="0C32B0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21D87B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05</w:t>
            </w:r>
          </w:p>
        </w:tc>
      </w:tr>
      <w:tr w14:paraId="4E3B2A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FE57C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B14923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248" w:type="dxa"/>
            <w:tcBorders>
              <w:tl2br w:val="nil"/>
              <w:tr2bl w:val="nil"/>
            </w:tcBorders>
            <w:shd w:val="clear" w:color="auto" w:fill="auto"/>
            <w:vAlign w:val="top"/>
          </w:tcPr>
          <w:p w14:paraId="60824F9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255" w:type="dxa"/>
            <w:tcBorders>
              <w:tl2br w:val="nil"/>
              <w:tr2bl w:val="nil"/>
            </w:tcBorders>
            <w:shd w:val="clear" w:color="auto" w:fill="auto"/>
            <w:vAlign w:val="top"/>
          </w:tcPr>
          <w:p w14:paraId="3720A44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140" w:type="dxa"/>
            <w:tcBorders>
              <w:tl2br w:val="nil"/>
              <w:tr2bl w:val="nil"/>
            </w:tcBorders>
            <w:shd w:val="clear" w:color="auto" w:fill="auto"/>
            <w:vAlign w:val="top"/>
          </w:tcPr>
          <w:p w14:paraId="1215902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bidi="ar-SA"/>
              </w:rPr>
            </w:pPr>
            <w:r>
              <w:rPr>
                <w:rFonts w:hint="default" w:ascii="Times New Roman" w:hAnsi="Times New Roman" w:eastAsia="Times New Roman" w:cs="Times New Roman"/>
                <w:spacing w:val="3"/>
                <w:sz w:val="21"/>
                <w:szCs w:val="21"/>
              </w:rPr>
              <w:t>0.00</w:t>
            </w:r>
            <w:r>
              <w:rPr>
                <w:rFonts w:hint="default" w:ascii="Times New Roman" w:hAnsi="Times New Roman" w:eastAsia="宋体" w:cs="Times New Roman"/>
                <w:spacing w:val="3"/>
                <w:sz w:val="21"/>
                <w:szCs w:val="21"/>
                <w:lang w:val="en-US" w:eastAsia="zh-CN"/>
              </w:rPr>
              <w:t>0</w:t>
            </w:r>
            <w:r>
              <w:rPr>
                <w:rFonts w:hint="default" w:ascii="Times New Roman" w:hAnsi="Times New Roman" w:eastAsia="Times New Roman" w:cs="Times New Roman"/>
                <w:spacing w:val="3"/>
                <w:sz w:val="21"/>
                <w:szCs w:val="21"/>
              </w:rPr>
              <w:t>1L</w:t>
            </w:r>
          </w:p>
        </w:tc>
        <w:tc>
          <w:tcPr>
            <w:tcW w:w="1974" w:type="dxa"/>
            <w:tcBorders>
              <w:tl2br w:val="nil"/>
              <w:tr2bl w:val="nil"/>
            </w:tcBorders>
            <w:vAlign w:val="center"/>
          </w:tcPr>
          <w:p w14:paraId="4C38EA8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≤0.005</w:t>
            </w:r>
          </w:p>
        </w:tc>
        <w:tc>
          <w:tcPr>
            <w:tcW w:w="1345" w:type="dxa"/>
            <w:tcBorders>
              <w:tl2br w:val="nil"/>
              <w:tr2bl w:val="nil"/>
            </w:tcBorders>
            <w:vAlign w:val="center"/>
          </w:tcPr>
          <w:p w14:paraId="1E57C7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2</w:t>
            </w:r>
          </w:p>
        </w:tc>
      </w:tr>
      <w:tr w14:paraId="488E91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58FF3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3BC3B1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248" w:type="dxa"/>
            <w:tcBorders>
              <w:tl2br w:val="nil"/>
              <w:tr2bl w:val="nil"/>
            </w:tcBorders>
            <w:vAlign w:val="center"/>
          </w:tcPr>
          <w:p w14:paraId="694CE5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255" w:type="dxa"/>
            <w:tcBorders>
              <w:tl2br w:val="nil"/>
              <w:tr2bl w:val="nil"/>
            </w:tcBorders>
            <w:vAlign w:val="center"/>
          </w:tcPr>
          <w:p w14:paraId="717CF5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140" w:type="dxa"/>
            <w:tcBorders>
              <w:tl2br w:val="nil"/>
              <w:tr2bl w:val="nil"/>
            </w:tcBorders>
            <w:vAlign w:val="center"/>
          </w:tcPr>
          <w:p w14:paraId="2B9F51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0.001L</w:t>
            </w:r>
          </w:p>
        </w:tc>
        <w:tc>
          <w:tcPr>
            <w:tcW w:w="1974" w:type="dxa"/>
            <w:tcBorders>
              <w:tl2br w:val="nil"/>
              <w:tr2bl w:val="nil"/>
            </w:tcBorders>
            <w:vAlign w:val="center"/>
          </w:tcPr>
          <w:p w14:paraId="6493331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0000FF"/>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5</w:t>
            </w:r>
          </w:p>
        </w:tc>
        <w:tc>
          <w:tcPr>
            <w:tcW w:w="1345" w:type="dxa"/>
            <w:tcBorders>
              <w:tl2br w:val="nil"/>
              <w:tr2bl w:val="nil"/>
            </w:tcBorders>
            <w:vAlign w:val="center"/>
          </w:tcPr>
          <w:p w14:paraId="31E385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r>
              <w:rPr>
                <w:rFonts w:hint="eastAsia" w:cs="Times New Roman"/>
                <w:i w:val="0"/>
                <w:iCs w:val="0"/>
                <w:color w:val="000000"/>
                <w:kern w:val="0"/>
                <w:sz w:val="21"/>
                <w:szCs w:val="21"/>
                <w:u w:val="none"/>
                <w:lang w:val="en-US" w:eastAsia="zh-CN" w:bidi="ar"/>
              </w:rPr>
              <w:t>2</w:t>
            </w:r>
          </w:p>
        </w:tc>
      </w:tr>
      <w:tr w14:paraId="6A7846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3C1D35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220F4B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248" w:type="dxa"/>
            <w:tcBorders>
              <w:tl2br w:val="nil"/>
              <w:tr2bl w:val="nil"/>
            </w:tcBorders>
            <w:vAlign w:val="top"/>
          </w:tcPr>
          <w:p w14:paraId="09DC568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0.33</w:t>
            </w:r>
          </w:p>
        </w:tc>
        <w:tc>
          <w:tcPr>
            <w:tcW w:w="1255" w:type="dxa"/>
            <w:tcBorders>
              <w:tl2br w:val="nil"/>
              <w:tr2bl w:val="nil"/>
            </w:tcBorders>
            <w:vAlign w:val="top"/>
          </w:tcPr>
          <w:p w14:paraId="0763B1A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0.32</w:t>
            </w:r>
          </w:p>
        </w:tc>
        <w:tc>
          <w:tcPr>
            <w:tcW w:w="1140" w:type="dxa"/>
            <w:tcBorders>
              <w:tl2br w:val="nil"/>
              <w:tr2bl w:val="nil"/>
            </w:tcBorders>
            <w:vAlign w:val="top"/>
          </w:tcPr>
          <w:p w14:paraId="0E7D682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2"/>
                <w:sz w:val="21"/>
                <w:szCs w:val="21"/>
              </w:rPr>
              <w:t>0.32</w:t>
            </w:r>
          </w:p>
        </w:tc>
        <w:tc>
          <w:tcPr>
            <w:tcW w:w="1974" w:type="dxa"/>
            <w:tcBorders>
              <w:tl2br w:val="nil"/>
              <w:tr2bl w:val="nil"/>
            </w:tcBorders>
            <w:vAlign w:val="center"/>
          </w:tcPr>
          <w:p w14:paraId="7E318F3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c>
          <w:tcPr>
            <w:tcW w:w="1345" w:type="dxa"/>
            <w:tcBorders>
              <w:tl2br w:val="nil"/>
              <w:tr2bl w:val="nil"/>
            </w:tcBorders>
            <w:vAlign w:val="center"/>
          </w:tcPr>
          <w:p w14:paraId="79D9B8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0ADF4B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54450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59C4296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248" w:type="dxa"/>
            <w:tcBorders>
              <w:tl2br w:val="nil"/>
              <w:tr2bl w:val="nil"/>
            </w:tcBorders>
            <w:vAlign w:val="top"/>
          </w:tcPr>
          <w:p w14:paraId="0590BE3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255" w:type="dxa"/>
            <w:tcBorders>
              <w:tl2br w:val="nil"/>
              <w:tr2bl w:val="nil"/>
            </w:tcBorders>
            <w:vAlign w:val="top"/>
          </w:tcPr>
          <w:p w14:paraId="3AD2340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140" w:type="dxa"/>
            <w:tcBorders>
              <w:tl2br w:val="nil"/>
              <w:tr2bl w:val="nil"/>
            </w:tcBorders>
            <w:vAlign w:val="top"/>
          </w:tcPr>
          <w:p w14:paraId="062ECB9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color w:val="auto"/>
                <w:spacing w:val="-4"/>
                <w:sz w:val="21"/>
                <w:szCs w:val="21"/>
              </w:rPr>
              <w:t>0</w:t>
            </w:r>
            <w:r>
              <w:rPr>
                <w:rFonts w:hint="default" w:ascii="Times New Roman" w:hAnsi="Times New Roman" w:eastAsia="宋体" w:cs="Times New Roman"/>
                <w:color w:val="auto"/>
                <w:spacing w:val="-4"/>
                <w:sz w:val="21"/>
                <w:szCs w:val="21"/>
                <w:lang w:eastAsia="zh-CN"/>
              </w:rPr>
              <w:t>.</w:t>
            </w:r>
            <w:r>
              <w:rPr>
                <w:rFonts w:hint="default" w:ascii="Times New Roman" w:hAnsi="Times New Roman" w:eastAsia="Times New Roman" w:cs="Times New Roman"/>
                <w:color w:val="auto"/>
                <w:spacing w:val="-4"/>
                <w:sz w:val="21"/>
                <w:szCs w:val="21"/>
              </w:rPr>
              <w:t>14</w:t>
            </w:r>
          </w:p>
        </w:tc>
        <w:tc>
          <w:tcPr>
            <w:tcW w:w="1974" w:type="dxa"/>
            <w:tcBorders>
              <w:tl2br w:val="nil"/>
              <w:tr2bl w:val="nil"/>
            </w:tcBorders>
            <w:vAlign w:val="center"/>
          </w:tcPr>
          <w:p w14:paraId="3FBADA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w:t>
            </w:r>
          </w:p>
        </w:tc>
        <w:tc>
          <w:tcPr>
            <w:tcW w:w="1345" w:type="dxa"/>
            <w:tcBorders>
              <w:tl2br w:val="nil"/>
              <w:tr2bl w:val="nil"/>
            </w:tcBorders>
            <w:vAlign w:val="center"/>
          </w:tcPr>
          <w:p w14:paraId="638C9C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w:t>
            </w:r>
          </w:p>
        </w:tc>
      </w:tr>
      <w:tr w14:paraId="55D6F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499DDF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0BD28B0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氟化物</w:t>
            </w:r>
          </w:p>
        </w:tc>
        <w:tc>
          <w:tcPr>
            <w:tcW w:w="1248" w:type="dxa"/>
            <w:tcBorders>
              <w:tl2br w:val="nil"/>
              <w:tr2bl w:val="nil"/>
            </w:tcBorders>
            <w:vAlign w:val="top"/>
          </w:tcPr>
          <w:p w14:paraId="27D730D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0.280</w:t>
            </w:r>
          </w:p>
        </w:tc>
        <w:tc>
          <w:tcPr>
            <w:tcW w:w="1255" w:type="dxa"/>
            <w:tcBorders>
              <w:tl2br w:val="nil"/>
              <w:tr2bl w:val="nil"/>
            </w:tcBorders>
            <w:vAlign w:val="top"/>
          </w:tcPr>
          <w:p w14:paraId="1E95998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0.283</w:t>
            </w:r>
          </w:p>
        </w:tc>
        <w:tc>
          <w:tcPr>
            <w:tcW w:w="1140" w:type="dxa"/>
            <w:tcBorders>
              <w:tl2br w:val="nil"/>
              <w:tr2bl w:val="nil"/>
            </w:tcBorders>
            <w:vAlign w:val="top"/>
          </w:tcPr>
          <w:p w14:paraId="1FFBF06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0.265</w:t>
            </w:r>
          </w:p>
        </w:tc>
        <w:tc>
          <w:tcPr>
            <w:tcW w:w="1974" w:type="dxa"/>
            <w:tcBorders>
              <w:tl2br w:val="nil"/>
              <w:tr2bl w:val="nil"/>
            </w:tcBorders>
            <w:vAlign w:val="center"/>
          </w:tcPr>
          <w:p w14:paraId="3F5136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≤1.0</w:t>
            </w:r>
          </w:p>
        </w:tc>
        <w:tc>
          <w:tcPr>
            <w:tcW w:w="1345" w:type="dxa"/>
            <w:tcBorders>
              <w:tl2br w:val="nil"/>
              <w:tr2bl w:val="nil"/>
            </w:tcBorders>
            <w:vAlign w:val="center"/>
          </w:tcPr>
          <w:p w14:paraId="28777F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0.265-0.28</w:t>
            </w:r>
          </w:p>
        </w:tc>
      </w:tr>
      <w:tr w14:paraId="66022A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DED0A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B43A1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硫酸盐</w:t>
            </w:r>
          </w:p>
        </w:tc>
        <w:tc>
          <w:tcPr>
            <w:tcW w:w="1248" w:type="dxa"/>
            <w:tcBorders>
              <w:tl2br w:val="nil"/>
              <w:tr2bl w:val="nil"/>
            </w:tcBorders>
            <w:vAlign w:val="top"/>
          </w:tcPr>
          <w:p w14:paraId="1EB1FFE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3"/>
                <w:sz w:val="21"/>
                <w:szCs w:val="21"/>
              </w:rPr>
              <w:t>11</w:t>
            </w:r>
            <w:r>
              <w:rPr>
                <w:rFonts w:hint="default" w:ascii="Times New Roman" w:hAnsi="Times New Roman" w:eastAsia="宋体" w:cs="Times New Roman"/>
                <w:spacing w:val="-3"/>
                <w:sz w:val="21"/>
                <w:szCs w:val="21"/>
                <w:lang w:eastAsia="zh-CN"/>
              </w:rPr>
              <w:t>.</w:t>
            </w:r>
            <w:r>
              <w:rPr>
                <w:rFonts w:hint="default" w:ascii="Times New Roman" w:hAnsi="Times New Roman" w:eastAsia="Times New Roman" w:cs="Times New Roman"/>
                <w:spacing w:val="-3"/>
                <w:sz w:val="21"/>
                <w:szCs w:val="21"/>
              </w:rPr>
              <w:t>1</w:t>
            </w:r>
          </w:p>
        </w:tc>
        <w:tc>
          <w:tcPr>
            <w:tcW w:w="1255" w:type="dxa"/>
            <w:tcBorders>
              <w:tl2br w:val="nil"/>
              <w:tr2bl w:val="nil"/>
            </w:tcBorders>
            <w:vAlign w:val="top"/>
          </w:tcPr>
          <w:p w14:paraId="44CAD24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10.9</w:t>
            </w:r>
          </w:p>
        </w:tc>
        <w:tc>
          <w:tcPr>
            <w:tcW w:w="1140" w:type="dxa"/>
            <w:tcBorders>
              <w:tl2br w:val="nil"/>
              <w:tr2bl w:val="nil"/>
            </w:tcBorders>
            <w:vAlign w:val="top"/>
          </w:tcPr>
          <w:p w14:paraId="6D71997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11.0</w:t>
            </w:r>
          </w:p>
        </w:tc>
        <w:tc>
          <w:tcPr>
            <w:tcW w:w="1974" w:type="dxa"/>
            <w:tcBorders>
              <w:tl2br w:val="nil"/>
              <w:tr2bl w:val="nil"/>
            </w:tcBorders>
            <w:vAlign w:val="center"/>
          </w:tcPr>
          <w:p w14:paraId="7F9C89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728C3C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0.0436-0.0444</w:t>
            </w:r>
          </w:p>
        </w:tc>
      </w:tr>
      <w:tr w14:paraId="56D3D0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28C499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AAE10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248" w:type="dxa"/>
            <w:tcBorders>
              <w:tl2br w:val="nil"/>
              <w:tr2bl w:val="nil"/>
            </w:tcBorders>
            <w:vAlign w:val="top"/>
          </w:tcPr>
          <w:p w14:paraId="0330C61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3.85</w:t>
            </w:r>
          </w:p>
        </w:tc>
        <w:tc>
          <w:tcPr>
            <w:tcW w:w="1255" w:type="dxa"/>
            <w:tcBorders>
              <w:tl2br w:val="nil"/>
              <w:tr2bl w:val="nil"/>
            </w:tcBorders>
            <w:vAlign w:val="top"/>
          </w:tcPr>
          <w:p w14:paraId="6408133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3.84</w:t>
            </w:r>
          </w:p>
        </w:tc>
        <w:tc>
          <w:tcPr>
            <w:tcW w:w="1140" w:type="dxa"/>
            <w:tcBorders>
              <w:tl2br w:val="nil"/>
              <w:tr2bl w:val="nil"/>
            </w:tcBorders>
            <w:vAlign w:val="top"/>
          </w:tcPr>
          <w:p w14:paraId="4FCA174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Times New Roman" w:cs="Times New Roman"/>
                <w:spacing w:val="2"/>
                <w:sz w:val="21"/>
                <w:szCs w:val="21"/>
              </w:rPr>
              <w:t>3.85</w:t>
            </w:r>
          </w:p>
        </w:tc>
        <w:tc>
          <w:tcPr>
            <w:tcW w:w="1974" w:type="dxa"/>
            <w:tcBorders>
              <w:tl2br w:val="nil"/>
              <w:tr2bl w:val="nil"/>
            </w:tcBorders>
            <w:vAlign w:val="center"/>
          </w:tcPr>
          <w:p w14:paraId="685E9F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≤250</w:t>
            </w:r>
          </w:p>
        </w:tc>
        <w:tc>
          <w:tcPr>
            <w:tcW w:w="1345" w:type="dxa"/>
            <w:tcBorders>
              <w:tl2br w:val="nil"/>
              <w:tr2bl w:val="nil"/>
            </w:tcBorders>
            <w:vAlign w:val="center"/>
          </w:tcPr>
          <w:p w14:paraId="06C8681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0.01536-0.0154</w:t>
            </w:r>
          </w:p>
        </w:tc>
      </w:tr>
      <w:tr w14:paraId="2CCCEA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22C68A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0C423D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硝酸盐</w:t>
            </w: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以N 计</w:t>
            </w:r>
            <w:r>
              <w:rPr>
                <w:rFonts w:hint="default" w:ascii="Times New Roman" w:hAnsi="Times New Roman" w:cs="Times New Roman"/>
                <w:i w:val="0"/>
                <w:iCs w:val="0"/>
                <w:color w:val="auto"/>
                <w:kern w:val="0"/>
                <w:sz w:val="21"/>
                <w:szCs w:val="21"/>
                <w:u w:val="none"/>
                <w:lang w:val="en-US" w:eastAsia="zh-CN" w:bidi="ar"/>
              </w:rPr>
              <w:t>)</w:t>
            </w:r>
          </w:p>
        </w:tc>
        <w:tc>
          <w:tcPr>
            <w:tcW w:w="1248" w:type="dxa"/>
            <w:tcBorders>
              <w:tl2br w:val="nil"/>
              <w:tr2bl w:val="nil"/>
            </w:tcBorders>
            <w:vAlign w:val="center"/>
          </w:tcPr>
          <w:p w14:paraId="205B7B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0.836</w:t>
            </w:r>
          </w:p>
        </w:tc>
        <w:tc>
          <w:tcPr>
            <w:tcW w:w="1255" w:type="dxa"/>
            <w:tcBorders>
              <w:tl2br w:val="nil"/>
              <w:tr2bl w:val="nil"/>
            </w:tcBorders>
            <w:vAlign w:val="center"/>
          </w:tcPr>
          <w:p w14:paraId="273A65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0.800</w:t>
            </w:r>
          </w:p>
        </w:tc>
        <w:tc>
          <w:tcPr>
            <w:tcW w:w="1140" w:type="dxa"/>
            <w:tcBorders>
              <w:tl2br w:val="nil"/>
              <w:tr2bl w:val="nil"/>
            </w:tcBorders>
            <w:vAlign w:val="center"/>
          </w:tcPr>
          <w:p w14:paraId="6E08F8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0.833</w:t>
            </w:r>
          </w:p>
        </w:tc>
        <w:tc>
          <w:tcPr>
            <w:tcW w:w="1974" w:type="dxa"/>
            <w:tcBorders>
              <w:tl2br w:val="nil"/>
              <w:tr2bl w:val="nil"/>
            </w:tcBorders>
            <w:vAlign w:val="center"/>
          </w:tcPr>
          <w:p w14:paraId="51D7FC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lang w:val="en-US" w:eastAsia="zh-CN"/>
              </w:rPr>
              <w:t>10</w:t>
            </w:r>
          </w:p>
        </w:tc>
        <w:tc>
          <w:tcPr>
            <w:tcW w:w="1345" w:type="dxa"/>
            <w:tcBorders>
              <w:tl2br w:val="nil"/>
              <w:tr2bl w:val="nil"/>
            </w:tcBorders>
            <w:vAlign w:val="center"/>
          </w:tcPr>
          <w:p w14:paraId="12E9CF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8</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836</w:t>
            </w:r>
          </w:p>
        </w:tc>
      </w:tr>
      <w:tr w14:paraId="376A52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5CB563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C984E5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硒</w:t>
            </w:r>
          </w:p>
        </w:tc>
        <w:tc>
          <w:tcPr>
            <w:tcW w:w="1248" w:type="dxa"/>
            <w:tcBorders>
              <w:tl2br w:val="nil"/>
              <w:tr2bl w:val="nil"/>
            </w:tcBorders>
            <w:vAlign w:val="center"/>
          </w:tcPr>
          <w:p w14:paraId="5DD4E5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255" w:type="dxa"/>
            <w:tcBorders>
              <w:tl2br w:val="nil"/>
              <w:tr2bl w:val="nil"/>
            </w:tcBorders>
            <w:vAlign w:val="center"/>
          </w:tcPr>
          <w:p w14:paraId="772D0E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140" w:type="dxa"/>
            <w:tcBorders>
              <w:tl2br w:val="nil"/>
              <w:tr2bl w:val="nil"/>
            </w:tcBorders>
            <w:vAlign w:val="center"/>
          </w:tcPr>
          <w:p w14:paraId="50F1B4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0.0004L</w:t>
            </w:r>
          </w:p>
        </w:tc>
        <w:tc>
          <w:tcPr>
            <w:tcW w:w="1974" w:type="dxa"/>
            <w:tcBorders>
              <w:tl2br w:val="nil"/>
              <w:tr2bl w:val="nil"/>
            </w:tcBorders>
            <w:vAlign w:val="center"/>
          </w:tcPr>
          <w:p w14:paraId="768144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0.01</w:t>
            </w:r>
          </w:p>
        </w:tc>
        <w:tc>
          <w:tcPr>
            <w:tcW w:w="1345" w:type="dxa"/>
            <w:tcBorders>
              <w:tl2br w:val="nil"/>
              <w:tr2bl w:val="nil"/>
            </w:tcBorders>
            <w:shd w:val="clear" w:color="auto" w:fill="auto"/>
            <w:vAlign w:val="center"/>
          </w:tcPr>
          <w:p w14:paraId="66F8FF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57C0FA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CF5AE5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E74121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248" w:type="dxa"/>
            <w:tcBorders>
              <w:tl2br w:val="nil"/>
              <w:tr2bl w:val="nil"/>
            </w:tcBorders>
            <w:vAlign w:val="center"/>
          </w:tcPr>
          <w:p w14:paraId="5401D5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0.0395</w:t>
            </w:r>
          </w:p>
        </w:tc>
        <w:tc>
          <w:tcPr>
            <w:tcW w:w="1255" w:type="dxa"/>
            <w:tcBorders>
              <w:tl2br w:val="nil"/>
              <w:tr2bl w:val="nil"/>
            </w:tcBorders>
            <w:vAlign w:val="center"/>
          </w:tcPr>
          <w:p w14:paraId="525B42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0.0410</w:t>
            </w:r>
          </w:p>
        </w:tc>
        <w:tc>
          <w:tcPr>
            <w:tcW w:w="1140" w:type="dxa"/>
            <w:tcBorders>
              <w:tl2br w:val="nil"/>
              <w:tr2bl w:val="nil"/>
            </w:tcBorders>
            <w:vAlign w:val="center"/>
          </w:tcPr>
          <w:p w14:paraId="19864C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0.0388</w:t>
            </w:r>
          </w:p>
        </w:tc>
        <w:tc>
          <w:tcPr>
            <w:tcW w:w="1974" w:type="dxa"/>
            <w:tcBorders>
              <w:tl2br w:val="nil"/>
              <w:tr2bl w:val="nil"/>
            </w:tcBorders>
            <w:vAlign w:val="center"/>
          </w:tcPr>
          <w:p w14:paraId="2D89D5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397E4B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0.776-0.82</w:t>
            </w:r>
          </w:p>
        </w:tc>
      </w:tr>
      <w:tr w14:paraId="5152F3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5E86E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CD6116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汞</w:t>
            </w:r>
          </w:p>
        </w:tc>
        <w:tc>
          <w:tcPr>
            <w:tcW w:w="1248" w:type="dxa"/>
            <w:tcBorders>
              <w:tl2br w:val="nil"/>
              <w:tr2bl w:val="nil"/>
            </w:tcBorders>
            <w:vAlign w:val="center"/>
          </w:tcPr>
          <w:p w14:paraId="080456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255" w:type="dxa"/>
            <w:tcBorders>
              <w:tl2br w:val="nil"/>
              <w:tr2bl w:val="nil"/>
            </w:tcBorders>
            <w:vAlign w:val="center"/>
          </w:tcPr>
          <w:p w14:paraId="2B4111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140" w:type="dxa"/>
            <w:tcBorders>
              <w:tl2br w:val="nil"/>
              <w:tr2bl w:val="nil"/>
            </w:tcBorders>
            <w:vAlign w:val="center"/>
          </w:tcPr>
          <w:p w14:paraId="01D069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0.00004L</w:t>
            </w:r>
          </w:p>
        </w:tc>
        <w:tc>
          <w:tcPr>
            <w:tcW w:w="1974" w:type="dxa"/>
            <w:tcBorders>
              <w:tl2br w:val="nil"/>
              <w:tr2bl w:val="nil"/>
            </w:tcBorders>
            <w:vAlign w:val="center"/>
          </w:tcPr>
          <w:p w14:paraId="7EA3D7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0.000</w:t>
            </w:r>
            <w:r>
              <w:rPr>
                <w:rFonts w:hint="default" w:ascii="Times New Roman" w:hAnsi="Times New Roman" w:cs="Times New Roman"/>
                <w:snapToGrid/>
                <w:color w:val="auto"/>
                <w:kern w:val="2"/>
                <w:sz w:val="21"/>
                <w:szCs w:val="21"/>
                <w:u w:val="none" w:color="auto"/>
                <w:lang w:val="en-US" w:eastAsia="zh-CN"/>
              </w:rPr>
              <w:t>1</w:t>
            </w:r>
          </w:p>
        </w:tc>
        <w:tc>
          <w:tcPr>
            <w:tcW w:w="1345" w:type="dxa"/>
            <w:tcBorders>
              <w:tl2br w:val="nil"/>
              <w:tr2bl w:val="nil"/>
            </w:tcBorders>
            <w:vAlign w:val="center"/>
          </w:tcPr>
          <w:p w14:paraId="61FF2A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p>
        </w:tc>
      </w:tr>
      <w:tr w14:paraId="6649FA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7F063D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24DE10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eastAsia="zh-CN"/>
              </w:rPr>
              <w:t>铬(六价)</w:t>
            </w:r>
          </w:p>
        </w:tc>
        <w:tc>
          <w:tcPr>
            <w:tcW w:w="1248" w:type="dxa"/>
            <w:tcBorders>
              <w:tl2br w:val="nil"/>
              <w:tr2bl w:val="nil"/>
            </w:tcBorders>
            <w:vAlign w:val="center"/>
          </w:tcPr>
          <w:p w14:paraId="7CBAC9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255" w:type="dxa"/>
            <w:tcBorders>
              <w:tl2br w:val="nil"/>
              <w:tr2bl w:val="nil"/>
            </w:tcBorders>
            <w:vAlign w:val="center"/>
          </w:tcPr>
          <w:p w14:paraId="419146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140" w:type="dxa"/>
            <w:tcBorders>
              <w:tl2br w:val="nil"/>
              <w:tr2bl w:val="nil"/>
            </w:tcBorders>
            <w:vAlign w:val="center"/>
          </w:tcPr>
          <w:p w14:paraId="4AAE60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974" w:type="dxa"/>
            <w:tcBorders>
              <w:tl2br w:val="nil"/>
              <w:tr2bl w:val="nil"/>
            </w:tcBorders>
            <w:vAlign w:val="center"/>
          </w:tcPr>
          <w:p w14:paraId="65F726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5</w:t>
            </w:r>
          </w:p>
        </w:tc>
        <w:tc>
          <w:tcPr>
            <w:tcW w:w="1345" w:type="dxa"/>
            <w:tcBorders>
              <w:tl2br w:val="nil"/>
              <w:tr2bl w:val="nil"/>
            </w:tcBorders>
            <w:vAlign w:val="center"/>
          </w:tcPr>
          <w:p w14:paraId="3EDF01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2FDEAC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1B5D06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6DDB12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氰化物</w:t>
            </w:r>
          </w:p>
        </w:tc>
        <w:tc>
          <w:tcPr>
            <w:tcW w:w="1248" w:type="dxa"/>
            <w:tcBorders>
              <w:tl2br w:val="nil"/>
              <w:tr2bl w:val="nil"/>
            </w:tcBorders>
            <w:vAlign w:val="center"/>
          </w:tcPr>
          <w:p w14:paraId="19251F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255" w:type="dxa"/>
            <w:tcBorders>
              <w:tl2br w:val="nil"/>
              <w:tr2bl w:val="nil"/>
            </w:tcBorders>
            <w:vAlign w:val="center"/>
          </w:tcPr>
          <w:p w14:paraId="1BD852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140" w:type="dxa"/>
            <w:tcBorders>
              <w:tl2br w:val="nil"/>
              <w:tr2bl w:val="nil"/>
            </w:tcBorders>
            <w:vAlign w:val="center"/>
          </w:tcPr>
          <w:p w14:paraId="469EB9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0.004L</w:t>
            </w:r>
          </w:p>
        </w:tc>
        <w:tc>
          <w:tcPr>
            <w:tcW w:w="1974" w:type="dxa"/>
            <w:tcBorders>
              <w:tl2br w:val="nil"/>
              <w:tr2bl w:val="nil"/>
            </w:tcBorders>
            <w:vAlign w:val="center"/>
          </w:tcPr>
          <w:p w14:paraId="7ABDCA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7F9FEF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2</w:t>
            </w:r>
          </w:p>
        </w:tc>
      </w:tr>
      <w:tr w14:paraId="27DCF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1AC15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1BFFFEA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rPr>
              <w:t>挥发酚</w:t>
            </w:r>
          </w:p>
        </w:tc>
        <w:tc>
          <w:tcPr>
            <w:tcW w:w="1248" w:type="dxa"/>
            <w:tcBorders>
              <w:tl2br w:val="nil"/>
              <w:tr2bl w:val="nil"/>
            </w:tcBorders>
            <w:vAlign w:val="center"/>
          </w:tcPr>
          <w:p w14:paraId="7FEA85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255" w:type="dxa"/>
            <w:tcBorders>
              <w:tl2br w:val="nil"/>
              <w:tr2bl w:val="nil"/>
            </w:tcBorders>
            <w:vAlign w:val="center"/>
          </w:tcPr>
          <w:p w14:paraId="73FCA3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140" w:type="dxa"/>
            <w:tcBorders>
              <w:tl2br w:val="nil"/>
              <w:tr2bl w:val="nil"/>
            </w:tcBorders>
            <w:vAlign w:val="center"/>
          </w:tcPr>
          <w:p w14:paraId="631933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0.0003L</w:t>
            </w:r>
          </w:p>
        </w:tc>
        <w:tc>
          <w:tcPr>
            <w:tcW w:w="1974" w:type="dxa"/>
            <w:tcBorders>
              <w:tl2br w:val="nil"/>
              <w:tr2bl w:val="nil"/>
            </w:tcBorders>
            <w:vAlign w:val="center"/>
          </w:tcPr>
          <w:p w14:paraId="5F130E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0.0</w:t>
            </w:r>
            <w:r>
              <w:rPr>
                <w:rFonts w:hint="default" w:ascii="Times New Roman" w:hAnsi="Times New Roman" w:cs="Times New Roman"/>
                <w:snapToGrid/>
                <w:color w:val="auto"/>
                <w:kern w:val="2"/>
                <w:sz w:val="21"/>
                <w:szCs w:val="21"/>
                <w:u w:val="none" w:color="auto"/>
                <w:lang w:val="en-US" w:eastAsia="zh-CN"/>
              </w:rPr>
              <w:t>05</w:t>
            </w:r>
          </w:p>
        </w:tc>
        <w:tc>
          <w:tcPr>
            <w:tcW w:w="1345" w:type="dxa"/>
            <w:tcBorders>
              <w:tl2br w:val="nil"/>
              <w:tr2bl w:val="nil"/>
            </w:tcBorders>
            <w:vAlign w:val="center"/>
          </w:tcPr>
          <w:p w14:paraId="0C5F18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75</w:t>
            </w:r>
          </w:p>
        </w:tc>
      </w:tr>
      <w:tr w14:paraId="2D9A37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6D59A4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473978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LAS</w:t>
            </w:r>
          </w:p>
        </w:tc>
        <w:tc>
          <w:tcPr>
            <w:tcW w:w="1248" w:type="dxa"/>
            <w:tcBorders>
              <w:tl2br w:val="nil"/>
              <w:tr2bl w:val="nil"/>
            </w:tcBorders>
            <w:vAlign w:val="center"/>
          </w:tcPr>
          <w:p w14:paraId="06C4A2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255" w:type="dxa"/>
            <w:tcBorders>
              <w:tl2br w:val="nil"/>
              <w:tr2bl w:val="nil"/>
            </w:tcBorders>
            <w:vAlign w:val="center"/>
          </w:tcPr>
          <w:p w14:paraId="1F541F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140" w:type="dxa"/>
            <w:tcBorders>
              <w:tl2br w:val="nil"/>
              <w:tr2bl w:val="nil"/>
            </w:tcBorders>
            <w:vAlign w:val="center"/>
          </w:tcPr>
          <w:p w14:paraId="7D1DFE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0.05L</w:t>
            </w:r>
          </w:p>
        </w:tc>
        <w:tc>
          <w:tcPr>
            <w:tcW w:w="1974" w:type="dxa"/>
            <w:tcBorders>
              <w:tl2br w:val="nil"/>
              <w:tr2bl w:val="nil"/>
            </w:tcBorders>
            <w:vAlign w:val="center"/>
          </w:tcPr>
          <w:p w14:paraId="6B5B92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snapToGrid/>
                <w:color w:val="auto"/>
                <w:kern w:val="2"/>
                <w:sz w:val="21"/>
                <w:szCs w:val="21"/>
                <w:u w:val="none" w:color="auto"/>
                <w:lang w:val="en-US" w:eastAsia="zh-CN"/>
              </w:rPr>
              <w:t>0.</w:t>
            </w:r>
            <w:r>
              <w:rPr>
                <w:rFonts w:hint="default" w:ascii="Times New Roman" w:hAnsi="Times New Roman" w:cs="Times New Roman"/>
                <w:snapToGrid/>
                <w:color w:val="auto"/>
                <w:kern w:val="2"/>
                <w:sz w:val="21"/>
                <w:szCs w:val="21"/>
                <w:u w:val="none" w:color="auto"/>
                <w:lang w:val="en-US" w:eastAsia="zh-CN"/>
              </w:rPr>
              <w:t>2</w:t>
            </w:r>
          </w:p>
        </w:tc>
        <w:tc>
          <w:tcPr>
            <w:tcW w:w="1345" w:type="dxa"/>
            <w:tcBorders>
              <w:tl2br w:val="nil"/>
              <w:tr2bl w:val="nil"/>
            </w:tcBorders>
            <w:vAlign w:val="center"/>
          </w:tcPr>
          <w:p w14:paraId="529A6C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0.125</w:t>
            </w:r>
          </w:p>
        </w:tc>
      </w:tr>
      <w:tr w14:paraId="7B1CAA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801" w:type="dxa"/>
            <w:vMerge w:val="continue"/>
            <w:tcBorders>
              <w:tl2br w:val="nil"/>
              <w:tr2bl w:val="nil"/>
            </w:tcBorders>
            <w:vAlign w:val="center"/>
          </w:tcPr>
          <w:p w14:paraId="0BE482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p>
        </w:tc>
        <w:tc>
          <w:tcPr>
            <w:tcW w:w="1583" w:type="dxa"/>
            <w:tcBorders>
              <w:tl2br w:val="nil"/>
              <w:tr2bl w:val="nil"/>
            </w:tcBorders>
            <w:vAlign w:val="center"/>
          </w:tcPr>
          <w:p w14:paraId="3942D6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color w:val="auto"/>
                <w:sz w:val="21"/>
                <w:szCs w:val="21"/>
              </w:rPr>
              <w:t>硫化物</w:t>
            </w:r>
          </w:p>
        </w:tc>
        <w:tc>
          <w:tcPr>
            <w:tcW w:w="1248" w:type="dxa"/>
            <w:tcBorders>
              <w:tl2br w:val="nil"/>
              <w:tr2bl w:val="nil"/>
            </w:tcBorders>
            <w:vAlign w:val="center"/>
          </w:tcPr>
          <w:p w14:paraId="4CBD8F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255" w:type="dxa"/>
            <w:tcBorders>
              <w:tl2br w:val="nil"/>
              <w:tr2bl w:val="nil"/>
            </w:tcBorders>
            <w:vAlign w:val="center"/>
          </w:tcPr>
          <w:p w14:paraId="7A552A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140" w:type="dxa"/>
            <w:tcBorders>
              <w:tl2br w:val="nil"/>
              <w:tr2bl w:val="nil"/>
            </w:tcBorders>
            <w:vAlign w:val="center"/>
          </w:tcPr>
          <w:p w14:paraId="178F2D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z w:val="21"/>
                <w:szCs w:val="21"/>
              </w:rPr>
              <w:t>0.01L</w:t>
            </w:r>
          </w:p>
        </w:tc>
        <w:tc>
          <w:tcPr>
            <w:tcW w:w="1974" w:type="dxa"/>
            <w:tcBorders>
              <w:tl2br w:val="nil"/>
              <w:tr2bl w:val="nil"/>
            </w:tcBorders>
            <w:vAlign w:val="center"/>
          </w:tcPr>
          <w:p w14:paraId="17A279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cs="Times New Roman"/>
                <w:snapToGrid/>
                <w:color w:val="auto"/>
                <w:kern w:val="2"/>
                <w:sz w:val="21"/>
                <w:szCs w:val="21"/>
                <w:u w:val="none" w:color="auto"/>
                <w:lang w:val="en-US" w:eastAsia="zh-CN"/>
              </w:rPr>
              <w:t>0.2</w:t>
            </w:r>
          </w:p>
        </w:tc>
        <w:tc>
          <w:tcPr>
            <w:tcW w:w="1345" w:type="dxa"/>
            <w:tcBorders>
              <w:tl2br w:val="nil"/>
              <w:tr2bl w:val="nil"/>
            </w:tcBorders>
            <w:vAlign w:val="center"/>
          </w:tcPr>
          <w:p w14:paraId="5C8BDB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napToGrid/>
                <w:color w:val="auto"/>
                <w:kern w:val="2"/>
                <w:sz w:val="21"/>
                <w:szCs w:val="21"/>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r>
    </w:tbl>
    <w:p w14:paraId="1CE6939E">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根据</w:t>
      </w:r>
      <w:r>
        <w:rPr>
          <w:rFonts w:hint="default" w:ascii="Times New Roman" w:hAnsi="Times New Roman" w:cs="Times New Roman"/>
          <w:color w:val="auto"/>
          <w:u w:val="none" w:color="auto"/>
          <w:lang w:val="en-US" w:eastAsia="zh-CN"/>
        </w:rPr>
        <w:t>上述</w:t>
      </w:r>
      <w:r>
        <w:rPr>
          <w:rFonts w:hint="default" w:ascii="Times New Roman" w:hAnsi="Times New Roman" w:cs="Times New Roman"/>
          <w:color w:val="auto"/>
          <w:u w:val="none" w:color="auto"/>
        </w:rPr>
        <w:t>常规监测数据结果可知，</w:t>
      </w:r>
      <w:r>
        <w:rPr>
          <w:rFonts w:hint="default" w:ascii="Times New Roman" w:hAnsi="Times New Roman" w:cs="Times New Roman"/>
          <w:color w:val="auto"/>
          <w:u w:val="none" w:color="auto"/>
          <w:lang w:val="en-US" w:eastAsia="zh-CN"/>
        </w:rPr>
        <w:t>廊洞水库大坝上游各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Ⅲ</w:t>
      </w:r>
      <w:r>
        <w:rPr>
          <w:rFonts w:hint="default" w:ascii="Times New Roman" w:hAnsi="Times New Roman" w:cs="Times New Roman"/>
          <w:color w:val="auto"/>
          <w:u w:val="none" w:color="auto"/>
        </w:rPr>
        <w:t>类</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W2大坝下游500m处</w:t>
      </w:r>
      <w:r>
        <w:rPr>
          <w:rFonts w:hint="eastAsia" w:cs="Times New Roman"/>
          <w:color w:val="auto"/>
          <w:u w:val="none" w:color="auto"/>
          <w:lang w:val="en-US" w:eastAsia="zh-CN"/>
        </w:rPr>
        <w:t>监测断面</w:t>
      </w:r>
      <w:r>
        <w:rPr>
          <w:rFonts w:hint="default" w:ascii="Times New Roman" w:hAnsi="Times New Roman" w:cs="Times New Roman"/>
          <w:color w:val="auto"/>
          <w:u w:val="none" w:color="auto"/>
          <w:lang w:val="en-US" w:eastAsia="zh-CN"/>
        </w:rPr>
        <w:t>除总氮外，</w:t>
      </w:r>
      <w:r>
        <w:rPr>
          <w:rFonts w:hint="eastAsia" w:cs="Times New Roman"/>
          <w:color w:val="auto"/>
          <w:u w:val="none" w:color="auto"/>
          <w:lang w:val="en-US" w:eastAsia="zh-CN"/>
        </w:rPr>
        <w:t>其余</w:t>
      </w:r>
      <w:r>
        <w:rPr>
          <w:rFonts w:hint="default" w:ascii="Times New Roman" w:hAnsi="Times New Roman" w:cs="Times New Roman"/>
          <w:color w:val="auto"/>
          <w:u w:val="none" w:color="auto"/>
          <w:lang w:val="en-US" w:eastAsia="zh-CN"/>
        </w:rPr>
        <w:t>各</w:t>
      </w:r>
      <w:r>
        <w:rPr>
          <w:rFonts w:hint="default" w:ascii="Times New Roman" w:hAnsi="Times New Roman" w:cs="Times New Roman"/>
          <w:color w:val="auto"/>
          <w:u w:val="none" w:color="auto"/>
        </w:rPr>
        <w:t>水质基本项目检测值</w:t>
      </w:r>
      <w:r>
        <w:rPr>
          <w:rFonts w:hint="eastAsia" w:cs="Times New Roman"/>
          <w:color w:val="auto"/>
          <w:u w:val="none" w:color="auto"/>
          <w:lang w:val="en-US" w:eastAsia="zh-CN"/>
        </w:rPr>
        <w:t>均</w:t>
      </w:r>
      <w:r>
        <w:rPr>
          <w:rFonts w:hint="default" w:ascii="Times New Roman" w:hAnsi="Times New Roman" w:cs="Times New Roman"/>
          <w:color w:val="auto"/>
          <w:u w:val="none" w:color="auto"/>
        </w:rPr>
        <w:t>满足《地表水环境质量标准》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GB3838-2002</w:t>
      </w:r>
      <w:r>
        <w:rPr>
          <w:rFonts w:hint="default" w:ascii="Times New Roman" w:hAnsi="Times New Roman" w:cs="Times New Roman"/>
          <w:color w:val="auto"/>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Ⅲ类</w:t>
      </w:r>
      <w:r>
        <w:rPr>
          <w:rFonts w:hint="default" w:ascii="Times New Roman" w:hAnsi="Times New Roman" w:cs="Times New Roman"/>
          <w:color w:val="auto"/>
          <w:u w:val="none" w:color="auto"/>
        </w:rPr>
        <w:t>水质</w:t>
      </w:r>
      <w:r>
        <w:rPr>
          <w:rFonts w:hint="eastAsia" w:cs="Times New Roman"/>
          <w:color w:val="auto"/>
          <w:u w:val="none" w:color="auto"/>
          <w:lang w:eastAsia="zh-CN"/>
        </w:rPr>
        <w:t>。</w:t>
      </w:r>
      <w:r>
        <w:rPr>
          <w:rFonts w:hint="eastAsia" w:cs="Times New Roman"/>
          <w:color w:val="auto"/>
          <w:u w:val="none" w:color="auto"/>
          <w:lang w:val="en-US" w:eastAsia="zh-CN"/>
        </w:rPr>
        <w:t>总氮超标原因可能是存在水库周边居民生活污水汇入的影响，另外监测时间处于低温季节（如冬季），会导致总氮积累</w:t>
      </w:r>
      <w:r>
        <w:rPr>
          <w:rFonts w:hint="default" w:ascii="Times New Roman" w:hAnsi="Times New Roman" w:cs="Times New Roman"/>
          <w:color w:val="auto"/>
          <w:u w:val="none" w:color="auto"/>
        </w:rPr>
        <w:t>。</w:t>
      </w:r>
      <w:bookmarkStart w:id="190" w:name="_Toc21478"/>
      <w:bookmarkStart w:id="191" w:name="_Toc19083"/>
      <w:bookmarkStart w:id="192" w:name="_Toc494233754"/>
      <w:r>
        <w:rPr>
          <w:rFonts w:hint="default" w:ascii="Times New Roman" w:hAnsi="Times New Roman" w:cs="Times New Roman"/>
          <w:color w:val="auto"/>
          <w:u w:val="none" w:color="auto"/>
        </w:rPr>
        <w:t>根据《地表水环境质量评价方法（试行）》（环办[2011]22号）单因子评价法进行评价，以《地表水环境质量标准》（GB3838-2002）中表1的21项指标计，其中水温、总氮不参与评价，为参考指标。</w:t>
      </w:r>
    </w:p>
    <w:p w14:paraId="2723929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地下水质量现状监测和评价</w:t>
      </w:r>
      <w:bookmarkEnd w:id="190"/>
      <w:bookmarkEnd w:id="191"/>
      <w:bookmarkEnd w:id="192"/>
    </w:p>
    <w:p w14:paraId="1870905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为了解区域地下水环境质量状况，项目委托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rPr>
        <w:t>对项目周边地下水井进行现状监测。具体如下</w:t>
      </w:r>
      <w:r>
        <w:rPr>
          <w:rFonts w:hint="eastAsia" w:cs="Times New Roman"/>
          <w:color w:val="auto"/>
          <w:u w:val="none" w:color="auto"/>
          <w:lang w:eastAsia="zh-CN"/>
        </w:rPr>
        <w:t>：</w:t>
      </w:r>
    </w:p>
    <w:p w14:paraId="484309A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点位布设</w:t>
      </w:r>
    </w:p>
    <w:p w14:paraId="2F0334D9">
      <w:pPr>
        <w:pStyle w:val="16"/>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地下水环境》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HJ610-2016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，8.3.3.3现状监测点的布设原则，三级评价项目潜水含水层水质监测点应不少于3个，可能受建设项目影响且具有饮用水开发利用价值的含水层1</w:t>
      </w:r>
      <w:r>
        <w:rPr>
          <w:rFonts w:hint="eastAsia" w:cs="Times New Roman"/>
          <w:color w:val="auto"/>
          <w:u w:val="none" w:color="auto"/>
          <w:lang w:val="en-US" w:eastAsia="zh-CN"/>
        </w:rPr>
        <w:t>~</w:t>
      </w:r>
      <w:r>
        <w:rPr>
          <w:rFonts w:hint="default" w:ascii="Times New Roman" w:hAnsi="Times New Roman" w:cs="Times New Roman"/>
          <w:color w:val="auto"/>
          <w:u w:val="none" w:color="auto"/>
        </w:rPr>
        <w:t>2个，原则上建设项目场地上游及下游影响区的地下水水质监测点各不得少于1个。</w:t>
      </w:r>
    </w:p>
    <w:p w14:paraId="0C1AEB5D">
      <w:pPr>
        <w:pStyle w:val="16"/>
        <w:ind w:firstLine="480"/>
        <w:rPr>
          <w:rFonts w:hint="default" w:ascii="Times New Roman" w:hAnsi="Times New Roman" w:eastAsia="宋体" w:cs="Times New Roman"/>
          <w:color w:val="auto"/>
          <w:u w:val="none" w:color="auto"/>
        </w:rPr>
      </w:pPr>
      <w:r>
        <w:rPr>
          <w:rFonts w:hint="eastAsia" w:cs="Times New Roman"/>
          <w:color w:val="auto"/>
          <w:u w:val="none" w:color="auto"/>
          <w:lang w:eastAsia="zh-CN"/>
        </w:rPr>
        <w:t>根据</w:t>
      </w:r>
      <w:r>
        <w:rPr>
          <w:rFonts w:hint="default" w:ascii="Times New Roman" w:hAnsi="Times New Roman" w:eastAsia="宋体" w:cs="Times New Roman"/>
          <w:color w:val="auto"/>
          <w:u w:val="none" w:color="auto"/>
        </w:rPr>
        <w:t>调查，项目区的地下水为西北向东南流向，本次在项目西侧场地上游</w:t>
      </w:r>
      <w:r>
        <w:rPr>
          <w:rFonts w:hint="default" w:ascii="Times New Roman" w:hAnsi="Times New Roman" w:cs="Times New Roman"/>
          <w:color w:val="auto"/>
          <w:u w:val="none" w:color="auto"/>
          <w:lang w:val="en-US" w:eastAsia="zh-CN"/>
        </w:rPr>
        <w:t>黄土岌村</w:t>
      </w:r>
      <w:r>
        <w:rPr>
          <w:rFonts w:hint="default" w:ascii="Times New Roman" w:hAnsi="Times New Roman" w:eastAsia="宋体" w:cs="Times New Roman"/>
          <w:color w:val="auto"/>
          <w:u w:val="none" w:color="auto"/>
        </w:rPr>
        <w:t>居民水井设置一个地下水监测点，下游</w:t>
      </w:r>
      <w:r>
        <w:rPr>
          <w:rFonts w:hint="default" w:ascii="Times New Roman" w:hAnsi="Times New Roman" w:cs="Times New Roman"/>
          <w:color w:val="auto"/>
          <w:u w:val="none" w:color="auto"/>
          <w:lang w:val="en-US" w:eastAsia="zh-CN"/>
        </w:rPr>
        <w:t>廊洞村</w:t>
      </w:r>
      <w:r>
        <w:rPr>
          <w:rFonts w:hint="default" w:ascii="Times New Roman" w:hAnsi="Times New Roman" w:eastAsia="宋体" w:cs="Times New Roman"/>
          <w:color w:val="auto"/>
          <w:u w:val="none" w:color="auto"/>
        </w:rPr>
        <w:t>居民水井、</w:t>
      </w:r>
      <w:r>
        <w:rPr>
          <w:rFonts w:hint="default" w:ascii="Times New Roman" w:hAnsi="Times New Roman" w:cs="Times New Roman"/>
          <w:color w:val="auto"/>
          <w:u w:val="none" w:color="auto"/>
          <w:lang w:val="en-US" w:eastAsia="zh-CN"/>
        </w:rPr>
        <w:t>扁担坳</w:t>
      </w:r>
      <w:r>
        <w:rPr>
          <w:rFonts w:hint="default" w:ascii="Times New Roman" w:hAnsi="Times New Roman" w:eastAsia="宋体" w:cs="Times New Roman"/>
          <w:color w:val="auto"/>
          <w:u w:val="none" w:color="auto"/>
        </w:rPr>
        <w:t>居民水井</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具有饮用水开发利用价值</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u w:val="none" w:color="auto"/>
        </w:rPr>
        <w:t>分别设置监测点，共计3个潜水含水层水质监测点，</w:t>
      </w:r>
      <w:r>
        <w:rPr>
          <w:rFonts w:hint="default" w:ascii="Times New Roman" w:hAnsi="Times New Roman" w:cs="Times New Roman"/>
          <w:color w:val="auto"/>
          <w:u w:val="none" w:color="auto"/>
          <w:lang w:val="en-US" w:eastAsia="zh-CN"/>
        </w:rPr>
        <w:t>黄土岌村</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廊洞村</w:t>
      </w:r>
      <w:r>
        <w:rPr>
          <w:rFonts w:hint="default" w:ascii="Times New Roman" w:hAnsi="Times New Roman" w:eastAsia="宋体" w:cs="Times New Roman"/>
          <w:color w:val="auto"/>
          <w:u w:val="none" w:color="auto"/>
          <w:lang w:val="en-US" w:eastAsia="zh-CN"/>
        </w:rPr>
        <w:t>、</w:t>
      </w:r>
      <w:r>
        <w:rPr>
          <w:rFonts w:hint="default" w:ascii="Times New Roman" w:hAnsi="Times New Roman" w:cs="Times New Roman"/>
          <w:color w:val="auto"/>
          <w:u w:val="none" w:color="auto"/>
          <w:lang w:val="en-US" w:eastAsia="zh-CN"/>
        </w:rPr>
        <w:t>扁担坳</w:t>
      </w:r>
      <w:r>
        <w:rPr>
          <w:rFonts w:hint="default" w:ascii="Times New Roman" w:hAnsi="Times New Roman" w:eastAsia="宋体" w:cs="Times New Roman"/>
          <w:color w:val="auto"/>
          <w:u w:val="none" w:color="auto"/>
          <w:lang w:val="en-US" w:eastAsia="zh-CN"/>
        </w:rPr>
        <w:t>分别设置两个地下水水位</w:t>
      </w:r>
      <w:r>
        <w:rPr>
          <w:rFonts w:hint="default" w:ascii="Times New Roman" w:hAnsi="Times New Roman" w:cs="Times New Roman"/>
          <w:color w:val="auto"/>
          <w:u w:val="none" w:color="auto"/>
          <w:lang w:val="en-US" w:eastAsia="zh-CN"/>
        </w:rPr>
        <w:t>监测</w:t>
      </w:r>
      <w:r>
        <w:rPr>
          <w:rFonts w:hint="default" w:ascii="Times New Roman" w:hAnsi="Times New Roman" w:eastAsia="宋体" w:cs="Times New Roman"/>
          <w:color w:val="auto"/>
          <w:u w:val="none" w:color="auto"/>
          <w:lang w:val="en-US" w:eastAsia="zh-CN"/>
        </w:rPr>
        <w:t>点，合计六个地下水位监测点，</w:t>
      </w:r>
      <w:r>
        <w:rPr>
          <w:rFonts w:hint="default" w:ascii="Times New Roman" w:hAnsi="Times New Roman" w:eastAsia="宋体" w:cs="Times New Roman"/>
          <w:color w:val="auto"/>
          <w:u w:val="none" w:color="auto"/>
        </w:rPr>
        <w:t>地下水监测点个数及布设原则符合导则要求。</w:t>
      </w:r>
    </w:p>
    <w:p w14:paraId="5AA360A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地下水采样点布设详见表</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val="en-US" w:eastAsia="zh-CN"/>
        </w:rPr>
        <w:t>5</w:t>
      </w:r>
      <w:r>
        <w:rPr>
          <w:rFonts w:hint="default" w:ascii="Times New Roman" w:hAnsi="Times New Roman" w:cs="Times New Roman"/>
          <w:color w:val="auto"/>
          <w:u w:val="none" w:color="auto"/>
        </w:rPr>
        <w:t>。</w:t>
      </w:r>
    </w:p>
    <w:p w14:paraId="3EBFBFF7">
      <w:pPr>
        <w:spacing w:line="400" w:lineRule="exact"/>
        <w:ind w:firstLine="422"/>
        <w:jc w:val="center"/>
        <w:rPr>
          <w:rFonts w:hint="default" w:ascii="Times New Roman" w:hAnsi="Times New Roman" w:cs="Times New Roman"/>
          <w:b/>
          <w:color w:val="auto"/>
          <w:sz w:val="21"/>
          <w:szCs w:val="21"/>
          <w:u w:val="none" w:color="auto"/>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5  </w:t>
      </w:r>
      <w:r>
        <w:rPr>
          <w:rFonts w:hint="default" w:ascii="Times New Roman" w:hAnsi="Times New Roman" w:cs="Times New Roman"/>
          <w:b/>
          <w:color w:val="auto"/>
          <w:sz w:val="21"/>
          <w:szCs w:val="21"/>
          <w:u w:val="none" w:color="auto"/>
        </w:rPr>
        <w:t>地下水监测断点设置表</w:t>
      </w:r>
    </w:p>
    <w:tbl>
      <w:tblPr>
        <w:tblStyle w:val="37"/>
        <w:tblW w:w="853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88"/>
        <w:gridCol w:w="2558"/>
        <w:gridCol w:w="4785"/>
      </w:tblGrid>
      <w:tr w14:paraId="2E62B2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46" w:type="dxa"/>
            <w:gridSpan w:val="2"/>
            <w:tcBorders>
              <w:right w:val="single" w:color="000000" w:sz="6" w:space="0"/>
              <w:tl2br w:val="nil"/>
              <w:tr2bl w:val="nil"/>
            </w:tcBorders>
            <w:vAlign w:val="center"/>
          </w:tcPr>
          <w:p w14:paraId="555896CE">
            <w:pPr>
              <w:pStyle w:val="54"/>
              <w:widowControl/>
              <w:tabs>
                <w:tab w:val="left" w:pos="2422"/>
              </w:tabs>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监测点位</w:t>
            </w:r>
          </w:p>
        </w:tc>
        <w:tc>
          <w:tcPr>
            <w:tcW w:w="4785" w:type="dxa"/>
            <w:tcBorders>
              <w:tl2br w:val="nil"/>
              <w:tr2bl w:val="nil"/>
            </w:tcBorders>
            <w:vAlign w:val="center"/>
          </w:tcPr>
          <w:p w14:paraId="1BDD19A5">
            <w:pPr>
              <w:pStyle w:val="54"/>
              <w:widowControl/>
              <w:tabs>
                <w:tab w:val="left" w:pos="2422"/>
              </w:tabs>
              <w:spacing w:line="240" w:lineRule="auto"/>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lang w:val="en-US" w:eastAsia="zh-CN"/>
              </w:rPr>
              <w:t>监测因子</w:t>
            </w:r>
          </w:p>
        </w:tc>
      </w:tr>
      <w:tr w14:paraId="33B8E7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47492A8">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D1</w:t>
            </w:r>
          </w:p>
        </w:tc>
        <w:tc>
          <w:tcPr>
            <w:tcW w:w="2558" w:type="dxa"/>
            <w:tcBorders>
              <w:right w:val="single" w:color="000000" w:sz="6" w:space="0"/>
              <w:tl2br w:val="nil"/>
              <w:tr2bl w:val="nil"/>
            </w:tcBorders>
            <w:vAlign w:val="center"/>
          </w:tcPr>
          <w:p w14:paraId="4BB82222">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黄土岌村居民</w:t>
            </w:r>
            <w:r>
              <w:rPr>
                <w:rFonts w:hint="default" w:ascii="Times New Roman" w:hAnsi="Times New Roman" w:cs="Times New Roman" w:eastAsiaTheme="minorEastAsia"/>
                <w:color w:val="auto"/>
                <w:sz w:val="21"/>
                <w:szCs w:val="21"/>
                <w:highlight w:val="none"/>
                <w:u w:val="none" w:color="auto"/>
                <w:lang w:val="en-US" w:eastAsia="zh-CN"/>
              </w:rPr>
              <w:t>水井</w:t>
            </w:r>
          </w:p>
        </w:tc>
        <w:tc>
          <w:tcPr>
            <w:tcW w:w="4785" w:type="dxa"/>
            <w:vMerge w:val="restart"/>
            <w:tcBorders>
              <w:tl2br w:val="nil"/>
              <w:tr2bl w:val="nil"/>
            </w:tcBorders>
            <w:vAlign w:val="center"/>
          </w:tcPr>
          <w:p w14:paraId="11BC3B50">
            <w:pPr>
              <w:pStyle w:val="54"/>
              <w:bidi w:val="0"/>
              <w:rPr>
                <w:rFonts w:hint="default" w:ascii="Times New Roman" w:hAnsi="Times New Roman" w:eastAsia="宋体" w:cs="Times New Roman"/>
                <w:color w:val="auto"/>
                <w:szCs w:val="21"/>
                <w:u w:val="none" w:color="auto"/>
                <w:lang w:val="en-US" w:eastAsia="zh-CN"/>
              </w:rPr>
            </w:pPr>
            <w:r>
              <w:rPr>
                <w:rFonts w:hint="default"/>
                <w:lang w:val="en-US" w:eastAsia="zh-CN"/>
              </w:rPr>
              <w:t>水位、K</w:t>
            </w:r>
            <w:r>
              <w:rPr>
                <w:rFonts w:hint="default"/>
                <w:vertAlign w:val="superscript"/>
                <w:lang w:val="en-US" w:eastAsia="zh-CN"/>
              </w:rPr>
              <w:t>+</w:t>
            </w:r>
            <w:r>
              <w:rPr>
                <w:rFonts w:hint="default"/>
                <w:lang w:val="en-US" w:eastAsia="zh-CN"/>
              </w:rPr>
              <w:t>、Na+、Ca+、Mg+、CO32-、HCO3-、Cl-、SO42-、pH值、总硬度、耗氧量、氨氮、汞、铬(六价)、铅、铁、锰、溶解性总固体、总大肠菌群、水温</w:t>
            </w:r>
          </w:p>
        </w:tc>
      </w:tr>
      <w:tr w14:paraId="608808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60534A1">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D2</w:t>
            </w:r>
          </w:p>
        </w:tc>
        <w:tc>
          <w:tcPr>
            <w:tcW w:w="2558" w:type="dxa"/>
            <w:tcBorders>
              <w:tl2br w:val="nil"/>
              <w:tr2bl w:val="nil"/>
            </w:tcBorders>
            <w:vAlign w:val="center"/>
          </w:tcPr>
          <w:p w14:paraId="4A49D548">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廊洞村居民水井</w:t>
            </w:r>
          </w:p>
        </w:tc>
        <w:tc>
          <w:tcPr>
            <w:tcW w:w="4785" w:type="dxa"/>
            <w:vMerge w:val="continue"/>
            <w:tcBorders>
              <w:tl2br w:val="nil"/>
              <w:tr2bl w:val="nil"/>
            </w:tcBorders>
            <w:vAlign w:val="center"/>
          </w:tcPr>
          <w:p w14:paraId="35444088">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5AD5C7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3309F2F0">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D3</w:t>
            </w:r>
          </w:p>
        </w:tc>
        <w:tc>
          <w:tcPr>
            <w:tcW w:w="2558" w:type="dxa"/>
            <w:tcBorders>
              <w:tl2br w:val="nil"/>
              <w:tr2bl w:val="nil"/>
            </w:tcBorders>
            <w:vAlign w:val="center"/>
          </w:tcPr>
          <w:p w14:paraId="38662977">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扁担坳</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tl2br w:val="nil"/>
              <w:tr2bl w:val="nil"/>
            </w:tcBorders>
            <w:vAlign w:val="center"/>
          </w:tcPr>
          <w:p w14:paraId="0B62D157">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3AEAA7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3DFF752E">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4</w:t>
            </w:r>
          </w:p>
        </w:tc>
        <w:tc>
          <w:tcPr>
            <w:tcW w:w="2558" w:type="dxa"/>
            <w:tcBorders>
              <w:tl2br w:val="nil"/>
              <w:tr2bl w:val="nil"/>
            </w:tcBorders>
            <w:vAlign w:val="center"/>
          </w:tcPr>
          <w:p w14:paraId="6A10F43F">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黄土岌村</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u w:val="none" w:color="auto"/>
                <w:vertAlign w:val="baseline"/>
                <w:lang w:val="en-US" w:eastAsia="zh-CN"/>
              </w:rPr>
              <w:t>居民</w:t>
            </w:r>
            <w:r>
              <w:rPr>
                <w:rFonts w:hint="default" w:ascii="Times New Roman" w:hAnsi="Times New Roman" w:cs="Times New Roman" w:eastAsiaTheme="minorEastAsia"/>
                <w:color w:val="auto"/>
                <w:sz w:val="21"/>
                <w:szCs w:val="21"/>
                <w:highlight w:val="none"/>
                <w:u w:val="none" w:color="auto"/>
                <w:lang w:val="en-US" w:eastAsia="zh-CN"/>
              </w:rPr>
              <w:t>水井</w:t>
            </w:r>
          </w:p>
        </w:tc>
        <w:tc>
          <w:tcPr>
            <w:tcW w:w="4785" w:type="dxa"/>
            <w:vMerge w:val="restart"/>
            <w:tcBorders>
              <w:tl2br w:val="nil"/>
              <w:tr2bl w:val="nil"/>
            </w:tcBorders>
            <w:vAlign w:val="center"/>
          </w:tcPr>
          <w:p w14:paraId="75E8A64A">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水位</w:t>
            </w:r>
          </w:p>
        </w:tc>
      </w:tr>
      <w:tr w14:paraId="690916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16B183A">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5</w:t>
            </w:r>
          </w:p>
        </w:tc>
        <w:tc>
          <w:tcPr>
            <w:tcW w:w="2558" w:type="dxa"/>
            <w:tcBorders>
              <w:tl2br w:val="nil"/>
              <w:tr2bl w:val="nil"/>
            </w:tcBorders>
            <w:vAlign w:val="center"/>
          </w:tcPr>
          <w:p w14:paraId="14604B61">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u w:val="none" w:color="auto"/>
                <w:vertAlign w:val="baseline"/>
                <w:lang w:val="en-US" w:eastAsia="zh-CN"/>
              </w:rPr>
              <w:t>扁担坳</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tl2br w:val="nil"/>
              <w:tr2bl w:val="nil"/>
            </w:tcBorders>
            <w:vAlign w:val="center"/>
          </w:tcPr>
          <w:p w14:paraId="431BB8A7">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r w14:paraId="548AA1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88" w:type="dxa"/>
            <w:tcBorders>
              <w:tl2br w:val="nil"/>
              <w:tr2bl w:val="nil"/>
            </w:tcBorders>
            <w:vAlign w:val="center"/>
          </w:tcPr>
          <w:p w14:paraId="7979DD59">
            <w:pPr>
              <w:pStyle w:val="54"/>
              <w:widowControl/>
              <w:tabs>
                <w:tab w:val="left" w:pos="2422"/>
              </w:tabs>
              <w:spacing w:line="240" w:lineRule="auto"/>
              <w:ind w:firstLine="0" w:firstLineChars="0"/>
              <w:jc w:val="center"/>
              <w:rPr>
                <w:rFonts w:hint="default" w:ascii="Times New Roman" w:hAnsi="Times New Roman" w:cs="Times New Roman" w:eastAsiaTheme="minorEastAsia"/>
                <w:color w:val="auto"/>
                <w:sz w:val="21"/>
                <w:szCs w:val="21"/>
                <w:highlight w:val="none"/>
                <w:u w:val="none" w:color="auto"/>
                <w:lang w:val="en-US" w:eastAsia="zh-CN"/>
              </w:rPr>
            </w:pPr>
            <w:r>
              <w:rPr>
                <w:rFonts w:hint="default" w:ascii="Times New Roman" w:hAnsi="Times New Roman" w:cs="Times New Roman" w:eastAsiaTheme="minorEastAsia"/>
                <w:color w:val="auto"/>
                <w:sz w:val="21"/>
                <w:szCs w:val="21"/>
                <w:highlight w:val="none"/>
                <w:u w:val="none" w:color="auto"/>
                <w:lang w:val="en-US" w:eastAsia="zh-CN"/>
              </w:rPr>
              <w:t>D</w:t>
            </w:r>
            <w:r>
              <w:rPr>
                <w:rFonts w:hint="eastAsia" w:cs="Times New Roman" w:eastAsiaTheme="minorEastAsia"/>
                <w:color w:val="auto"/>
                <w:sz w:val="21"/>
                <w:szCs w:val="21"/>
                <w:highlight w:val="none"/>
                <w:u w:val="none" w:color="auto"/>
                <w:lang w:val="en-US" w:eastAsia="zh-CN"/>
              </w:rPr>
              <w:t>6</w:t>
            </w:r>
          </w:p>
        </w:tc>
        <w:tc>
          <w:tcPr>
            <w:tcW w:w="2558" w:type="dxa"/>
            <w:tcBorders>
              <w:tl2br w:val="nil"/>
              <w:tr2bl w:val="nil"/>
            </w:tcBorders>
            <w:vAlign w:val="center"/>
          </w:tcPr>
          <w:p w14:paraId="4F43CF7E">
            <w:pPr>
              <w:pStyle w:val="54"/>
              <w:widowControl/>
              <w:tabs>
                <w:tab w:val="left" w:pos="2422"/>
              </w:tabs>
              <w:spacing w:line="240" w:lineRule="auto"/>
              <w:ind w:left="0" w:leftChars="0" w:firstLine="0" w:firstLineChars="0"/>
              <w:jc w:val="center"/>
              <w:rPr>
                <w:rFonts w:hint="default" w:ascii="Times New Roman" w:hAnsi="Times New Roman" w:cs="Times New Roman" w:eastAsiaTheme="minorEastAsia"/>
                <w:color w:val="auto"/>
                <w:sz w:val="21"/>
                <w:szCs w:val="21"/>
                <w:u w:val="none" w:color="auto"/>
                <w:vertAlign w:val="baseline"/>
                <w:lang w:val="en-US" w:eastAsia="zh-CN"/>
              </w:rPr>
            </w:pPr>
            <w:r>
              <w:rPr>
                <w:rFonts w:hint="default" w:ascii="Times New Roman" w:hAnsi="Times New Roman" w:cs="Times New Roman" w:eastAsiaTheme="minorEastAsia"/>
                <w:color w:val="auto"/>
                <w:sz w:val="21"/>
                <w:szCs w:val="21"/>
                <w:highlight w:val="none"/>
                <w:u w:val="none" w:color="auto"/>
                <w:lang w:val="en-US" w:eastAsia="zh-CN"/>
              </w:rPr>
              <w:t>廊洞村</w:t>
            </w:r>
            <w:r>
              <w:rPr>
                <w:rFonts w:hint="eastAsia" w:ascii="宋体" w:hAnsi="宋体" w:eastAsia="宋体" w:cs="宋体"/>
                <w:i w:val="0"/>
                <w:iCs w:val="0"/>
                <w:color w:val="000000"/>
                <w:kern w:val="0"/>
                <w:sz w:val="20"/>
                <w:szCs w:val="20"/>
                <w:u w:val="none"/>
                <w:lang w:val="en-US" w:eastAsia="zh-CN" w:bidi="ar"/>
              </w:rPr>
              <w:t>2号</w:t>
            </w:r>
            <w:r>
              <w:rPr>
                <w:rFonts w:hint="default" w:ascii="Times New Roman" w:hAnsi="Times New Roman" w:cs="Times New Roman" w:eastAsiaTheme="minorEastAsia"/>
                <w:color w:val="auto"/>
                <w:sz w:val="21"/>
                <w:szCs w:val="21"/>
                <w:highlight w:val="none"/>
                <w:u w:val="none" w:color="auto"/>
                <w:lang w:val="en-US" w:eastAsia="zh-CN"/>
              </w:rPr>
              <w:t>居民水井</w:t>
            </w:r>
          </w:p>
        </w:tc>
        <w:tc>
          <w:tcPr>
            <w:tcW w:w="4785" w:type="dxa"/>
            <w:vMerge w:val="continue"/>
            <w:tcBorders>
              <w:bottom w:val="single" w:color="auto" w:sz="4" w:space="0"/>
              <w:tl2br w:val="nil"/>
              <w:tr2bl w:val="nil"/>
            </w:tcBorders>
            <w:vAlign w:val="center"/>
          </w:tcPr>
          <w:p w14:paraId="2566F74C">
            <w:pPr>
              <w:pStyle w:val="54"/>
              <w:widowControl/>
              <w:tabs>
                <w:tab w:val="left" w:pos="2422"/>
              </w:tabs>
              <w:spacing w:line="240" w:lineRule="auto"/>
              <w:jc w:val="center"/>
              <w:rPr>
                <w:rFonts w:hint="default" w:ascii="Times New Roman" w:hAnsi="Times New Roman" w:cs="Times New Roman"/>
                <w:color w:val="auto"/>
                <w:sz w:val="21"/>
                <w:szCs w:val="21"/>
                <w:u w:val="none" w:color="auto"/>
              </w:rPr>
            </w:pPr>
          </w:p>
        </w:tc>
      </w:tr>
    </w:tbl>
    <w:p w14:paraId="5676888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highlight w:val="none"/>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eastAsia="宋体" w:cs="Times New Roman"/>
          <w:color w:val="auto"/>
          <w:sz w:val="24"/>
          <w:szCs w:val="24"/>
          <w:u w:val="none" w:color="auto"/>
        </w:rPr>
        <w:t>监测项目</w:t>
      </w:r>
    </w:p>
    <w:p w14:paraId="0F38B57F">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vertAlign w:val="baseline"/>
          <w:lang w:val="en-US" w:eastAsia="zh-CN"/>
        </w:rPr>
        <w:t>K</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、Na</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、Ca</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、Mg</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、CO</w:t>
      </w:r>
      <w:r>
        <w:rPr>
          <w:rFonts w:hint="default" w:ascii="Times New Roman" w:hAnsi="Times New Roman" w:eastAsia="宋体" w:cs="Times New Roman"/>
          <w:color w:val="auto"/>
          <w:sz w:val="24"/>
          <w:szCs w:val="24"/>
          <w:u w:val="none" w:color="auto"/>
          <w:vertAlign w:val="subscript"/>
          <w:lang w:val="en-US" w:eastAsia="zh-CN"/>
        </w:rPr>
        <w:t>3</w:t>
      </w:r>
      <w:r>
        <w:rPr>
          <w:rFonts w:hint="default" w:ascii="Times New Roman" w:hAnsi="Times New Roman" w:eastAsia="宋体" w:cs="Times New Roman"/>
          <w:color w:val="auto"/>
          <w:sz w:val="24"/>
          <w:szCs w:val="24"/>
          <w:u w:val="none" w:color="auto"/>
          <w:vertAlign w:val="superscript"/>
          <w:lang w:val="en-US" w:eastAsia="zh-CN"/>
        </w:rPr>
        <w:t>2-</w:t>
      </w:r>
      <w:r>
        <w:rPr>
          <w:rFonts w:hint="default" w:ascii="Times New Roman" w:hAnsi="Times New Roman" w:eastAsia="宋体" w:cs="Times New Roman"/>
          <w:color w:val="auto"/>
          <w:sz w:val="24"/>
          <w:szCs w:val="24"/>
          <w:u w:val="none" w:color="auto"/>
          <w:vertAlign w:val="baseline"/>
          <w:lang w:val="en-US" w:eastAsia="zh-CN"/>
        </w:rPr>
        <w:t>、HCO</w:t>
      </w:r>
      <w:r>
        <w:rPr>
          <w:rFonts w:hint="default" w:ascii="Times New Roman" w:hAnsi="Times New Roman" w:eastAsia="宋体" w:cs="Times New Roman"/>
          <w:color w:val="auto"/>
          <w:sz w:val="24"/>
          <w:szCs w:val="24"/>
          <w:u w:val="none" w:color="auto"/>
          <w:vertAlign w:val="subscript"/>
          <w:lang w:val="en-US" w:eastAsia="zh-CN"/>
        </w:rPr>
        <w:t>3</w:t>
      </w:r>
      <w:r>
        <w:rPr>
          <w:rFonts w:hint="default" w:ascii="Times New Roman" w:hAnsi="Times New Roman" w:eastAsia="宋体" w:cs="Times New Roman"/>
          <w:color w:val="auto"/>
          <w:sz w:val="24"/>
          <w:szCs w:val="24"/>
          <w:u w:val="none" w:color="auto"/>
          <w:vertAlign w:val="baseline"/>
          <w:lang w:val="en-US" w:eastAsia="zh-CN"/>
        </w:rPr>
        <w:t>-、Cl</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、SO4</w:t>
      </w:r>
      <w:r>
        <w:rPr>
          <w:rFonts w:hint="default" w:ascii="Times New Roman" w:hAnsi="Times New Roman" w:eastAsia="宋体" w:cs="Times New Roman"/>
          <w:color w:val="auto"/>
          <w:sz w:val="24"/>
          <w:szCs w:val="24"/>
          <w:u w:val="none" w:color="auto"/>
          <w:vertAlign w:val="subscript"/>
          <w:lang w:val="en-US" w:eastAsia="zh-CN"/>
        </w:rPr>
        <w:t>2</w:t>
      </w:r>
      <w:r>
        <w:rPr>
          <w:rFonts w:hint="default" w:ascii="Times New Roman" w:hAnsi="Times New Roman" w:eastAsia="宋体" w:cs="Times New Roman"/>
          <w:color w:val="auto"/>
          <w:sz w:val="24"/>
          <w:szCs w:val="24"/>
          <w:u w:val="none" w:color="auto"/>
          <w:vertAlign w:val="superscript"/>
          <w:lang w:val="en-US" w:eastAsia="zh-CN"/>
        </w:rPr>
        <w:t>-</w:t>
      </w:r>
      <w:r>
        <w:rPr>
          <w:rFonts w:hint="default" w:ascii="Times New Roman" w:hAnsi="Times New Roman" w:eastAsia="宋体" w:cs="Times New Roman"/>
          <w:color w:val="auto"/>
          <w:sz w:val="24"/>
          <w:szCs w:val="24"/>
          <w:u w:val="none" w:color="auto"/>
          <w:vertAlign w:val="baseline"/>
          <w:lang w:val="en-US" w:eastAsia="zh-CN"/>
        </w:rPr>
        <w:t>、pH值、总硬度、耗氧量、氨氮、汞、铬(六价)、铅、铁、锰、溶解性总固体、总大肠菌群、水温</w:t>
      </w:r>
      <w:r>
        <w:rPr>
          <w:rFonts w:hint="default" w:ascii="Times New Roman" w:hAnsi="Times New Roman" w:eastAsia="宋体" w:cs="Times New Roman"/>
          <w:color w:val="auto"/>
          <w:sz w:val="24"/>
          <w:szCs w:val="24"/>
          <w:u w:val="none" w:color="auto"/>
        </w:rPr>
        <w:t>。</w:t>
      </w:r>
    </w:p>
    <w:p w14:paraId="215BBD11">
      <w:pPr>
        <w:pStyle w:val="64"/>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cs="Times New Roman"/>
          <w:color w:val="auto"/>
          <w:u w:val="none" w:color="auto"/>
        </w:rPr>
        <w:t>监测结果与评价</w:t>
      </w:r>
    </w:p>
    <w:p w14:paraId="761E92B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地下水环境质量现状监测数据结果统计与评价</w:t>
      </w:r>
      <w:r>
        <w:rPr>
          <w:rFonts w:hint="eastAsia" w:cs="Times New Roman"/>
          <w:color w:val="auto"/>
          <w:u w:val="none" w:color="auto"/>
          <w:lang w:val="en-US" w:eastAsia="zh-CN"/>
        </w:rPr>
        <w:t>详</w:t>
      </w:r>
      <w:r>
        <w:rPr>
          <w:rFonts w:hint="default" w:ascii="Times New Roman" w:hAnsi="Times New Roman" w:cs="Times New Roman"/>
          <w:color w:val="auto"/>
          <w:u w:val="none" w:color="auto"/>
        </w:rPr>
        <w:t>见表</w:t>
      </w:r>
      <w:r>
        <w:rPr>
          <w:rFonts w:hint="eastAsia" w:cs="Times New Roman"/>
          <w:color w:val="auto"/>
          <w:u w:val="none" w:color="auto"/>
          <w:lang w:val="en-US" w:eastAsia="zh-CN"/>
        </w:rPr>
        <w:t>5</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val="en-US" w:eastAsia="zh-CN"/>
        </w:rPr>
        <w:t>6</w:t>
      </w:r>
      <w:r>
        <w:rPr>
          <w:rFonts w:hint="default" w:ascii="Times New Roman" w:hAnsi="Times New Roman" w:cs="Times New Roman"/>
          <w:color w:val="auto"/>
          <w:u w:val="none" w:color="auto"/>
        </w:rPr>
        <w:t>。</w:t>
      </w:r>
    </w:p>
    <w:p w14:paraId="61B46AA0">
      <w:pPr>
        <w:pStyle w:val="81"/>
        <w:tabs>
          <w:tab w:val="left" w:pos="780"/>
        </w:tabs>
        <w:spacing w:line="240" w:lineRule="auto"/>
        <w:ind w:firstLine="422"/>
        <w:jc w:val="center"/>
        <w:rPr>
          <w:rFonts w:hint="default" w:ascii="Times New Roman" w:hAnsi="Times New Roman" w:cs="Times New Roman"/>
          <w:b/>
          <w:color w:val="auto"/>
          <w:sz w:val="21"/>
          <w:szCs w:val="21"/>
          <w:u w:val="none" w:color="auto"/>
          <w:lang w:eastAsia="zh-CN"/>
        </w:rPr>
      </w:pPr>
      <w:bookmarkStart w:id="193" w:name="_Ref282385666"/>
      <w:r>
        <w:rPr>
          <w:rFonts w:hint="default" w:ascii="Times New Roman" w:hAnsi="Times New Roman" w:cs="Times New Roman"/>
          <w:b/>
          <w:color w:val="auto"/>
          <w:sz w:val="21"/>
          <w:szCs w:val="21"/>
          <w:u w:val="none" w:color="auto"/>
        </w:rPr>
        <w:t>表</w:t>
      </w:r>
      <w:bookmarkEnd w:id="193"/>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6  </w:t>
      </w:r>
      <w:r>
        <w:rPr>
          <w:rFonts w:hint="default" w:ascii="Times New Roman" w:hAnsi="Times New Roman" w:cs="Times New Roman"/>
          <w:b/>
          <w:color w:val="auto"/>
          <w:sz w:val="21"/>
          <w:szCs w:val="21"/>
          <w:u w:val="none" w:color="auto"/>
        </w:rPr>
        <w:t>地下水</w:t>
      </w:r>
      <w:r>
        <w:rPr>
          <w:rFonts w:hint="default" w:ascii="Times New Roman" w:hAnsi="Times New Roman" w:cs="Times New Roman"/>
          <w:b/>
          <w:color w:val="auto"/>
          <w:sz w:val="21"/>
          <w:szCs w:val="21"/>
          <w:u w:val="none" w:color="auto"/>
          <w:lang w:val="en-US" w:eastAsia="zh-CN"/>
        </w:rPr>
        <w:t>水</w:t>
      </w:r>
      <w:r>
        <w:rPr>
          <w:rFonts w:hint="default" w:ascii="Times New Roman" w:hAnsi="Times New Roman" w:cs="Times New Roman"/>
          <w:b/>
          <w:color w:val="auto"/>
          <w:sz w:val="21"/>
          <w:szCs w:val="21"/>
          <w:u w:val="none" w:color="auto"/>
        </w:rPr>
        <w:t>质现状监测结果统计与评价</w:t>
      </w:r>
      <w:r>
        <w:rPr>
          <w:rFonts w:hint="eastAsia"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u w:val="none" w:color="auto"/>
        </w:rPr>
        <w:t>单位</w:t>
      </w:r>
      <w:r>
        <w:rPr>
          <w:rFonts w:hint="default" w:ascii="Times New Roman" w:hAnsi="Times New Roman" w:cs="Times New Roman"/>
          <w:b/>
          <w:color w:val="auto"/>
          <w:sz w:val="21"/>
          <w:szCs w:val="21"/>
          <w:u w:val="none" w:color="auto"/>
          <w:lang w:eastAsia="zh-CN"/>
        </w:rPr>
        <w:t>:</w:t>
      </w:r>
      <w:r>
        <w:rPr>
          <w:rFonts w:hint="default" w:ascii="Times New Roman" w:hAnsi="Times New Roman" w:cs="Times New Roman"/>
          <w:b/>
          <w:color w:val="auto"/>
          <w:sz w:val="21"/>
          <w:szCs w:val="21"/>
          <w:u w:val="none" w:color="auto"/>
        </w:rPr>
        <w:t>mg/L</w:t>
      </w:r>
      <w:r>
        <w:rPr>
          <w:rFonts w:hint="default" w:ascii="Times New Roman" w:hAnsi="Times New Roman" w:cs="Times New Roman"/>
          <w:b/>
          <w:color w:val="auto"/>
          <w:sz w:val="21"/>
          <w:szCs w:val="21"/>
          <w:u w:val="none" w:color="auto"/>
          <w:lang w:eastAsia="zh-CN"/>
        </w:rPr>
        <w:t>(pH</w:t>
      </w:r>
      <w:r>
        <w:rPr>
          <w:rFonts w:hint="default" w:ascii="Times New Roman" w:hAnsi="Times New Roman" w:cs="Times New Roman"/>
          <w:b/>
          <w:color w:val="auto"/>
          <w:sz w:val="21"/>
          <w:szCs w:val="21"/>
          <w:u w:val="none" w:color="auto"/>
        </w:rPr>
        <w:t>除外</w:t>
      </w:r>
      <w:r>
        <w:rPr>
          <w:rFonts w:hint="default" w:ascii="Times New Roman" w:hAnsi="Times New Roman" w:cs="Times New Roman"/>
          <w:b/>
          <w:color w:val="auto"/>
          <w:sz w:val="21"/>
          <w:szCs w:val="21"/>
          <w:highlight w:val="none"/>
          <w:u w:val="none" w:color="auto"/>
          <w:lang w:eastAsia="zh-CN"/>
        </w:rPr>
        <w:t>)</w:t>
      </w:r>
    </w:p>
    <w:tbl>
      <w:tblPr>
        <w:tblStyle w:val="37"/>
        <w:tblW w:w="853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97"/>
        <w:gridCol w:w="1580"/>
        <w:gridCol w:w="940"/>
        <w:gridCol w:w="1250"/>
        <w:gridCol w:w="1270"/>
        <w:gridCol w:w="1410"/>
        <w:gridCol w:w="886"/>
      </w:tblGrid>
      <w:tr w14:paraId="3E987B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ADCE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采样点位</w:t>
            </w:r>
          </w:p>
        </w:tc>
        <w:tc>
          <w:tcPr>
            <w:tcW w:w="15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BB45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检测项目</w:t>
            </w:r>
          </w:p>
        </w:tc>
        <w:tc>
          <w:tcPr>
            <w:tcW w:w="9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1341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计量单位</w:t>
            </w:r>
          </w:p>
        </w:tc>
        <w:tc>
          <w:tcPr>
            <w:tcW w:w="393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642BA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检测结果</w:t>
            </w:r>
          </w:p>
        </w:tc>
        <w:tc>
          <w:tcPr>
            <w:tcW w:w="886" w:type="dxa"/>
            <w:vMerge w:val="restart"/>
            <w:tcBorders>
              <w:top w:val="single" w:color="000000" w:sz="4" w:space="0"/>
              <w:left w:val="single" w:color="000000" w:sz="4" w:space="0"/>
              <w:right w:val="single" w:color="000000" w:sz="4" w:space="0"/>
            </w:tcBorders>
            <w:shd w:val="clear" w:color="auto" w:fill="auto"/>
            <w:vAlign w:val="center"/>
          </w:tcPr>
          <w:p w14:paraId="6BB39A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标准限值</w:t>
            </w:r>
          </w:p>
        </w:tc>
      </w:tr>
      <w:tr w14:paraId="3A410D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591A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BB10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9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0D1E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B89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D21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E8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2024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18</w:t>
            </w:r>
          </w:p>
        </w:tc>
        <w:tc>
          <w:tcPr>
            <w:tcW w:w="886" w:type="dxa"/>
            <w:vMerge w:val="continue"/>
            <w:tcBorders>
              <w:left w:val="single" w:color="000000" w:sz="4" w:space="0"/>
              <w:bottom w:val="single" w:color="000000" w:sz="4" w:space="0"/>
              <w:right w:val="single" w:color="000000" w:sz="4" w:space="0"/>
            </w:tcBorders>
            <w:shd w:val="clear" w:color="auto" w:fill="auto"/>
            <w:vAlign w:val="center"/>
          </w:tcPr>
          <w:p w14:paraId="1058E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r>
      <w:tr w14:paraId="57E22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471B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D1 </w:t>
            </w:r>
            <w:r>
              <w:rPr>
                <w:rStyle w:val="186"/>
                <w:rFonts w:hint="default" w:ascii="Times New Roman" w:hAnsi="Times New Roman" w:eastAsia="宋体" w:cs="Times New Roman"/>
                <w:sz w:val="21"/>
                <w:szCs w:val="21"/>
                <w:lang w:val="en-US" w:eastAsia="zh-CN" w:bidi="ar"/>
              </w:rPr>
              <w:t>黄土岌村水井</w:t>
            </w:r>
            <w:r>
              <w:rPr>
                <w:rStyle w:val="186"/>
                <w:rFonts w:hint="eastAsia" w:ascii="Times New Roman" w:hAnsi="Times New Roman" w:eastAsia="宋体" w:cs="Times New Roman"/>
                <w:sz w:val="21"/>
                <w:szCs w:val="21"/>
                <w:lang w:val="en-US" w:eastAsia="zh-CN" w:bidi="ar"/>
              </w:rPr>
              <w:t>(</w:t>
            </w:r>
            <w:r>
              <w:rPr>
                <w:rStyle w:val="186"/>
                <w:rFonts w:hint="default" w:ascii="Times New Roman" w:hAnsi="Times New Roman" w:eastAsia="宋体" w:cs="Times New Roman"/>
                <w:sz w:val="21"/>
                <w:szCs w:val="21"/>
                <w:lang w:val="en-US" w:eastAsia="zh-CN" w:bidi="ar"/>
              </w:rPr>
              <w:t>水位：</w:t>
            </w:r>
            <w:r>
              <w:rPr>
                <w:rFonts w:hint="default" w:ascii="Times New Roman" w:hAnsi="Times New Roman" w:eastAsia="宋体" w:cs="Times New Roman"/>
                <w:i w:val="0"/>
                <w:iCs w:val="0"/>
                <w:color w:val="000000"/>
                <w:kern w:val="0"/>
                <w:sz w:val="21"/>
                <w:szCs w:val="21"/>
                <w:u w:val="none"/>
                <w:lang w:val="en-US" w:eastAsia="zh-CN" w:bidi="ar"/>
              </w:rPr>
              <w:t xml:space="preserve">312.30m </w:t>
            </w:r>
            <w:r>
              <w:rPr>
                <w:rStyle w:val="186"/>
                <w:rFonts w:hint="default" w:ascii="Times New Roman" w:hAnsi="Times New Roman" w:eastAsia="宋体" w:cs="Times New Roman"/>
                <w:sz w:val="21"/>
                <w:szCs w:val="21"/>
                <w:lang w:val="en-US" w:eastAsia="zh-CN" w:bidi="ar"/>
              </w:rPr>
              <w:t>水深：</w:t>
            </w:r>
            <w:r>
              <w:rPr>
                <w:rFonts w:hint="default" w:ascii="Times New Roman" w:hAnsi="Times New Roman" w:eastAsia="宋体" w:cs="Times New Roman"/>
                <w:i w:val="0"/>
                <w:iCs w:val="0"/>
                <w:color w:val="000000"/>
                <w:kern w:val="0"/>
                <w:sz w:val="21"/>
                <w:szCs w:val="21"/>
                <w:u w:val="none"/>
                <w:lang w:val="en-US" w:eastAsia="zh-CN" w:bidi="ar"/>
              </w:rPr>
              <w:t>7.20m</w:t>
            </w:r>
            <w:r>
              <w:rPr>
                <w:rStyle w:val="186"/>
                <w:rFonts w:hint="eastAsia" w:ascii="Times New Roman" w:hAnsi="Times New Roman" w:eastAsia="宋体" w:cs="Times New Roman"/>
                <w:sz w:val="21"/>
                <w:szCs w:val="21"/>
                <w:lang w:val="en-US" w:eastAsia="zh-CN" w:bidi="ar"/>
              </w:rPr>
              <w:t>)</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46E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BD3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E3A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435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C97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AE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508BA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C8E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3B7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81B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AB0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F56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0.96</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991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3CD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005BD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FCFF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DE8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A4E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02B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E17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526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10E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7907F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B5DF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E84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9F5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E40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BB9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A7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BE7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41CA2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9A66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04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3B0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5F1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C9C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0F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6D6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9960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64A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8EE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EC7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5ED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6DE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C2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BF8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14261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7B9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646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8DB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65B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494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6AF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126</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531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CDF2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D2A4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FA3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1C0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B4B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A97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4D8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B7F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65632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06CE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2F9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EC5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F82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7C4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D7D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0.018L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7B0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1D82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0B8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754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519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ACA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102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3C6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16F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1CDF6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E09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5C4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31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C91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684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33E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633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3.0</w:t>
            </w:r>
          </w:p>
        </w:tc>
      </w:tr>
      <w:tr w14:paraId="0D764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DC98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822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62D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4A8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A1F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8AD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A6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66B27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95C3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EAE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21E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87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01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31F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FF7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730D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58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149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A7C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9E1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642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182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11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7320C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CAA5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A7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178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858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6DB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9C2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160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59473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4BD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A5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C6E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047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2AE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25A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53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15AC8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CD35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0DE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14C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DA3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DC7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613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2A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≤0.10</w:t>
            </w:r>
          </w:p>
        </w:tc>
      </w:tr>
      <w:tr w14:paraId="6FAB06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1DD5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178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E9E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151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F7C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F1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DF8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1FEDE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AC9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FB2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C83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807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074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3AE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73B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≤3.0</w:t>
            </w:r>
          </w:p>
        </w:tc>
      </w:tr>
      <w:tr w14:paraId="105F1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CA0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D2扁担坳水井(水位：245.20m 水深：8.30m)</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A23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CDD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901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A4D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9CD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318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0802C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9235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694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1CC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86D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80D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7A1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3A3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6BC232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CE2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9AA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7B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F33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B7A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2CE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502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32DD5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C4CC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8F8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348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775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316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299</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8CA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297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3A2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055C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C0E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2EF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50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698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ACE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26C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A63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ADC37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BE45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D99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67F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9B1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427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867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690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8E7D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B3B0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781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9A8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47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D6B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1C0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952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C7BD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DD71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0E7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154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F98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80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EF8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80</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C56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r>
              <w:rPr>
                <w:rFonts w:hint="default" w:ascii="Times New Roman" w:hAnsi="Times New Roman" w:eastAsia="宋体" w:cs="Times New Roman"/>
                <w:i w:val="0"/>
                <w:iCs w:val="0"/>
                <w:color w:val="000000"/>
                <w:kern w:val="0"/>
                <w:sz w:val="21"/>
                <w:szCs w:val="21"/>
                <w:u w:val="none"/>
                <w:lang w:val="en-US" w:eastAsia="zh-CN" w:bidi="ar"/>
              </w:rPr>
              <w:t>79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307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4046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BBB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A89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BC3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476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A45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902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489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0827B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0061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73B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DA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90B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80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C8B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77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15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72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409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70180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AFE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E38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298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B2C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F33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D72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209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26C3C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893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FC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B9E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A5E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563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0.18</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65B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E29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0C95E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19D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3E6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80C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B4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C58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4A9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437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28597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E47A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512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684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FC5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358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DF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69C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31FE3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A54A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999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C55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9C6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332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F14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DDC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2799C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CD3F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E25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D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496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A8C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546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894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21808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A88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22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BC2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74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0B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092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ADB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w:t>
            </w:r>
          </w:p>
        </w:tc>
      </w:tr>
      <w:tr w14:paraId="42DA4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87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DC2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1B4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60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874</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85F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AAC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855</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545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B3B4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5AEF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41C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F2E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6F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204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039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00D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12297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60B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D3 廊洞村水井(水位：241.2m  水深：7.90m)</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0C8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671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546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718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75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8E2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6.5-8.5</w:t>
            </w:r>
          </w:p>
        </w:tc>
      </w:tr>
      <w:tr w14:paraId="516F5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7DE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52E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钾</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05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ADC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B43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40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E45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3726A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4B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92B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钠</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B67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5C6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F57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0FE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0AB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200</w:t>
            </w:r>
          </w:p>
        </w:tc>
      </w:tr>
      <w:tr w14:paraId="1889F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DE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FE5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钙</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6EB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B3E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2DF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28E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9EB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7352E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405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6CD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5C0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AC3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C12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3D8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65F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73AA7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690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BD7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185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E6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091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0BD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07A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5E10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DE1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EF6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碳酸氢根</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249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2B3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A8C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103</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3CC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210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6D996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20D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C1C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氯化物</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547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D17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BA8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5BD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02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2F6A8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4AF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7A3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硫酸盐</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EBA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A93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033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FD9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285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3F5CA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86F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7CA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总硬度</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5BE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62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561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83A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109</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777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450</w:t>
            </w:r>
          </w:p>
        </w:tc>
      </w:tr>
      <w:tr w14:paraId="76E9C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9BF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4C3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耗氧量</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368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9DA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C7A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B03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983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1F757C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752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C15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氨氮</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790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2A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DF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577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0.025L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90A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724E7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1A0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66E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5A0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13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C5E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DB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0F7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0.001</w:t>
            </w:r>
          </w:p>
        </w:tc>
      </w:tr>
      <w:tr w14:paraId="2A8DC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A57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F40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824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C3E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EAC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56C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0.004L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C56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0.05</w:t>
            </w:r>
          </w:p>
        </w:tc>
      </w:tr>
      <w:tr w14:paraId="4AB9B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E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5B4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3A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4B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7FD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29A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76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0.01</w:t>
            </w:r>
          </w:p>
        </w:tc>
      </w:tr>
      <w:tr w14:paraId="142C9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214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29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B77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485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E5C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872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85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0.3</w:t>
            </w:r>
          </w:p>
        </w:tc>
      </w:tr>
      <w:tr w14:paraId="45321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ED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398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锰</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72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CA8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D1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25B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0.01L</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331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0.1</w:t>
            </w:r>
          </w:p>
        </w:tc>
      </w:tr>
      <w:tr w14:paraId="35C7B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699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4D0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溶解性总固体</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DC5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C8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398</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4DE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391</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93C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388</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07E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2A558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 w:hRule="atLeast"/>
          <w:jc w:val="center"/>
        </w:trPr>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C71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F24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总大肠菌群</w:t>
            </w:r>
          </w:p>
        </w:tc>
        <w:tc>
          <w:tcPr>
            <w:tcW w:w="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F61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MPN</w:t>
            </w:r>
            <w:r>
              <w:rPr>
                <w:rStyle w:val="187"/>
                <w:rFonts w:hint="default" w:ascii="Times New Roman" w:hAnsi="Times New Roman" w:eastAsia="宋体" w:cs="Times New Roman"/>
                <w:sz w:val="21"/>
                <w:szCs w:val="21"/>
                <w:lang w:val="en-US" w:eastAsia="zh-CN" w:bidi="ar"/>
              </w:rPr>
              <w:t>b</w:t>
            </w:r>
            <w:r>
              <w:rPr>
                <w:rFonts w:hint="default" w:ascii="Times New Roman" w:hAnsi="Times New Roman" w:eastAsia="宋体" w:cs="Times New Roman"/>
                <w:i w:val="0"/>
                <w:iCs w:val="0"/>
                <w:color w:val="000000"/>
                <w:kern w:val="0"/>
                <w:sz w:val="21"/>
                <w:szCs w:val="21"/>
                <w:u w:val="none"/>
                <w:lang w:val="en-US" w:eastAsia="zh-CN" w:bidi="ar"/>
              </w:rPr>
              <w:t>/ 100mL</w:t>
            </w:r>
          </w:p>
        </w:tc>
        <w:tc>
          <w:tcPr>
            <w:tcW w:w="12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73B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2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876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664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未检出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A40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bl>
    <w:p w14:paraId="305CC8A6">
      <w:pPr>
        <w:bidi w:val="0"/>
        <w:spacing w:line="240" w:lineRule="auto"/>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rPr>
        <w:t>.</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6</w:t>
      </w:r>
      <w:r>
        <w:rPr>
          <w:rFonts w:hint="eastAsia" w:cs="Times New Roman"/>
          <w:b/>
          <w:color w:val="auto"/>
          <w:sz w:val="21"/>
          <w:szCs w:val="21"/>
          <w:u w:val="none" w:color="auto"/>
          <w:lang w:val="en-US" w:eastAsia="zh-CN"/>
        </w:rPr>
        <w:t>（续表）</w:t>
      </w:r>
      <w:r>
        <w:rPr>
          <w:rFonts w:hint="eastAsia" w:ascii="Times New Roman" w:hAnsi="Times New Roman"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u w:val="none" w:color="auto"/>
        </w:rPr>
        <w:t>地下水</w:t>
      </w:r>
      <w:r>
        <w:rPr>
          <w:rFonts w:hint="eastAsia" w:cs="Times New Roman"/>
          <w:b/>
          <w:color w:val="auto"/>
          <w:sz w:val="21"/>
          <w:szCs w:val="21"/>
          <w:u w:val="none" w:color="auto"/>
          <w:lang w:val="en-US" w:eastAsia="zh-CN"/>
        </w:rPr>
        <w:t>水位</w:t>
      </w:r>
      <w:r>
        <w:rPr>
          <w:rFonts w:hint="default" w:ascii="Times New Roman" w:hAnsi="Times New Roman" w:cs="Times New Roman"/>
          <w:b/>
          <w:color w:val="auto"/>
          <w:sz w:val="21"/>
          <w:szCs w:val="21"/>
          <w:u w:val="none" w:color="auto"/>
        </w:rPr>
        <w:t>监测结果统计与评价</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74"/>
        <w:gridCol w:w="1373"/>
        <w:gridCol w:w="2121"/>
        <w:gridCol w:w="2165"/>
      </w:tblGrid>
      <w:tr w14:paraId="1DBEF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E355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采样点位</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6BBB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检测项目</w:t>
            </w:r>
          </w:p>
        </w:tc>
        <w:tc>
          <w:tcPr>
            <w:tcW w:w="140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943C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7C321C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检测结果</w:t>
            </w:r>
          </w:p>
        </w:tc>
      </w:tr>
      <w:tr w14:paraId="613D7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C8F0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924F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14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C452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208654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2024. 12.16</w:t>
            </w:r>
          </w:p>
        </w:tc>
      </w:tr>
      <w:tr w14:paraId="249AD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77E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D1</w:t>
            </w:r>
            <w:r>
              <w:rPr>
                <w:rFonts w:ascii="宋体" w:hAnsi="宋体" w:eastAsia="宋体" w:cs="宋体"/>
                <w:spacing w:val="-1"/>
                <w:sz w:val="20"/>
                <w:szCs w:val="20"/>
              </w:rPr>
              <w:t>黄土岌村水井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29E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555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544F36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312.30</w:t>
            </w:r>
          </w:p>
        </w:tc>
      </w:tr>
      <w:tr w14:paraId="15801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B23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w:t>
            </w:r>
            <w:r>
              <w:rPr>
                <w:rFonts w:hint="eastAsia"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0"/>
                <w:szCs w:val="20"/>
                <w:u w:val="none"/>
                <w:lang w:val="en-US" w:eastAsia="zh-CN" w:bidi="ar"/>
              </w:rPr>
              <w:t>扁担坳水井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B49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346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4BB34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245.20</w:t>
            </w:r>
          </w:p>
        </w:tc>
      </w:tr>
      <w:tr w14:paraId="1693A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BD8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1"/>
                <w:szCs w:val="21"/>
                <w:u w:val="none"/>
                <w:lang w:val="en-US" w:eastAsia="zh-CN" w:bidi="ar"/>
              </w:rPr>
              <w:t>D3</w:t>
            </w:r>
            <w:r>
              <w:rPr>
                <w:rFonts w:hint="eastAsia" w:ascii="宋体" w:hAnsi="宋体" w:eastAsia="宋体" w:cs="宋体"/>
                <w:i w:val="0"/>
                <w:iCs w:val="0"/>
                <w:color w:val="000000"/>
                <w:kern w:val="0"/>
                <w:sz w:val="20"/>
                <w:szCs w:val="20"/>
                <w:u w:val="none"/>
                <w:lang w:val="en-US" w:eastAsia="zh-CN" w:bidi="ar"/>
              </w:rPr>
              <w:t>廊洞村水井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B6E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654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auto" w:sz="4" w:space="0"/>
            </w:tcBorders>
            <w:shd w:val="clear" w:color="auto" w:fill="auto"/>
            <w:vAlign w:val="center"/>
          </w:tcPr>
          <w:p w14:paraId="6CC410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241.2</w:t>
            </w:r>
          </w:p>
        </w:tc>
      </w:tr>
      <w:tr w14:paraId="0EC93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32C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D4</w:t>
            </w:r>
            <w:r>
              <w:rPr>
                <w:rFonts w:hint="eastAsia" w:ascii="宋体" w:hAnsi="宋体" w:eastAsia="宋体" w:cs="宋体"/>
                <w:i w:val="0"/>
                <w:iCs w:val="0"/>
                <w:color w:val="000000"/>
                <w:kern w:val="0"/>
                <w:sz w:val="20"/>
                <w:szCs w:val="20"/>
                <w:u w:val="none"/>
                <w:lang w:val="en-US" w:eastAsia="zh-CN" w:bidi="ar"/>
              </w:rPr>
              <w:t>黄土岌村2号水井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D15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44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2F1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304.5</w:t>
            </w:r>
          </w:p>
        </w:tc>
      </w:tr>
      <w:tr w14:paraId="2DF44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0C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D5</w:t>
            </w:r>
            <w:r>
              <w:rPr>
                <w:rFonts w:hint="eastAsia" w:ascii="宋体" w:hAnsi="宋体" w:eastAsia="宋体" w:cs="宋体"/>
                <w:i w:val="0"/>
                <w:iCs w:val="0"/>
                <w:color w:val="000000"/>
                <w:kern w:val="0"/>
                <w:sz w:val="20"/>
                <w:szCs w:val="20"/>
                <w:u w:val="none"/>
                <w:lang w:val="en-US" w:eastAsia="zh-CN" w:bidi="ar"/>
              </w:rPr>
              <w:t>扁担坳2号水井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1D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A0C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ADF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242.8</w:t>
            </w:r>
          </w:p>
        </w:tc>
      </w:tr>
      <w:tr w14:paraId="09AFA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AE0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D6</w:t>
            </w:r>
            <w:r>
              <w:rPr>
                <w:rFonts w:hint="eastAsia" w:ascii="宋体" w:hAnsi="宋体" w:eastAsia="宋体" w:cs="宋体"/>
                <w:i w:val="0"/>
                <w:iCs w:val="0"/>
                <w:color w:val="000000"/>
                <w:kern w:val="0"/>
                <w:sz w:val="20"/>
                <w:szCs w:val="20"/>
                <w:u w:val="none"/>
                <w:lang w:val="en-US" w:eastAsia="zh-CN" w:bidi="ar"/>
              </w:rPr>
              <w:t>廊洞村2号水井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F21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水位</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7BD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m</w:t>
            </w:r>
          </w:p>
        </w:tc>
        <w:tc>
          <w:tcPr>
            <w:tcW w:w="1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BAA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246.5</w:t>
            </w:r>
          </w:p>
        </w:tc>
      </w:tr>
    </w:tbl>
    <w:p w14:paraId="62DA772F">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ascii="Times New Roman" w:hAnsi="Times New Roman" w:cs="Times New Roman"/>
          <w:color w:val="auto"/>
          <w:sz w:val="24"/>
          <w:szCs w:val="24"/>
          <w:u w:val="none" w:color="auto"/>
          <w:lang w:val="en-US" w:eastAsia="zh-CN"/>
        </w:rPr>
        <w:t>上表</w:t>
      </w:r>
      <w:r>
        <w:rPr>
          <w:rFonts w:hint="default" w:ascii="Times New Roman" w:hAnsi="Times New Roman" w:cs="Times New Roman"/>
          <w:color w:val="auto"/>
          <w:sz w:val="24"/>
          <w:szCs w:val="24"/>
          <w:u w:val="none" w:color="auto"/>
        </w:rPr>
        <w:t>监测结果可知，地下水各监测点监测因子均满足《地下水质量标准》</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GB/T14848-2017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fldChar w:fldCharType="begin"/>
      </w:r>
      <w:r>
        <w:rPr>
          <w:rFonts w:hint="default" w:ascii="Times New Roman" w:hAnsi="Times New Roman" w:cs="Times New Roman"/>
          <w:color w:val="auto"/>
          <w:sz w:val="24"/>
          <w:szCs w:val="24"/>
          <w:u w:val="none" w:color="auto"/>
        </w:rPr>
        <w:instrText xml:space="preserve"> = 3 \* ROMAN </w:instrText>
      </w:r>
      <w:r>
        <w:rPr>
          <w:rFonts w:hint="default" w:ascii="Times New Roman" w:hAnsi="Times New Roman" w:cs="Times New Roman"/>
          <w:color w:val="auto"/>
          <w:sz w:val="24"/>
          <w:szCs w:val="24"/>
          <w:u w:val="none" w:color="auto"/>
        </w:rPr>
        <w:fldChar w:fldCharType="separate"/>
      </w:r>
      <w:r>
        <w:rPr>
          <w:rFonts w:hint="default" w:ascii="Times New Roman" w:hAnsi="Times New Roman" w:cs="Times New Roman"/>
          <w:color w:val="auto"/>
          <w:sz w:val="24"/>
          <w:szCs w:val="24"/>
          <w:u w:val="none" w:color="auto"/>
        </w:rPr>
        <w:t>III</w:t>
      </w:r>
      <w:r>
        <w:rPr>
          <w:rFonts w:hint="default" w:ascii="Times New Roman" w:hAnsi="Times New Roman" w:cs="Times New Roman"/>
          <w:color w:val="auto"/>
          <w:sz w:val="24"/>
          <w:szCs w:val="24"/>
          <w:u w:val="none" w:color="auto"/>
        </w:rPr>
        <w:fldChar w:fldCharType="end"/>
      </w:r>
      <w:r>
        <w:rPr>
          <w:rFonts w:hint="default" w:ascii="Times New Roman" w:hAnsi="Times New Roman" w:cs="Times New Roman"/>
          <w:color w:val="auto"/>
          <w:sz w:val="24"/>
          <w:szCs w:val="24"/>
          <w:u w:val="none" w:color="auto"/>
        </w:rPr>
        <w:t>类标准。</w:t>
      </w:r>
    </w:p>
    <w:p w14:paraId="29DBC652">
      <w:pPr>
        <w:pStyle w:val="4"/>
        <w:rPr>
          <w:rFonts w:hint="default" w:ascii="Times New Roman" w:hAnsi="Times New Roman" w:cs="Times New Roman"/>
          <w:color w:val="auto"/>
          <w:u w:val="none" w:color="auto"/>
        </w:rPr>
      </w:pPr>
      <w:bookmarkStart w:id="194" w:name="_Toc22465"/>
      <w:bookmarkStart w:id="195" w:name="_Toc21331"/>
      <w:bookmarkStart w:id="196" w:name="_Toc494233755"/>
      <w:r>
        <w:rPr>
          <w:rFonts w:hint="default" w:ascii="Times New Roman" w:hAnsi="Times New Roman" w:cs="Times New Roman"/>
          <w:color w:val="auto"/>
          <w:u w:val="none" w:color="auto"/>
        </w:rPr>
        <w:t>声环境质量现状监测和评价</w:t>
      </w:r>
      <w:bookmarkEnd w:id="194"/>
      <w:bookmarkEnd w:id="195"/>
      <w:bookmarkEnd w:id="196"/>
    </w:p>
    <w:p w14:paraId="15FC26A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为了解项目厂界噪声现状，项目委托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rPr>
        <w:t>在</w:t>
      </w:r>
      <w:r>
        <w:rPr>
          <w:rFonts w:hint="default" w:ascii="Times New Roman" w:hAnsi="Times New Roman" w:cs="Times New Roman"/>
          <w:color w:val="auto"/>
          <w:u w:val="none" w:color="auto"/>
          <w:lang w:val="en-US" w:eastAsia="zh-CN"/>
        </w:rPr>
        <w:t>项目地周边敏感点</w:t>
      </w:r>
      <w:r>
        <w:rPr>
          <w:rFonts w:hint="default" w:ascii="Times New Roman" w:hAnsi="Times New Roman" w:cs="Times New Roman"/>
          <w:color w:val="auto"/>
          <w:u w:val="none" w:color="auto"/>
        </w:rPr>
        <w:t>进行了噪声现状监测。</w:t>
      </w:r>
    </w:p>
    <w:p w14:paraId="29479C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rPr>
        <w:t>监测点位</w:t>
      </w:r>
      <w:r>
        <w:rPr>
          <w:rFonts w:hint="default" w:ascii="Times New Roman" w:hAnsi="Times New Roman" w:cs="Times New Roman"/>
          <w:color w:val="auto"/>
          <w:u w:val="none" w:color="auto"/>
        </w:rPr>
        <w:t>的位置</w:t>
      </w:r>
    </w:p>
    <w:p w14:paraId="2787D1DA">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水库四周</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4、项目</w:t>
      </w:r>
      <w:r>
        <w:rPr>
          <w:rFonts w:hint="default" w:ascii="Times New Roman" w:hAnsi="Times New Roman" w:cs="Times New Roman"/>
          <w:color w:val="auto"/>
          <w:u w:val="none" w:color="auto"/>
          <w:lang w:val="en-US" w:eastAsia="zh-CN"/>
        </w:rPr>
        <w:t>周边扁担坳居民</w:t>
      </w:r>
      <w:r>
        <w:rPr>
          <w:rFonts w:hint="default" w:ascii="Times New Roman" w:hAnsi="Times New Roman" w:eastAsia="宋体" w:cs="Times New Roman"/>
          <w:color w:val="auto"/>
          <w:u w:val="none" w:color="auto"/>
          <w:lang w:val="en-US" w:eastAsia="zh-CN"/>
        </w:rPr>
        <w:t>点N</w:t>
      </w:r>
      <w:r>
        <w:rPr>
          <w:rFonts w:hint="eastAsia" w:cs="Times New Roman"/>
          <w:color w:val="auto"/>
          <w:u w:val="none" w:color="auto"/>
          <w:lang w:val="en-US" w:eastAsia="zh-CN"/>
        </w:rPr>
        <w:t>5、红铺</w:t>
      </w:r>
      <w:r>
        <w:rPr>
          <w:rFonts w:hint="default" w:ascii="Times New Roman" w:hAnsi="Times New Roman" w:eastAsia="宋体" w:cs="Times New Roman"/>
          <w:color w:val="auto"/>
          <w:u w:val="none" w:color="auto"/>
          <w:lang w:val="en-US" w:eastAsia="zh-CN"/>
        </w:rPr>
        <w:t>N</w:t>
      </w:r>
      <w:r>
        <w:rPr>
          <w:rFonts w:hint="eastAsia" w:cs="Times New Roman"/>
          <w:color w:val="auto"/>
          <w:u w:val="none" w:color="auto"/>
          <w:lang w:val="en-US" w:eastAsia="zh-CN"/>
        </w:rPr>
        <w:t>6、</w:t>
      </w:r>
      <w:r>
        <w:rPr>
          <w:rFonts w:hint="default" w:ascii="Times New Roman" w:hAnsi="Times New Roman" w:cs="Times New Roman"/>
          <w:color w:val="auto"/>
          <w:u w:val="none" w:color="auto"/>
          <w:lang w:val="en-US" w:eastAsia="zh-CN"/>
        </w:rPr>
        <w:t>廊洞村居民</w:t>
      </w:r>
      <w:r>
        <w:rPr>
          <w:rFonts w:hint="default" w:ascii="Times New Roman" w:hAnsi="Times New Roman" w:eastAsia="宋体" w:cs="Times New Roman"/>
          <w:color w:val="auto"/>
          <w:u w:val="none" w:color="auto"/>
          <w:lang w:val="en-US" w:eastAsia="zh-CN"/>
        </w:rPr>
        <w:t>点N</w:t>
      </w:r>
      <w:r>
        <w:rPr>
          <w:rFonts w:hint="eastAsia"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w:t>
      </w:r>
    </w:p>
    <w:p w14:paraId="5139AB9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2、监测项目</w:t>
      </w:r>
    </w:p>
    <w:p w14:paraId="737BD0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等效连续A声级，LAeq。</w:t>
      </w:r>
    </w:p>
    <w:p w14:paraId="6C9694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3、监测时间和频次</w:t>
      </w:r>
    </w:p>
    <w:p w14:paraId="0E93E67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年</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月</w:t>
      </w:r>
      <w:r>
        <w:rPr>
          <w:rFonts w:hint="eastAsia" w:cs="Times New Roman"/>
          <w:color w:val="auto"/>
          <w:u w:val="none" w:color="auto"/>
          <w:lang w:val="en-US" w:eastAsia="zh-CN"/>
        </w:rPr>
        <w:t>19</w:t>
      </w:r>
      <w:r>
        <w:rPr>
          <w:rFonts w:hint="default" w:ascii="Times New Roman" w:hAnsi="Times New Roman" w:cs="Times New Roman"/>
          <w:color w:val="auto"/>
          <w:u w:val="none" w:color="auto"/>
        </w:rPr>
        <w:t>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月</w:t>
      </w:r>
      <w:r>
        <w:rPr>
          <w:rFonts w:hint="default" w:ascii="Times New Roman" w:hAnsi="Times New Roman" w:cs="Times New Roman"/>
          <w:color w:val="auto"/>
          <w:u w:val="none" w:color="auto"/>
          <w:lang w:val="en-US" w:eastAsia="zh-CN"/>
        </w:rPr>
        <w:t>2</w:t>
      </w:r>
      <w:r>
        <w:rPr>
          <w:rFonts w:hint="eastAsia" w:cs="Times New Roman"/>
          <w:color w:val="auto"/>
          <w:u w:val="none" w:color="auto"/>
          <w:lang w:val="en-US" w:eastAsia="zh-CN"/>
        </w:rPr>
        <w:t>0</w:t>
      </w:r>
      <w:r>
        <w:rPr>
          <w:rFonts w:hint="default" w:ascii="Times New Roman" w:hAnsi="Times New Roman" w:cs="Times New Roman"/>
          <w:color w:val="auto"/>
          <w:u w:val="none" w:color="auto"/>
        </w:rPr>
        <w:t>日，连续两天昼夜各一次。</w:t>
      </w:r>
    </w:p>
    <w:p w14:paraId="4EB170C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4、采样和分析方法</w:t>
      </w:r>
    </w:p>
    <w:p w14:paraId="1B61F87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采样和分析方法采用《声环境质量标准》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中规定的方法。</w:t>
      </w:r>
    </w:p>
    <w:p w14:paraId="267B7B1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5、评价标准</w:t>
      </w:r>
    </w:p>
    <w:p w14:paraId="03ADB53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采用《声环境质量标准》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类标准评价。</w:t>
      </w:r>
    </w:p>
    <w:p w14:paraId="3D036D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6、监测及评价结果</w:t>
      </w:r>
    </w:p>
    <w:p w14:paraId="151C09D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项目地声环境现状监测及评价结果见下表。</w:t>
      </w:r>
    </w:p>
    <w:p w14:paraId="16D8CE9B">
      <w:pPr>
        <w:pStyle w:val="95"/>
        <w:spacing w:line="240" w:lineRule="auto"/>
        <w:ind w:firstLine="422"/>
        <w:jc w:val="center"/>
        <w:rPr>
          <w:rFonts w:hint="default" w:ascii="Times New Roman" w:hAnsi="Times New Roman" w:cs="Times New Roman"/>
          <w:b/>
          <w:bCs/>
          <w:color w:val="auto"/>
          <w:sz w:val="21"/>
          <w:szCs w:val="21"/>
          <w:u w:val="none" w:color="auto"/>
          <w:lang w:eastAsia="zh-CN"/>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5</w:t>
      </w:r>
      <w:r>
        <w:rPr>
          <w:rFonts w:hint="default" w:ascii="Times New Roman" w:hAnsi="Times New Roman" w:cs="Times New Roman"/>
          <w:b/>
          <w:bCs/>
          <w:color w:val="auto"/>
          <w:sz w:val="21"/>
          <w:szCs w:val="21"/>
          <w:u w:val="none" w:color="auto"/>
        </w:rPr>
        <w:t>.</w:t>
      </w:r>
      <w:r>
        <w:rPr>
          <w:rFonts w:hint="default"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w:t>
      </w:r>
      <w:r>
        <w:rPr>
          <w:rFonts w:hint="eastAsia" w:ascii="Times New Roman" w:hAnsi="Times New Roman" w:cs="Times New Roman"/>
          <w:b/>
          <w:bCs/>
          <w:color w:val="auto"/>
          <w:sz w:val="21"/>
          <w:szCs w:val="21"/>
          <w:u w:val="none" w:color="auto"/>
          <w:lang w:val="en-US" w:eastAsia="zh-CN"/>
        </w:rPr>
        <w:t xml:space="preserve">7  </w:t>
      </w:r>
      <w:r>
        <w:rPr>
          <w:rFonts w:hint="default" w:ascii="Times New Roman" w:hAnsi="Times New Roman" w:cs="Times New Roman"/>
          <w:b/>
          <w:bCs/>
          <w:color w:val="auto"/>
          <w:sz w:val="21"/>
          <w:szCs w:val="21"/>
          <w:u w:val="none" w:color="auto"/>
        </w:rPr>
        <w:t>声环境监测结果单位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A</w:t>
      </w:r>
      <w:r>
        <w:rPr>
          <w:rFonts w:hint="default" w:ascii="Times New Roman" w:hAnsi="Times New Roman" w:cs="Times New Roman"/>
          <w:b/>
          <w:bCs/>
          <w:color w:val="auto"/>
          <w:sz w:val="21"/>
          <w:szCs w:val="21"/>
          <w:u w:val="none" w:color="auto"/>
          <w:lang w:eastAsia="zh-CN"/>
        </w:rPr>
        <w:t>)</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3723"/>
        <w:gridCol w:w="2405"/>
        <w:gridCol w:w="2405"/>
      </w:tblGrid>
      <w:tr w14:paraId="4430E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3723" w:type="dxa"/>
            <w:vMerge w:val="restart"/>
            <w:tcBorders>
              <w:tl2br w:val="nil"/>
              <w:tr2bl w:val="nil"/>
            </w:tcBorders>
            <w:shd w:val="clear" w:color="auto" w:fill="auto"/>
            <w:vAlign w:val="center"/>
          </w:tcPr>
          <w:p w14:paraId="5D0082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采样点位</w:t>
            </w:r>
          </w:p>
        </w:tc>
        <w:tc>
          <w:tcPr>
            <w:tcW w:w="4810" w:type="dxa"/>
            <w:gridSpan w:val="2"/>
            <w:tcBorders>
              <w:tl2br w:val="nil"/>
              <w:tr2bl w:val="nil"/>
            </w:tcBorders>
            <w:shd w:val="clear" w:color="auto" w:fill="auto"/>
            <w:vAlign w:val="center"/>
          </w:tcPr>
          <w:p w14:paraId="6BBD39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采样时间及检测结果</w:t>
            </w:r>
            <w:r>
              <w:rPr>
                <w:rFonts w:hint="default" w:ascii="Times New Roman" w:hAnsi="Times New Roman" w:eastAsia="宋体" w:cs="Times New Roman"/>
                <w:i w:val="0"/>
                <w:iCs w:val="0"/>
                <w:color w:val="000000"/>
                <w:kern w:val="0"/>
                <w:sz w:val="20"/>
                <w:szCs w:val="20"/>
                <w:u w:val="none"/>
                <w:lang w:val="en-US" w:eastAsia="zh-CN" w:bidi="ar"/>
              </w:rPr>
              <w:t>dB</w:t>
            </w:r>
            <w:r>
              <w:rPr>
                <w:rFonts w:hint="eastAsia" w:ascii="宋体" w:hAnsi="宋体" w:eastAsia="宋体" w:cs="宋体"/>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A</w:t>
            </w:r>
            <w:r>
              <w:rPr>
                <w:rFonts w:hint="eastAsia" w:ascii="宋体" w:hAnsi="宋体" w:eastAsia="宋体" w:cs="宋体"/>
                <w:i w:val="0"/>
                <w:iCs w:val="0"/>
                <w:color w:val="000000"/>
                <w:kern w:val="0"/>
                <w:sz w:val="20"/>
                <w:szCs w:val="20"/>
                <w:u w:val="none"/>
                <w:lang w:val="en-US" w:eastAsia="zh-CN" w:bidi="ar"/>
              </w:rPr>
              <w:t>)</w:t>
            </w:r>
          </w:p>
        </w:tc>
      </w:tr>
      <w:tr w14:paraId="0A1693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vMerge w:val="continue"/>
            <w:tcBorders>
              <w:tl2br w:val="nil"/>
              <w:tr2bl w:val="nil"/>
            </w:tcBorders>
            <w:shd w:val="clear" w:color="auto" w:fill="auto"/>
            <w:vAlign w:val="center"/>
          </w:tcPr>
          <w:p w14:paraId="558FBB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Arial" w:hAnsi="Arial" w:eastAsia="宋体" w:cs="Arial"/>
                <w:i w:val="0"/>
                <w:iCs w:val="0"/>
                <w:color w:val="000000"/>
                <w:sz w:val="21"/>
                <w:szCs w:val="21"/>
                <w:u w:val="none"/>
              </w:rPr>
            </w:pPr>
          </w:p>
        </w:tc>
        <w:tc>
          <w:tcPr>
            <w:tcW w:w="2405" w:type="dxa"/>
            <w:tcBorders>
              <w:tl2br w:val="nil"/>
              <w:tr2bl w:val="nil"/>
            </w:tcBorders>
            <w:shd w:val="clear" w:color="auto" w:fill="auto"/>
            <w:vAlign w:val="center"/>
          </w:tcPr>
          <w:p w14:paraId="44FC71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12.19</w:t>
            </w:r>
          </w:p>
        </w:tc>
        <w:tc>
          <w:tcPr>
            <w:tcW w:w="2405" w:type="dxa"/>
            <w:tcBorders>
              <w:tl2br w:val="nil"/>
              <w:tr2bl w:val="nil"/>
            </w:tcBorders>
            <w:shd w:val="clear" w:color="auto" w:fill="auto"/>
            <w:vAlign w:val="center"/>
          </w:tcPr>
          <w:p w14:paraId="0FF2BF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12.20</w:t>
            </w:r>
          </w:p>
        </w:tc>
      </w:tr>
      <w:tr w14:paraId="354987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vMerge w:val="continue"/>
            <w:tcBorders>
              <w:tl2br w:val="nil"/>
              <w:tr2bl w:val="nil"/>
            </w:tcBorders>
            <w:shd w:val="clear" w:color="auto" w:fill="auto"/>
            <w:vAlign w:val="center"/>
          </w:tcPr>
          <w:p w14:paraId="4712E3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Arial" w:hAnsi="Arial" w:eastAsia="宋体" w:cs="Arial"/>
                <w:i w:val="0"/>
                <w:iCs w:val="0"/>
                <w:color w:val="000000"/>
                <w:sz w:val="21"/>
                <w:szCs w:val="21"/>
                <w:u w:val="none"/>
              </w:rPr>
            </w:pPr>
          </w:p>
        </w:tc>
        <w:tc>
          <w:tcPr>
            <w:tcW w:w="2405" w:type="dxa"/>
            <w:tcBorders>
              <w:tl2br w:val="nil"/>
              <w:tr2bl w:val="nil"/>
            </w:tcBorders>
            <w:shd w:val="clear" w:color="auto" w:fill="auto"/>
            <w:vAlign w:val="center"/>
          </w:tcPr>
          <w:p w14:paraId="3CB2CA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昼间(</w:t>
            </w:r>
            <w:r>
              <w:rPr>
                <w:rFonts w:hint="default" w:ascii="Times New Roman" w:hAnsi="Times New Roman" w:eastAsia="宋体" w:cs="Times New Roman"/>
                <w:i w:val="0"/>
                <w:iCs w:val="0"/>
                <w:color w:val="000000"/>
                <w:kern w:val="0"/>
                <w:sz w:val="20"/>
                <w:szCs w:val="20"/>
                <w:u w:val="none"/>
                <w:lang w:val="en-US" w:eastAsia="zh-CN" w:bidi="ar"/>
              </w:rPr>
              <w:t>Leq</w:t>
            </w:r>
            <w:r>
              <w:rPr>
                <w:rFonts w:hint="eastAsia" w:ascii="宋体" w:hAnsi="宋体" w:eastAsia="宋体" w:cs="宋体"/>
                <w:i w:val="0"/>
                <w:iCs w:val="0"/>
                <w:color w:val="000000"/>
                <w:kern w:val="0"/>
                <w:sz w:val="20"/>
                <w:szCs w:val="20"/>
                <w:u w:val="none"/>
                <w:lang w:val="en-US" w:eastAsia="zh-CN" w:bidi="ar"/>
              </w:rPr>
              <w:t>)</w:t>
            </w:r>
          </w:p>
        </w:tc>
        <w:tc>
          <w:tcPr>
            <w:tcW w:w="2405" w:type="dxa"/>
            <w:tcBorders>
              <w:tl2br w:val="nil"/>
              <w:tr2bl w:val="nil"/>
            </w:tcBorders>
            <w:shd w:val="clear" w:color="auto" w:fill="auto"/>
            <w:vAlign w:val="center"/>
          </w:tcPr>
          <w:p w14:paraId="4AD735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昼间(</w:t>
            </w:r>
            <w:r>
              <w:rPr>
                <w:rFonts w:hint="default" w:ascii="Times New Roman" w:hAnsi="Times New Roman" w:eastAsia="宋体" w:cs="Times New Roman"/>
                <w:i w:val="0"/>
                <w:iCs w:val="0"/>
                <w:color w:val="000000"/>
                <w:kern w:val="0"/>
                <w:sz w:val="20"/>
                <w:szCs w:val="20"/>
                <w:u w:val="none"/>
                <w:lang w:val="en-US" w:eastAsia="zh-CN" w:bidi="ar"/>
              </w:rPr>
              <w:t>Leq</w:t>
            </w:r>
            <w:r>
              <w:rPr>
                <w:rFonts w:hint="eastAsia" w:ascii="宋体" w:hAnsi="宋体" w:eastAsia="宋体" w:cs="宋体"/>
                <w:i w:val="0"/>
                <w:iCs w:val="0"/>
                <w:color w:val="000000"/>
                <w:kern w:val="0"/>
                <w:sz w:val="20"/>
                <w:szCs w:val="20"/>
                <w:u w:val="none"/>
                <w:lang w:val="en-US" w:eastAsia="zh-CN" w:bidi="ar"/>
              </w:rPr>
              <w:t>)</w:t>
            </w:r>
          </w:p>
        </w:tc>
      </w:tr>
      <w:tr w14:paraId="4A0279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864D4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N1</w:t>
            </w:r>
            <w:r>
              <w:rPr>
                <w:rFonts w:hint="eastAsia" w:ascii="宋体" w:hAnsi="宋体" w:eastAsia="宋体" w:cs="宋体"/>
                <w:i w:val="0"/>
                <w:iCs w:val="0"/>
                <w:color w:val="000000"/>
                <w:kern w:val="0"/>
                <w:sz w:val="20"/>
                <w:szCs w:val="20"/>
                <w:u w:val="none"/>
                <w:lang w:val="en-US" w:eastAsia="zh-CN" w:bidi="ar"/>
              </w:rPr>
              <w:t>水库东侧</w:t>
            </w:r>
          </w:p>
        </w:tc>
        <w:tc>
          <w:tcPr>
            <w:tcW w:w="2405" w:type="dxa"/>
            <w:tcBorders>
              <w:tl2br w:val="nil"/>
              <w:tr2bl w:val="nil"/>
            </w:tcBorders>
            <w:shd w:val="clear" w:color="auto" w:fill="auto"/>
            <w:vAlign w:val="center"/>
          </w:tcPr>
          <w:p w14:paraId="1E2077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52.2</w:t>
            </w:r>
          </w:p>
        </w:tc>
        <w:tc>
          <w:tcPr>
            <w:tcW w:w="2405" w:type="dxa"/>
            <w:tcBorders>
              <w:tl2br w:val="nil"/>
              <w:tr2bl w:val="nil"/>
            </w:tcBorders>
            <w:shd w:val="clear" w:color="auto" w:fill="auto"/>
            <w:vAlign w:val="center"/>
          </w:tcPr>
          <w:p w14:paraId="7828A0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51.7</w:t>
            </w:r>
          </w:p>
        </w:tc>
      </w:tr>
      <w:tr w14:paraId="65C69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51E2C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N2</w:t>
            </w:r>
            <w:r>
              <w:rPr>
                <w:rFonts w:hint="eastAsia" w:ascii="宋体" w:hAnsi="宋体" w:eastAsia="宋体" w:cs="宋体"/>
                <w:i w:val="0"/>
                <w:iCs w:val="0"/>
                <w:color w:val="000000"/>
                <w:kern w:val="0"/>
                <w:sz w:val="20"/>
                <w:szCs w:val="20"/>
                <w:u w:val="none"/>
                <w:lang w:val="en-US" w:eastAsia="zh-CN" w:bidi="ar"/>
              </w:rPr>
              <w:t>水库南侧</w:t>
            </w:r>
          </w:p>
        </w:tc>
        <w:tc>
          <w:tcPr>
            <w:tcW w:w="2405" w:type="dxa"/>
            <w:tcBorders>
              <w:tl2br w:val="nil"/>
              <w:tr2bl w:val="nil"/>
            </w:tcBorders>
            <w:shd w:val="clear" w:color="auto" w:fill="auto"/>
            <w:vAlign w:val="center"/>
          </w:tcPr>
          <w:p w14:paraId="7DB8E0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53.7</w:t>
            </w:r>
          </w:p>
        </w:tc>
        <w:tc>
          <w:tcPr>
            <w:tcW w:w="2405" w:type="dxa"/>
            <w:tcBorders>
              <w:tl2br w:val="nil"/>
              <w:tr2bl w:val="nil"/>
            </w:tcBorders>
            <w:shd w:val="clear" w:color="auto" w:fill="auto"/>
            <w:vAlign w:val="center"/>
          </w:tcPr>
          <w:p w14:paraId="32D8C9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52.4</w:t>
            </w:r>
          </w:p>
        </w:tc>
      </w:tr>
      <w:tr w14:paraId="350F2A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A7955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N3</w:t>
            </w:r>
            <w:r>
              <w:rPr>
                <w:rFonts w:hint="eastAsia" w:ascii="宋体" w:hAnsi="宋体" w:eastAsia="宋体" w:cs="宋体"/>
                <w:i w:val="0"/>
                <w:iCs w:val="0"/>
                <w:color w:val="000000"/>
                <w:kern w:val="0"/>
                <w:sz w:val="20"/>
                <w:szCs w:val="20"/>
                <w:u w:val="none"/>
                <w:lang w:val="en-US" w:eastAsia="zh-CN" w:bidi="ar"/>
              </w:rPr>
              <w:t>水库西侧</w:t>
            </w:r>
          </w:p>
        </w:tc>
        <w:tc>
          <w:tcPr>
            <w:tcW w:w="2405" w:type="dxa"/>
            <w:tcBorders>
              <w:tl2br w:val="nil"/>
              <w:tr2bl w:val="nil"/>
            </w:tcBorders>
            <w:shd w:val="clear" w:color="auto" w:fill="auto"/>
            <w:vAlign w:val="center"/>
          </w:tcPr>
          <w:p w14:paraId="16E710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c>
          <w:tcPr>
            <w:tcW w:w="2405" w:type="dxa"/>
            <w:tcBorders>
              <w:tl2br w:val="nil"/>
              <w:tr2bl w:val="nil"/>
            </w:tcBorders>
            <w:shd w:val="clear" w:color="auto" w:fill="auto"/>
            <w:vAlign w:val="center"/>
          </w:tcPr>
          <w:p w14:paraId="15F34F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52.7</w:t>
            </w:r>
          </w:p>
        </w:tc>
      </w:tr>
      <w:tr w14:paraId="48F71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4F15D5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N4</w:t>
            </w:r>
            <w:r>
              <w:rPr>
                <w:rFonts w:hint="eastAsia" w:ascii="宋体" w:hAnsi="宋体" w:eastAsia="宋体" w:cs="宋体"/>
                <w:i w:val="0"/>
                <w:iCs w:val="0"/>
                <w:color w:val="000000"/>
                <w:kern w:val="0"/>
                <w:sz w:val="20"/>
                <w:szCs w:val="20"/>
                <w:u w:val="none"/>
                <w:lang w:val="en-US" w:eastAsia="zh-CN" w:bidi="ar"/>
              </w:rPr>
              <w:t>水库北侧</w:t>
            </w:r>
          </w:p>
        </w:tc>
        <w:tc>
          <w:tcPr>
            <w:tcW w:w="2405" w:type="dxa"/>
            <w:tcBorders>
              <w:tl2br w:val="nil"/>
              <w:tr2bl w:val="nil"/>
            </w:tcBorders>
            <w:shd w:val="clear" w:color="auto" w:fill="auto"/>
            <w:vAlign w:val="center"/>
          </w:tcPr>
          <w:p w14:paraId="2D9FB6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51.8</w:t>
            </w:r>
          </w:p>
        </w:tc>
        <w:tc>
          <w:tcPr>
            <w:tcW w:w="2405" w:type="dxa"/>
            <w:tcBorders>
              <w:tl2br w:val="nil"/>
              <w:tr2bl w:val="nil"/>
            </w:tcBorders>
            <w:shd w:val="clear" w:color="auto" w:fill="auto"/>
            <w:vAlign w:val="center"/>
          </w:tcPr>
          <w:p w14:paraId="32EEBD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52.6</w:t>
            </w:r>
          </w:p>
        </w:tc>
      </w:tr>
      <w:tr w14:paraId="79CC3C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7689F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《声环境质量标准》(</w:t>
            </w:r>
            <w:r>
              <w:rPr>
                <w:rFonts w:hint="default" w:ascii="Times New Roman" w:hAnsi="Times New Roman" w:eastAsia="宋体" w:cs="Times New Roman"/>
                <w:b/>
                <w:bCs/>
                <w:i w:val="0"/>
                <w:iCs w:val="0"/>
                <w:color w:val="000000"/>
                <w:kern w:val="0"/>
                <w:sz w:val="20"/>
                <w:szCs w:val="20"/>
                <w:u w:val="none"/>
                <w:lang w:val="en-US" w:eastAsia="zh-CN" w:bidi="ar"/>
              </w:rPr>
              <w:t>GB3096-2008</w:t>
            </w:r>
            <w:r>
              <w:rPr>
                <w:rFonts w:hint="eastAsia" w:ascii="宋体" w:hAnsi="宋体" w:eastAsia="宋体" w:cs="宋体"/>
                <w:b/>
                <w:bCs/>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 xml:space="preserve"> </w:t>
            </w:r>
            <w:r>
              <w:rPr>
                <w:rFonts w:hint="default" w:ascii="Times New Roman" w:hAnsi="Times New Roman" w:eastAsia="宋体" w:cs="Times New Roman"/>
                <w:b/>
                <w:bCs/>
                <w:i w:val="0"/>
                <w:iCs w:val="0"/>
                <w:color w:val="000000"/>
                <w:kern w:val="0"/>
                <w:sz w:val="20"/>
                <w:szCs w:val="20"/>
                <w:u w:val="none"/>
                <w:lang w:val="en-US" w:eastAsia="zh-CN" w:bidi="ar"/>
              </w:rPr>
              <w:t xml:space="preserve">2 </w:t>
            </w:r>
            <w:r>
              <w:rPr>
                <w:rFonts w:hint="eastAsia" w:ascii="宋体" w:hAnsi="宋体" w:eastAsia="宋体" w:cs="宋体"/>
                <w:b/>
                <w:bCs/>
                <w:i w:val="0"/>
                <w:iCs w:val="0"/>
                <w:color w:val="000000"/>
                <w:kern w:val="0"/>
                <w:sz w:val="20"/>
                <w:szCs w:val="20"/>
                <w:u w:val="none"/>
                <w:lang w:val="en-US" w:eastAsia="zh-CN" w:bidi="ar"/>
              </w:rPr>
              <w:t>类标准</w:t>
            </w:r>
          </w:p>
        </w:tc>
        <w:tc>
          <w:tcPr>
            <w:tcW w:w="2405" w:type="dxa"/>
            <w:tcBorders>
              <w:tl2br w:val="nil"/>
              <w:tr2bl w:val="nil"/>
            </w:tcBorders>
            <w:shd w:val="clear" w:color="auto" w:fill="auto"/>
            <w:vAlign w:val="center"/>
          </w:tcPr>
          <w:p w14:paraId="5F53D0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60</w:t>
            </w:r>
          </w:p>
        </w:tc>
        <w:tc>
          <w:tcPr>
            <w:tcW w:w="2405" w:type="dxa"/>
            <w:tcBorders>
              <w:tl2br w:val="nil"/>
              <w:tr2bl w:val="nil"/>
            </w:tcBorders>
            <w:shd w:val="clear" w:color="auto" w:fill="auto"/>
            <w:vAlign w:val="center"/>
          </w:tcPr>
          <w:p w14:paraId="5BA2DA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60</w:t>
            </w:r>
          </w:p>
        </w:tc>
      </w:tr>
      <w:tr w14:paraId="43778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766A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N5</w:t>
            </w:r>
            <w:r>
              <w:rPr>
                <w:rFonts w:hint="eastAsia" w:ascii="宋体" w:hAnsi="宋体" w:eastAsia="宋体" w:cs="宋体"/>
                <w:i w:val="0"/>
                <w:iCs w:val="0"/>
                <w:color w:val="000000"/>
                <w:kern w:val="0"/>
                <w:sz w:val="20"/>
                <w:szCs w:val="20"/>
                <w:u w:val="none"/>
                <w:lang w:val="en-US" w:eastAsia="zh-CN" w:bidi="ar"/>
              </w:rPr>
              <w:t>黄土岌村</w:t>
            </w:r>
          </w:p>
        </w:tc>
        <w:tc>
          <w:tcPr>
            <w:tcW w:w="2405" w:type="dxa"/>
            <w:tcBorders>
              <w:tl2br w:val="nil"/>
              <w:tr2bl w:val="nil"/>
            </w:tcBorders>
            <w:shd w:val="clear" w:color="auto" w:fill="auto"/>
            <w:vAlign w:val="center"/>
          </w:tcPr>
          <w:p w14:paraId="0D9B79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c>
          <w:tcPr>
            <w:tcW w:w="2405" w:type="dxa"/>
            <w:tcBorders>
              <w:tl2br w:val="nil"/>
              <w:tr2bl w:val="nil"/>
            </w:tcBorders>
            <w:shd w:val="clear" w:color="auto" w:fill="auto"/>
            <w:vAlign w:val="center"/>
          </w:tcPr>
          <w:p w14:paraId="7D9477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49.9</w:t>
            </w:r>
          </w:p>
        </w:tc>
      </w:tr>
      <w:tr w14:paraId="6E576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D63C6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N6</w:t>
            </w:r>
            <w:r>
              <w:rPr>
                <w:rFonts w:hint="eastAsia" w:ascii="宋体" w:hAnsi="宋体" w:eastAsia="宋体" w:cs="宋体"/>
                <w:i w:val="0"/>
                <w:iCs w:val="0"/>
                <w:color w:val="000000"/>
                <w:kern w:val="0"/>
                <w:sz w:val="20"/>
                <w:szCs w:val="20"/>
                <w:u w:val="none"/>
                <w:lang w:val="en-US" w:eastAsia="zh-CN" w:bidi="ar"/>
              </w:rPr>
              <w:t>红铺</w:t>
            </w:r>
          </w:p>
        </w:tc>
        <w:tc>
          <w:tcPr>
            <w:tcW w:w="2405" w:type="dxa"/>
            <w:tcBorders>
              <w:tl2br w:val="nil"/>
              <w:tr2bl w:val="nil"/>
            </w:tcBorders>
            <w:shd w:val="clear" w:color="auto" w:fill="auto"/>
            <w:vAlign w:val="center"/>
          </w:tcPr>
          <w:p w14:paraId="7B98B2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47.6</w:t>
            </w:r>
          </w:p>
        </w:tc>
        <w:tc>
          <w:tcPr>
            <w:tcW w:w="2405" w:type="dxa"/>
            <w:tcBorders>
              <w:tl2br w:val="nil"/>
              <w:tr2bl w:val="nil"/>
            </w:tcBorders>
            <w:shd w:val="clear" w:color="auto" w:fill="auto"/>
            <w:vAlign w:val="center"/>
          </w:tcPr>
          <w:p w14:paraId="7DB704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w:t>
            </w:r>
            <w:r>
              <w:rPr>
                <w:rFonts w:hint="eastAsia" w:cs="Times New Roman"/>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1</w:t>
            </w:r>
          </w:p>
        </w:tc>
      </w:tr>
      <w:tr w14:paraId="32257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64A31A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N7</w:t>
            </w:r>
            <w:r>
              <w:rPr>
                <w:rFonts w:hint="eastAsia" w:ascii="宋体" w:hAnsi="宋体" w:eastAsia="宋体" w:cs="宋体"/>
                <w:i w:val="0"/>
                <w:iCs w:val="0"/>
                <w:color w:val="000000"/>
                <w:kern w:val="0"/>
                <w:sz w:val="20"/>
                <w:szCs w:val="20"/>
                <w:u w:val="none"/>
                <w:lang w:val="en-US" w:eastAsia="zh-CN" w:bidi="ar"/>
              </w:rPr>
              <w:t>廊洞村</w:t>
            </w:r>
          </w:p>
        </w:tc>
        <w:tc>
          <w:tcPr>
            <w:tcW w:w="2405" w:type="dxa"/>
            <w:tcBorders>
              <w:tl2br w:val="nil"/>
              <w:tr2bl w:val="nil"/>
            </w:tcBorders>
            <w:shd w:val="clear" w:color="auto" w:fill="auto"/>
            <w:vAlign w:val="center"/>
          </w:tcPr>
          <w:p w14:paraId="3C26BF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48.2</w:t>
            </w:r>
          </w:p>
        </w:tc>
        <w:tc>
          <w:tcPr>
            <w:tcW w:w="2405" w:type="dxa"/>
            <w:tcBorders>
              <w:tl2br w:val="nil"/>
              <w:tr2bl w:val="nil"/>
            </w:tcBorders>
            <w:shd w:val="clear" w:color="auto" w:fill="auto"/>
            <w:vAlign w:val="center"/>
          </w:tcPr>
          <w:p w14:paraId="3A784F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49.6</w:t>
            </w:r>
          </w:p>
        </w:tc>
      </w:tr>
      <w:tr w14:paraId="51A74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jc w:val="center"/>
        </w:trPr>
        <w:tc>
          <w:tcPr>
            <w:tcW w:w="3723" w:type="dxa"/>
            <w:tcBorders>
              <w:tl2br w:val="nil"/>
              <w:tr2bl w:val="nil"/>
            </w:tcBorders>
            <w:shd w:val="clear" w:color="auto" w:fill="auto"/>
            <w:vAlign w:val="center"/>
          </w:tcPr>
          <w:p w14:paraId="1BC91C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《声环境质量标准》(</w:t>
            </w:r>
            <w:r>
              <w:rPr>
                <w:rFonts w:hint="default" w:ascii="Times New Roman" w:hAnsi="Times New Roman" w:eastAsia="宋体" w:cs="Times New Roman"/>
                <w:b/>
                <w:bCs/>
                <w:i w:val="0"/>
                <w:iCs w:val="0"/>
                <w:color w:val="000000"/>
                <w:kern w:val="0"/>
                <w:sz w:val="20"/>
                <w:szCs w:val="20"/>
                <w:u w:val="none"/>
                <w:lang w:val="en-US" w:eastAsia="zh-CN" w:bidi="ar"/>
              </w:rPr>
              <w:t>GB3096-2008</w:t>
            </w:r>
            <w:r>
              <w:rPr>
                <w:rFonts w:hint="eastAsia" w:ascii="宋体" w:hAnsi="宋体" w:eastAsia="宋体" w:cs="宋体"/>
                <w:b/>
                <w:bCs/>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 xml:space="preserve"> </w:t>
            </w:r>
            <w:r>
              <w:rPr>
                <w:rFonts w:hint="default" w:ascii="Times New Roman" w:hAnsi="Times New Roman" w:eastAsia="宋体" w:cs="Times New Roman"/>
                <w:b/>
                <w:bCs/>
                <w:i w:val="0"/>
                <w:iCs w:val="0"/>
                <w:color w:val="000000"/>
                <w:kern w:val="0"/>
                <w:sz w:val="20"/>
                <w:szCs w:val="20"/>
                <w:u w:val="none"/>
                <w:lang w:val="en-US" w:eastAsia="zh-CN" w:bidi="ar"/>
              </w:rPr>
              <w:t xml:space="preserve">1 </w:t>
            </w:r>
            <w:r>
              <w:rPr>
                <w:rFonts w:hint="eastAsia" w:ascii="宋体" w:hAnsi="宋体" w:eastAsia="宋体" w:cs="宋体"/>
                <w:b/>
                <w:bCs/>
                <w:i w:val="0"/>
                <w:iCs w:val="0"/>
                <w:color w:val="000000"/>
                <w:kern w:val="0"/>
                <w:sz w:val="20"/>
                <w:szCs w:val="20"/>
                <w:u w:val="none"/>
                <w:lang w:val="en-US" w:eastAsia="zh-CN" w:bidi="ar"/>
              </w:rPr>
              <w:t>类标准</w:t>
            </w:r>
          </w:p>
        </w:tc>
        <w:tc>
          <w:tcPr>
            <w:tcW w:w="2405" w:type="dxa"/>
            <w:tcBorders>
              <w:tl2br w:val="nil"/>
              <w:tr2bl w:val="nil"/>
            </w:tcBorders>
            <w:shd w:val="clear" w:color="auto" w:fill="auto"/>
            <w:vAlign w:val="center"/>
          </w:tcPr>
          <w:p w14:paraId="043503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50</w:t>
            </w:r>
          </w:p>
        </w:tc>
        <w:tc>
          <w:tcPr>
            <w:tcW w:w="2405" w:type="dxa"/>
            <w:tcBorders>
              <w:tl2br w:val="nil"/>
              <w:tr2bl w:val="nil"/>
            </w:tcBorders>
            <w:shd w:val="clear" w:color="auto" w:fill="auto"/>
            <w:vAlign w:val="center"/>
          </w:tcPr>
          <w:p w14:paraId="0EC10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0"/>
                <w:szCs w:val="20"/>
                <w:u w:val="none"/>
              </w:rPr>
            </w:pPr>
            <w:r>
              <w:rPr>
                <w:rFonts w:hint="default" w:ascii="Times New Roman" w:hAnsi="Times New Roman" w:eastAsia="宋体" w:cs="Times New Roman"/>
                <w:b/>
                <w:bCs/>
                <w:i w:val="0"/>
                <w:iCs w:val="0"/>
                <w:color w:val="000000"/>
                <w:kern w:val="0"/>
                <w:sz w:val="20"/>
                <w:szCs w:val="20"/>
                <w:u w:val="none"/>
                <w:lang w:val="en-US" w:eastAsia="zh-CN" w:bidi="ar"/>
              </w:rPr>
              <w:t>50</w:t>
            </w:r>
          </w:p>
        </w:tc>
      </w:tr>
    </w:tbl>
    <w:p w14:paraId="0DE5B81B">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由上表</w:t>
      </w:r>
      <w:r>
        <w:rPr>
          <w:rFonts w:hint="default" w:ascii="Times New Roman" w:hAnsi="Times New Roman" w:cs="Times New Roman"/>
          <w:color w:val="auto"/>
          <w:u w:val="none" w:color="auto"/>
        </w:rPr>
        <w:t>监测结果表明，</w:t>
      </w:r>
      <w:r>
        <w:rPr>
          <w:rFonts w:hint="eastAsia" w:cs="Times New Roman"/>
          <w:color w:val="auto"/>
          <w:u w:val="none" w:color="auto"/>
          <w:lang w:val="en-US" w:eastAsia="zh-CN"/>
        </w:rPr>
        <w:t>水库四周</w:t>
      </w:r>
      <w:r>
        <w:rPr>
          <w:rFonts w:hint="default" w:ascii="Times New Roman" w:hAnsi="Times New Roman" w:cs="Times New Roman"/>
          <w:color w:val="auto"/>
          <w:u w:val="none" w:color="auto"/>
        </w:rPr>
        <w:t>声环境质量符合《声环境质量标准》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r>
        <w:rPr>
          <w:rFonts w:hint="eastAsia" w:cs="Times New Roman"/>
          <w:color w:val="auto"/>
          <w:u w:val="none" w:color="auto"/>
          <w:lang w:eastAsia="zh-CN"/>
        </w:rPr>
        <w:t>，</w:t>
      </w:r>
      <w:r>
        <w:rPr>
          <w:rFonts w:hint="eastAsia" w:cs="Times New Roman"/>
          <w:color w:val="auto"/>
          <w:u w:val="none" w:color="auto"/>
          <w:lang w:val="en-US" w:eastAsia="zh-CN"/>
        </w:rPr>
        <w:t>项目</w:t>
      </w:r>
      <w:r>
        <w:rPr>
          <w:rFonts w:hint="default" w:ascii="Times New Roman" w:hAnsi="Times New Roman" w:cs="Times New Roman"/>
          <w:color w:val="auto"/>
          <w:u w:val="none" w:color="auto"/>
          <w:lang w:val="en-US" w:eastAsia="zh-CN"/>
        </w:rPr>
        <w:t>附近敏感点</w:t>
      </w:r>
      <w:r>
        <w:rPr>
          <w:rFonts w:hint="default" w:ascii="Times New Roman" w:hAnsi="Times New Roman" w:cs="Times New Roman"/>
          <w:color w:val="auto"/>
          <w:u w:val="none" w:color="auto"/>
        </w:rPr>
        <w:t>声环境质量符合《声环境质量标准》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w:t>
      </w:r>
      <w:r>
        <w:rPr>
          <w:rFonts w:hint="eastAsia" w:cs="Times New Roman"/>
          <w:color w:val="auto"/>
          <w:u w:val="none" w:color="auto"/>
          <w:lang w:val="en-US" w:eastAsia="zh-CN"/>
        </w:rPr>
        <w:t>2</w:t>
      </w:r>
      <w:r>
        <w:rPr>
          <w:rFonts w:hint="default" w:ascii="Times New Roman" w:hAnsi="Times New Roman" w:cs="Times New Roman"/>
          <w:color w:val="auto"/>
          <w:u w:val="none" w:color="auto"/>
        </w:rPr>
        <w:t>类标准。</w:t>
      </w:r>
    </w:p>
    <w:p w14:paraId="64FD0D38">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土壤</w:t>
      </w:r>
      <w:r>
        <w:rPr>
          <w:rFonts w:hint="default" w:ascii="Times New Roman" w:hAnsi="Times New Roman" w:cs="Times New Roman"/>
          <w:color w:val="auto"/>
          <w:u w:val="none" w:color="auto"/>
        </w:rPr>
        <w:t>环境质量现状监测和评价</w:t>
      </w:r>
    </w:p>
    <w:p w14:paraId="6EB2955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项目委托</w:t>
      </w:r>
      <w:r>
        <w:rPr>
          <w:rFonts w:hint="eastAsia" w:cs="Times New Roman"/>
          <w:color w:val="auto"/>
          <w:u w:val="none" w:color="auto"/>
          <w:lang w:eastAsia="zh-CN"/>
        </w:rPr>
        <w:t>湖南乾诚检测有限公司</w:t>
      </w:r>
      <w:r>
        <w:rPr>
          <w:rFonts w:hint="default" w:ascii="Times New Roman" w:hAnsi="Times New Roman" w:cs="Times New Roman"/>
          <w:color w:val="auto"/>
          <w:u w:val="none" w:color="auto"/>
          <w:lang w:eastAsia="zh-CN"/>
        </w:rPr>
        <w:t>对</w:t>
      </w:r>
      <w:r>
        <w:rPr>
          <w:rFonts w:hint="default" w:ascii="Times New Roman" w:hAnsi="Times New Roman" w:cs="Times New Roman"/>
          <w:color w:val="auto"/>
          <w:u w:val="none" w:color="auto"/>
        </w:rPr>
        <w:t>项目区</w:t>
      </w:r>
      <w:r>
        <w:rPr>
          <w:rFonts w:hint="default" w:ascii="Times New Roman" w:hAnsi="Times New Roman" w:cs="Times New Roman"/>
          <w:color w:val="auto"/>
          <w:u w:val="none" w:color="auto"/>
          <w:lang w:eastAsia="zh-CN"/>
        </w:rPr>
        <w:t>及周边</w:t>
      </w:r>
      <w:r>
        <w:rPr>
          <w:rFonts w:hint="default" w:ascii="Times New Roman" w:hAnsi="Times New Roman" w:cs="Times New Roman"/>
          <w:color w:val="auto"/>
          <w:u w:val="none" w:color="auto"/>
        </w:rPr>
        <w:t>土壤环境质量</w:t>
      </w:r>
      <w:r>
        <w:rPr>
          <w:rFonts w:hint="default" w:ascii="Times New Roman" w:hAnsi="Times New Roman" w:cs="Times New Roman"/>
          <w:color w:val="auto"/>
          <w:u w:val="none" w:color="auto"/>
          <w:lang w:eastAsia="zh-CN"/>
        </w:rPr>
        <w:t>进行</w:t>
      </w:r>
      <w:r>
        <w:rPr>
          <w:rFonts w:hint="default" w:ascii="Times New Roman" w:hAnsi="Times New Roman" w:cs="Times New Roman"/>
          <w:color w:val="auto"/>
          <w:u w:val="none" w:color="auto"/>
        </w:rPr>
        <w:t>现状</w:t>
      </w:r>
      <w:r>
        <w:rPr>
          <w:rFonts w:hint="default" w:ascii="Times New Roman" w:hAnsi="Times New Roman" w:cs="Times New Roman"/>
          <w:color w:val="auto"/>
          <w:u w:val="none" w:color="auto"/>
          <w:lang w:eastAsia="zh-CN"/>
        </w:rPr>
        <w:t>监测</w:t>
      </w:r>
      <w:r>
        <w:rPr>
          <w:rFonts w:hint="default" w:ascii="Times New Roman" w:hAnsi="Times New Roman" w:cs="Times New Roman"/>
          <w:color w:val="auto"/>
          <w:u w:val="none" w:color="auto"/>
        </w:rPr>
        <w:t>。</w:t>
      </w:r>
    </w:p>
    <w:p w14:paraId="014023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1、监测点位的位置</w:t>
      </w:r>
    </w:p>
    <w:p w14:paraId="444ED8F0">
      <w:pPr>
        <w:ind w:firstLine="480"/>
        <w:rPr>
          <w:rFonts w:hint="default" w:ascii="Times New Roman" w:hAnsi="Times New Roman" w:eastAsia="宋体" w:cs="Times New Roman"/>
          <w:bCs/>
          <w:color w:val="auto"/>
          <w:u w:val="none" w:color="auto"/>
        </w:rPr>
      </w:pPr>
      <w:r>
        <w:rPr>
          <w:rFonts w:hint="default" w:ascii="Times New Roman" w:hAnsi="Times New Roman" w:eastAsia="宋体" w:cs="Times New Roman"/>
          <w:bCs/>
          <w:color w:val="auto"/>
          <w:u w:val="none" w:color="auto"/>
          <w:lang w:val="en-US" w:eastAsia="zh-CN"/>
        </w:rPr>
        <w:t>在</w:t>
      </w:r>
      <w:r>
        <w:rPr>
          <w:rFonts w:hint="default" w:ascii="Times New Roman" w:hAnsi="Times New Roman" w:eastAsia="宋体" w:cs="Times New Roman"/>
          <w:bCs/>
          <w:color w:val="auto"/>
          <w:u w:val="none" w:color="auto"/>
        </w:rPr>
        <w:t>占地范围内</w:t>
      </w:r>
      <w:r>
        <w:rPr>
          <w:rFonts w:hint="default" w:ascii="Times New Roman" w:hAnsi="Times New Roman" w:eastAsia="宋体" w:cs="Times New Roman"/>
          <w:bCs/>
          <w:color w:val="auto"/>
          <w:u w:val="none" w:color="auto"/>
          <w:lang w:val="en-US" w:eastAsia="zh-CN"/>
        </w:rPr>
        <w:t>共</w:t>
      </w:r>
      <w:r>
        <w:rPr>
          <w:rFonts w:hint="default" w:ascii="Times New Roman" w:hAnsi="Times New Roman" w:eastAsia="宋体" w:cs="Times New Roman"/>
          <w:bCs/>
          <w:color w:val="auto"/>
          <w:u w:val="none" w:color="auto"/>
        </w:rPr>
        <w:t>设</w:t>
      </w:r>
      <w:r>
        <w:rPr>
          <w:rFonts w:hint="default" w:ascii="Times New Roman" w:hAnsi="Times New Roman" w:eastAsia="宋体" w:cs="Times New Roman"/>
          <w:bCs/>
          <w:color w:val="auto"/>
          <w:u w:val="none" w:color="auto"/>
          <w:lang w:val="en-US" w:eastAsia="zh-CN"/>
        </w:rPr>
        <w:t>3</w:t>
      </w:r>
      <w:r>
        <w:rPr>
          <w:rFonts w:hint="default" w:ascii="Times New Roman" w:hAnsi="Times New Roman" w:eastAsia="宋体" w:cs="Times New Roman"/>
          <w:bCs/>
          <w:color w:val="auto"/>
          <w:u w:val="none" w:color="auto"/>
        </w:rPr>
        <w:t>个监测点；监测点分别为廊洞</w:t>
      </w:r>
      <w:r>
        <w:rPr>
          <w:rFonts w:hint="default" w:ascii="Times New Roman" w:hAnsi="Times New Roman" w:cs="Times New Roman"/>
          <w:color w:val="auto"/>
          <w:szCs w:val="21"/>
          <w:u w:val="none" w:color="auto"/>
          <w:lang w:val="en-US" w:eastAsia="zh-CN"/>
        </w:rPr>
        <w:t>水库内</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T1</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r>
        <w:rPr>
          <w:rFonts w:hint="default" w:ascii="Times New Roman" w:hAnsi="Times New Roman" w:eastAsia="宋体" w:cs="Times New Roman"/>
          <w:color w:val="auto"/>
          <w:szCs w:val="21"/>
          <w:u w:val="none" w:color="auto"/>
          <w:lang w:val="en-US" w:eastAsia="zh-CN"/>
        </w:rPr>
        <w:t>大坝上游</w:t>
      </w:r>
      <w:r>
        <w:rPr>
          <w:rFonts w:hint="eastAsia" w:cs="Times New Roman"/>
          <w:color w:val="auto"/>
          <w:szCs w:val="21"/>
          <w:u w:val="none" w:color="auto"/>
          <w:lang w:val="en-US" w:eastAsia="zh-CN"/>
        </w:rPr>
        <w:t>左</w:t>
      </w:r>
      <w:r>
        <w:rPr>
          <w:rFonts w:hint="default" w:ascii="Times New Roman" w:hAnsi="Times New Roman" w:eastAsia="宋体" w:cs="Times New Roman"/>
          <w:color w:val="auto"/>
          <w:szCs w:val="21"/>
          <w:u w:val="none" w:color="auto"/>
          <w:lang w:val="en-US" w:eastAsia="zh-CN"/>
        </w:rPr>
        <w:t>侧黄土岌村附近</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T2</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r>
        <w:rPr>
          <w:rFonts w:hint="default" w:ascii="Times New Roman" w:hAnsi="Times New Roman" w:cs="Times New Roman"/>
          <w:color w:val="auto"/>
          <w:szCs w:val="21"/>
          <w:u w:val="none" w:color="auto"/>
          <w:lang w:val="en-US" w:eastAsia="zh-CN"/>
        </w:rPr>
        <w:t>廊洞村附近</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T3</w:t>
      </w:r>
      <w:r>
        <w:rPr>
          <w:rFonts w:hint="default" w:ascii="Times New Roman" w:hAnsi="Times New Roman" w:cs="Times New Roman"/>
          <w:bCs/>
          <w:color w:val="auto"/>
          <w:highlight w:val="none"/>
          <w:u w:val="none" w:color="auto"/>
          <w:lang w:eastAsia="zh-CN"/>
        </w:rPr>
        <w:t>)</w:t>
      </w:r>
      <w:r>
        <w:rPr>
          <w:rFonts w:hint="default" w:ascii="Times New Roman" w:hAnsi="Times New Roman" w:eastAsia="宋体" w:cs="Times New Roman"/>
          <w:bCs/>
          <w:color w:val="auto"/>
          <w:u w:val="none" w:color="auto"/>
        </w:rPr>
        <w:t>。</w:t>
      </w:r>
    </w:p>
    <w:p w14:paraId="1D0A9ABD">
      <w:pPr>
        <w:spacing w:line="240" w:lineRule="auto"/>
        <w:ind w:firstLine="422"/>
        <w:jc w:val="center"/>
        <w:rPr>
          <w:rFonts w:hint="default" w:ascii="Times New Roman" w:hAnsi="Times New Roman" w:cs="Times New Roman"/>
          <w:b/>
          <w:color w:val="auto"/>
          <w:u w:val="none" w:color="auto"/>
        </w:rPr>
      </w:pP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lang w:val="en-US" w:eastAsia="zh-CN"/>
        </w:rPr>
        <w:t>.2</w:t>
      </w:r>
      <w:r>
        <w:rPr>
          <w:rFonts w:hint="default" w:ascii="Times New Roman" w:hAnsi="Times New Roman" w:cs="Times New Roman"/>
          <w:b/>
          <w:color w:val="auto"/>
          <w:sz w:val="21"/>
          <w:szCs w:val="21"/>
          <w:u w:val="none" w:color="auto"/>
        </w:rPr>
        <w:t>-</w:t>
      </w:r>
      <w:r>
        <w:rPr>
          <w:rFonts w:hint="eastAsia" w:ascii="Times New Roman" w:hAnsi="Times New Roman" w:cs="Times New Roman"/>
          <w:b/>
          <w:color w:val="auto"/>
          <w:sz w:val="21"/>
          <w:szCs w:val="21"/>
          <w:u w:val="none" w:color="auto"/>
          <w:lang w:val="en-US" w:eastAsia="zh-CN"/>
        </w:rPr>
        <w:t xml:space="preserve">8  </w:t>
      </w:r>
      <w:r>
        <w:rPr>
          <w:rFonts w:hint="default" w:ascii="Times New Roman" w:hAnsi="Times New Roman" w:cs="Times New Roman"/>
          <w:b/>
          <w:color w:val="auto"/>
          <w:u w:val="none" w:color="auto"/>
        </w:rPr>
        <w:t>土壤监测布点及监测因子</w:t>
      </w:r>
    </w:p>
    <w:tbl>
      <w:tblPr>
        <w:tblStyle w:val="37"/>
        <w:tblW w:w="862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3"/>
        <w:gridCol w:w="1749"/>
        <w:gridCol w:w="5949"/>
      </w:tblGrid>
      <w:tr w14:paraId="7598D7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1F08E9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编号</w:t>
            </w:r>
          </w:p>
        </w:tc>
        <w:tc>
          <w:tcPr>
            <w:tcW w:w="1749" w:type="dxa"/>
            <w:tcBorders>
              <w:tl2br w:val="nil"/>
              <w:tr2bl w:val="nil"/>
            </w:tcBorders>
            <w:vAlign w:val="center"/>
          </w:tcPr>
          <w:p w14:paraId="52910DF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监测点位</w:t>
            </w:r>
          </w:p>
        </w:tc>
        <w:tc>
          <w:tcPr>
            <w:tcW w:w="5949" w:type="dxa"/>
            <w:tcBorders>
              <w:tl2br w:val="nil"/>
              <w:tr2bl w:val="nil"/>
            </w:tcBorders>
            <w:vAlign w:val="center"/>
          </w:tcPr>
          <w:p w14:paraId="4E20C5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监测因子</w:t>
            </w:r>
          </w:p>
        </w:tc>
      </w:tr>
      <w:tr w14:paraId="4EF34A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73CC2E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T1</w:t>
            </w:r>
          </w:p>
        </w:tc>
        <w:tc>
          <w:tcPr>
            <w:tcW w:w="1749" w:type="dxa"/>
            <w:tcBorders>
              <w:tl2br w:val="nil"/>
              <w:tr2bl w:val="nil"/>
            </w:tcBorders>
            <w:vAlign w:val="center"/>
          </w:tcPr>
          <w:p w14:paraId="39C486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水库内</w:t>
            </w:r>
          </w:p>
        </w:tc>
        <w:tc>
          <w:tcPr>
            <w:tcW w:w="5949" w:type="dxa"/>
            <w:tcBorders>
              <w:tl2br w:val="nil"/>
              <w:tr2bl w:val="nil"/>
            </w:tcBorders>
            <w:vAlign w:val="center"/>
          </w:tcPr>
          <w:p w14:paraId="0FCB08B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砷、镉、</w:t>
            </w:r>
            <w:r>
              <w:rPr>
                <w:rFonts w:hint="eastAsia" w:cs="Times New Roman"/>
                <w:color w:val="auto"/>
                <w:sz w:val="21"/>
                <w:szCs w:val="21"/>
                <w:u w:val="none" w:color="auto"/>
                <w:vertAlign w:val="baseline"/>
                <w:lang w:val="en-US" w:eastAsia="zh-CN"/>
              </w:rPr>
              <w:t>铬(六价)</w:t>
            </w:r>
            <w:r>
              <w:rPr>
                <w:rFonts w:hint="default" w:ascii="Times New Roman" w:hAnsi="Times New Roman" w:eastAsia="宋体" w:cs="Times New Roman"/>
                <w:color w:val="auto"/>
                <w:sz w:val="21"/>
                <w:szCs w:val="21"/>
                <w:u w:val="none" w:color="auto"/>
                <w:vertAlign w:val="baseline"/>
                <w:lang w:val="en-US" w:eastAsia="zh-CN"/>
              </w:rPr>
              <w:t>、铜、铅、汞、镍、四氯化碳、氯仿、氯甲烷、1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1-二氯乙烷、1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1-二氯乙烯、顺-1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2-二氯乙烯、反--1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2-二氯乙烯、二氯甲烷、1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2-四氯乙烷、1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2-四氯乙烷、四氯乙烯、1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1-三氯乙烷、1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2-三氯乙烷、三氯乙烯、1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3-三氯丙烷、氯乙烯、苯、氯苯、1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2-二氯苯、1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4-二氯苯、乙苯、苯乙烯、甲苯、间二甲苯+对二甲苯、邻二甲苯、硝基苯、苯胺、2-氯酚、苯并[a]蒽、苯并[a]芘、苯并[b]荧蒽、苯并[k]荧蒽、䓛、二苯并]a</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h]蒽、茚并]1</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2</w:t>
            </w:r>
            <w:r>
              <w:rPr>
                <w:rFonts w:hint="eastAsia" w:cs="Times New Roman"/>
                <w:color w:val="auto"/>
                <w:sz w:val="21"/>
                <w:szCs w:val="21"/>
                <w:u w:val="none" w:color="auto"/>
                <w:vertAlign w:val="baseline"/>
                <w:lang w:val="en-US" w:eastAsia="zh-CN"/>
              </w:rPr>
              <w:t>,</w:t>
            </w:r>
            <w:r>
              <w:rPr>
                <w:rFonts w:hint="default" w:ascii="Times New Roman" w:hAnsi="Times New Roman" w:eastAsia="宋体" w:cs="Times New Roman"/>
                <w:color w:val="auto"/>
                <w:sz w:val="21"/>
                <w:szCs w:val="21"/>
                <w:u w:val="none" w:color="auto"/>
                <w:vertAlign w:val="baseline"/>
                <w:lang w:val="en-US" w:eastAsia="zh-CN"/>
              </w:rPr>
              <w:t>3-cd]芘、萘共45项基本因子+pH、土壤含盐量</w:t>
            </w:r>
          </w:p>
        </w:tc>
      </w:tr>
      <w:tr w14:paraId="429CD6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tl2br w:val="nil"/>
              <w:tr2bl w:val="nil"/>
            </w:tcBorders>
            <w:vAlign w:val="center"/>
          </w:tcPr>
          <w:p w14:paraId="56FE00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T2</w:t>
            </w:r>
          </w:p>
        </w:tc>
        <w:tc>
          <w:tcPr>
            <w:tcW w:w="1749" w:type="dxa"/>
            <w:tcBorders>
              <w:tl2br w:val="nil"/>
              <w:tr2bl w:val="nil"/>
            </w:tcBorders>
            <w:vAlign w:val="center"/>
          </w:tcPr>
          <w:p w14:paraId="755000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黄土岌村附近</w:t>
            </w:r>
          </w:p>
        </w:tc>
        <w:tc>
          <w:tcPr>
            <w:tcW w:w="5949" w:type="dxa"/>
            <w:tcBorders>
              <w:tl2br w:val="nil"/>
              <w:tr2bl w:val="nil"/>
            </w:tcBorders>
            <w:vAlign w:val="center"/>
          </w:tcPr>
          <w:p w14:paraId="09B095D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镉、汞、砷、铅、铬、铜、镍、锌+pH、土壤含盐量</w:t>
            </w:r>
          </w:p>
        </w:tc>
      </w:tr>
      <w:tr w14:paraId="0B1379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3" w:type="dxa"/>
            <w:tcBorders>
              <w:bottom w:val="single" w:color="000000" w:sz="4" w:space="0"/>
              <w:tl2br w:val="nil"/>
              <w:tr2bl w:val="nil"/>
            </w:tcBorders>
            <w:vAlign w:val="center"/>
          </w:tcPr>
          <w:p w14:paraId="2BFCD6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T3</w:t>
            </w:r>
          </w:p>
        </w:tc>
        <w:tc>
          <w:tcPr>
            <w:tcW w:w="1749" w:type="dxa"/>
            <w:tcBorders>
              <w:bottom w:val="single" w:color="000000" w:sz="4" w:space="0"/>
              <w:tl2br w:val="nil"/>
              <w:tr2bl w:val="nil"/>
            </w:tcBorders>
            <w:vAlign w:val="center"/>
          </w:tcPr>
          <w:p w14:paraId="0B37E8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廊洞村附近</w:t>
            </w:r>
          </w:p>
        </w:tc>
        <w:tc>
          <w:tcPr>
            <w:tcW w:w="5949" w:type="dxa"/>
            <w:tcBorders>
              <w:bottom w:val="single" w:color="000000" w:sz="4" w:space="0"/>
              <w:tl2br w:val="nil"/>
              <w:tr2bl w:val="nil"/>
            </w:tcBorders>
            <w:vAlign w:val="center"/>
          </w:tcPr>
          <w:p w14:paraId="37EB7C2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镉、汞、砷、铅、铬、铜、镍、锌+pH、土壤含盐量</w:t>
            </w:r>
          </w:p>
        </w:tc>
      </w:tr>
    </w:tbl>
    <w:p w14:paraId="6C10D6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2、监测时间和频次</w:t>
      </w:r>
    </w:p>
    <w:p w14:paraId="5B9A72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202</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年</w:t>
      </w:r>
      <w:r>
        <w:rPr>
          <w:rFonts w:hint="eastAsia" w:cs="Times New Roman"/>
          <w:color w:val="auto"/>
          <w:u w:val="none" w:color="auto"/>
          <w:lang w:val="en-US" w:eastAsia="zh-CN"/>
        </w:rPr>
        <w:t>12月22</w:t>
      </w:r>
      <w:r>
        <w:rPr>
          <w:rFonts w:hint="default" w:ascii="Times New Roman" w:hAnsi="Times New Roman" w:cs="Times New Roman"/>
          <w:color w:val="auto"/>
          <w:u w:val="none" w:color="auto"/>
        </w:rPr>
        <w:t>日监测一天。</w:t>
      </w:r>
    </w:p>
    <w:p w14:paraId="20C966C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3、评价标准</w:t>
      </w:r>
    </w:p>
    <w:p w14:paraId="6EE068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建设</w:t>
      </w:r>
      <w:r>
        <w:rPr>
          <w:rFonts w:hint="default" w:ascii="Times New Roman" w:hAnsi="Times New Roman" w:cs="Times New Roman"/>
          <w:color w:val="auto"/>
          <w:u w:val="none" w:color="auto"/>
          <w:lang w:eastAsia="zh-CN"/>
        </w:rPr>
        <w:t>用地</w:t>
      </w:r>
      <w:r>
        <w:rPr>
          <w:rFonts w:hint="default" w:ascii="Times New Roman" w:hAnsi="Times New Roman" w:cs="Times New Roman"/>
          <w:color w:val="auto"/>
          <w:u w:val="none" w:color="auto"/>
        </w:rPr>
        <w:t>执行《土壤环境质量</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建设用地土壤污染风险管控标准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GB36600-2018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表1中筛选值第二类用地标准限值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农业用地执行</w:t>
      </w:r>
      <w:r>
        <w:rPr>
          <w:rFonts w:hint="default" w:ascii="Times New Roman" w:hAnsi="Times New Roman" w:eastAsia="宋体" w:cs="Times New Roman"/>
          <w:color w:val="auto"/>
          <w:sz w:val="24"/>
          <w:u w:val="none" w:color="auto"/>
          <w:lang w:val="en-US" w:eastAsia="zh-CN"/>
        </w:rPr>
        <w:t>《土壤环境质量</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农业用地土壤污染风险管控标准</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试行</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eastAsia="宋体" w:cs="Times New Roman"/>
          <w:color w:val="auto"/>
          <w:sz w:val="24"/>
          <w:u w:val="none" w:color="auto"/>
          <w:lang w:val="en-US" w:eastAsia="zh-CN"/>
        </w:rPr>
        <w:t>GB15618-2018</w:t>
      </w:r>
      <w:r>
        <w:rPr>
          <w:rFonts w:hint="default" w:ascii="Times New Roman" w:hAnsi="Times New Roman" w:cs="Times New Roman"/>
          <w:color w:val="auto"/>
          <w:sz w:val="24"/>
          <w:highlight w:val="none"/>
          <w:u w:val="none" w:color="auto"/>
          <w:lang w:val="en-US" w:eastAsia="zh-CN"/>
        </w:rPr>
        <w:t>)筛选值</w:t>
      </w:r>
      <w:r>
        <w:rPr>
          <w:rFonts w:hint="default" w:ascii="Times New Roman" w:hAnsi="Times New Roman" w:cs="Times New Roman"/>
          <w:color w:val="auto"/>
          <w:u w:val="none" w:color="auto"/>
        </w:rPr>
        <w:t>。</w:t>
      </w:r>
    </w:p>
    <w:p w14:paraId="3422E5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4、监测及评价结果</w:t>
      </w:r>
    </w:p>
    <w:p w14:paraId="62C5B2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w:t>
      </w:r>
      <w:r>
        <w:rPr>
          <w:rFonts w:hint="eastAsia" w:cs="Times New Roman"/>
          <w:color w:val="auto"/>
          <w:u w:val="none" w:color="auto"/>
          <w:lang w:val="en-US" w:eastAsia="zh-CN"/>
        </w:rPr>
        <w:t>区</w:t>
      </w:r>
      <w:r>
        <w:rPr>
          <w:rFonts w:hint="default" w:ascii="Times New Roman" w:hAnsi="Times New Roman" w:cs="Times New Roman"/>
          <w:color w:val="auto"/>
          <w:u w:val="none" w:color="auto"/>
        </w:rPr>
        <w:t>土壤环境现状监测及评价结果见下表。</w:t>
      </w:r>
    </w:p>
    <w:p w14:paraId="10E3C7F4">
      <w:pPr>
        <w:spacing w:line="240" w:lineRule="auto"/>
        <w:ind w:firstLine="422"/>
        <w:jc w:val="center"/>
        <w:rPr>
          <w:rFonts w:hint="default" w:ascii="Times New Roman" w:hAnsi="Times New Roman" w:eastAsia="宋体" w:cs="Times New Roman"/>
          <w:b/>
          <w:color w:val="auto"/>
          <w:sz w:val="21"/>
          <w:szCs w:val="21"/>
          <w:u w:val="none" w:color="auto"/>
          <w:lang w:eastAsia="zh-CN"/>
        </w:rPr>
      </w:pPr>
      <w:r>
        <w:rPr>
          <w:rFonts w:hint="default" w:ascii="Times New Roman" w:hAnsi="Times New Roman" w:cs="Times New Roman"/>
          <w:b/>
          <w:color w:val="auto"/>
          <w:sz w:val="21"/>
          <w:szCs w:val="21"/>
          <w:u w:val="none" w:color="auto"/>
        </w:rPr>
        <w:t>表</w:t>
      </w:r>
      <w:r>
        <w:rPr>
          <w:rFonts w:hint="eastAsia" w:cs="Times New Roman"/>
          <w:b/>
          <w:color w:val="auto"/>
          <w:sz w:val="21"/>
          <w:szCs w:val="21"/>
          <w:u w:val="none" w:color="auto"/>
          <w:lang w:val="en-US" w:eastAsia="zh-CN"/>
        </w:rPr>
        <w:t>5</w:t>
      </w:r>
      <w:r>
        <w:rPr>
          <w:rFonts w:hint="default" w:ascii="Times New Roman" w:hAnsi="Times New Roman" w:cs="Times New Roman"/>
          <w:b/>
          <w:color w:val="auto"/>
          <w:sz w:val="21"/>
          <w:szCs w:val="21"/>
          <w:u w:val="none" w:color="auto"/>
          <w:lang w:val="en-US" w:eastAsia="zh-CN"/>
        </w:rPr>
        <w:t>.2-</w:t>
      </w:r>
      <w:r>
        <w:rPr>
          <w:rFonts w:hint="eastAsia" w:ascii="Times New Roman" w:hAnsi="Times New Roman" w:cs="Times New Roman"/>
          <w:b/>
          <w:color w:val="auto"/>
          <w:sz w:val="21"/>
          <w:szCs w:val="21"/>
          <w:u w:val="none" w:color="auto"/>
          <w:lang w:val="en-US" w:eastAsia="zh-CN"/>
        </w:rPr>
        <w:t xml:space="preserve">9 </w:t>
      </w:r>
      <w:r>
        <w:rPr>
          <w:rFonts w:hint="eastAsia"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highlight w:val="none"/>
          <w:u w:val="none" w:color="auto"/>
        </w:rPr>
        <w:t>土壤检测</w:t>
      </w:r>
      <w:r>
        <w:rPr>
          <w:rFonts w:hint="default" w:ascii="Times New Roman" w:hAnsi="Times New Roman" w:cs="Times New Roman"/>
          <w:b/>
          <w:color w:val="auto"/>
          <w:sz w:val="21"/>
          <w:szCs w:val="21"/>
          <w:u w:val="none" w:color="auto"/>
        </w:rPr>
        <w:t>结果</w:t>
      </w:r>
      <w:r>
        <w:rPr>
          <w:rFonts w:hint="default" w:ascii="Times New Roman" w:hAnsi="Times New Roman" w:cs="Times New Roman"/>
          <w:b/>
          <w:color w:val="auto"/>
          <w:sz w:val="21"/>
          <w:szCs w:val="21"/>
          <w:highlight w:val="none"/>
          <w:u w:val="none" w:color="auto"/>
          <w:lang w:eastAsia="zh-CN"/>
        </w:rPr>
        <w:t>(</w:t>
      </w:r>
      <w:r>
        <w:rPr>
          <w:rFonts w:hint="default" w:ascii="Times New Roman" w:hAnsi="Times New Roman" w:cs="Times New Roman"/>
          <w:b/>
          <w:color w:val="auto"/>
          <w:sz w:val="21"/>
          <w:szCs w:val="21"/>
          <w:u w:val="none" w:color="auto"/>
        </w:rPr>
        <w:t>单位</w:t>
      </w:r>
      <w:r>
        <w:rPr>
          <w:rFonts w:hint="default" w:ascii="Times New Roman" w:hAnsi="Times New Roman" w:cs="Times New Roman"/>
          <w:b/>
          <w:color w:val="auto"/>
          <w:sz w:val="21"/>
          <w:szCs w:val="21"/>
          <w:u w:val="none" w:color="auto"/>
          <w:lang w:eastAsia="zh-CN"/>
        </w:rPr>
        <w:t>:</w:t>
      </w:r>
      <w:r>
        <w:rPr>
          <w:rFonts w:hint="default" w:ascii="Times New Roman" w:hAnsi="Times New Roman" w:cs="Times New Roman"/>
          <w:b/>
          <w:color w:val="auto"/>
          <w:sz w:val="21"/>
          <w:szCs w:val="21"/>
          <w:u w:val="none" w:color="auto"/>
        </w:rPr>
        <w:t>mg/kg，除</w:t>
      </w:r>
      <w:r>
        <w:rPr>
          <w:rFonts w:hint="default" w:ascii="Times New Roman" w:hAnsi="Times New Roman" w:cs="Times New Roman"/>
          <w:b/>
          <w:color w:val="auto"/>
          <w:sz w:val="21"/>
          <w:szCs w:val="21"/>
          <w:u w:val="none" w:color="auto"/>
          <w:lang w:eastAsia="zh-CN"/>
        </w:rPr>
        <w:t>pH</w:t>
      </w:r>
      <w:r>
        <w:rPr>
          <w:rFonts w:hint="default" w:ascii="Times New Roman" w:hAnsi="Times New Roman" w:cs="Times New Roman"/>
          <w:b/>
          <w:color w:val="auto"/>
          <w:sz w:val="21"/>
          <w:szCs w:val="21"/>
          <w:u w:val="none" w:color="auto"/>
        </w:rPr>
        <w:t>外</w:t>
      </w:r>
      <w:r>
        <w:rPr>
          <w:rFonts w:hint="default" w:ascii="Times New Roman" w:hAnsi="Times New Roman" w:cs="Times New Roman"/>
          <w:b/>
          <w:color w:val="auto"/>
          <w:sz w:val="21"/>
          <w:szCs w:val="21"/>
          <w:highlight w:val="none"/>
          <w:u w:val="none" w:color="auto"/>
          <w:lang w:eastAsia="zh-CN"/>
        </w:rPr>
        <w:t>)</w:t>
      </w:r>
    </w:p>
    <w:tbl>
      <w:tblPr>
        <w:tblStyle w:val="37"/>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87"/>
        <w:gridCol w:w="870"/>
        <w:gridCol w:w="790"/>
        <w:gridCol w:w="1750"/>
        <w:gridCol w:w="982"/>
        <w:gridCol w:w="1155"/>
        <w:gridCol w:w="1099"/>
      </w:tblGrid>
      <w:tr w14:paraId="4D728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1D4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采样点位</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A0E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采样深度</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DBB4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检测项目</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457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311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检测结果</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E49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筛选值</w:t>
            </w:r>
          </w:p>
        </w:tc>
      </w:tr>
      <w:tr w14:paraId="6E30B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91C0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T1水库内</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BAB5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EA5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 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B62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760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7.25</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1B6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i w:val="0"/>
                <w:iCs w:val="0"/>
                <w:color w:val="000000"/>
                <w:sz w:val="21"/>
                <w:szCs w:val="21"/>
                <w:u w:val="none"/>
              </w:rPr>
            </w:pPr>
          </w:p>
        </w:tc>
      </w:tr>
      <w:tr w14:paraId="07FFF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4F48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CD5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C3D7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057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1FF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7FC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00AC8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F3F0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2A48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D1E2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FD1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E35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7A7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60</w:t>
            </w:r>
          </w:p>
        </w:tc>
      </w:tr>
      <w:tr w14:paraId="2F75F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7F0B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F16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2BA2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227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378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64E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w:t>
            </w:r>
          </w:p>
        </w:tc>
      </w:tr>
      <w:tr w14:paraId="5B1916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8460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8AF2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7EBA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eastAsia" w:cs="Times New Roman"/>
                <w:i w:val="0"/>
                <w:iCs w:val="0"/>
                <w:color w:val="000000"/>
                <w:kern w:val="0"/>
                <w:sz w:val="21"/>
                <w:szCs w:val="21"/>
                <w:u w:val="none"/>
                <w:lang w:val="en-US" w:eastAsia="zh-CN" w:bidi="ar"/>
              </w:rPr>
              <w:t>铬(六价)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26E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DDC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6B0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5.7</w:t>
            </w:r>
          </w:p>
        </w:tc>
      </w:tr>
      <w:tr w14:paraId="18DC30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7F0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525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9FE9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630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40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3FC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18000</w:t>
            </w:r>
          </w:p>
        </w:tc>
      </w:tr>
      <w:tr w14:paraId="16F58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B430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F3D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5784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1BE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B0D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871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800</w:t>
            </w:r>
          </w:p>
        </w:tc>
      </w:tr>
      <w:tr w14:paraId="2E574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E614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3A99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C7E8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707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AD2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0.208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BF3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38</w:t>
            </w:r>
          </w:p>
        </w:tc>
      </w:tr>
      <w:tr w14:paraId="2A656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0C31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DF76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361A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7EC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0CB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E52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900</w:t>
            </w:r>
          </w:p>
        </w:tc>
      </w:tr>
      <w:tr w14:paraId="4FEAF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C9A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98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ABF9D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四氯化碳</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806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CE8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9BD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527C5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619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8095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80A9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氯仿</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AED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02E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B2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0.9</w:t>
            </w:r>
          </w:p>
        </w:tc>
      </w:tr>
      <w:tr w14:paraId="68DC4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7A5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B78D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FDA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氯甲烷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49B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0CC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1D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37</w:t>
            </w:r>
          </w:p>
        </w:tc>
      </w:tr>
      <w:tr w14:paraId="19A33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6E72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94B4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F945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56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1二氯乙烷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229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35E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E20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9</w:t>
            </w:r>
          </w:p>
        </w:tc>
      </w:tr>
      <w:tr w14:paraId="2A4CE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14A1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EF4A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1D2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4EA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 二氯乙烷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07E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B28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921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w:t>
            </w:r>
          </w:p>
        </w:tc>
      </w:tr>
      <w:tr w14:paraId="22820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10E0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E150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0FE493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 乙烯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1D4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4C0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E2D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9E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66</w:t>
            </w:r>
          </w:p>
        </w:tc>
      </w:tr>
      <w:tr w14:paraId="1C9B1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710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213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right w:val="single" w:color="000000" w:sz="4" w:space="0"/>
            </w:tcBorders>
            <w:shd w:val="clear" w:color="auto" w:fill="auto"/>
            <w:vAlign w:val="center"/>
          </w:tcPr>
          <w:p w14:paraId="71A24D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353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顺-1,2-二氯乙烯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1D3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7D6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49A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596</w:t>
            </w:r>
          </w:p>
        </w:tc>
      </w:tr>
      <w:tr w14:paraId="682F5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02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A7B7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noWrap/>
            <w:vAlign w:val="center"/>
          </w:tcPr>
          <w:p w14:paraId="529EA5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05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反-1,2-二氯乙烯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C09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8A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79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54</w:t>
            </w:r>
          </w:p>
        </w:tc>
      </w:tr>
      <w:tr w14:paraId="13ED0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0E19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399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F3E7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二氯甲烷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38D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94A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62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616</w:t>
            </w:r>
          </w:p>
        </w:tc>
      </w:tr>
      <w:tr w14:paraId="5DA65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690D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661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0FE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1,2-二氯丙烷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52B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9A4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C92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w:t>
            </w:r>
          </w:p>
        </w:tc>
      </w:tr>
      <w:tr w14:paraId="09011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8D3E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3E2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FE54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 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48D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1,1,1,2-四氯乙烷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1BC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B93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11C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w:t>
            </w:r>
          </w:p>
        </w:tc>
      </w:tr>
      <w:tr w14:paraId="35997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945C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52BE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CB7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C2E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1,1,2,2-四氯乙烷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BAD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4E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9C6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6.8</w:t>
            </w:r>
          </w:p>
        </w:tc>
      </w:tr>
      <w:tr w14:paraId="4DFFE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854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A4C3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0C8F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155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042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244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53</w:t>
            </w:r>
          </w:p>
        </w:tc>
      </w:tr>
      <w:tr w14:paraId="5CF2F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3CB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6B8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E2C4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三氯 乙烷</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E08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 1-三氯乙烷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94C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44F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332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840</w:t>
            </w:r>
          </w:p>
        </w:tc>
      </w:tr>
      <w:tr w14:paraId="2C9B1E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91B8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68B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4A8F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CBD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 1,2-三氯乙烷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0E8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182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220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6DC27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67E1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718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2D4C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三氯乙烯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C6D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276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DBD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7ECA5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762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74F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2647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1,2,3-三氯丙烷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CEB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97C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073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0.5</w:t>
            </w:r>
          </w:p>
        </w:tc>
      </w:tr>
      <w:tr w14:paraId="36922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81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B74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E94D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2FA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BDB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E53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0.43</w:t>
            </w:r>
          </w:p>
        </w:tc>
      </w:tr>
      <w:tr w14:paraId="19513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14D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2844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7285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84D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138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C9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25D11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3FA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FCAA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DF99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B55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1FA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EF5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270</w:t>
            </w:r>
          </w:p>
        </w:tc>
      </w:tr>
      <w:tr w14:paraId="31420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95D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F5F6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1228BB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二氯苯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66B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1,2-二氯苯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B2D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FD9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BA4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560</w:t>
            </w:r>
          </w:p>
        </w:tc>
      </w:tr>
      <w:tr w14:paraId="679C2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2CBA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9AF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vAlign w:val="center"/>
          </w:tcPr>
          <w:p w14:paraId="5D3830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91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1,4-二氯苯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D7B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25A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51E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20</w:t>
            </w:r>
          </w:p>
        </w:tc>
      </w:tr>
      <w:tr w14:paraId="7EDE80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D28A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08AF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7FF5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乙苯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057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F0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471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28</w:t>
            </w:r>
          </w:p>
        </w:tc>
      </w:tr>
      <w:tr w14:paraId="32E10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ADAB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5BE4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1E08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苯乙烯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440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F5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44A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1290</w:t>
            </w:r>
          </w:p>
        </w:tc>
      </w:tr>
      <w:tr w14:paraId="76F12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D69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C16C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4A9E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CFB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E1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7C0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1200</w:t>
            </w:r>
          </w:p>
        </w:tc>
      </w:tr>
      <w:tr w14:paraId="16E43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7FD8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E090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restart"/>
            <w:tcBorders>
              <w:top w:val="single" w:color="000000" w:sz="4" w:space="0"/>
              <w:left w:val="single" w:color="000000" w:sz="4" w:space="0"/>
              <w:right w:val="single" w:color="000000" w:sz="4" w:space="0"/>
            </w:tcBorders>
            <w:shd w:val="clear" w:color="auto" w:fill="auto"/>
            <w:vAlign w:val="center"/>
          </w:tcPr>
          <w:p w14:paraId="018D95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二甲苯</w:t>
            </w: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E3B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间,对二甲苯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E1E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81D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986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570</w:t>
            </w:r>
          </w:p>
        </w:tc>
      </w:tr>
      <w:tr w14:paraId="16CC9F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E1C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FF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90" w:type="dxa"/>
            <w:vMerge w:val="continue"/>
            <w:tcBorders>
              <w:left w:val="single" w:color="000000" w:sz="4" w:space="0"/>
              <w:bottom w:val="single" w:color="000000" w:sz="4" w:space="0"/>
              <w:right w:val="single" w:color="000000" w:sz="4" w:space="0"/>
            </w:tcBorders>
            <w:shd w:val="clear" w:color="auto" w:fill="auto"/>
            <w:vAlign w:val="center"/>
          </w:tcPr>
          <w:p w14:paraId="209A3C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17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4D8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邻二甲苯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B89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FD3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075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640</w:t>
            </w:r>
          </w:p>
        </w:tc>
      </w:tr>
      <w:tr w14:paraId="5D89C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182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C99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42E5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硝基苯</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14D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D39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B83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76</w:t>
            </w:r>
          </w:p>
        </w:tc>
      </w:tr>
      <w:tr w14:paraId="780B4E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448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8B73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3D12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苯胺</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762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EAE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0.66L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945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260</w:t>
            </w:r>
          </w:p>
        </w:tc>
      </w:tr>
      <w:tr w14:paraId="3F35E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8AC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9EC3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B0E8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2-氯酚</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F14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B06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6AD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2256</w:t>
            </w:r>
          </w:p>
        </w:tc>
      </w:tr>
      <w:tr w14:paraId="19634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15F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2EF6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5DD85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苯并[a]蒽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8F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9F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7A1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149E5E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D852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2C1E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5014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苯并[a]芘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2B9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B0B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348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57BEC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73F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09A4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5BDE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苯并[b]荧蒽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02B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41B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69B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07548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D6D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C6E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7058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苯并[k]荧蒽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5E9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AC5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66E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151</w:t>
            </w:r>
          </w:p>
        </w:tc>
      </w:tr>
      <w:tr w14:paraId="13AF9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A7EB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3680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AB09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䓛</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63A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730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3D8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1293</w:t>
            </w:r>
          </w:p>
        </w:tc>
      </w:tr>
      <w:tr w14:paraId="432411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5CEF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A96A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BB49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二苯并[a,h]蒽</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4F8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C5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B2C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17532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7A53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1965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91D4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茚并[1,2,3-cd]芘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4CF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BAE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A27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15</w:t>
            </w:r>
          </w:p>
        </w:tc>
      </w:tr>
      <w:tr w14:paraId="4C17D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9C8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A99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05A7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萘</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963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A5E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846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w:t>
            </w:r>
          </w:p>
        </w:tc>
      </w:tr>
      <w:tr w14:paraId="5A66D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E55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T2 黄土岌村附近</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474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C2D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242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3F0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C76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6.5-7.5</w:t>
            </w:r>
          </w:p>
        </w:tc>
      </w:tr>
      <w:tr w14:paraId="20163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0CD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77E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4B6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C1B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6F0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7A5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5D867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D70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E98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C3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2E0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BE6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15C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21CA7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121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CFC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E72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26D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980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0.264</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96C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5D0E5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76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F4B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B52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A5C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CE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1D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w:t>
            </w:r>
          </w:p>
        </w:tc>
      </w:tr>
      <w:tr w14:paraId="6ED24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C2A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E4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FA8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AFC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9A1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556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700</w:t>
            </w:r>
          </w:p>
        </w:tc>
      </w:tr>
      <w:tr w14:paraId="730E9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3BF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BAD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AB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总铬</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2CD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4B0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FE8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9926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DF1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83E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500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115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37E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543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13470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F58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72C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5B0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37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D8D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993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4EF11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D34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A8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175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锌</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D8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CBB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227</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E20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r w14:paraId="76A23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EEC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T3廊洞村附近</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083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2D2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pH值</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47A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无量纲</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865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454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6.5-7.5</w:t>
            </w:r>
          </w:p>
        </w:tc>
      </w:tr>
      <w:tr w14:paraId="79515C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BB1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69D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F5A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含盐量</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全盐量</w:t>
            </w:r>
            <w:r>
              <w:rPr>
                <w:rFonts w:hint="eastAsia" w:cs="Times New Roman"/>
                <w:i w:val="0"/>
                <w:iCs w:val="0"/>
                <w:color w:val="000000"/>
                <w:kern w:val="0"/>
                <w:sz w:val="21"/>
                <w:szCs w:val="21"/>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892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D3A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6A3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w:t>
            </w:r>
          </w:p>
        </w:tc>
      </w:tr>
      <w:tr w14:paraId="170CA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B7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37E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5B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镉</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42E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A3D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0.21</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AB3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3</w:t>
            </w:r>
          </w:p>
        </w:tc>
      </w:tr>
      <w:tr w14:paraId="0AE7A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E94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E0C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0D1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汞</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FB7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ECA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0.186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E52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4</w:t>
            </w:r>
          </w:p>
        </w:tc>
      </w:tr>
      <w:tr w14:paraId="23BC3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EE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71C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42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砷</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351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72A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5A4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120</w:t>
            </w:r>
          </w:p>
        </w:tc>
      </w:tr>
      <w:tr w14:paraId="4F378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75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7A7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00F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11C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50F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CAB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700</w:t>
            </w:r>
          </w:p>
        </w:tc>
      </w:tr>
      <w:tr w14:paraId="208E4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7E9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93D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37B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总铬</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F81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F0C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A69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1000</w:t>
            </w:r>
          </w:p>
        </w:tc>
      </w:tr>
      <w:tr w14:paraId="5F75C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700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9F6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EB3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铜</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ADD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026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BD0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07B03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26B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390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F4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镍</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F40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336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728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100</w:t>
            </w:r>
          </w:p>
        </w:tc>
      </w:tr>
      <w:tr w14:paraId="4CB57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8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C7F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D3F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25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CF4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锌</w:t>
            </w:r>
          </w:p>
        </w:tc>
        <w:tc>
          <w:tcPr>
            <w:tcW w:w="9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440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mg/kg</w:t>
            </w:r>
          </w:p>
        </w:tc>
        <w:tc>
          <w:tcPr>
            <w:tcW w:w="11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5D9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152</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F78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250</w:t>
            </w:r>
          </w:p>
        </w:tc>
      </w:tr>
    </w:tbl>
    <w:p w14:paraId="16825C55">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由</w:t>
      </w:r>
      <w:r>
        <w:rPr>
          <w:rFonts w:hint="default" w:ascii="Times New Roman" w:hAnsi="Times New Roman" w:cs="Times New Roman"/>
          <w:color w:val="auto"/>
          <w:u w:val="none" w:color="auto"/>
        </w:rPr>
        <w:t>上述监测结果表明，</w:t>
      </w:r>
      <w:r>
        <w:rPr>
          <w:rFonts w:hint="eastAsia" w:cs="Times New Roman"/>
          <w:color w:val="auto"/>
          <w:u w:val="none" w:color="auto"/>
          <w:lang w:val="en-US" w:eastAsia="zh-CN"/>
        </w:rPr>
        <w:t>项目</w:t>
      </w:r>
      <w:r>
        <w:rPr>
          <w:rFonts w:hint="default" w:ascii="Times New Roman" w:hAnsi="Times New Roman" w:cs="Times New Roman"/>
          <w:color w:val="auto"/>
          <w:u w:val="none" w:color="auto"/>
        </w:rPr>
        <w:t>占地范围内的T</w:t>
      </w:r>
      <w:r>
        <w:rPr>
          <w:rFonts w:hint="eastAsia" w:cs="Times New Roman"/>
          <w:color w:val="auto"/>
          <w:u w:val="none" w:color="auto"/>
          <w:lang w:val="en-US" w:eastAsia="zh-CN"/>
        </w:rPr>
        <w:t>1</w:t>
      </w:r>
      <w:r>
        <w:rPr>
          <w:rFonts w:hint="default" w:ascii="Times New Roman" w:hAnsi="Times New Roman" w:cs="Times New Roman"/>
          <w:color w:val="auto"/>
          <w:u w:val="none" w:color="auto"/>
        </w:rPr>
        <w:t>监测点各监测因子均满足《土壤环境质量</w:t>
      </w:r>
      <w:r>
        <w:rPr>
          <w:rFonts w:hint="eastAsia" w:cs="Times New Roman"/>
          <w:color w:val="auto"/>
          <w:u w:val="none" w:color="auto"/>
          <w:lang w:val="en-US" w:eastAsia="zh-CN"/>
        </w:rPr>
        <w:t xml:space="preserve"> </w:t>
      </w:r>
      <w:r>
        <w:rPr>
          <w:rFonts w:hint="default" w:ascii="Times New Roman" w:hAnsi="Times New Roman" w:cs="Times New Roman"/>
          <w:color w:val="auto"/>
          <w:u w:val="none" w:color="auto"/>
        </w:rPr>
        <w:t>建设用地土壤污染风险管控标准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试行</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GB36600-2018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第二类用地的筛选值要求</w:t>
      </w:r>
      <w:r>
        <w:rPr>
          <w:rFonts w:hint="eastAsia" w:cs="Times New Roman"/>
          <w:color w:val="auto"/>
          <w:u w:val="none" w:color="auto"/>
          <w:lang w:eastAsia="zh-CN"/>
        </w:rPr>
        <w:t>，</w:t>
      </w:r>
      <w:r>
        <w:rPr>
          <w:rFonts w:hint="default" w:ascii="Times New Roman" w:hAnsi="Times New Roman" w:cs="Times New Roman"/>
          <w:color w:val="auto"/>
          <w:u w:val="none" w:color="auto"/>
        </w:rPr>
        <w:t>T</w:t>
      </w:r>
      <w:r>
        <w:rPr>
          <w:rFonts w:hint="eastAsia" w:cs="Times New Roman"/>
          <w:color w:val="auto"/>
          <w:u w:val="none" w:color="auto"/>
          <w:lang w:val="en-US" w:eastAsia="zh-CN"/>
        </w:rPr>
        <w:t>2、</w:t>
      </w:r>
      <w:r>
        <w:rPr>
          <w:rFonts w:hint="default" w:ascii="Times New Roman" w:hAnsi="Times New Roman" w:cs="Times New Roman"/>
          <w:color w:val="auto"/>
          <w:u w:val="none" w:color="auto"/>
        </w:rPr>
        <w:t>T</w:t>
      </w:r>
      <w:r>
        <w:rPr>
          <w:rFonts w:hint="eastAsia" w:cs="Times New Roman"/>
          <w:color w:val="auto"/>
          <w:u w:val="none" w:color="auto"/>
          <w:lang w:val="en-US" w:eastAsia="zh-CN"/>
        </w:rPr>
        <w:t>3</w:t>
      </w:r>
      <w:r>
        <w:rPr>
          <w:rFonts w:hint="default" w:ascii="Times New Roman" w:hAnsi="Times New Roman" w:cs="Times New Roman"/>
          <w:color w:val="auto"/>
          <w:u w:val="none" w:color="auto"/>
        </w:rPr>
        <w:t>监测点各监测因子均满足</w:t>
      </w:r>
      <w:r>
        <w:rPr>
          <w:rFonts w:hint="default" w:ascii="Times New Roman" w:hAnsi="Times New Roman" w:eastAsia="宋体" w:cs="Times New Roman"/>
          <w:color w:val="auto"/>
          <w:sz w:val="24"/>
          <w:u w:val="none" w:color="auto"/>
          <w:lang w:val="en-US" w:eastAsia="zh-CN"/>
        </w:rPr>
        <w:t>《土壤环境质量</w:t>
      </w:r>
      <w:r>
        <w:rPr>
          <w:rFonts w:hint="eastAsia" w:cs="Times New Roman"/>
          <w:color w:val="auto"/>
          <w:sz w:val="24"/>
          <w:highlight w:val="none"/>
          <w:u w:val="none" w:color="auto"/>
          <w:lang w:val="en-US" w:eastAsia="zh-CN"/>
        </w:rPr>
        <w:t xml:space="preserve"> </w:t>
      </w:r>
      <w:r>
        <w:rPr>
          <w:rFonts w:hint="default" w:ascii="Times New Roman" w:hAnsi="Times New Roman" w:eastAsia="宋体" w:cs="Times New Roman"/>
          <w:color w:val="auto"/>
          <w:sz w:val="24"/>
          <w:u w:val="none" w:color="auto"/>
          <w:lang w:val="en-US" w:eastAsia="zh-CN"/>
        </w:rPr>
        <w:t>农业用地土壤污染风险管控标准</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试行</w:t>
      </w:r>
      <w:r>
        <w:rPr>
          <w:rFonts w:hint="default" w:ascii="Times New Roman" w:hAnsi="Times New Roman" w:cs="Times New Roman"/>
          <w:color w:val="auto"/>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w:t>
      </w:r>
      <w:r>
        <w:rPr>
          <w:rFonts w:hint="default" w:ascii="Times New Roman" w:hAnsi="Times New Roman" w:cs="Times New Roman"/>
          <w:color w:val="auto"/>
          <w:sz w:val="24"/>
          <w:u w:val="none" w:color="auto"/>
          <w:lang w:val="en-US" w:eastAsia="zh-CN"/>
        </w:rPr>
        <w:t>(</w:t>
      </w:r>
      <w:r>
        <w:rPr>
          <w:rFonts w:hint="default" w:ascii="Times New Roman" w:hAnsi="Times New Roman" w:eastAsia="宋体" w:cs="Times New Roman"/>
          <w:color w:val="auto"/>
          <w:sz w:val="24"/>
          <w:u w:val="none" w:color="auto"/>
          <w:lang w:val="en-US" w:eastAsia="zh-CN"/>
        </w:rPr>
        <w:t>GB15618-2018</w:t>
      </w:r>
      <w:r>
        <w:rPr>
          <w:rFonts w:hint="default" w:ascii="Times New Roman" w:hAnsi="Times New Roman" w:cs="Times New Roman"/>
          <w:color w:val="auto"/>
          <w:sz w:val="24"/>
          <w:highlight w:val="none"/>
          <w:u w:val="none" w:color="auto"/>
          <w:lang w:val="en-US" w:eastAsia="zh-CN"/>
        </w:rPr>
        <w:t>)筛选值</w:t>
      </w:r>
      <w:r>
        <w:rPr>
          <w:rFonts w:hint="default" w:ascii="Times New Roman" w:hAnsi="Times New Roman" w:cs="Times New Roman"/>
          <w:color w:val="auto"/>
          <w:u w:val="none" w:color="auto"/>
        </w:rPr>
        <w:t>要求。</w:t>
      </w:r>
    </w:p>
    <w:p w14:paraId="58DC4155">
      <w:pPr>
        <w:pStyle w:val="3"/>
        <w:bidi w:val="0"/>
        <w:rPr>
          <w:rFonts w:hint="default" w:ascii="Times New Roman" w:hAnsi="Times New Roman" w:cs="Times New Roman"/>
          <w:color w:val="auto"/>
          <w:highlight w:val="none"/>
          <w:u w:val="none" w:color="auto"/>
        </w:rPr>
      </w:pPr>
      <w:bookmarkStart w:id="197" w:name="_Toc494233756"/>
      <w:bookmarkStart w:id="198" w:name="_Toc6488"/>
      <w:bookmarkStart w:id="199" w:name="_Toc14549"/>
      <w:bookmarkStart w:id="200" w:name="_Toc17476"/>
      <w:r>
        <w:rPr>
          <w:rFonts w:hint="default" w:ascii="Times New Roman" w:hAnsi="Times New Roman" w:cs="Times New Roman"/>
          <w:color w:val="auto"/>
          <w:highlight w:val="none"/>
          <w:u w:val="none" w:color="auto"/>
        </w:rPr>
        <w:t>生态环境现状</w:t>
      </w:r>
      <w:r>
        <w:rPr>
          <w:rFonts w:hint="default" w:ascii="Times New Roman" w:hAnsi="Times New Roman" w:cs="Times New Roman"/>
          <w:color w:val="auto"/>
          <w:highlight w:val="none"/>
          <w:u w:val="none" w:color="auto"/>
          <w:lang w:val="en-US" w:eastAsia="zh-CN"/>
        </w:rPr>
        <w:t>调查与</w:t>
      </w:r>
      <w:r>
        <w:rPr>
          <w:rFonts w:hint="default" w:ascii="Times New Roman" w:hAnsi="Times New Roman" w:cs="Times New Roman"/>
          <w:color w:val="auto"/>
          <w:highlight w:val="none"/>
          <w:u w:val="none" w:color="auto"/>
        </w:rPr>
        <w:t>评价</w:t>
      </w:r>
      <w:bookmarkEnd w:id="197"/>
      <w:bookmarkEnd w:id="198"/>
      <w:bookmarkEnd w:id="199"/>
      <w:bookmarkEnd w:id="200"/>
    </w:p>
    <w:p w14:paraId="73BBD266">
      <w:pPr>
        <w:pStyle w:val="4"/>
        <w:bidi w:val="0"/>
        <w:rPr>
          <w:rFonts w:hint="default"/>
          <w:lang w:val="en-US" w:eastAsia="zh-CN"/>
        </w:rPr>
      </w:pPr>
      <w:r>
        <w:rPr>
          <w:rFonts w:hint="default"/>
          <w:lang w:val="en-US" w:eastAsia="zh-CN"/>
        </w:rPr>
        <w:t>土地利用现状</w:t>
      </w:r>
    </w:p>
    <w:p w14:paraId="4EA0E913">
      <w:pPr>
        <w:bidi w:val="0"/>
        <w:rPr>
          <w:rFonts w:hint="default"/>
          <w:lang w:val="en-US" w:eastAsia="zh-CN"/>
        </w:rPr>
      </w:pPr>
      <w:r>
        <w:rPr>
          <w:rFonts w:hint="default"/>
          <w:lang w:val="en-US" w:eastAsia="zh-CN"/>
        </w:rPr>
        <w:t>根据工程的生态影响特点以及周边生态环境现状，参考《全国生态状况调查评估技术规范-项目尺度生态影响评估》（HJ1175-2021）中“4.2.2.2空间范围”，本工程生态环境影响评价范围</w:t>
      </w:r>
      <w:r>
        <w:rPr>
          <w:rFonts w:hint="eastAsia"/>
          <w:lang w:val="en-US" w:eastAsia="zh-CN"/>
        </w:rPr>
        <w:t>陆生生态</w:t>
      </w:r>
      <w:r>
        <w:rPr>
          <w:rFonts w:hint="default"/>
          <w:lang w:val="en-US" w:eastAsia="zh-CN"/>
        </w:rPr>
        <w:t>以水库周边300m以内的区域，弃渣场等临时用地周边200m的并集作为评价区范围。评价区土地利用现状是在卫片解译的基础上，结合现有资料，运用景观生态法（即以植被作为主导因素），并结合土壤、地貌等因子进行综合分析，将土地利用格局的拼块类型分为林地、</w:t>
      </w:r>
      <w:r>
        <w:rPr>
          <w:rFonts w:hint="eastAsia"/>
          <w:lang w:val="en-US" w:eastAsia="zh-CN"/>
        </w:rPr>
        <w:t>耕地</w:t>
      </w:r>
      <w:r>
        <w:rPr>
          <w:rFonts w:hint="default"/>
          <w:lang w:val="en-US" w:eastAsia="zh-CN"/>
        </w:rPr>
        <w:t>、</w:t>
      </w:r>
      <w:r>
        <w:rPr>
          <w:rFonts w:hint="eastAsia"/>
          <w:lang w:val="en-US" w:eastAsia="zh-CN"/>
        </w:rPr>
        <w:t>建设用地</w:t>
      </w:r>
      <w:r>
        <w:rPr>
          <w:rFonts w:hint="default"/>
          <w:lang w:val="en-US" w:eastAsia="zh-CN"/>
        </w:rPr>
        <w:t>、</w:t>
      </w:r>
      <w:r>
        <w:rPr>
          <w:rFonts w:hint="eastAsia"/>
          <w:lang w:val="en-US" w:eastAsia="zh-CN"/>
        </w:rPr>
        <w:t>湿地、</w:t>
      </w:r>
      <w:r>
        <w:rPr>
          <w:rFonts w:hint="default"/>
          <w:lang w:val="en-US" w:eastAsia="zh-CN"/>
        </w:rPr>
        <w:t>水库水面等类型。</w:t>
      </w:r>
    </w:p>
    <w:p w14:paraId="4A1E1A16">
      <w:pPr>
        <w:pStyle w:val="48"/>
        <w:bidi w:val="0"/>
        <w:rPr>
          <w:rFonts w:hint="default"/>
          <w:lang w:val="en-US" w:eastAsia="zh-CN"/>
        </w:rPr>
      </w:pPr>
      <w:r>
        <w:rPr>
          <w:rFonts w:hint="default"/>
          <w:lang w:val="en-US" w:eastAsia="zh-CN"/>
        </w:rPr>
        <w:t>表5.</w:t>
      </w:r>
      <w:r>
        <w:rPr>
          <w:rFonts w:hint="eastAsia"/>
          <w:lang w:val="en-US" w:eastAsia="zh-CN"/>
        </w:rPr>
        <w:t>3</w:t>
      </w:r>
      <w:r>
        <w:rPr>
          <w:rFonts w:hint="default"/>
          <w:lang w:val="en-US" w:eastAsia="zh-CN"/>
        </w:rPr>
        <w:t>-1  评价区土地利</w:t>
      </w:r>
      <w:r>
        <w:rPr>
          <w:rFonts w:hint="eastAsia"/>
          <w:lang w:val="en-US" w:eastAsia="zh-CN"/>
        </w:rPr>
        <w:t>用</w:t>
      </w:r>
      <w:r>
        <w:rPr>
          <w:rFonts w:hint="default"/>
          <w:lang w:val="en-US" w:eastAsia="zh-CN"/>
        </w:rPr>
        <w:t>用现状</w:t>
      </w:r>
    </w:p>
    <w:tbl>
      <w:tblPr>
        <w:tblStyle w:val="162"/>
        <w:tblW w:w="5004"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36"/>
        <w:gridCol w:w="2493"/>
        <w:gridCol w:w="2045"/>
        <w:gridCol w:w="2356"/>
      </w:tblGrid>
      <w:tr w14:paraId="1A2072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862" w:type="pct"/>
            <w:vAlign w:val="center"/>
          </w:tcPr>
          <w:p w14:paraId="428B86C6">
            <w:pPr>
              <w:pStyle w:val="49"/>
              <w:bidi w:val="0"/>
              <w:jc w:val="center"/>
              <w:rPr>
                <w:highlight w:val="none"/>
              </w:rPr>
            </w:pPr>
            <w:r>
              <w:rPr>
                <w:highlight w:val="none"/>
              </w:rPr>
              <w:t>序号</w:t>
            </w:r>
          </w:p>
        </w:tc>
        <w:tc>
          <w:tcPr>
            <w:tcW w:w="1496" w:type="pct"/>
            <w:vAlign w:val="center"/>
          </w:tcPr>
          <w:p w14:paraId="7FB55CCC">
            <w:pPr>
              <w:pStyle w:val="49"/>
              <w:bidi w:val="0"/>
              <w:jc w:val="center"/>
              <w:rPr>
                <w:highlight w:val="none"/>
              </w:rPr>
            </w:pPr>
            <w:r>
              <w:rPr>
                <w:highlight w:val="none"/>
              </w:rPr>
              <w:t>用地类型</w:t>
            </w:r>
          </w:p>
        </w:tc>
        <w:tc>
          <w:tcPr>
            <w:tcW w:w="1227" w:type="pct"/>
            <w:vAlign w:val="center"/>
          </w:tcPr>
          <w:p w14:paraId="59E67C17">
            <w:pPr>
              <w:pStyle w:val="49"/>
              <w:bidi w:val="0"/>
              <w:jc w:val="center"/>
              <w:rPr>
                <w:highlight w:val="none"/>
              </w:rPr>
            </w:pPr>
            <w:r>
              <w:rPr>
                <w:highlight w:val="none"/>
              </w:rPr>
              <w:t>面积（h</w:t>
            </w:r>
            <w:r>
              <w:rPr>
                <w:rFonts w:hint="eastAsia"/>
                <w:highlight w:val="none"/>
                <w:lang w:eastAsia="zh-CN"/>
              </w:rPr>
              <w:t>m</w:t>
            </w:r>
            <w:r>
              <w:rPr>
                <w:rFonts w:hint="eastAsia"/>
                <w:highlight w:val="none"/>
                <w:vertAlign w:val="superscript"/>
                <w:lang w:eastAsia="zh-CN"/>
              </w:rPr>
              <w:t>2</w:t>
            </w:r>
            <w:r>
              <w:rPr>
                <w:highlight w:val="none"/>
              </w:rPr>
              <w:t>）</w:t>
            </w:r>
          </w:p>
        </w:tc>
        <w:tc>
          <w:tcPr>
            <w:tcW w:w="1414" w:type="pct"/>
            <w:vAlign w:val="center"/>
          </w:tcPr>
          <w:p w14:paraId="0FBE8F85">
            <w:pPr>
              <w:pStyle w:val="49"/>
              <w:bidi w:val="0"/>
              <w:jc w:val="center"/>
              <w:rPr>
                <w:highlight w:val="none"/>
              </w:rPr>
            </w:pPr>
            <w:r>
              <w:rPr>
                <w:highlight w:val="none"/>
              </w:rPr>
              <w:t>占评价区比例（%）</w:t>
            </w:r>
          </w:p>
        </w:tc>
      </w:tr>
      <w:tr w14:paraId="031FB1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2675AD59">
            <w:pPr>
              <w:pStyle w:val="49"/>
              <w:bidi w:val="0"/>
              <w:jc w:val="center"/>
              <w:rPr>
                <w:rFonts w:hint="eastAsia" w:eastAsia="宋体"/>
                <w:highlight w:val="none"/>
                <w:lang w:val="en-US" w:eastAsia="zh-CN"/>
              </w:rPr>
            </w:pPr>
            <w:r>
              <w:rPr>
                <w:rFonts w:hint="eastAsia"/>
                <w:highlight w:val="none"/>
                <w:lang w:val="en-US" w:eastAsia="zh-CN"/>
              </w:rPr>
              <w:t>1</w:t>
            </w:r>
          </w:p>
        </w:tc>
        <w:tc>
          <w:tcPr>
            <w:tcW w:w="1496" w:type="pct"/>
            <w:vAlign w:val="center"/>
          </w:tcPr>
          <w:p w14:paraId="1441BC85">
            <w:pPr>
              <w:pStyle w:val="49"/>
              <w:bidi w:val="0"/>
              <w:jc w:val="center"/>
              <w:rPr>
                <w:rFonts w:hint="eastAsia" w:eastAsia="宋体"/>
                <w:highlight w:val="none"/>
                <w:lang w:val="en-US" w:eastAsia="zh-CN"/>
              </w:rPr>
            </w:pPr>
            <w:r>
              <w:rPr>
                <w:rFonts w:hint="eastAsia"/>
                <w:highlight w:val="none"/>
                <w:lang w:val="en-US" w:eastAsia="zh-CN"/>
              </w:rPr>
              <w:t>林地</w:t>
            </w:r>
          </w:p>
        </w:tc>
        <w:tc>
          <w:tcPr>
            <w:tcW w:w="2045" w:type="dxa"/>
            <w:vAlign w:val="bottom"/>
          </w:tcPr>
          <w:p w14:paraId="26DC31B0">
            <w:pPr>
              <w:pStyle w:val="53"/>
              <w:bidi w:val="0"/>
              <w:rPr>
                <w:highlight w:val="none"/>
              </w:rPr>
            </w:pPr>
            <w:r>
              <w:rPr>
                <w:rFonts w:hint="default"/>
                <w:highlight w:val="none"/>
                <w:lang w:val="en-US" w:eastAsia="zh-CN"/>
              </w:rPr>
              <w:t>90.87</w:t>
            </w:r>
          </w:p>
        </w:tc>
        <w:tc>
          <w:tcPr>
            <w:tcW w:w="2356" w:type="dxa"/>
            <w:vAlign w:val="bottom"/>
          </w:tcPr>
          <w:p w14:paraId="74BDF2B6">
            <w:pPr>
              <w:pStyle w:val="49"/>
              <w:bidi w:val="0"/>
              <w:rPr>
                <w:highlight w:val="none"/>
              </w:rPr>
            </w:pPr>
            <w:r>
              <w:rPr>
                <w:rFonts w:hint="default"/>
                <w:highlight w:val="none"/>
                <w:lang w:val="en-US" w:eastAsia="zh-CN"/>
              </w:rPr>
              <w:t>61.51</w:t>
            </w:r>
          </w:p>
        </w:tc>
      </w:tr>
      <w:tr w14:paraId="0FB933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42AF41CF">
            <w:pPr>
              <w:pStyle w:val="49"/>
              <w:bidi w:val="0"/>
              <w:jc w:val="center"/>
              <w:rPr>
                <w:rFonts w:hint="eastAsia" w:eastAsia="宋体"/>
                <w:highlight w:val="none"/>
                <w:lang w:val="en-US" w:eastAsia="zh-CN"/>
              </w:rPr>
            </w:pPr>
            <w:r>
              <w:rPr>
                <w:rFonts w:hint="eastAsia"/>
                <w:highlight w:val="none"/>
                <w:lang w:val="en-US" w:eastAsia="zh-CN"/>
              </w:rPr>
              <w:t>2</w:t>
            </w:r>
          </w:p>
        </w:tc>
        <w:tc>
          <w:tcPr>
            <w:tcW w:w="1496" w:type="pct"/>
            <w:vAlign w:val="center"/>
          </w:tcPr>
          <w:p w14:paraId="7B8A13B8">
            <w:pPr>
              <w:pStyle w:val="49"/>
              <w:bidi w:val="0"/>
              <w:jc w:val="center"/>
              <w:rPr>
                <w:rFonts w:hint="default" w:eastAsia="宋体"/>
                <w:highlight w:val="none"/>
                <w:lang w:val="en-US" w:eastAsia="zh-CN"/>
              </w:rPr>
            </w:pPr>
            <w:r>
              <w:rPr>
                <w:rFonts w:hint="eastAsia"/>
                <w:highlight w:val="none"/>
                <w:lang w:val="en-US" w:eastAsia="zh-CN"/>
              </w:rPr>
              <w:t>草地灌丛</w:t>
            </w:r>
          </w:p>
        </w:tc>
        <w:tc>
          <w:tcPr>
            <w:tcW w:w="2045" w:type="dxa"/>
            <w:vAlign w:val="bottom"/>
          </w:tcPr>
          <w:p w14:paraId="196A7F0C">
            <w:pPr>
              <w:pStyle w:val="53"/>
              <w:bidi w:val="0"/>
              <w:rPr>
                <w:highlight w:val="none"/>
              </w:rPr>
            </w:pPr>
            <w:r>
              <w:rPr>
                <w:rFonts w:hint="default"/>
                <w:highlight w:val="none"/>
                <w:lang w:val="en-US" w:eastAsia="zh-CN"/>
              </w:rPr>
              <w:t>4.87</w:t>
            </w:r>
          </w:p>
        </w:tc>
        <w:tc>
          <w:tcPr>
            <w:tcW w:w="2356" w:type="dxa"/>
            <w:vAlign w:val="bottom"/>
          </w:tcPr>
          <w:p w14:paraId="650F9AFF">
            <w:pPr>
              <w:pStyle w:val="49"/>
              <w:bidi w:val="0"/>
              <w:rPr>
                <w:highlight w:val="none"/>
              </w:rPr>
            </w:pPr>
            <w:r>
              <w:rPr>
                <w:rFonts w:hint="default"/>
                <w:highlight w:val="none"/>
                <w:lang w:val="en-US" w:eastAsia="zh-CN"/>
              </w:rPr>
              <w:t>3.30</w:t>
            </w:r>
          </w:p>
        </w:tc>
      </w:tr>
      <w:tr w14:paraId="46592C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605570EE">
            <w:pPr>
              <w:pStyle w:val="49"/>
              <w:bidi w:val="0"/>
              <w:jc w:val="center"/>
              <w:rPr>
                <w:rFonts w:hint="eastAsia" w:eastAsia="宋体"/>
                <w:highlight w:val="none"/>
                <w:lang w:val="en-US" w:eastAsia="zh-CN"/>
              </w:rPr>
            </w:pPr>
            <w:r>
              <w:rPr>
                <w:rFonts w:hint="eastAsia"/>
                <w:highlight w:val="none"/>
                <w:lang w:val="en-US" w:eastAsia="zh-CN"/>
              </w:rPr>
              <w:t>3</w:t>
            </w:r>
          </w:p>
        </w:tc>
        <w:tc>
          <w:tcPr>
            <w:tcW w:w="1496" w:type="pct"/>
            <w:vAlign w:val="center"/>
          </w:tcPr>
          <w:p w14:paraId="026A4D8C">
            <w:pPr>
              <w:pStyle w:val="49"/>
              <w:bidi w:val="0"/>
              <w:jc w:val="center"/>
              <w:rPr>
                <w:rFonts w:hint="eastAsia" w:eastAsia="宋体"/>
                <w:highlight w:val="none"/>
                <w:lang w:val="en-US" w:eastAsia="zh-CN"/>
              </w:rPr>
            </w:pPr>
            <w:r>
              <w:rPr>
                <w:rFonts w:hint="eastAsia"/>
                <w:highlight w:val="none"/>
                <w:lang w:val="en-US" w:eastAsia="zh-CN"/>
              </w:rPr>
              <w:t>耕地</w:t>
            </w:r>
          </w:p>
        </w:tc>
        <w:tc>
          <w:tcPr>
            <w:tcW w:w="2045" w:type="dxa"/>
            <w:vAlign w:val="bottom"/>
          </w:tcPr>
          <w:p w14:paraId="2D45F036">
            <w:pPr>
              <w:pStyle w:val="53"/>
              <w:bidi w:val="0"/>
              <w:rPr>
                <w:highlight w:val="none"/>
              </w:rPr>
            </w:pPr>
            <w:r>
              <w:rPr>
                <w:rFonts w:hint="default"/>
                <w:highlight w:val="none"/>
                <w:lang w:val="en-US" w:eastAsia="zh-CN"/>
              </w:rPr>
              <w:t>13.54</w:t>
            </w:r>
          </w:p>
        </w:tc>
        <w:tc>
          <w:tcPr>
            <w:tcW w:w="2356" w:type="dxa"/>
            <w:vAlign w:val="bottom"/>
          </w:tcPr>
          <w:p w14:paraId="413B1155">
            <w:pPr>
              <w:pStyle w:val="49"/>
              <w:bidi w:val="0"/>
              <w:rPr>
                <w:highlight w:val="none"/>
              </w:rPr>
            </w:pPr>
            <w:r>
              <w:rPr>
                <w:rFonts w:hint="default"/>
                <w:highlight w:val="none"/>
                <w:lang w:val="en-US" w:eastAsia="zh-CN"/>
              </w:rPr>
              <w:t>9.16</w:t>
            </w:r>
          </w:p>
        </w:tc>
      </w:tr>
      <w:tr w14:paraId="24275A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35CE0434">
            <w:pPr>
              <w:pStyle w:val="49"/>
              <w:bidi w:val="0"/>
              <w:jc w:val="center"/>
              <w:rPr>
                <w:rFonts w:hint="eastAsia" w:eastAsia="宋体"/>
                <w:highlight w:val="none"/>
                <w:lang w:val="en-US" w:eastAsia="zh-CN"/>
              </w:rPr>
            </w:pPr>
            <w:r>
              <w:rPr>
                <w:rFonts w:hint="eastAsia"/>
                <w:highlight w:val="none"/>
                <w:lang w:val="en-US" w:eastAsia="zh-CN"/>
              </w:rPr>
              <w:t>4</w:t>
            </w:r>
          </w:p>
        </w:tc>
        <w:tc>
          <w:tcPr>
            <w:tcW w:w="1496" w:type="pct"/>
            <w:vAlign w:val="center"/>
          </w:tcPr>
          <w:p w14:paraId="68AED039">
            <w:pPr>
              <w:pStyle w:val="49"/>
              <w:bidi w:val="0"/>
              <w:jc w:val="center"/>
              <w:rPr>
                <w:rFonts w:hint="default" w:eastAsia="宋体"/>
                <w:highlight w:val="none"/>
                <w:lang w:val="en-US" w:eastAsia="zh-CN"/>
              </w:rPr>
            </w:pPr>
            <w:r>
              <w:rPr>
                <w:rFonts w:hint="eastAsia"/>
                <w:highlight w:val="none"/>
                <w:lang w:val="en-US" w:eastAsia="zh-CN"/>
              </w:rPr>
              <w:t>建设用地</w:t>
            </w:r>
          </w:p>
        </w:tc>
        <w:tc>
          <w:tcPr>
            <w:tcW w:w="2045" w:type="dxa"/>
            <w:vAlign w:val="bottom"/>
          </w:tcPr>
          <w:p w14:paraId="0CE41256">
            <w:pPr>
              <w:pStyle w:val="53"/>
              <w:bidi w:val="0"/>
              <w:rPr>
                <w:highlight w:val="none"/>
              </w:rPr>
            </w:pPr>
            <w:r>
              <w:rPr>
                <w:rFonts w:hint="default"/>
                <w:highlight w:val="none"/>
                <w:lang w:val="en-US" w:eastAsia="zh-CN"/>
              </w:rPr>
              <w:t>4.12</w:t>
            </w:r>
          </w:p>
        </w:tc>
        <w:tc>
          <w:tcPr>
            <w:tcW w:w="2356" w:type="dxa"/>
            <w:vAlign w:val="bottom"/>
          </w:tcPr>
          <w:p w14:paraId="437DE35C">
            <w:pPr>
              <w:pStyle w:val="49"/>
              <w:bidi w:val="0"/>
              <w:rPr>
                <w:highlight w:val="none"/>
              </w:rPr>
            </w:pPr>
            <w:r>
              <w:rPr>
                <w:rFonts w:hint="default"/>
                <w:highlight w:val="none"/>
                <w:lang w:val="en-US" w:eastAsia="zh-CN"/>
              </w:rPr>
              <w:t>2.79</w:t>
            </w:r>
          </w:p>
        </w:tc>
      </w:tr>
      <w:tr w14:paraId="72E7A4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0CB2B3F9">
            <w:pPr>
              <w:pStyle w:val="49"/>
              <w:bidi w:val="0"/>
              <w:jc w:val="center"/>
              <w:rPr>
                <w:rFonts w:hint="default" w:eastAsia="宋体"/>
                <w:highlight w:val="none"/>
                <w:lang w:val="en-US" w:eastAsia="zh-CN"/>
              </w:rPr>
            </w:pPr>
            <w:r>
              <w:rPr>
                <w:rFonts w:hint="eastAsia"/>
                <w:highlight w:val="none"/>
                <w:lang w:val="en-US" w:eastAsia="zh-CN"/>
              </w:rPr>
              <w:t>5</w:t>
            </w:r>
          </w:p>
        </w:tc>
        <w:tc>
          <w:tcPr>
            <w:tcW w:w="1496" w:type="pct"/>
            <w:vAlign w:val="center"/>
          </w:tcPr>
          <w:p w14:paraId="3F9C2EC2">
            <w:pPr>
              <w:pStyle w:val="49"/>
              <w:bidi w:val="0"/>
              <w:jc w:val="center"/>
              <w:rPr>
                <w:rFonts w:hint="eastAsia" w:eastAsia="宋体"/>
                <w:highlight w:val="none"/>
                <w:lang w:val="en-US" w:eastAsia="zh-CN"/>
              </w:rPr>
            </w:pPr>
            <w:r>
              <w:rPr>
                <w:rFonts w:hint="eastAsia"/>
                <w:highlight w:val="none"/>
                <w:lang w:val="en-US" w:eastAsia="zh-CN"/>
              </w:rPr>
              <w:t>湿地</w:t>
            </w:r>
          </w:p>
        </w:tc>
        <w:tc>
          <w:tcPr>
            <w:tcW w:w="2045" w:type="dxa"/>
            <w:vAlign w:val="bottom"/>
          </w:tcPr>
          <w:p w14:paraId="257997E7">
            <w:pPr>
              <w:pStyle w:val="53"/>
              <w:bidi w:val="0"/>
              <w:rPr>
                <w:highlight w:val="none"/>
              </w:rPr>
            </w:pPr>
            <w:r>
              <w:rPr>
                <w:rFonts w:hint="default"/>
                <w:highlight w:val="none"/>
                <w:lang w:val="en-US" w:eastAsia="zh-CN"/>
              </w:rPr>
              <w:t>18.87</w:t>
            </w:r>
          </w:p>
        </w:tc>
        <w:tc>
          <w:tcPr>
            <w:tcW w:w="2356" w:type="dxa"/>
            <w:vAlign w:val="bottom"/>
          </w:tcPr>
          <w:p w14:paraId="1B51BA0F">
            <w:pPr>
              <w:pStyle w:val="49"/>
              <w:bidi w:val="0"/>
              <w:rPr>
                <w:highlight w:val="none"/>
              </w:rPr>
            </w:pPr>
            <w:r>
              <w:rPr>
                <w:rFonts w:hint="default"/>
                <w:highlight w:val="none"/>
                <w:lang w:val="en-US" w:eastAsia="zh-CN"/>
              </w:rPr>
              <w:t>12.77</w:t>
            </w:r>
          </w:p>
        </w:tc>
      </w:tr>
      <w:tr w14:paraId="4D07DB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62" w:type="pct"/>
            <w:vAlign w:val="center"/>
          </w:tcPr>
          <w:p w14:paraId="02636F1F">
            <w:pPr>
              <w:pStyle w:val="49"/>
              <w:bidi w:val="0"/>
              <w:jc w:val="center"/>
              <w:rPr>
                <w:rFonts w:hint="eastAsia" w:eastAsia="宋体"/>
                <w:highlight w:val="none"/>
                <w:lang w:val="en-US" w:eastAsia="zh-CN"/>
              </w:rPr>
            </w:pPr>
            <w:r>
              <w:rPr>
                <w:rFonts w:hint="eastAsia"/>
                <w:highlight w:val="none"/>
                <w:lang w:val="en-US" w:eastAsia="zh-CN"/>
              </w:rPr>
              <w:t>6</w:t>
            </w:r>
          </w:p>
        </w:tc>
        <w:tc>
          <w:tcPr>
            <w:tcW w:w="1496" w:type="pct"/>
            <w:vAlign w:val="center"/>
          </w:tcPr>
          <w:p w14:paraId="44EF1C8A">
            <w:pPr>
              <w:pStyle w:val="49"/>
              <w:bidi w:val="0"/>
              <w:jc w:val="center"/>
              <w:rPr>
                <w:rFonts w:hint="default" w:eastAsia="宋体"/>
                <w:highlight w:val="none"/>
                <w:lang w:val="en-US" w:eastAsia="zh-CN"/>
              </w:rPr>
            </w:pPr>
            <w:r>
              <w:rPr>
                <w:rFonts w:hint="eastAsia"/>
                <w:highlight w:val="none"/>
                <w:lang w:val="en-US" w:eastAsia="zh-CN"/>
              </w:rPr>
              <w:t>水库水面</w:t>
            </w:r>
          </w:p>
        </w:tc>
        <w:tc>
          <w:tcPr>
            <w:tcW w:w="2045" w:type="dxa"/>
            <w:vAlign w:val="bottom"/>
          </w:tcPr>
          <w:p w14:paraId="671237C6">
            <w:pPr>
              <w:pStyle w:val="53"/>
              <w:bidi w:val="0"/>
              <w:rPr>
                <w:highlight w:val="none"/>
              </w:rPr>
            </w:pPr>
            <w:r>
              <w:rPr>
                <w:rFonts w:hint="default"/>
                <w:highlight w:val="none"/>
                <w:lang w:val="en-US" w:eastAsia="zh-CN"/>
              </w:rPr>
              <w:t>15.47</w:t>
            </w:r>
          </w:p>
        </w:tc>
        <w:tc>
          <w:tcPr>
            <w:tcW w:w="2356" w:type="dxa"/>
            <w:vAlign w:val="bottom"/>
          </w:tcPr>
          <w:p w14:paraId="5F20F8C8">
            <w:pPr>
              <w:pStyle w:val="49"/>
              <w:bidi w:val="0"/>
              <w:rPr>
                <w:highlight w:val="none"/>
              </w:rPr>
            </w:pPr>
            <w:r>
              <w:rPr>
                <w:rFonts w:hint="default"/>
                <w:highlight w:val="none"/>
                <w:lang w:val="en-US" w:eastAsia="zh-CN"/>
              </w:rPr>
              <w:t>10.47</w:t>
            </w:r>
          </w:p>
        </w:tc>
      </w:tr>
      <w:tr w14:paraId="2AFD6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2358" w:type="pct"/>
            <w:gridSpan w:val="2"/>
            <w:vAlign w:val="center"/>
          </w:tcPr>
          <w:p w14:paraId="297E6E69">
            <w:pPr>
              <w:pStyle w:val="49"/>
              <w:bidi w:val="0"/>
              <w:jc w:val="center"/>
              <w:rPr>
                <w:highlight w:val="none"/>
              </w:rPr>
            </w:pPr>
            <w:r>
              <w:rPr>
                <w:highlight w:val="none"/>
              </w:rPr>
              <w:t>合计</w:t>
            </w:r>
          </w:p>
        </w:tc>
        <w:tc>
          <w:tcPr>
            <w:tcW w:w="1227" w:type="pct"/>
            <w:vAlign w:val="center"/>
          </w:tcPr>
          <w:p w14:paraId="45A9E524">
            <w:pPr>
              <w:pStyle w:val="49"/>
              <w:bidi w:val="0"/>
              <w:jc w:val="center"/>
              <w:rPr>
                <w:rFonts w:hint="default" w:eastAsia="宋体"/>
                <w:highlight w:val="none"/>
                <w:lang w:val="en-US" w:eastAsia="zh-CN"/>
              </w:rPr>
            </w:pPr>
            <w:r>
              <w:rPr>
                <w:rFonts w:hint="eastAsia"/>
                <w:highlight w:val="none"/>
                <w:lang w:val="en-US" w:eastAsia="zh-CN"/>
              </w:rPr>
              <w:t>147.74</w:t>
            </w:r>
          </w:p>
        </w:tc>
        <w:tc>
          <w:tcPr>
            <w:tcW w:w="1414" w:type="pct"/>
            <w:vAlign w:val="center"/>
          </w:tcPr>
          <w:p w14:paraId="66402E37">
            <w:pPr>
              <w:pStyle w:val="49"/>
              <w:bidi w:val="0"/>
              <w:jc w:val="center"/>
              <w:rPr>
                <w:highlight w:val="none"/>
              </w:rPr>
            </w:pPr>
            <w:r>
              <w:rPr>
                <w:highlight w:val="none"/>
              </w:rPr>
              <w:t>100</w:t>
            </w:r>
          </w:p>
        </w:tc>
      </w:tr>
    </w:tbl>
    <w:p w14:paraId="7DE2E9C3">
      <w:pPr>
        <w:pStyle w:val="4"/>
        <w:bidi w:val="0"/>
        <w:rPr>
          <w:rFonts w:hint="default"/>
          <w:lang w:val="en-US" w:eastAsia="zh-CN"/>
        </w:rPr>
      </w:pPr>
      <w:r>
        <w:rPr>
          <w:rFonts w:hint="default"/>
          <w:lang w:val="en-US" w:eastAsia="zh-CN"/>
        </w:rPr>
        <w:t>生态现状调查</w:t>
      </w:r>
    </w:p>
    <w:p w14:paraId="764A74AA">
      <w:pPr>
        <w:bidi w:val="0"/>
        <w:rPr>
          <w:rFonts w:hint="default"/>
          <w:lang w:val="en-US" w:eastAsia="zh-CN"/>
        </w:rPr>
      </w:pPr>
      <w:r>
        <w:rPr>
          <w:rFonts w:hint="default"/>
          <w:lang w:val="en-US" w:eastAsia="zh-CN"/>
        </w:rPr>
        <w:t>总体评价采用遥感影象分析和实地调查相结合、野外调查与室内资料分析相结合、全线普查与重点取样相结合、定性分析与定量分析相结合的方法，同时走访沿线村民和林业工作者。</w:t>
      </w:r>
    </w:p>
    <w:p w14:paraId="21833C95">
      <w:pPr>
        <w:bidi w:val="0"/>
        <w:rPr>
          <w:rFonts w:hint="default"/>
          <w:lang w:val="en-US" w:eastAsia="zh-CN"/>
        </w:rPr>
      </w:pPr>
      <w:r>
        <w:rPr>
          <w:rFonts w:hint="default"/>
          <w:lang w:val="en-US" w:eastAsia="zh-CN"/>
        </w:rPr>
        <w:t>根据《环境影响评价技术导则 生态环境》（HJ 19-2022）要求，陆生生态二级评价调查时间宜选择植物生长旺盛季节；除了收集历史资料外，尽量获得野生动物繁殖期、越冬期、迁徙期等关键活动期的现状资料。水生生态二级评价至少获得一期（季）调查资料，涉及显著改变水文情势的项目应增加调查强度。</w:t>
      </w:r>
    </w:p>
    <w:p w14:paraId="636E0104">
      <w:pPr>
        <w:bidi w:val="0"/>
        <w:rPr>
          <w:rFonts w:hint="default"/>
          <w:lang w:val="en-US" w:eastAsia="zh-CN"/>
        </w:rPr>
      </w:pPr>
      <w:r>
        <w:rPr>
          <w:rFonts w:hint="default"/>
          <w:lang w:val="en-US" w:eastAsia="zh-CN"/>
        </w:rPr>
        <w:t>为满足调查要求，我公司于2024年</w:t>
      </w:r>
      <w:r>
        <w:rPr>
          <w:rFonts w:hint="eastAsia"/>
          <w:lang w:val="en-US" w:eastAsia="zh-CN"/>
        </w:rPr>
        <w:t>4</w:t>
      </w:r>
      <w:r>
        <w:rPr>
          <w:rFonts w:hint="default"/>
          <w:lang w:val="en-US" w:eastAsia="zh-CN"/>
        </w:rPr>
        <w:t>月下旬对评价区开展了一期生态调查。其中</w:t>
      </w:r>
      <w:r>
        <w:rPr>
          <w:rFonts w:hint="eastAsia"/>
          <w:lang w:val="en-US" w:eastAsia="zh-CN"/>
        </w:rPr>
        <w:t>4</w:t>
      </w:r>
      <w:r>
        <w:rPr>
          <w:rFonts w:hint="default"/>
          <w:lang w:val="en-US" w:eastAsia="zh-CN"/>
        </w:rPr>
        <w:t>月为植物生长旺盛季节。本项目为水生生态二级评价，对水库进行除险加固不改变水库的水文情势，水生态选取一期进行调查。因此调查时间基本满足陆生生态二级、水生生态二级的评价要求。</w:t>
      </w:r>
    </w:p>
    <w:p w14:paraId="111481E0">
      <w:pPr>
        <w:pStyle w:val="5"/>
        <w:bidi w:val="0"/>
        <w:rPr>
          <w:rFonts w:hint="default"/>
        </w:rPr>
      </w:pPr>
      <w:r>
        <w:rPr>
          <w:rFonts w:hint="default"/>
        </w:rPr>
        <w:t>资料收集</w:t>
      </w:r>
    </w:p>
    <w:p w14:paraId="7781EF2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收集整理项目涉及区域现有生物多样性资料，包括</w:t>
      </w:r>
      <w:r>
        <w:rPr>
          <w:rFonts w:hint="eastAsia" w:cs="Times New Roman"/>
          <w:color w:val="auto"/>
          <w:u w:val="none" w:color="auto"/>
          <w:lang w:val="en-US" w:eastAsia="zh-CN"/>
        </w:rPr>
        <w:t>道县</w:t>
      </w:r>
      <w:r>
        <w:rPr>
          <w:rFonts w:hint="default" w:ascii="Times New Roman" w:hAnsi="Times New Roman" w:cs="Times New Roman"/>
          <w:color w:val="auto"/>
          <w:u w:val="none" w:color="auto"/>
        </w:rPr>
        <w:t>的林业、农业等部门提供的相关资料，报告编写的过程中，同时参考了《湖南植被》(湖南科学技术出版社，1990)；《湖南植物志》(湖南科学技术出版社，2000)；《湖南树木志》(湖南科技出版社，2000)；《湖南种子植物总览》(湖南科学技术出版，2002)；《湖南动物志•两栖纲》(湖南科学技术出版社，2014)；《湖南动物志•爬行纲》(湖南科学技术出版社，2014)；《湖南动物志•鸟纲•雀形目》(湖南科学技术出版社，2012)等专业著作及相关科研论文等资料。</w:t>
      </w:r>
    </w:p>
    <w:p w14:paraId="6B7AD9DD">
      <w:pPr>
        <w:pStyle w:val="5"/>
        <w:bidi w:val="0"/>
        <w:rPr>
          <w:rFonts w:hint="default"/>
        </w:rPr>
      </w:pPr>
      <w:r>
        <w:rPr>
          <w:rFonts w:hint="default"/>
        </w:rPr>
        <w:t>陆生生物资源调查</w:t>
      </w:r>
    </w:p>
    <w:p w14:paraId="126894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1、GPS地面类型及植被调查取样</w:t>
      </w:r>
    </w:p>
    <w:p w14:paraId="02953842">
      <w:pPr>
        <w:bidi w:val="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GPS样点是卫星遥感影像判读各种景观类型的基础，根据室内判读的植被与土地利用类型图，现场核实判读的正误率</w:t>
      </w:r>
      <w:r>
        <w:rPr>
          <w:rFonts w:hint="eastAsia" w:cs="Times New Roman"/>
          <w:color w:val="auto"/>
          <w:u w:val="none" w:color="auto"/>
          <w:lang w:eastAsia="zh-CN"/>
        </w:rPr>
        <w:t>。</w:t>
      </w:r>
    </w:p>
    <w:p w14:paraId="7C5651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2、植被和陆生植物调查</w:t>
      </w:r>
    </w:p>
    <w:p w14:paraId="4883EE2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对评价区陆生生物资源历年资料检索分析的基上，根据工程方案确定路线走向及考察时间，进行现场调查。实地调查采取样线调查与样方调查相结合的方法，确定评价区的植物种类、植被类型及珍稀濒危植物的生存状况等，对珍稀濒危植物调查采取野外调查、民间访问和市场调查相结合的方法进行。</w:t>
      </w:r>
    </w:p>
    <w:p w14:paraId="25C79A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（1）考察路线选取</w:t>
      </w:r>
    </w:p>
    <w:p w14:paraId="3235C8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考察时水库周边进行调查，通常采用样线调查与样方调查的方式进行，即在调查范围内按不同方向沿路、林地等选择几条具有代表性的线路进行调查，沿途记载植物种类、采集标本、观察生境等；对集中分布的植物群落进行样方调查。</w:t>
      </w:r>
    </w:p>
    <w:p w14:paraId="1B8EFB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（2）样方布点原则</w:t>
      </w:r>
    </w:p>
    <w:p w14:paraId="79A1D52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植被调查取样的目的是要通过样方的研究准确地推测评价区植被的总体，所选取的样方具有代表性，能通过尽可能少的抽样获得较为准确的有关总体的特征。在对评价区的植被进行样方调查中，采取的原则是：</w:t>
      </w:r>
    </w:p>
    <w:p w14:paraId="628553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①尽量在重点施工区域（如大坝两侧、</w:t>
      </w:r>
      <w:r>
        <w:rPr>
          <w:rFonts w:hint="eastAsia" w:cs="Times New Roman"/>
          <w:color w:val="auto"/>
          <w:u w:val="none" w:color="auto"/>
          <w:lang w:val="en-US" w:eastAsia="zh-CN"/>
        </w:rPr>
        <w:t>溢</w:t>
      </w:r>
      <w:r>
        <w:rPr>
          <w:rFonts w:hint="default" w:ascii="Times New Roman" w:hAnsi="Times New Roman" w:cs="Times New Roman"/>
          <w:color w:val="auto"/>
          <w:u w:val="none" w:color="auto"/>
        </w:rPr>
        <w:t>洪道、输水管线等）以及植被良好的区域设置样点，并考虑评价区布点的均匀性。</w:t>
      </w:r>
    </w:p>
    <w:p w14:paraId="00D96B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②所选取的样点植被为评价区分布比较普遍的类型。</w:t>
      </w:r>
    </w:p>
    <w:p w14:paraId="4BD658B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③样点的设置避免对同一种植被进行重复设点，对特别重要的植被内植物变化较大的情况，可进行增加设点。</w:t>
      </w:r>
    </w:p>
    <w:p w14:paraId="2E2B80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④尽量避免非取样误差：避免选择路边易到之处；两人以上进行观察记录，消除主观因素。</w:t>
      </w:r>
    </w:p>
    <w:p w14:paraId="671718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以上原则保证了样点的布置具有代表性，调查结果中的植被应包括评价区分布最普遍、最主要的植被类型。</w:t>
      </w:r>
    </w:p>
    <w:p w14:paraId="62244C3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（3）样方调查方法</w:t>
      </w:r>
    </w:p>
    <w:p w14:paraId="19E437F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样方调查采用样地记录法，乔木群落样方面积为20m×20m，灌木样方为5m×5m，草本样方为5m×5m或1m×1m，记录样方的调查时间、调查及记录人、位置（GPS坐标）、群落类型、面积、编号、地形地貌特征、干扰状况、群落高度、结构、层次及各自的总盖度等信息，再详细调查群落的各层次。根据实地调查情况编写若干个样方调查表。</w:t>
      </w:r>
    </w:p>
    <w:p w14:paraId="6CF77A7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3、陆生动物调查</w:t>
      </w:r>
    </w:p>
    <w:p w14:paraId="08FF48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在调查过程中，确定评价区内动物的种类、资源状况及生存状况，尤其是重点保护动物。调查方法主要有资料搜集法、现场调查法及座谈法。</w:t>
      </w:r>
    </w:p>
    <w:p w14:paraId="2ACF63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①查阅资料</w:t>
      </w:r>
    </w:p>
    <w:p w14:paraId="0C25B9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查阅当地相关科学研究和野外调查资料。比照相应的地理纬度和海拔高度，结合生境，核查和收集当地及相邻地区的动物资源的资料。</w:t>
      </w:r>
    </w:p>
    <w:p w14:paraId="05D79A2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②实地调查</w:t>
      </w:r>
    </w:p>
    <w:p w14:paraId="482CC4E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于不同的陆生脊椎动物，通常会采用不同的调查方法：两栖类、爬行类主要以样线法为主，辅以样方法对区域内类群进行调查。样线法是在每个观测样地选择至少3条样线，每条样线根据不同生境设置不同长度，在山区，一般20~100m为一条样线，在较为开阔的平原区域，一般500~1000m为一条样线，样线宽度一般为2~6m。在按照样线行进期间记录物种和个体数量。样方法是在样地随机或均匀的设置一定数量的样方，一个样地内至少设置7个样方。样方尽量涵盖样地内的不同类型的生境，样方面积一般在5m×5m、10m×10m或20m×20m。记录样方内见到的所有两栖爬行动物种类和个体数量。</w:t>
      </w:r>
    </w:p>
    <w:p w14:paraId="1BBBA94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鸟类主要采用样线法与样点法，根据生境类型及其面积的大小设计样线或样点，抽样强度高于2%。样线法是沿着预先设计的一定路线，观测者沿着固定的线路行走，并记录沿途所见到的所有鸟类，一般样线长度在1km~3km为宜。样点法是变形的样线法，即观测者行走速度为0，适合于崎岖的山地以及片段化的生境。样点法是以一个中心点为圆心，调查周围能见距离内的鸟类数量与种类。</w:t>
      </w:r>
    </w:p>
    <w:p w14:paraId="337E87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兽类的调查方法主要采用总体计数法、样方法和捕获法，以样方法为主。总体计数是在调查区域内通过肉眼观测兽类；样方法设置一个500m×500m的样方，观测样方内兽类或者其活动痕迹如粪便、卧迹、足迹链、尿迹等。捕获法</w:t>
      </w:r>
    </w:p>
    <w:p w14:paraId="71673F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适用于小型兽类如鼠类种群的统计。</w:t>
      </w:r>
    </w:p>
    <w:p w14:paraId="11FB9F7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但是由于评价区特殊的地貌形态，上述调查方法并不完全适宜。因此，根据动物物种资源调查科学性原则、可操作性原则、保护性原则以及安全性原则并结合评价区的地形地貌特点，我们实际调查过程中主要选择样线法进行调查。评价组相关专业技术人员对区域各种主要生境进行了实地调查，包括针叶林、阔叶林、灌丛、灌草丛、农田、居民区和水域等生境。样线宽度综合考虑陆生野生动物的栖息地类型、透视度、陆生野生动物安全距离等因素，根据布设样线所涉及生境的实际情况进行确定。对山谷地带的森林生态系统样线宽度为单侧宽度不大于25m为宜；对涉及视野相对较好的草地生态系统样线宽度为单侧宽度不大于125m为宜；对于山脚平原地带等较为宽阔的区域，在现场调查时一般单侧样线宽度为500m。实际调查过程中对于在部分调查宽度外的动物个体，只要在视野范围内出现，通常也进行现场记录。</w:t>
      </w:r>
    </w:p>
    <w:p w14:paraId="4E09C6E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③访问调查</w:t>
      </w:r>
    </w:p>
    <w:p w14:paraId="49217F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评价区及其周边地区进行访问调查，与当地有野外经验的农民进行访问和座谈，与当地林业部门的相关人员进行交谈，了解当地动物的分布及数量情况。综合实地调查、访问调查和资料汇总，通过分析归纳和总结，从而得出评价范围内的动物物种、种群数量和分布资料，为评价和保护当地动物提供科学的依据。</w:t>
      </w:r>
    </w:p>
    <w:p w14:paraId="4A294830">
      <w:pPr>
        <w:pStyle w:val="5"/>
        <w:bidi w:val="0"/>
        <w:rPr>
          <w:rFonts w:hint="default"/>
        </w:rPr>
      </w:pPr>
      <w:r>
        <w:rPr>
          <w:rFonts w:hint="default"/>
        </w:rPr>
        <w:t>水生生物资源调查</w:t>
      </w:r>
    </w:p>
    <w:p w14:paraId="3B91622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水生生物野外调查方法主要依据《淡水浮游生物研究方法》、《内陆水域渔业自然资源调查手册》，同时参照SL219-2013《水环境监测规范》进行。</w:t>
      </w:r>
    </w:p>
    <w:p w14:paraId="55426D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1）浮游植物</w:t>
      </w:r>
    </w:p>
    <w:p w14:paraId="59FCC5B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定性标本采集：小型浮游生物用25号浮游生物网，大型浮游生物用3号浮游生物网，在表层至0.5m深处以20～30cm/s的速度作“∞”形循回缓慢拖动1~3min，或在水中沿表层托虑1.5～5.0</w:t>
      </w:r>
      <w:r>
        <w:rPr>
          <w:rFonts w:hint="eastAsia" w:cs="Times New Roman"/>
          <w:color w:val="auto"/>
          <w:u w:val="none" w:color="auto"/>
          <w:lang w:eastAsia="zh-CN"/>
        </w:rPr>
        <w:t>m</w:t>
      </w:r>
      <w:r>
        <w:rPr>
          <w:rFonts w:hint="eastAsia" w:cs="Times New Roman"/>
          <w:color w:val="auto"/>
          <w:u w:val="none" w:color="auto"/>
          <w:vertAlign w:val="superscript"/>
          <w:lang w:eastAsia="zh-CN"/>
        </w:rPr>
        <w:t>3</w:t>
      </w:r>
      <w:r>
        <w:rPr>
          <w:rFonts w:hint="default" w:ascii="Times New Roman" w:hAnsi="Times New Roman" w:cs="Times New Roman"/>
          <w:color w:val="auto"/>
          <w:u w:val="none" w:color="auto"/>
        </w:rPr>
        <w:t>水。</w:t>
      </w:r>
    </w:p>
    <w:p w14:paraId="413918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定量标本采集：小型浮游生物用有机玻璃采水器分别于表层0.5m水深处取水样1L。大型浮游生物因数量稀少，每个采样点采水样1L，用25号浮游生物网过滤，收集水样装入玻璃瓶中。</w:t>
      </w:r>
    </w:p>
    <w:p w14:paraId="44E6CF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标本处理：水样采集之后，立即加固定液固定。对藻类、原生动物和轮虫水样，每升加入15mL左右的鲁哥氏液固定，对枝角类和桡足类水样，按</w:t>
      </w:r>
    </w:p>
    <w:p w14:paraId="4FDDE3B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mL水样加4～5mL福尔马林固定液。固定后，样品带回实验室保存。从野外采集并经固定的水样，带回实验室后必须进一步浓缩，1000mL的水样直接静止沉淀24h后，用虹吸管小心抽调上清液，余下20～25mL沉淀物转入30ml容量瓶中。</w:t>
      </w:r>
    </w:p>
    <w:p w14:paraId="2464E6E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标本鉴定：定性标本，在显微镜下，用目镜测微尺测量大小，根据其大小、形态、内含物参照藻类分类标准（参考胡鸿钧等《中国淡水藻类：系统、分类及生态》）定出属种，一般确定到属。定量标本，一般采用0.1mL计数框，10×40高倍显微镜下分格斜线扫描计数。具体操作如下：用0.1mL定量吸管吸取摇匀后的样品液，放0.1mL浮游生物计数框中在显微镜下计数，并参照章宗涉等《淡水浮游生物研究方法》等统计到种的细胞数，然后换算成每升含量。室内先将样品定量为30mL，摇匀后吸取0.1mL样品置于0.1mL计数框内，在显微镜下按视野法计数，数量特别少时全片计数，每个样品计数2次，取其平均值，每次计数结果与平均值之差应在15%以内，否则增加计数次数。每升水样中浮游植物数量的计算公式如下：</w:t>
      </w:r>
    </w:p>
    <w:p w14:paraId="5E481ECA">
      <w:pPr>
        <w:bidi w:val="0"/>
        <w:ind w:left="0" w:leftChars="0" w:firstLine="0" w:firstLineChars="0"/>
        <w:jc w:val="center"/>
        <w:rPr>
          <w:position w:val="-83"/>
        </w:rPr>
      </w:pPr>
      <w:r>
        <w:rPr>
          <w:position w:val="-83"/>
        </w:rPr>
        <w:drawing>
          <wp:inline distT="0" distB="0" distL="0" distR="0">
            <wp:extent cx="3962400" cy="2648585"/>
            <wp:effectExtent l="0" t="0" r="0" b="18415"/>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2"/>
                    <a:stretch>
                      <a:fillRect/>
                    </a:stretch>
                  </pic:blipFill>
                  <pic:spPr>
                    <a:xfrm>
                      <a:off x="0" y="0"/>
                      <a:ext cx="3962400" cy="2648711"/>
                    </a:xfrm>
                    <a:prstGeom prst="rect">
                      <a:avLst/>
                    </a:prstGeom>
                  </pic:spPr>
                </pic:pic>
              </a:graphicData>
            </a:graphic>
          </wp:inline>
        </w:drawing>
      </w:r>
    </w:p>
    <w:p w14:paraId="5B599A53">
      <w:pPr>
        <w:bidi w:val="0"/>
        <w:rPr>
          <w:rFonts w:hint="default"/>
        </w:rPr>
      </w:pPr>
      <w:r>
        <w:rPr>
          <w:rFonts w:hint="default"/>
        </w:rPr>
        <w:t>浮游植物生物量的计算采用体积换算法。根据浮游植物的体形，按最近似的几何形测量其体积，形状特殊的种类分解为几个部分测量，然后结果相加。</w:t>
      </w:r>
    </w:p>
    <w:p w14:paraId="4B43776F">
      <w:pPr>
        <w:bidi w:val="0"/>
        <w:rPr>
          <w:rFonts w:hint="default"/>
        </w:rPr>
      </w:pPr>
      <w:r>
        <w:rPr>
          <w:rFonts w:hint="default"/>
        </w:rPr>
        <w:t>2）浮游动物</w:t>
      </w:r>
    </w:p>
    <w:p w14:paraId="6EE4264B">
      <w:pPr>
        <w:bidi w:val="0"/>
        <w:rPr>
          <w:rFonts w:hint="default"/>
        </w:rPr>
      </w:pPr>
      <w:r>
        <w:rPr>
          <w:rFonts w:hint="default"/>
        </w:rPr>
        <w:t>浮游动物采样的断面、时间和环境记录与浮游植物相同。浮游动物的计数分为原生动物、轮虫和枝角类与桡足类的计数。原生动物和轮虫浮游植物定量样品进行计数，原生动物计数是从浓缩的30mL样品中取0.1mL，置于0.1mL的计数框中，全片计数，每个样品计数2片；轮虫是从浓缩的30mL样品中取1mL，置于1mL的计数框中，全片计数，每个样品计数2片。同一样品的计数结果与均值之差不得高15%，否则增加计数次数。枝角类和桡足类的计数是用1mL计数框，将10L水过滤后的浮游动物定量样品分若干次全部计数。</w:t>
      </w:r>
    </w:p>
    <w:p w14:paraId="6109C344">
      <w:pPr>
        <w:bidi w:val="0"/>
        <w:rPr>
          <w:rFonts w:hint="default"/>
        </w:rPr>
      </w:pPr>
      <w:r>
        <w:rPr>
          <w:rFonts w:hint="default"/>
        </w:rPr>
        <w:t>单位水体浮游动物数量的计算公式如下：</w:t>
      </w:r>
    </w:p>
    <w:p w14:paraId="6EA0093A">
      <w:pPr>
        <w:bidi w:val="0"/>
        <w:ind w:left="0" w:leftChars="0" w:firstLine="0" w:firstLineChars="0"/>
        <w:jc w:val="center"/>
        <w:rPr>
          <w:position w:val="-62"/>
        </w:rPr>
      </w:pPr>
      <w:r>
        <w:rPr>
          <w:position w:val="-62"/>
        </w:rPr>
        <w:drawing>
          <wp:inline distT="0" distB="0" distL="0" distR="0">
            <wp:extent cx="3568700" cy="1972945"/>
            <wp:effectExtent l="0" t="0" r="12700" b="8255"/>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3"/>
                    <a:stretch>
                      <a:fillRect/>
                    </a:stretch>
                  </pic:blipFill>
                  <pic:spPr>
                    <a:xfrm>
                      <a:off x="0" y="0"/>
                      <a:ext cx="3569208" cy="1973579"/>
                    </a:xfrm>
                    <a:prstGeom prst="rect">
                      <a:avLst/>
                    </a:prstGeom>
                  </pic:spPr>
                </pic:pic>
              </a:graphicData>
            </a:graphic>
          </wp:inline>
        </w:drawing>
      </w:r>
    </w:p>
    <w:p w14:paraId="3DB67484">
      <w:pPr>
        <w:bidi w:val="0"/>
        <w:rPr>
          <w:rFonts w:hint="default"/>
        </w:rPr>
      </w:pPr>
      <w:r>
        <w:rPr>
          <w:rFonts w:hint="default"/>
        </w:rPr>
        <w:t>显微镜下检测各类浮游动物的种类、数量、大小，原生动物和轮虫生物量的计算采用体积换算法。根据不同种类的体形，按最近似的几何形测量其体积。枝角类和桡足类生物量的计算采用测量不同种类的体长，用回归方程式求体重进行。</w:t>
      </w:r>
    </w:p>
    <w:p w14:paraId="2180494A">
      <w:pPr>
        <w:bidi w:val="0"/>
        <w:rPr>
          <w:rFonts w:hint="default"/>
        </w:rPr>
      </w:pPr>
      <w:r>
        <w:rPr>
          <w:rFonts w:hint="default"/>
        </w:rPr>
        <w:t>3）底栖无脊椎动物</w:t>
      </w:r>
    </w:p>
    <w:p w14:paraId="3A1A4037">
      <w:pPr>
        <w:bidi w:val="0"/>
        <w:rPr>
          <w:rFonts w:hint="default"/>
        </w:rPr>
      </w:pPr>
      <w:r>
        <w:rPr>
          <w:rFonts w:hint="default"/>
        </w:rPr>
        <w:t>底栖动物的调查与浮游动物调查同时进行。底栖动物分三大类：水生昆虫、寡毛类、软体动物。</w:t>
      </w:r>
    </w:p>
    <w:p w14:paraId="527E2CD1">
      <w:pPr>
        <w:bidi w:val="0"/>
        <w:rPr>
          <w:rFonts w:hint="default"/>
        </w:rPr>
      </w:pPr>
      <w:r>
        <w:rPr>
          <w:rFonts w:hint="default"/>
        </w:rPr>
        <w:t>定性采样：用D型手抄网、手捡等方法在岸边及浅水区采集定性样品，采用抄网采样时，应尽可能在各种生境采样。</w:t>
      </w:r>
    </w:p>
    <w:p w14:paraId="3E46BCCB">
      <w:pPr>
        <w:bidi w:val="0"/>
        <w:rPr>
          <w:rFonts w:hint="default"/>
        </w:rPr>
      </w:pPr>
      <w:r>
        <w:rPr>
          <w:rFonts w:hint="default"/>
        </w:rPr>
        <w:t>定量采样：底栖动物定量采集用1/16</w:t>
      </w:r>
      <w:r>
        <w:rPr>
          <w:rFonts w:hint="eastAsia"/>
          <w:lang w:eastAsia="zh-CN"/>
        </w:rPr>
        <w:t>m</w:t>
      </w:r>
      <w:r>
        <w:rPr>
          <w:rFonts w:hint="eastAsia"/>
          <w:vertAlign w:val="superscript"/>
          <w:lang w:eastAsia="zh-CN"/>
        </w:rPr>
        <w:t>2</w:t>
      </w:r>
      <w:r>
        <w:rPr>
          <w:rFonts w:hint="default"/>
        </w:rPr>
        <w:t>改良彼得森采泥器，每个断面采2次，将采得的泥样用60目尼龙筛在水中轻轻摇荡，洗去污泥，筛选出各类标本。将每个断面采集的底栖无脊椎动物样品，按采集编号进行整理鉴定。鉴定到属或种后，分种逐一进行种类数量统计，并用精度为0.01g的电子天平称重，称重前需将标本放吸水纸上，吸去虫体体表的水分。最后算出每立方米为单位的种类密度及生物量。</w:t>
      </w:r>
    </w:p>
    <w:p w14:paraId="183AF6BC">
      <w:pPr>
        <w:bidi w:val="0"/>
        <w:rPr>
          <w:rFonts w:hint="default"/>
        </w:rPr>
      </w:pPr>
      <w:r>
        <w:rPr>
          <w:rFonts w:hint="default"/>
        </w:rPr>
        <w:t>4）鱼类</w:t>
      </w:r>
    </w:p>
    <w:p w14:paraId="2FD64639">
      <w:pPr>
        <w:bidi w:val="0"/>
        <w:rPr>
          <w:rFonts w:hint="default"/>
        </w:rPr>
      </w:pPr>
      <w:r>
        <w:rPr>
          <w:rFonts w:hint="default"/>
        </w:rPr>
        <w:t>鱼类区系组成：鱼类调查以区域调查为主，对调查范围内的鱼类资源进行调查。采取捕捞和走访相结合的方法，采集鱼类标本、收集资料、进行记录，标本用福尔马林固定保存。通过对标本的分类鉴定，资料的分析整理，编制出鱼类种类组成名录。</w:t>
      </w:r>
    </w:p>
    <w:p w14:paraId="7E885A19">
      <w:pPr>
        <w:bidi w:val="0"/>
        <w:rPr>
          <w:rFonts w:hint="default"/>
        </w:rPr>
      </w:pPr>
      <w:r>
        <w:rPr>
          <w:rFonts w:hint="default"/>
        </w:rPr>
        <w:t>鱼类资源现状：鱼类资源量的调查采取捕捞渔获物统计分析结合现场调查取样进行。采用访问调查和统计表调查方法，调查资源量和渔获量。向渔业主管部门和渔政管理部门及渔民调查了解渔业资源现状以及鱼类资源管理中存在的问题。对渔获物资料进行整理分析，以判断鱼类资源状况。</w:t>
      </w:r>
    </w:p>
    <w:p w14:paraId="497EEBE8">
      <w:pPr>
        <w:bidi w:val="0"/>
        <w:rPr>
          <w:rFonts w:hint="default"/>
        </w:rPr>
      </w:pPr>
      <w:r>
        <w:rPr>
          <w:rFonts w:hint="default"/>
        </w:rPr>
        <w:t>鱼类生物学：鱼类标本尽量现场鉴定，进行生物学基础数据测定，并取鳞片等作为鉴定年龄的材料。必要时检查性别，取性腺鉴别成熟度。部分标本用5%的甲醛溶液固定保存。现场解剖获取食性和性腺样品，食性样品用甲醛溶液固定，性腺样品用波恩氏液固定。</w:t>
      </w:r>
    </w:p>
    <w:p w14:paraId="21150829">
      <w:pPr>
        <w:bidi w:val="0"/>
        <w:rPr>
          <w:rFonts w:hint="default"/>
        </w:rPr>
      </w:pPr>
      <w:r>
        <w:rPr>
          <w:rFonts w:hint="default"/>
        </w:rPr>
        <w:t>鱼类“三场”：集成现有成果，走访沿江居民和主要捕捞人员，了解不同季节鱼类主要集中地和鱼类种群组成，结合鱼类生物学特性和水文学特征，分析鱼类“三场”分布情况，并通过有经验的捕捞人员进行验证。</w:t>
      </w:r>
    </w:p>
    <w:p w14:paraId="73790A9B">
      <w:pPr>
        <w:bidi w:val="0"/>
        <w:rPr>
          <w:rFonts w:hint="default"/>
        </w:rPr>
      </w:pPr>
      <w:r>
        <w:rPr>
          <w:rFonts w:hint="default"/>
        </w:rPr>
        <w:t>5）水生维管束植物采集</w:t>
      </w:r>
    </w:p>
    <w:p w14:paraId="615B30C6">
      <w:pPr>
        <w:bidi w:val="0"/>
        <w:rPr>
          <w:rFonts w:hint="default"/>
        </w:rPr>
      </w:pPr>
      <w:r>
        <w:rPr>
          <w:rFonts w:hint="default"/>
        </w:rPr>
        <w:t>在样地和样带上，深水区用0.2</w:t>
      </w:r>
      <w:r>
        <w:rPr>
          <w:rFonts w:hint="eastAsia"/>
          <w:lang w:eastAsia="zh-CN"/>
        </w:rPr>
        <w:t>m</w:t>
      </w:r>
      <w:r>
        <w:rPr>
          <w:rFonts w:hint="eastAsia"/>
          <w:vertAlign w:val="superscript"/>
          <w:lang w:eastAsia="zh-CN"/>
        </w:rPr>
        <w:t>2</w:t>
      </w:r>
      <w:r>
        <w:rPr>
          <w:rFonts w:hint="default"/>
        </w:rPr>
        <w:t>的采草器采样，浅水处采用收割法采样，截取2m×2m样方面积，记录样地内物种组成和盖度，统计生物量。定性样品整株采集，包括植株的根、茎、叶、花和果实，样品力求完整，按自然状态固定在压榨纸中，压干保存后，带回实验室鉴定种类。</w:t>
      </w:r>
    </w:p>
    <w:p w14:paraId="756D9295">
      <w:pPr>
        <w:pStyle w:val="4"/>
        <w:bidi w:val="0"/>
        <w:rPr>
          <w:rFonts w:hint="default"/>
        </w:rPr>
      </w:pPr>
      <w:r>
        <w:rPr>
          <w:rFonts w:hint="default"/>
        </w:rPr>
        <w:t>生态系统现状</w:t>
      </w:r>
    </w:p>
    <w:p w14:paraId="5C6E256D">
      <w:pPr>
        <w:bidi w:val="0"/>
        <w:rPr>
          <w:rFonts w:hint="default"/>
          <w:lang w:eastAsia="zh-CN"/>
        </w:rPr>
      </w:pPr>
      <w:r>
        <w:rPr>
          <w:rFonts w:hint="default"/>
        </w:rPr>
        <w:t>本项目评价区总面积</w:t>
      </w:r>
      <w:r>
        <w:rPr>
          <w:rFonts w:hint="eastAsia"/>
          <w:lang w:val="en-US" w:eastAsia="zh-CN"/>
        </w:rPr>
        <w:t>147.74</w:t>
      </w:r>
      <w:r>
        <w:rPr>
          <w:rFonts w:hint="default"/>
        </w:rPr>
        <w:t>h</w:t>
      </w:r>
      <w:r>
        <w:rPr>
          <w:rFonts w:hint="eastAsia"/>
          <w:lang w:eastAsia="zh-CN"/>
        </w:rPr>
        <w:t>m</w:t>
      </w:r>
      <w:r>
        <w:rPr>
          <w:rFonts w:hint="eastAsia"/>
          <w:vertAlign w:val="superscript"/>
          <w:lang w:eastAsia="zh-CN"/>
        </w:rPr>
        <w:t>2</w:t>
      </w:r>
      <w:r>
        <w:rPr>
          <w:rFonts w:hint="default"/>
        </w:rPr>
        <w:t>，根据对评价区土地利用现状的分析，结合植物群系分布调查，按照（HJ1166—2021）对评价区的生态系统划分，本项目评价区主要可分为森林生态系统、农业生态系统、城镇/村落生态系统、灌丛生态系统、湿地生态系统等。</w:t>
      </w:r>
      <w:bookmarkStart w:id="201" w:name="_Toc22168"/>
    </w:p>
    <w:p w14:paraId="02CB0BB5">
      <w:pPr>
        <w:pStyle w:val="48"/>
        <w:bidi w:val="0"/>
        <w:rPr>
          <w:rFonts w:hint="default"/>
        </w:rPr>
      </w:pPr>
      <w:r>
        <w:rPr>
          <w:rFonts w:hint="default"/>
        </w:rPr>
        <w:t>表5.</w:t>
      </w:r>
      <w:r>
        <w:rPr>
          <w:rFonts w:hint="eastAsia"/>
          <w:lang w:val="en-US" w:eastAsia="zh-CN"/>
        </w:rPr>
        <w:t>3</w:t>
      </w:r>
      <w:r>
        <w:rPr>
          <w:rFonts w:hint="default"/>
        </w:rPr>
        <w:t>-</w:t>
      </w:r>
      <w:r>
        <w:rPr>
          <w:rFonts w:hint="eastAsia"/>
          <w:lang w:val="en-US" w:eastAsia="zh-CN"/>
        </w:rPr>
        <w:t>2</w:t>
      </w:r>
      <w:r>
        <w:rPr>
          <w:rFonts w:hint="default"/>
        </w:rPr>
        <w:t xml:space="preserve">  评价区生态系统面积及比例</w:t>
      </w:r>
    </w:p>
    <w:tbl>
      <w:tblPr>
        <w:tblStyle w:val="16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52"/>
        <w:gridCol w:w="1809"/>
        <w:gridCol w:w="1916"/>
        <w:gridCol w:w="1720"/>
        <w:gridCol w:w="1623"/>
      </w:tblGrid>
      <w:tr w14:paraId="641E50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752" w:type="pct"/>
            <w:vAlign w:val="center"/>
          </w:tcPr>
          <w:p w14:paraId="59C01678">
            <w:pPr>
              <w:pStyle w:val="49"/>
              <w:bidi w:val="0"/>
              <w:jc w:val="center"/>
            </w:pPr>
            <w:r>
              <w:t>序号</w:t>
            </w:r>
          </w:p>
        </w:tc>
        <w:tc>
          <w:tcPr>
            <w:tcW w:w="1087" w:type="pct"/>
            <w:vAlign w:val="center"/>
          </w:tcPr>
          <w:p w14:paraId="31F8475B">
            <w:pPr>
              <w:pStyle w:val="49"/>
              <w:bidi w:val="0"/>
              <w:jc w:val="center"/>
            </w:pPr>
            <w:r>
              <w:t>I 级分类</w:t>
            </w:r>
          </w:p>
        </w:tc>
        <w:tc>
          <w:tcPr>
            <w:tcW w:w="1149" w:type="pct"/>
            <w:vAlign w:val="center"/>
          </w:tcPr>
          <w:p w14:paraId="5EFBE197">
            <w:pPr>
              <w:pStyle w:val="49"/>
              <w:bidi w:val="0"/>
              <w:jc w:val="center"/>
            </w:pPr>
            <w:r>
              <w:t>Ⅱ级分类</w:t>
            </w:r>
          </w:p>
        </w:tc>
        <w:tc>
          <w:tcPr>
            <w:tcW w:w="1033" w:type="pct"/>
            <w:vAlign w:val="center"/>
          </w:tcPr>
          <w:p w14:paraId="03B61C6B">
            <w:pPr>
              <w:pStyle w:val="49"/>
              <w:bidi w:val="0"/>
              <w:jc w:val="center"/>
            </w:pPr>
            <w:r>
              <w:t>面积（h</w:t>
            </w:r>
            <w:r>
              <w:rPr>
                <w:rFonts w:hint="eastAsia"/>
                <w:lang w:eastAsia="zh-CN"/>
              </w:rPr>
              <w:t>m</w:t>
            </w:r>
            <w:r>
              <w:rPr>
                <w:rFonts w:hint="eastAsia"/>
                <w:vertAlign w:val="superscript"/>
                <w:lang w:eastAsia="zh-CN"/>
              </w:rPr>
              <w:t>2</w:t>
            </w:r>
            <w:r>
              <w:t>）</w:t>
            </w:r>
          </w:p>
        </w:tc>
        <w:tc>
          <w:tcPr>
            <w:tcW w:w="975" w:type="pct"/>
            <w:vAlign w:val="center"/>
          </w:tcPr>
          <w:p w14:paraId="6D295827">
            <w:pPr>
              <w:pStyle w:val="49"/>
              <w:bidi w:val="0"/>
              <w:jc w:val="center"/>
            </w:pPr>
            <w:r>
              <w:t>占比（%）</w:t>
            </w:r>
          </w:p>
        </w:tc>
      </w:tr>
      <w:tr w14:paraId="3CD4B5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52" w:type="pct"/>
            <w:vAlign w:val="center"/>
          </w:tcPr>
          <w:p w14:paraId="5A129736">
            <w:pPr>
              <w:pStyle w:val="49"/>
              <w:bidi w:val="0"/>
              <w:jc w:val="center"/>
            </w:pPr>
            <w:r>
              <w:t>1</w:t>
            </w:r>
          </w:p>
        </w:tc>
        <w:tc>
          <w:tcPr>
            <w:tcW w:w="1087" w:type="pct"/>
            <w:vAlign w:val="center"/>
          </w:tcPr>
          <w:p w14:paraId="19767C63">
            <w:pPr>
              <w:pStyle w:val="49"/>
              <w:bidi w:val="0"/>
              <w:jc w:val="center"/>
              <w:rPr>
                <w:highlight w:val="none"/>
              </w:rPr>
            </w:pPr>
            <w:r>
              <w:rPr>
                <w:highlight w:val="none"/>
              </w:rPr>
              <w:t>森林生态系统</w:t>
            </w:r>
          </w:p>
        </w:tc>
        <w:tc>
          <w:tcPr>
            <w:tcW w:w="1149" w:type="pct"/>
            <w:vAlign w:val="center"/>
          </w:tcPr>
          <w:p w14:paraId="6F3F9C3B">
            <w:pPr>
              <w:pStyle w:val="49"/>
              <w:bidi w:val="0"/>
              <w:jc w:val="center"/>
              <w:rPr>
                <w:highlight w:val="none"/>
              </w:rPr>
            </w:pPr>
            <w:r>
              <w:rPr>
                <w:highlight w:val="none"/>
              </w:rPr>
              <w:t>阔叶林、针叶林</w:t>
            </w:r>
          </w:p>
        </w:tc>
        <w:tc>
          <w:tcPr>
            <w:tcW w:w="1033" w:type="pct"/>
            <w:vAlign w:val="center"/>
          </w:tcPr>
          <w:p w14:paraId="37867FCC">
            <w:pPr>
              <w:pStyle w:val="49"/>
              <w:bidi w:val="0"/>
              <w:jc w:val="center"/>
              <w:rPr>
                <w:rFonts w:hint="default" w:eastAsia="宋体"/>
                <w:highlight w:val="none"/>
                <w:lang w:val="en-US" w:eastAsia="zh-CN"/>
              </w:rPr>
            </w:pPr>
            <w:r>
              <w:rPr>
                <w:rFonts w:hint="eastAsia"/>
                <w:highlight w:val="none"/>
                <w:lang w:val="en-US" w:eastAsia="zh-CN"/>
              </w:rPr>
              <w:t>90.87</w:t>
            </w:r>
          </w:p>
        </w:tc>
        <w:tc>
          <w:tcPr>
            <w:tcW w:w="975" w:type="pct"/>
            <w:vAlign w:val="center"/>
          </w:tcPr>
          <w:p w14:paraId="59D89D3E">
            <w:pPr>
              <w:pStyle w:val="49"/>
              <w:bidi w:val="0"/>
              <w:jc w:val="center"/>
              <w:rPr>
                <w:rFonts w:hint="default" w:eastAsia="宋体"/>
                <w:highlight w:val="none"/>
                <w:lang w:val="en-US" w:eastAsia="zh-CN"/>
              </w:rPr>
            </w:pPr>
            <w:r>
              <w:rPr>
                <w:rFonts w:hint="eastAsia"/>
                <w:highlight w:val="none"/>
                <w:lang w:val="en-US" w:eastAsia="zh-CN"/>
              </w:rPr>
              <w:t>61.57</w:t>
            </w:r>
          </w:p>
        </w:tc>
      </w:tr>
      <w:tr w14:paraId="3977A8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52" w:type="pct"/>
            <w:vAlign w:val="center"/>
          </w:tcPr>
          <w:p w14:paraId="7B3D3EBF">
            <w:pPr>
              <w:pStyle w:val="49"/>
              <w:bidi w:val="0"/>
              <w:jc w:val="center"/>
            </w:pPr>
            <w:r>
              <w:t>2</w:t>
            </w:r>
          </w:p>
        </w:tc>
        <w:tc>
          <w:tcPr>
            <w:tcW w:w="1087" w:type="pct"/>
            <w:vAlign w:val="center"/>
          </w:tcPr>
          <w:p w14:paraId="079B8319">
            <w:pPr>
              <w:pStyle w:val="49"/>
              <w:bidi w:val="0"/>
              <w:jc w:val="center"/>
              <w:rPr>
                <w:highlight w:val="none"/>
              </w:rPr>
            </w:pPr>
            <w:r>
              <w:rPr>
                <w:rFonts w:hint="eastAsia"/>
                <w:highlight w:val="none"/>
                <w:lang w:val="en-US" w:eastAsia="zh-CN"/>
              </w:rPr>
              <w:t>草地</w:t>
            </w:r>
            <w:r>
              <w:rPr>
                <w:highlight w:val="none"/>
              </w:rPr>
              <w:t>灌丛生态系统</w:t>
            </w:r>
          </w:p>
        </w:tc>
        <w:tc>
          <w:tcPr>
            <w:tcW w:w="1149" w:type="pct"/>
            <w:vAlign w:val="center"/>
          </w:tcPr>
          <w:p w14:paraId="49019895">
            <w:pPr>
              <w:pStyle w:val="49"/>
              <w:bidi w:val="0"/>
              <w:jc w:val="center"/>
              <w:rPr>
                <w:rFonts w:hint="eastAsia" w:eastAsia="宋体"/>
                <w:highlight w:val="none"/>
                <w:lang w:val="en-US" w:eastAsia="zh-CN"/>
              </w:rPr>
            </w:pPr>
            <w:r>
              <w:rPr>
                <w:highlight w:val="none"/>
              </w:rPr>
              <w:t>灌丛</w:t>
            </w:r>
            <w:r>
              <w:rPr>
                <w:rFonts w:hint="eastAsia"/>
                <w:highlight w:val="none"/>
                <w:lang w:val="en-US" w:eastAsia="zh-CN"/>
              </w:rPr>
              <w:t>草地</w:t>
            </w:r>
          </w:p>
        </w:tc>
        <w:tc>
          <w:tcPr>
            <w:tcW w:w="1033" w:type="pct"/>
            <w:vAlign w:val="center"/>
          </w:tcPr>
          <w:p w14:paraId="2200C951">
            <w:pPr>
              <w:pStyle w:val="49"/>
              <w:bidi w:val="0"/>
              <w:jc w:val="center"/>
              <w:rPr>
                <w:rFonts w:hint="default" w:eastAsia="宋体"/>
                <w:highlight w:val="none"/>
                <w:lang w:val="en-US" w:eastAsia="zh-CN"/>
              </w:rPr>
            </w:pPr>
            <w:r>
              <w:rPr>
                <w:rFonts w:hint="eastAsia"/>
                <w:highlight w:val="none"/>
                <w:lang w:val="en-US" w:eastAsia="zh-CN"/>
              </w:rPr>
              <w:t>4.87</w:t>
            </w:r>
          </w:p>
        </w:tc>
        <w:tc>
          <w:tcPr>
            <w:tcW w:w="975" w:type="pct"/>
            <w:vAlign w:val="center"/>
          </w:tcPr>
          <w:p w14:paraId="31CBCC90">
            <w:pPr>
              <w:pStyle w:val="49"/>
              <w:bidi w:val="0"/>
              <w:jc w:val="center"/>
              <w:rPr>
                <w:rFonts w:hint="default" w:eastAsia="宋体"/>
                <w:highlight w:val="none"/>
                <w:lang w:val="en-US" w:eastAsia="zh-CN"/>
              </w:rPr>
            </w:pPr>
            <w:r>
              <w:rPr>
                <w:rFonts w:hint="eastAsia"/>
                <w:highlight w:val="none"/>
                <w:lang w:val="en-US" w:eastAsia="zh-CN"/>
              </w:rPr>
              <w:t>3.30</w:t>
            </w:r>
          </w:p>
        </w:tc>
      </w:tr>
      <w:tr w14:paraId="7A07B7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52" w:type="pct"/>
            <w:vAlign w:val="center"/>
          </w:tcPr>
          <w:p w14:paraId="1BE49F6C">
            <w:pPr>
              <w:pStyle w:val="49"/>
              <w:bidi w:val="0"/>
              <w:jc w:val="center"/>
            </w:pPr>
            <w:r>
              <w:t>4</w:t>
            </w:r>
          </w:p>
        </w:tc>
        <w:tc>
          <w:tcPr>
            <w:tcW w:w="1087" w:type="pct"/>
            <w:vAlign w:val="center"/>
          </w:tcPr>
          <w:p w14:paraId="4CC4C34E">
            <w:pPr>
              <w:pStyle w:val="49"/>
              <w:bidi w:val="0"/>
              <w:jc w:val="center"/>
              <w:rPr>
                <w:highlight w:val="none"/>
              </w:rPr>
            </w:pPr>
            <w:r>
              <w:rPr>
                <w:highlight w:val="none"/>
              </w:rPr>
              <w:t>湿地生态系统</w:t>
            </w:r>
          </w:p>
        </w:tc>
        <w:tc>
          <w:tcPr>
            <w:tcW w:w="1149" w:type="pct"/>
            <w:vAlign w:val="center"/>
          </w:tcPr>
          <w:p w14:paraId="7CE130DB">
            <w:pPr>
              <w:pStyle w:val="49"/>
              <w:bidi w:val="0"/>
              <w:jc w:val="center"/>
              <w:rPr>
                <w:highlight w:val="none"/>
              </w:rPr>
            </w:pPr>
            <w:r>
              <w:rPr>
                <w:highlight w:val="none"/>
              </w:rPr>
              <w:t>河流、沟渠、坑塘</w:t>
            </w:r>
          </w:p>
        </w:tc>
        <w:tc>
          <w:tcPr>
            <w:tcW w:w="1033" w:type="pct"/>
            <w:vAlign w:val="center"/>
          </w:tcPr>
          <w:p w14:paraId="247D5588">
            <w:pPr>
              <w:pStyle w:val="49"/>
              <w:bidi w:val="0"/>
              <w:jc w:val="center"/>
              <w:rPr>
                <w:rFonts w:hint="default" w:eastAsia="宋体"/>
                <w:highlight w:val="none"/>
                <w:lang w:val="en-US" w:eastAsia="zh-CN"/>
              </w:rPr>
            </w:pPr>
            <w:r>
              <w:rPr>
                <w:rFonts w:hint="eastAsia"/>
                <w:highlight w:val="none"/>
                <w:lang w:val="en-US" w:eastAsia="zh-CN"/>
              </w:rPr>
              <w:t>34.34</w:t>
            </w:r>
          </w:p>
        </w:tc>
        <w:tc>
          <w:tcPr>
            <w:tcW w:w="975" w:type="pct"/>
            <w:vAlign w:val="center"/>
          </w:tcPr>
          <w:p w14:paraId="205E39D8">
            <w:pPr>
              <w:pStyle w:val="49"/>
              <w:bidi w:val="0"/>
              <w:jc w:val="center"/>
              <w:rPr>
                <w:rFonts w:hint="default" w:eastAsia="宋体"/>
                <w:highlight w:val="none"/>
                <w:lang w:val="en-US" w:eastAsia="zh-CN"/>
              </w:rPr>
            </w:pPr>
            <w:r>
              <w:rPr>
                <w:rFonts w:hint="eastAsia"/>
                <w:highlight w:val="none"/>
                <w:lang w:val="en-US" w:eastAsia="zh-CN"/>
              </w:rPr>
              <w:t>23.24</w:t>
            </w:r>
          </w:p>
        </w:tc>
      </w:tr>
      <w:tr w14:paraId="5AA69B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52" w:type="pct"/>
            <w:vAlign w:val="center"/>
          </w:tcPr>
          <w:p w14:paraId="7B3E9F3C">
            <w:pPr>
              <w:pStyle w:val="49"/>
              <w:bidi w:val="0"/>
              <w:jc w:val="center"/>
            </w:pPr>
            <w:r>
              <w:t>5</w:t>
            </w:r>
          </w:p>
        </w:tc>
        <w:tc>
          <w:tcPr>
            <w:tcW w:w="1087" w:type="pct"/>
            <w:vAlign w:val="center"/>
          </w:tcPr>
          <w:p w14:paraId="21F4FEC7">
            <w:pPr>
              <w:pStyle w:val="49"/>
              <w:bidi w:val="0"/>
              <w:jc w:val="center"/>
              <w:rPr>
                <w:highlight w:val="none"/>
              </w:rPr>
            </w:pPr>
            <w:r>
              <w:rPr>
                <w:highlight w:val="none"/>
              </w:rPr>
              <w:t>农田生态系统</w:t>
            </w:r>
          </w:p>
        </w:tc>
        <w:tc>
          <w:tcPr>
            <w:tcW w:w="1149" w:type="pct"/>
            <w:vAlign w:val="center"/>
          </w:tcPr>
          <w:p w14:paraId="07B52460">
            <w:pPr>
              <w:pStyle w:val="49"/>
              <w:bidi w:val="0"/>
              <w:jc w:val="center"/>
              <w:rPr>
                <w:highlight w:val="none"/>
              </w:rPr>
            </w:pPr>
            <w:r>
              <w:rPr>
                <w:highlight w:val="none"/>
              </w:rPr>
              <w:t>耕地、园地</w:t>
            </w:r>
          </w:p>
        </w:tc>
        <w:tc>
          <w:tcPr>
            <w:tcW w:w="1033" w:type="pct"/>
            <w:vAlign w:val="center"/>
          </w:tcPr>
          <w:p w14:paraId="769C6F63">
            <w:pPr>
              <w:pStyle w:val="49"/>
              <w:bidi w:val="0"/>
              <w:jc w:val="center"/>
              <w:rPr>
                <w:rFonts w:hint="default" w:eastAsia="宋体"/>
                <w:highlight w:val="none"/>
                <w:lang w:val="en-US" w:eastAsia="zh-CN"/>
              </w:rPr>
            </w:pPr>
            <w:r>
              <w:rPr>
                <w:rFonts w:hint="eastAsia"/>
                <w:highlight w:val="none"/>
                <w:lang w:val="en-US" w:eastAsia="zh-CN"/>
              </w:rPr>
              <w:t>13.54</w:t>
            </w:r>
          </w:p>
        </w:tc>
        <w:tc>
          <w:tcPr>
            <w:tcW w:w="975" w:type="pct"/>
            <w:vAlign w:val="center"/>
          </w:tcPr>
          <w:p w14:paraId="400AC25E">
            <w:pPr>
              <w:pStyle w:val="49"/>
              <w:bidi w:val="0"/>
              <w:jc w:val="center"/>
              <w:rPr>
                <w:rFonts w:hint="default" w:eastAsia="宋体"/>
                <w:highlight w:val="none"/>
                <w:lang w:val="en-US" w:eastAsia="zh-CN"/>
              </w:rPr>
            </w:pPr>
            <w:r>
              <w:rPr>
                <w:rFonts w:hint="eastAsia"/>
                <w:highlight w:val="none"/>
                <w:lang w:val="en-US" w:eastAsia="zh-CN"/>
              </w:rPr>
              <w:t>9.16</w:t>
            </w:r>
          </w:p>
        </w:tc>
      </w:tr>
      <w:tr w14:paraId="170E7B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52" w:type="pct"/>
            <w:vMerge w:val="restart"/>
            <w:tcBorders>
              <w:bottom w:val="nil"/>
            </w:tcBorders>
            <w:vAlign w:val="center"/>
          </w:tcPr>
          <w:p w14:paraId="071297CC">
            <w:pPr>
              <w:pStyle w:val="49"/>
              <w:bidi w:val="0"/>
              <w:jc w:val="center"/>
            </w:pPr>
            <w:r>
              <w:t>6</w:t>
            </w:r>
          </w:p>
        </w:tc>
        <w:tc>
          <w:tcPr>
            <w:tcW w:w="1087" w:type="pct"/>
            <w:vMerge w:val="restart"/>
            <w:tcBorders>
              <w:bottom w:val="nil"/>
            </w:tcBorders>
            <w:vAlign w:val="center"/>
          </w:tcPr>
          <w:p w14:paraId="43FD20FD">
            <w:pPr>
              <w:pStyle w:val="49"/>
              <w:bidi w:val="0"/>
              <w:jc w:val="center"/>
              <w:rPr>
                <w:highlight w:val="none"/>
              </w:rPr>
            </w:pPr>
            <w:r>
              <w:rPr>
                <w:highlight w:val="none"/>
              </w:rPr>
              <w:t>村落生态系统</w:t>
            </w:r>
          </w:p>
        </w:tc>
        <w:tc>
          <w:tcPr>
            <w:tcW w:w="1149" w:type="pct"/>
            <w:vAlign w:val="center"/>
          </w:tcPr>
          <w:p w14:paraId="135F1D5D">
            <w:pPr>
              <w:pStyle w:val="49"/>
              <w:bidi w:val="0"/>
              <w:jc w:val="center"/>
              <w:rPr>
                <w:highlight w:val="none"/>
              </w:rPr>
            </w:pPr>
            <w:r>
              <w:rPr>
                <w:highlight w:val="none"/>
              </w:rPr>
              <w:t>居住地</w:t>
            </w:r>
          </w:p>
        </w:tc>
        <w:tc>
          <w:tcPr>
            <w:tcW w:w="1033" w:type="pct"/>
            <w:vMerge w:val="restart"/>
            <w:tcBorders>
              <w:bottom w:val="nil"/>
            </w:tcBorders>
            <w:vAlign w:val="center"/>
          </w:tcPr>
          <w:p w14:paraId="4AE939E9">
            <w:pPr>
              <w:pStyle w:val="49"/>
              <w:bidi w:val="0"/>
              <w:jc w:val="center"/>
              <w:rPr>
                <w:rFonts w:hint="default" w:eastAsia="宋体"/>
                <w:highlight w:val="none"/>
                <w:lang w:val="en-US" w:eastAsia="zh-CN"/>
              </w:rPr>
            </w:pPr>
            <w:r>
              <w:rPr>
                <w:rFonts w:hint="eastAsia"/>
                <w:highlight w:val="none"/>
                <w:lang w:val="en-US" w:eastAsia="zh-CN"/>
              </w:rPr>
              <w:t>4.12</w:t>
            </w:r>
          </w:p>
        </w:tc>
        <w:tc>
          <w:tcPr>
            <w:tcW w:w="975" w:type="pct"/>
            <w:vMerge w:val="restart"/>
            <w:tcBorders>
              <w:bottom w:val="nil"/>
            </w:tcBorders>
            <w:vAlign w:val="center"/>
          </w:tcPr>
          <w:p w14:paraId="00A5F479">
            <w:pPr>
              <w:pStyle w:val="49"/>
              <w:bidi w:val="0"/>
              <w:jc w:val="center"/>
              <w:rPr>
                <w:rFonts w:hint="default" w:eastAsia="宋体"/>
                <w:highlight w:val="none"/>
                <w:lang w:val="en-US" w:eastAsia="zh-CN"/>
              </w:rPr>
            </w:pPr>
            <w:r>
              <w:rPr>
                <w:rFonts w:hint="eastAsia"/>
                <w:highlight w:val="none"/>
                <w:lang w:val="en-US" w:eastAsia="zh-CN"/>
              </w:rPr>
              <w:t>2.79</w:t>
            </w:r>
          </w:p>
        </w:tc>
      </w:tr>
      <w:tr w14:paraId="74C937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52" w:type="pct"/>
            <w:vMerge w:val="continue"/>
            <w:tcBorders>
              <w:top w:val="nil"/>
            </w:tcBorders>
            <w:vAlign w:val="center"/>
          </w:tcPr>
          <w:p w14:paraId="5DFBDCB6">
            <w:pPr>
              <w:pStyle w:val="49"/>
              <w:bidi w:val="0"/>
              <w:jc w:val="center"/>
            </w:pPr>
          </w:p>
        </w:tc>
        <w:tc>
          <w:tcPr>
            <w:tcW w:w="1087" w:type="pct"/>
            <w:vMerge w:val="continue"/>
            <w:tcBorders>
              <w:top w:val="nil"/>
            </w:tcBorders>
            <w:vAlign w:val="center"/>
          </w:tcPr>
          <w:p w14:paraId="79D90365">
            <w:pPr>
              <w:pStyle w:val="49"/>
              <w:bidi w:val="0"/>
              <w:jc w:val="center"/>
              <w:rPr>
                <w:highlight w:val="none"/>
              </w:rPr>
            </w:pPr>
          </w:p>
        </w:tc>
        <w:tc>
          <w:tcPr>
            <w:tcW w:w="1149" w:type="pct"/>
            <w:vAlign w:val="center"/>
          </w:tcPr>
          <w:p w14:paraId="511D2DEE">
            <w:pPr>
              <w:pStyle w:val="49"/>
              <w:bidi w:val="0"/>
              <w:jc w:val="center"/>
              <w:rPr>
                <w:highlight w:val="none"/>
              </w:rPr>
            </w:pPr>
            <w:r>
              <w:rPr>
                <w:highlight w:val="none"/>
              </w:rPr>
              <w:t>工矿交通</w:t>
            </w:r>
          </w:p>
        </w:tc>
        <w:tc>
          <w:tcPr>
            <w:tcW w:w="1033" w:type="pct"/>
            <w:vMerge w:val="continue"/>
            <w:tcBorders>
              <w:top w:val="nil"/>
            </w:tcBorders>
            <w:vAlign w:val="center"/>
          </w:tcPr>
          <w:p w14:paraId="6831CB33">
            <w:pPr>
              <w:pStyle w:val="49"/>
              <w:bidi w:val="0"/>
              <w:jc w:val="center"/>
              <w:rPr>
                <w:highlight w:val="none"/>
              </w:rPr>
            </w:pPr>
          </w:p>
        </w:tc>
        <w:tc>
          <w:tcPr>
            <w:tcW w:w="975" w:type="pct"/>
            <w:vMerge w:val="continue"/>
            <w:tcBorders>
              <w:top w:val="nil"/>
            </w:tcBorders>
            <w:vAlign w:val="center"/>
          </w:tcPr>
          <w:p w14:paraId="73C51958">
            <w:pPr>
              <w:pStyle w:val="49"/>
              <w:bidi w:val="0"/>
              <w:jc w:val="center"/>
              <w:rPr>
                <w:highlight w:val="none"/>
              </w:rPr>
            </w:pPr>
          </w:p>
        </w:tc>
      </w:tr>
      <w:tr w14:paraId="140742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990" w:type="pct"/>
            <w:gridSpan w:val="3"/>
            <w:vAlign w:val="center"/>
          </w:tcPr>
          <w:p w14:paraId="652BCE8D">
            <w:pPr>
              <w:pStyle w:val="49"/>
              <w:bidi w:val="0"/>
              <w:jc w:val="center"/>
              <w:rPr>
                <w:highlight w:val="none"/>
              </w:rPr>
            </w:pPr>
            <w:r>
              <w:rPr>
                <w:highlight w:val="none"/>
              </w:rPr>
              <w:t>合计</w:t>
            </w:r>
          </w:p>
        </w:tc>
        <w:tc>
          <w:tcPr>
            <w:tcW w:w="1033" w:type="pct"/>
            <w:vAlign w:val="center"/>
          </w:tcPr>
          <w:p w14:paraId="0B95D641">
            <w:pPr>
              <w:pStyle w:val="49"/>
              <w:bidi w:val="0"/>
              <w:jc w:val="center"/>
              <w:rPr>
                <w:rFonts w:hint="default" w:eastAsia="宋体"/>
                <w:highlight w:val="none"/>
                <w:lang w:val="en-US" w:eastAsia="zh-CN"/>
              </w:rPr>
            </w:pPr>
            <w:r>
              <w:rPr>
                <w:rFonts w:hint="eastAsia"/>
                <w:highlight w:val="none"/>
                <w:lang w:val="en-US" w:eastAsia="zh-CN"/>
              </w:rPr>
              <w:t>147.74</w:t>
            </w:r>
          </w:p>
        </w:tc>
        <w:tc>
          <w:tcPr>
            <w:tcW w:w="975" w:type="pct"/>
            <w:vAlign w:val="center"/>
          </w:tcPr>
          <w:p w14:paraId="34ED6D6A">
            <w:pPr>
              <w:pStyle w:val="49"/>
              <w:bidi w:val="0"/>
              <w:jc w:val="center"/>
              <w:rPr>
                <w:rFonts w:hint="default" w:eastAsia="宋体"/>
                <w:highlight w:val="none"/>
                <w:lang w:val="en-US" w:eastAsia="zh-CN"/>
              </w:rPr>
            </w:pPr>
            <w:r>
              <w:rPr>
                <w:rFonts w:hint="eastAsia"/>
                <w:highlight w:val="none"/>
                <w:lang w:val="en-US" w:eastAsia="zh-CN"/>
              </w:rPr>
              <w:t>100</w:t>
            </w:r>
          </w:p>
        </w:tc>
      </w:tr>
    </w:tbl>
    <w:p w14:paraId="25F593DE">
      <w:pPr>
        <w:bidi w:val="0"/>
        <w:rPr>
          <w:rFonts w:hint="default"/>
          <w:lang w:eastAsia="zh-CN"/>
        </w:rPr>
      </w:pPr>
      <w:r>
        <w:rPr>
          <w:rFonts w:hint="default"/>
          <w:lang w:eastAsia="zh-CN"/>
        </w:rPr>
        <w:t>评价区自然环境良好，区域生态系统以森林生态系统为主，面积为</w:t>
      </w:r>
      <w:r>
        <w:rPr>
          <w:rFonts w:hint="eastAsia"/>
          <w:lang w:val="en-US" w:eastAsia="zh-CN"/>
        </w:rPr>
        <w:t>90.87</w:t>
      </w:r>
      <w:r>
        <w:rPr>
          <w:rFonts w:hint="default"/>
          <w:lang w:eastAsia="zh-CN"/>
        </w:rPr>
        <w:t>h</w:t>
      </w:r>
      <w:r>
        <w:rPr>
          <w:rFonts w:hint="eastAsia"/>
          <w:lang w:eastAsia="zh-CN"/>
        </w:rPr>
        <w:t>m</w:t>
      </w:r>
      <w:r>
        <w:rPr>
          <w:rFonts w:hint="eastAsia"/>
          <w:vertAlign w:val="superscript"/>
          <w:lang w:eastAsia="zh-CN"/>
        </w:rPr>
        <w:t>2</w:t>
      </w:r>
      <w:r>
        <w:rPr>
          <w:rFonts w:hint="default"/>
          <w:lang w:eastAsia="zh-CN"/>
        </w:rPr>
        <w:t>，占总面积的</w:t>
      </w:r>
      <w:r>
        <w:rPr>
          <w:rFonts w:hint="eastAsia"/>
          <w:lang w:val="en-US" w:eastAsia="zh-CN"/>
        </w:rPr>
        <w:t>61.57</w:t>
      </w:r>
      <w:r>
        <w:rPr>
          <w:rFonts w:hint="default"/>
          <w:lang w:eastAsia="zh-CN"/>
        </w:rPr>
        <w:t>%，其次为</w:t>
      </w:r>
      <w:r>
        <w:rPr>
          <w:rFonts w:hint="eastAsia"/>
          <w:lang w:val="en-US" w:eastAsia="zh-CN"/>
        </w:rPr>
        <w:t>湿地</w:t>
      </w:r>
      <w:r>
        <w:rPr>
          <w:rFonts w:hint="default"/>
          <w:lang w:eastAsia="zh-CN"/>
        </w:rPr>
        <w:t>生态系统（</w:t>
      </w:r>
      <w:r>
        <w:rPr>
          <w:rFonts w:hint="eastAsia"/>
          <w:lang w:val="en-US" w:eastAsia="zh-CN"/>
        </w:rPr>
        <w:t>34.34</w:t>
      </w:r>
      <w:r>
        <w:rPr>
          <w:rFonts w:hint="default"/>
          <w:lang w:eastAsia="zh-CN"/>
        </w:rPr>
        <w:t>%），</w:t>
      </w:r>
      <w:r>
        <w:rPr>
          <w:rFonts w:hint="eastAsia"/>
          <w:lang w:val="en-US" w:eastAsia="zh-CN"/>
        </w:rPr>
        <w:t>农田</w:t>
      </w:r>
      <w:r>
        <w:rPr>
          <w:rFonts w:hint="default"/>
          <w:lang w:eastAsia="zh-CN"/>
        </w:rPr>
        <w:t>生态系统（</w:t>
      </w:r>
      <w:r>
        <w:rPr>
          <w:rFonts w:hint="eastAsia"/>
          <w:lang w:val="en-US" w:eastAsia="zh-CN"/>
        </w:rPr>
        <w:t>13.54</w:t>
      </w:r>
      <w:r>
        <w:rPr>
          <w:rFonts w:hint="default"/>
          <w:lang w:eastAsia="zh-CN"/>
        </w:rPr>
        <w:t>%）、</w:t>
      </w:r>
      <w:r>
        <w:rPr>
          <w:rFonts w:hint="eastAsia"/>
          <w:lang w:val="en-US" w:eastAsia="zh-CN"/>
        </w:rPr>
        <w:t>草地灌丛</w:t>
      </w:r>
      <w:r>
        <w:rPr>
          <w:rFonts w:hint="default"/>
          <w:lang w:eastAsia="zh-CN"/>
        </w:rPr>
        <w:t>生态系统和村落生态系统所占面积相对较少。</w:t>
      </w:r>
    </w:p>
    <w:p w14:paraId="38387886">
      <w:pPr>
        <w:pStyle w:val="5"/>
        <w:bidi w:val="0"/>
        <w:rPr>
          <w:rFonts w:hint="default"/>
          <w:highlight w:val="none"/>
          <w:lang w:eastAsia="zh-CN"/>
        </w:rPr>
      </w:pPr>
      <w:r>
        <w:rPr>
          <w:rFonts w:hint="default"/>
          <w:lang w:eastAsia="zh-CN"/>
        </w:rPr>
        <w:t>森林生态系统</w:t>
      </w:r>
    </w:p>
    <w:p w14:paraId="6CD11558">
      <w:pPr>
        <w:bidi w:val="0"/>
        <w:rPr>
          <w:rFonts w:hint="default"/>
          <w:highlight w:val="none"/>
          <w:lang w:eastAsia="zh-CN"/>
        </w:rPr>
      </w:pPr>
      <w:r>
        <w:rPr>
          <w:rFonts w:hint="default"/>
          <w:highlight w:val="none"/>
          <w:lang w:eastAsia="zh-CN"/>
        </w:rPr>
        <w:t>评价区内森林生态系统以针叶林为主，主要分布于</w:t>
      </w:r>
      <w:r>
        <w:rPr>
          <w:rFonts w:hint="eastAsia"/>
          <w:highlight w:val="none"/>
          <w:lang w:val="en-US" w:eastAsia="zh-CN"/>
        </w:rPr>
        <w:t>水库两侧</w:t>
      </w:r>
      <w:r>
        <w:rPr>
          <w:rFonts w:hint="default"/>
          <w:highlight w:val="none"/>
          <w:lang w:eastAsia="zh-CN"/>
        </w:rPr>
        <w:t>，总面积为</w:t>
      </w:r>
      <w:r>
        <w:rPr>
          <w:rFonts w:hint="eastAsia"/>
          <w:highlight w:val="none"/>
          <w:lang w:val="en-US" w:eastAsia="zh-CN"/>
        </w:rPr>
        <w:t>90.87h</w:t>
      </w:r>
      <w:r>
        <w:rPr>
          <w:rFonts w:hint="eastAsia"/>
          <w:highlight w:val="none"/>
          <w:lang w:eastAsia="zh-CN"/>
        </w:rPr>
        <w:t>m</w:t>
      </w:r>
      <w:r>
        <w:rPr>
          <w:rFonts w:hint="eastAsia"/>
          <w:highlight w:val="none"/>
          <w:vertAlign w:val="superscript"/>
          <w:lang w:eastAsia="zh-CN"/>
        </w:rPr>
        <w:t>2</w:t>
      </w:r>
      <w:r>
        <w:rPr>
          <w:rFonts w:hint="default"/>
          <w:highlight w:val="none"/>
          <w:lang w:eastAsia="zh-CN"/>
        </w:rPr>
        <w:t>，占评价区总面积的</w:t>
      </w:r>
      <w:r>
        <w:rPr>
          <w:rFonts w:hint="eastAsia"/>
          <w:highlight w:val="none"/>
          <w:lang w:val="en-US" w:eastAsia="zh-CN"/>
        </w:rPr>
        <w:t>61.57</w:t>
      </w:r>
      <w:r>
        <w:rPr>
          <w:rFonts w:hint="default"/>
          <w:highlight w:val="none"/>
          <w:lang w:eastAsia="zh-CN"/>
        </w:rPr>
        <w:t>%，占比最大。</w:t>
      </w:r>
    </w:p>
    <w:p w14:paraId="5AAD7A4A">
      <w:pPr>
        <w:bidi w:val="0"/>
        <w:rPr>
          <w:rFonts w:hint="default"/>
          <w:highlight w:val="none"/>
          <w:lang w:eastAsia="zh-CN"/>
        </w:rPr>
      </w:pPr>
      <w:r>
        <w:rPr>
          <w:rFonts w:hint="default"/>
          <w:highlight w:val="none"/>
          <w:lang w:eastAsia="zh-CN"/>
        </w:rPr>
        <w:t>一、生态系统结构</w:t>
      </w:r>
    </w:p>
    <w:p w14:paraId="77CC716C">
      <w:pPr>
        <w:bidi w:val="0"/>
        <w:rPr>
          <w:rFonts w:hint="default"/>
          <w:highlight w:val="none"/>
          <w:lang w:eastAsia="zh-CN"/>
        </w:rPr>
      </w:pPr>
      <w:r>
        <w:rPr>
          <w:rFonts w:hint="default"/>
          <w:highlight w:val="none"/>
          <w:lang w:eastAsia="zh-CN"/>
        </w:rPr>
        <w:t>（1）植被现状</w:t>
      </w:r>
    </w:p>
    <w:p w14:paraId="473D1438">
      <w:pPr>
        <w:bidi w:val="0"/>
        <w:rPr>
          <w:rFonts w:hint="default"/>
          <w:lang w:eastAsia="zh-CN"/>
        </w:rPr>
      </w:pPr>
      <w:r>
        <w:rPr>
          <w:spacing w:val="5"/>
          <w:sz w:val="24"/>
          <w:szCs w:val="24"/>
        </w:rPr>
        <w:t>评价区森林生态系统内植被多以针叶林、阔叶林、灌丛为</w:t>
      </w:r>
      <w:r>
        <w:rPr>
          <w:spacing w:val="4"/>
          <w:sz w:val="24"/>
          <w:szCs w:val="24"/>
        </w:rPr>
        <w:t>主，针叶林主要为低山针叶林，其常呈片状分布于山坡中上部，常见的群系有马尾松林</w:t>
      </w:r>
      <w:r>
        <w:rPr>
          <w:rFonts w:ascii="Times New Roman" w:hAnsi="Times New Roman" w:eastAsia="Times New Roman" w:cs="Times New Roman"/>
          <w:sz w:val="24"/>
          <w:szCs w:val="24"/>
        </w:rPr>
        <w:t>(Form.Pinusmassoniana)</w:t>
      </w:r>
      <w:r>
        <w:rPr>
          <w:rFonts w:ascii="Times New Roman" w:hAnsi="Times New Roman" w:eastAsia="Times New Roman" w:cs="Times New Roman"/>
          <w:spacing w:val="-20"/>
          <w:sz w:val="24"/>
          <w:szCs w:val="24"/>
        </w:rPr>
        <w:t xml:space="preserve"> </w:t>
      </w:r>
      <w:r>
        <w:rPr>
          <w:sz w:val="24"/>
          <w:szCs w:val="24"/>
        </w:rPr>
        <w:t>、杉木林</w:t>
      </w:r>
      <w:r>
        <w:rPr>
          <w:rFonts w:ascii="Times New Roman" w:hAnsi="Times New Roman" w:eastAsia="Times New Roman" w:cs="Times New Roman"/>
          <w:sz w:val="24"/>
          <w:szCs w:val="24"/>
        </w:rPr>
        <w:t>(Form.Cun</w:t>
      </w:r>
      <w:r>
        <w:rPr>
          <w:rFonts w:ascii="Times New Roman" w:hAnsi="Times New Roman" w:eastAsia="Times New Roman" w:cs="Times New Roman"/>
          <w:spacing w:val="-1"/>
          <w:sz w:val="24"/>
          <w:szCs w:val="24"/>
        </w:rPr>
        <w:t>ninghamia</w:t>
      </w:r>
      <w:r>
        <w:rPr>
          <w:rFonts w:ascii="Times New Roman" w:hAnsi="Times New Roman" w:eastAsia="Times New Roman" w:cs="Times New Roman"/>
          <w:spacing w:val="18"/>
          <w:w w:val="101"/>
          <w:sz w:val="24"/>
          <w:szCs w:val="24"/>
        </w:rPr>
        <w:t xml:space="preserve"> </w:t>
      </w:r>
      <w:r>
        <w:rPr>
          <w:rFonts w:ascii="Times New Roman" w:hAnsi="Times New Roman" w:eastAsia="Times New Roman" w:cs="Times New Roman"/>
          <w:spacing w:val="-1"/>
          <w:sz w:val="24"/>
          <w:szCs w:val="24"/>
        </w:rPr>
        <w:t>lanceolata)</w:t>
      </w:r>
      <w:r>
        <w:rPr>
          <w:spacing w:val="-1"/>
          <w:sz w:val="24"/>
          <w:szCs w:val="24"/>
        </w:rPr>
        <w:t>等</w:t>
      </w:r>
      <w:r>
        <w:rPr>
          <w:rFonts w:hint="eastAsia"/>
          <w:spacing w:val="-1"/>
          <w:sz w:val="24"/>
          <w:szCs w:val="24"/>
          <w:lang w:eastAsia="zh-CN"/>
        </w:rPr>
        <w:t>；</w:t>
      </w:r>
      <w:r>
        <w:rPr>
          <w:rFonts w:hint="default"/>
          <w:lang w:eastAsia="zh-CN"/>
        </w:rPr>
        <w:t>沟谷常绿阔叶林和中山常绿阔叶林</w:t>
      </w:r>
      <w:r>
        <w:rPr>
          <w:rFonts w:hint="eastAsia"/>
          <w:lang w:eastAsia="zh-CN"/>
        </w:rPr>
        <w:t>，</w:t>
      </w:r>
      <w:r>
        <w:rPr>
          <w:rFonts w:hint="default"/>
          <w:lang w:eastAsia="zh-CN"/>
        </w:rPr>
        <w:t>乔木以松科、杉科、壳斗科、竹亚科为主，灌木和草本以里白科、蕨科、蔷薇科为主，河流两岸零散分布菊科、禾亚科植被。主要建群种和优势种有马尾松、杉木、毛竹、黧蒴栲、木荷、枇杷叶紫珠、檵木、五节芒、中华里白、芒萁、野艾蒿等。</w:t>
      </w:r>
    </w:p>
    <w:p w14:paraId="454A028E">
      <w:pPr>
        <w:bidi w:val="0"/>
        <w:rPr>
          <w:rFonts w:hint="default"/>
          <w:lang w:eastAsia="zh-CN"/>
        </w:rPr>
      </w:pPr>
      <w:r>
        <w:rPr>
          <w:rFonts w:hint="default"/>
          <w:lang w:eastAsia="zh-CN"/>
        </w:rPr>
        <w:t>（2）动物现状</w:t>
      </w:r>
    </w:p>
    <w:p w14:paraId="0FD8219C">
      <w:pPr>
        <w:bidi w:val="0"/>
        <w:rPr>
          <w:rFonts w:hint="default"/>
          <w:lang w:eastAsia="zh-CN"/>
        </w:rPr>
      </w:pPr>
      <w:r>
        <w:rPr>
          <w:rFonts w:hint="default"/>
          <w:lang w:eastAsia="zh-CN"/>
        </w:rPr>
        <w:t>森林生态系统内，两栖类常见物种为短肢角蟾、中华蟾蜍、花臭蛙、崇安湍蛙等陆栖型和树栖型种类；爬行动物常见种类为多疣壁虎、北草蜥、南草蜥、中国石龙子、铜蜓蜥、蓝尾石龙子等种类；鸟类主要为涉禽：鹳形目、鸻形目、鹤形目等鸟类共16种；游禽：雁鸭类，包括绿翅鸭、绿头鸭、白眉鸭3种；陆禽：环颈雉、灰胸竹鸡、山斑鸠、珠颈斑鸠4种；攀禽：杜鹃、白腰雨燕、普通翠鸟、戴胜、斑姬啄木鸟等12种；鸣禽：包括雀形目的所有鸟类，共57种，攀禽：四声杜鹃、白腰雨燕、普通翠鸟、戴胜、斑姬啄木鸟等12种。</w:t>
      </w:r>
    </w:p>
    <w:p w14:paraId="354A96D5">
      <w:pPr>
        <w:bidi w:val="0"/>
        <w:rPr>
          <w:rFonts w:hint="default"/>
          <w:lang w:eastAsia="zh-CN"/>
        </w:rPr>
      </w:pPr>
      <w:r>
        <w:rPr>
          <w:rFonts w:hint="default"/>
          <w:lang w:eastAsia="zh-CN"/>
        </w:rPr>
        <w:t>二、生态系统功能</w:t>
      </w:r>
    </w:p>
    <w:p w14:paraId="131CFF41">
      <w:pPr>
        <w:bidi w:val="0"/>
        <w:rPr>
          <w:rFonts w:hint="default"/>
          <w:lang w:eastAsia="zh-CN"/>
        </w:rPr>
      </w:pPr>
      <w:r>
        <w:rPr>
          <w:spacing w:val="12"/>
          <w:sz w:val="24"/>
          <w:szCs w:val="24"/>
        </w:rPr>
        <w:t>评价区属湘</w:t>
      </w:r>
      <w:r>
        <w:rPr>
          <w:rFonts w:hint="eastAsia"/>
          <w:spacing w:val="12"/>
          <w:sz w:val="24"/>
          <w:szCs w:val="24"/>
          <w:lang w:val="en-US" w:eastAsia="zh-CN"/>
        </w:rPr>
        <w:t>南</w:t>
      </w:r>
      <w:r>
        <w:rPr>
          <w:spacing w:val="12"/>
          <w:sz w:val="24"/>
          <w:szCs w:val="24"/>
        </w:rPr>
        <w:t>地区，区域自然环境优越，</w:t>
      </w:r>
      <w:r>
        <w:rPr>
          <w:rFonts w:hint="default"/>
          <w:lang w:eastAsia="zh-CN"/>
        </w:rPr>
        <w:t>森林生态系统面积广袤，其生态服务功能主要包括光能利用、调节大气、调节气温、涵养水源、稳定水文、改良土壤、防风固沙、水土保持，控制水土流失、净化环境、孕育和保存生物多样性等多个方面。</w:t>
      </w:r>
    </w:p>
    <w:p w14:paraId="660F91F3">
      <w:pPr>
        <w:pStyle w:val="5"/>
        <w:bidi w:val="0"/>
        <w:rPr>
          <w:rFonts w:hint="default"/>
          <w:lang w:eastAsia="zh-CN"/>
        </w:rPr>
      </w:pPr>
      <w:r>
        <w:rPr>
          <w:rFonts w:hint="default"/>
          <w:lang w:eastAsia="zh-CN"/>
        </w:rPr>
        <w:t>灌丛</w:t>
      </w:r>
      <w:r>
        <w:rPr>
          <w:rFonts w:hint="eastAsia"/>
          <w:lang w:val="en-US" w:eastAsia="zh-CN"/>
        </w:rPr>
        <w:t>草地</w:t>
      </w:r>
      <w:r>
        <w:rPr>
          <w:rFonts w:hint="default"/>
          <w:lang w:eastAsia="zh-CN"/>
        </w:rPr>
        <w:t>生态系统</w:t>
      </w:r>
    </w:p>
    <w:p w14:paraId="33389AAB">
      <w:pPr>
        <w:bidi w:val="0"/>
        <w:rPr>
          <w:rFonts w:hint="default"/>
          <w:lang w:eastAsia="zh-CN"/>
        </w:rPr>
      </w:pPr>
      <w:r>
        <w:rPr>
          <w:rFonts w:hint="default"/>
          <w:lang w:eastAsia="zh-CN"/>
        </w:rPr>
        <w:t>灌丛生态系统</w:t>
      </w:r>
      <w:r>
        <w:rPr>
          <w:rFonts w:hint="default"/>
          <w:highlight w:val="none"/>
          <w:lang w:eastAsia="zh-CN"/>
        </w:rPr>
        <w:t>总面积为</w:t>
      </w:r>
      <w:r>
        <w:rPr>
          <w:rFonts w:hint="eastAsia"/>
          <w:highlight w:val="none"/>
          <w:lang w:val="en-US" w:eastAsia="zh-CN"/>
        </w:rPr>
        <w:t>4.87h</w:t>
      </w:r>
      <w:r>
        <w:rPr>
          <w:rFonts w:hint="eastAsia"/>
          <w:highlight w:val="none"/>
          <w:lang w:eastAsia="zh-CN"/>
        </w:rPr>
        <w:t>m</w:t>
      </w:r>
      <w:r>
        <w:rPr>
          <w:rFonts w:hint="eastAsia"/>
          <w:highlight w:val="none"/>
          <w:vertAlign w:val="superscript"/>
          <w:lang w:eastAsia="zh-CN"/>
        </w:rPr>
        <w:t>2</w:t>
      </w:r>
      <w:r>
        <w:rPr>
          <w:rFonts w:hint="eastAsia"/>
          <w:highlight w:val="none"/>
          <w:vertAlign w:val="baseline"/>
          <w:lang w:eastAsia="zh-CN"/>
        </w:rPr>
        <w:t>，</w:t>
      </w:r>
      <w:r>
        <w:rPr>
          <w:rFonts w:hint="default"/>
          <w:lang w:eastAsia="zh-CN"/>
        </w:rPr>
        <w:t>占评价区生态系统总面积的</w:t>
      </w:r>
      <w:r>
        <w:rPr>
          <w:rFonts w:hint="eastAsia"/>
          <w:lang w:val="en-US" w:eastAsia="zh-CN"/>
        </w:rPr>
        <w:t>3.30</w:t>
      </w:r>
      <w:r>
        <w:rPr>
          <w:rFonts w:hint="default"/>
          <w:lang w:eastAsia="zh-CN"/>
        </w:rPr>
        <w:t>%，占比较小。根据现场调查，评价区灌丛生态系统主要分布在林缘、村落区域。</w:t>
      </w:r>
    </w:p>
    <w:p w14:paraId="66F74F45">
      <w:pPr>
        <w:bidi w:val="0"/>
        <w:rPr>
          <w:rFonts w:hint="default"/>
          <w:lang w:eastAsia="zh-CN"/>
        </w:rPr>
      </w:pPr>
      <w:r>
        <w:rPr>
          <w:rFonts w:hint="default"/>
          <w:lang w:eastAsia="zh-CN"/>
        </w:rPr>
        <w:t>一、生态系统结构</w:t>
      </w:r>
    </w:p>
    <w:p w14:paraId="4C34A2EE">
      <w:pPr>
        <w:bidi w:val="0"/>
        <w:rPr>
          <w:rFonts w:hint="default"/>
          <w:lang w:eastAsia="zh-CN"/>
        </w:rPr>
      </w:pPr>
      <w:r>
        <w:rPr>
          <w:rFonts w:hint="default"/>
          <w:lang w:eastAsia="zh-CN"/>
        </w:rPr>
        <w:t>（1）植被现状</w:t>
      </w:r>
    </w:p>
    <w:p w14:paraId="0FC280C3">
      <w:pPr>
        <w:bidi w:val="0"/>
        <w:rPr>
          <w:rFonts w:hint="default"/>
          <w:lang w:eastAsia="zh-CN"/>
        </w:rPr>
      </w:pPr>
      <w:r>
        <w:rPr>
          <w:rFonts w:hint="default"/>
          <w:lang w:eastAsia="zh-CN"/>
        </w:rPr>
        <w:t>灌丛生态系统内植被类型有常绿阔叶灌丛及落叶阔叶灌丛。在评价区内常见的群系有盐肤木、檵木、白茅、芒等。</w:t>
      </w:r>
    </w:p>
    <w:p w14:paraId="3AF2DBB7">
      <w:pPr>
        <w:bidi w:val="0"/>
        <w:rPr>
          <w:rFonts w:hint="default"/>
          <w:lang w:eastAsia="zh-CN"/>
        </w:rPr>
      </w:pPr>
      <w:r>
        <w:rPr>
          <w:rFonts w:hint="default"/>
          <w:lang w:eastAsia="zh-CN"/>
        </w:rPr>
        <w:t>（2）动物现状</w:t>
      </w:r>
    </w:p>
    <w:p w14:paraId="33752A55">
      <w:pPr>
        <w:bidi w:val="0"/>
        <w:rPr>
          <w:rFonts w:hint="default"/>
          <w:lang w:eastAsia="zh-CN"/>
        </w:rPr>
      </w:pPr>
      <w:r>
        <w:rPr>
          <w:rFonts w:hint="default"/>
          <w:lang w:eastAsia="zh-CN"/>
        </w:rPr>
        <w:t>灌丛生态系统为小型动物提供食物和栖息的场所，因此灌丛生态系统中也分布着较为丰富的动物。灌丛生态系统内分布的动物大部分在森林生态系统内有分布，其中两栖类主要有短肢角蟾、中华蟾蜍、花臭蛙、崇安湍蛙等陆栖型和树栖型种类；爬行类主要为多疣壁虎、北草蜥、南草蜥、中国石龙子、铜蜓蜥、蓝尾石龙子等种类；鸟类主要环颈雉、灰胸竹鸡、山斑鸠、珠颈斑鸠、四声杜鹃、白腰雨燕、普通翠鸟、戴胜、斑姬啄木鸟、雀形目的所有鸟类；攀禽：四声杜鹃、白腰雨燕、普通翠鸟、戴胜、斑姬啄木鸟等12种；鸣禽：包括雀形目的所有鸟类，共57种。</w:t>
      </w:r>
    </w:p>
    <w:p w14:paraId="5D44AF31">
      <w:pPr>
        <w:bidi w:val="0"/>
        <w:rPr>
          <w:rFonts w:hint="default"/>
          <w:lang w:eastAsia="zh-CN"/>
        </w:rPr>
      </w:pPr>
      <w:r>
        <w:rPr>
          <w:rFonts w:hint="default"/>
          <w:lang w:eastAsia="zh-CN"/>
        </w:rPr>
        <w:t>二、生态系统功能</w:t>
      </w:r>
    </w:p>
    <w:p w14:paraId="1E7BA657">
      <w:pPr>
        <w:shd w:val="clear"/>
        <w:bidi w:val="0"/>
        <w:rPr>
          <w:rFonts w:hint="default"/>
          <w:color w:val="auto"/>
          <w:highlight w:val="none"/>
          <w:lang w:eastAsia="zh-CN"/>
        </w:rPr>
      </w:pPr>
      <w:r>
        <w:rPr>
          <w:rFonts w:hint="default"/>
          <w:lang w:eastAsia="zh-CN"/>
        </w:rPr>
        <w:t>灌丛</w:t>
      </w:r>
      <w:r>
        <w:rPr>
          <w:rFonts w:hint="eastAsia"/>
          <w:lang w:val="en-US" w:eastAsia="zh-CN"/>
        </w:rPr>
        <w:t>草地</w:t>
      </w:r>
      <w:r>
        <w:rPr>
          <w:rFonts w:hint="default"/>
          <w:lang w:eastAsia="zh-CN"/>
        </w:rPr>
        <w:t>生态系统形态结构及营养结构相对简单，分布范围广，适应性强。评价区内灌丛</w:t>
      </w:r>
      <w:r>
        <w:rPr>
          <w:rFonts w:hint="eastAsia"/>
          <w:lang w:val="en-US" w:eastAsia="zh-CN"/>
        </w:rPr>
        <w:t>草地</w:t>
      </w:r>
      <w:r>
        <w:rPr>
          <w:rFonts w:hint="default"/>
          <w:lang w:eastAsia="zh-CN"/>
        </w:rPr>
        <w:t>生态系统面积较</w:t>
      </w:r>
      <w:r>
        <w:rPr>
          <w:rFonts w:hint="default"/>
          <w:color w:val="auto"/>
          <w:highlight w:val="none"/>
          <w:lang w:eastAsia="zh-CN"/>
        </w:rPr>
        <w:t>小，分布零散，生态服务功能主要为涵养水源、保持水土和防风固沙</w:t>
      </w:r>
      <w:r>
        <w:rPr>
          <w:rFonts w:hint="eastAsia"/>
          <w:color w:val="auto"/>
          <w:highlight w:val="none"/>
          <w:lang w:eastAsia="zh-CN"/>
        </w:rPr>
        <w:t>、</w:t>
      </w:r>
      <w:r>
        <w:rPr>
          <w:rFonts w:hint="default"/>
          <w:color w:val="auto"/>
          <w:highlight w:val="none"/>
          <w:lang w:eastAsia="zh-CN"/>
        </w:rPr>
        <w:t>保持生物多样性等方面。</w:t>
      </w:r>
    </w:p>
    <w:p w14:paraId="6F000BB7">
      <w:pPr>
        <w:pStyle w:val="5"/>
        <w:shd w:val="clear"/>
        <w:bidi w:val="0"/>
        <w:rPr>
          <w:rFonts w:hint="default"/>
          <w:color w:val="auto"/>
          <w:highlight w:val="none"/>
          <w:lang w:eastAsia="zh-CN"/>
        </w:rPr>
      </w:pPr>
      <w:r>
        <w:rPr>
          <w:rFonts w:hint="default"/>
          <w:color w:val="auto"/>
          <w:highlight w:val="none"/>
          <w:lang w:eastAsia="zh-CN"/>
        </w:rPr>
        <w:t>湿地生态系统</w:t>
      </w:r>
    </w:p>
    <w:p w14:paraId="07098D31">
      <w:pPr>
        <w:shd w:val="clear"/>
        <w:bidi w:val="0"/>
        <w:rPr>
          <w:rFonts w:hint="default"/>
          <w:color w:val="auto"/>
          <w:highlight w:val="none"/>
          <w:lang w:eastAsia="zh-CN"/>
        </w:rPr>
      </w:pPr>
      <w:r>
        <w:rPr>
          <w:rFonts w:hint="default"/>
          <w:color w:val="auto"/>
          <w:highlight w:val="none"/>
          <w:lang w:eastAsia="zh-CN"/>
        </w:rPr>
        <w:t>据现场踏勘结合遥感图片解译，占评价区总面积的</w:t>
      </w:r>
      <w:r>
        <w:rPr>
          <w:rFonts w:hint="eastAsia"/>
          <w:color w:val="auto"/>
          <w:highlight w:val="none"/>
          <w:lang w:val="en-US" w:eastAsia="zh-CN"/>
        </w:rPr>
        <w:t>23.24</w:t>
      </w:r>
      <w:r>
        <w:rPr>
          <w:rFonts w:hint="default"/>
          <w:color w:val="auto"/>
          <w:highlight w:val="none"/>
          <w:lang w:eastAsia="zh-CN"/>
        </w:rPr>
        <w:t>%，占比较</w:t>
      </w:r>
      <w:r>
        <w:rPr>
          <w:rFonts w:hint="eastAsia"/>
          <w:color w:val="auto"/>
          <w:highlight w:val="none"/>
          <w:lang w:val="en-US" w:eastAsia="zh-CN"/>
        </w:rPr>
        <w:t>叫大</w:t>
      </w:r>
      <w:r>
        <w:rPr>
          <w:rFonts w:hint="default"/>
          <w:color w:val="auto"/>
          <w:highlight w:val="none"/>
          <w:lang w:eastAsia="zh-CN"/>
        </w:rPr>
        <w:t>小结合评价区水系图，本项目水系主要为水库、</w:t>
      </w:r>
      <w:r>
        <w:rPr>
          <w:rFonts w:hint="eastAsia"/>
          <w:color w:val="auto"/>
          <w:highlight w:val="none"/>
          <w:lang w:val="en-US" w:eastAsia="zh-CN"/>
        </w:rPr>
        <w:t>坑塘、宜阳河</w:t>
      </w:r>
      <w:r>
        <w:rPr>
          <w:rFonts w:hint="default"/>
          <w:color w:val="auto"/>
          <w:highlight w:val="none"/>
          <w:lang w:eastAsia="zh-CN"/>
        </w:rPr>
        <w:t>等。</w:t>
      </w:r>
    </w:p>
    <w:p w14:paraId="019C690D">
      <w:pPr>
        <w:shd w:val="clear"/>
        <w:bidi w:val="0"/>
        <w:rPr>
          <w:rFonts w:hint="default"/>
          <w:color w:val="auto"/>
          <w:highlight w:val="none"/>
          <w:lang w:eastAsia="zh-CN"/>
        </w:rPr>
      </w:pPr>
      <w:r>
        <w:rPr>
          <w:rFonts w:hint="default"/>
          <w:color w:val="auto"/>
          <w:highlight w:val="none"/>
          <w:lang w:eastAsia="zh-CN"/>
        </w:rPr>
        <w:t>一、生态系统结构</w:t>
      </w:r>
    </w:p>
    <w:p w14:paraId="21BDDA12">
      <w:pPr>
        <w:shd w:val="clear"/>
        <w:bidi w:val="0"/>
        <w:rPr>
          <w:rFonts w:hint="default"/>
          <w:color w:val="auto"/>
          <w:highlight w:val="none"/>
          <w:lang w:eastAsia="zh-CN"/>
        </w:rPr>
      </w:pPr>
      <w:r>
        <w:rPr>
          <w:rFonts w:hint="default"/>
          <w:color w:val="auto"/>
          <w:highlight w:val="none"/>
          <w:lang w:eastAsia="zh-CN"/>
        </w:rPr>
        <w:t>（1）植被现状</w:t>
      </w:r>
    </w:p>
    <w:p w14:paraId="3F1E33F7">
      <w:pPr>
        <w:bidi w:val="0"/>
        <w:rPr>
          <w:rFonts w:hint="default"/>
          <w:lang w:eastAsia="zh-CN"/>
        </w:rPr>
      </w:pPr>
      <w:r>
        <w:rPr>
          <w:rFonts w:hint="default"/>
          <w:lang w:eastAsia="zh-CN"/>
        </w:rPr>
        <w:t>评价区湿湿地生态系统植被类型较为简单，植物种类较少。湿地植物常见芦苇、酸模叶蓼、碎米莎草等。</w:t>
      </w:r>
    </w:p>
    <w:p w14:paraId="15575CA0">
      <w:pPr>
        <w:bidi w:val="0"/>
        <w:rPr>
          <w:rFonts w:hint="default"/>
          <w:lang w:eastAsia="zh-CN"/>
        </w:rPr>
      </w:pPr>
      <w:r>
        <w:rPr>
          <w:rFonts w:hint="default"/>
          <w:lang w:eastAsia="zh-CN"/>
        </w:rPr>
        <w:t>（2）动物现状</w:t>
      </w:r>
    </w:p>
    <w:p w14:paraId="03C85D81">
      <w:pPr>
        <w:bidi w:val="0"/>
        <w:rPr>
          <w:rFonts w:hint="default"/>
          <w:lang w:eastAsia="zh-CN"/>
        </w:rPr>
      </w:pPr>
      <w:r>
        <w:rPr>
          <w:rFonts w:hint="default"/>
          <w:lang w:eastAsia="zh-CN"/>
        </w:rPr>
        <w:t>评价区内湿地生态系统中，两栖动物种类丰富，常见种类为短肢角蟾、中华蟾蜍、花臭蛙、崇安湍蛙等陆栖型和树栖型种类；鸟类主要为游禽：雁鸭类，包括绿翅鸭、绿头鸭、白眉鸭3种；涉禽：鹳形目、鸻形目、鹤形目等鸟类共16种；哺乳类主要以中小型哺乳类为主，如褐家鼠等。</w:t>
      </w:r>
    </w:p>
    <w:p w14:paraId="4CDB847D">
      <w:pPr>
        <w:bidi w:val="0"/>
        <w:rPr>
          <w:rFonts w:hint="default"/>
          <w:lang w:eastAsia="zh-CN"/>
        </w:rPr>
      </w:pPr>
      <w:r>
        <w:rPr>
          <w:rFonts w:hint="default"/>
          <w:lang w:eastAsia="zh-CN"/>
        </w:rPr>
        <w:t>二、生态系统功能</w:t>
      </w:r>
    </w:p>
    <w:p w14:paraId="73778D66">
      <w:pPr>
        <w:bidi w:val="0"/>
        <w:rPr>
          <w:rFonts w:hint="default"/>
          <w:lang w:eastAsia="zh-CN"/>
        </w:rPr>
      </w:pPr>
      <w:r>
        <w:rPr>
          <w:rFonts w:hint="default"/>
          <w:lang w:eastAsia="zh-CN"/>
        </w:rPr>
        <w:t>湿地生态系统服务功能不仅包括提供大量资源产品，而且具有大的环境调节功能和环境效益，主要生态功能为提供水源和补充地下水。</w:t>
      </w:r>
    </w:p>
    <w:p w14:paraId="199651D9">
      <w:pPr>
        <w:pStyle w:val="5"/>
        <w:bidi w:val="0"/>
        <w:rPr>
          <w:rFonts w:hint="default"/>
          <w:lang w:eastAsia="zh-CN"/>
        </w:rPr>
      </w:pPr>
      <w:r>
        <w:rPr>
          <w:rFonts w:hint="eastAsia"/>
          <w:lang w:val="en-US" w:eastAsia="zh-CN"/>
        </w:rPr>
        <w:t>农田</w:t>
      </w:r>
      <w:r>
        <w:rPr>
          <w:rFonts w:hint="default"/>
          <w:lang w:eastAsia="zh-CN"/>
        </w:rPr>
        <w:t>生态系统</w:t>
      </w:r>
    </w:p>
    <w:p w14:paraId="101BA53B">
      <w:pPr>
        <w:bidi w:val="0"/>
        <w:rPr>
          <w:rFonts w:hint="default"/>
          <w:lang w:eastAsia="zh-CN"/>
        </w:rPr>
      </w:pPr>
      <w:r>
        <w:rPr>
          <w:rFonts w:hint="default"/>
          <w:lang w:eastAsia="zh-CN"/>
        </w:rPr>
        <w:t>根据现场踏勘结合遥</w:t>
      </w:r>
      <w:r>
        <w:rPr>
          <w:rFonts w:hint="default"/>
          <w:highlight w:val="none"/>
          <w:lang w:eastAsia="zh-CN"/>
        </w:rPr>
        <w:t>感图片解译，总面积为</w:t>
      </w:r>
      <w:r>
        <w:rPr>
          <w:rFonts w:hint="eastAsia"/>
          <w:highlight w:val="none"/>
          <w:lang w:val="en-US" w:eastAsia="zh-CN"/>
        </w:rPr>
        <w:t>13.54公顷</w:t>
      </w:r>
      <w:r>
        <w:rPr>
          <w:rFonts w:hint="default"/>
          <w:highlight w:val="none"/>
          <w:lang w:eastAsia="zh-CN"/>
        </w:rPr>
        <w:t>，占评价区总面积的比例为</w:t>
      </w:r>
      <w:r>
        <w:rPr>
          <w:rFonts w:hint="eastAsia"/>
          <w:highlight w:val="none"/>
          <w:lang w:val="en-US" w:eastAsia="zh-CN"/>
        </w:rPr>
        <w:t>9.16</w:t>
      </w:r>
      <w:r>
        <w:rPr>
          <w:rFonts w:hint="default"/>
          <w:highlight w:val="none"/>
          <w:lang w:eastAsia="zh-CN"/>
        </w:rPr>
        <w:t>%，占比</w:t>
      </w:r>
      <w:r>
        <w:rPr>
          <w:rFonts w:hint="eastAsia"/>
          <w:highlight w:val="none"/>
          <w:lang w:val="en-US" w:eastAsia="zh-CN"/>
        </w:rPr>
        <w:t>不大</w:t>
      </w:r>
      <w:r>
        <w:rPr>
          <w:rFonts w:hint="default"/>
          <w:highlight w:val="none"/>
          <w:lang w:eastAsia="zh-CN"/>
        </w:rPr>
        <w:t>。主要分布</w:t>
      </w:r>
      <w:r>
        <w:rPr>
          <w:rFonts w:hint="eastAsia"/>
          <w:highlight w:val="none"/>
          <w:lang w:val="en-US" w:eastAsia="zh-CN"/>
        </w:rPr>
        <w:t>坝址下游</w:t>
      </w:r>
      <w:r>
        <w:rPr>
          <w:rFonts w:hint="default"/>
          <w:lang w:eastAsia="zh-CN"/>
        </w:rPr>
        <w:t>。</w:t>
      </w:r>
    </w:p>
    <w:p w14:paraId="58840923">
      <w:pPr>
        <w:bidi w:val="0"/>
        <w:rPr>
          <w:rFonts w:hint="default"/>
          <w:lang w:eastAsia="zh-CN"/>
        </w:rPr>
      </w:pPr>
      <w:r>
        <w:rPr>
          <w:rFonts w:hint="default"/>
          <w:lang w:eastAsia="zh-CN"/>
        </w:rPr>
        <w:t>一、生态系统结构</w:t>
      </w:r>
    </w:p>
    <w:p w14:paraId="3A05B990">
      <w:pPr>
        <w:bidi w:val="0"/>
        <w:rPr>
          <w:rFonts w:hint="default"/>
          <w:lang w:eastAsia="zh-CN"/>
        </w:rPr>
      </w:pPr>
      <w:r>
        <w:rPr>
          <w:rFonts w:hint="default"/>
          <w:lang w:eastAsia="zh-CN"/>
        </w:rPr>
        <w:t>（1）植被现状</w:t>
      </w:r>
    </w:p>
    <w:p w14:paraId="564A75AF">
      <w:pPr>
        <w:bidi w:val="0"/>
        <w:rPr>
          <w:rFonts w:hint="default"/>
          <w:lang w:eastAsia="zh-CN"/>
        </w:rPr>
      </w:pPr>
      <w:r>
        <w:rPr>
          <w:rFonts w:hint="default"/>
          <w:lang w:eastAsia="zh-CN"/>
        </w:rPr>
        <w:t>评价区农田生态系统内植被以农作物和经济作物为主，常见的农作物有水稻、玉蜀黍（Zea mays）、马铃薯（Solanum tuberosum）等，常见的经济作物有南瓜（Cucurbita moschata）、丝瓜（Luffa aegyptiaca）、苦瓜（Momordica charantia）等蔬菜，以及柑橘（Citrus reticulata）等果树等。常见的田间杂草有马唐（Digitaria sanguinalis）、野艾蒿（Artemisia lavandulaefolia）、看麦娘（Alopecurus aequalis）、小蓬草（Conyza canadensis）、狗牙根（Cynodon dactylon）、苍耳（Xanthium sibiricum）、碎米莎草（Cyperus iria）等。</w:t>
      </w:r>
    </w:p>
    <w:p w14:paraId="381D9976">
      <w:pPr>
        <w:bidi w:val="0"/>
        <w:rPr>
          <w:rFonts w:hint="default"/>
          <w:lang w:eastAsia="zh-CN"/>
        </w:rPr>
      </w:pPr>
      <w:r>
        <w:rPr>
          <w:rFonts w:hint="default"/>
          <w:lang w:eastAsia="zh-CN"/>
        </w:rPr>
        <w:t>（2）动物现状</w:t>
      </w:r>
    </w:p>
    <w:p w14:paraId="5DB0E3EE">
      <w:pPr>
        <w:bidi w:val="0"/>
        <w:rPr>
          <w:rFonts w:hint="default"/>
          <w:lang w:eastAsia="zh-CN"/>
        </w:rPr>
      </w:pPr>
      <w:r>
        <w:rPr>
          <w:rFonts w:hint="default"/>
          <w:lang w:eastAsia="zh-CN"/>
        </w:rPr>
        <w:t>农田生态系统植被均为人工植被，生境相对简单，陆生动物多样性相对单一。评价区内，两栖动物偶见中华蟾蜍、花臭蛙等陆栖型种类；爬行动物常见蜥蜴类，如中国石龙子、南草蜥等；鸟类主要为雀形目鸟类，如麻雀、喜鹊等；哺乳类以小型啮齿目为主，如褐家鼠等，可偶见黄鼬、华南兔等小型动物。</w:t>
      </w:r>
    </w:p>
    <w:p w14:paraId="0ED531DD">
      <w:pPr>
        <w:bidi w:val="0"/>
        <w:rPr>
          <w:rFonts w:hint="default"/>
          <w:lang w:eastAsia="zh-CN"/>
        </w:rPr>
      </w:pPr>
      <w:r>
        <w:rPr>
          <w:rFonts w:hint="default"/>
          <w:lang w:eastAsia="zh-CN"/>
        </w:rPr>
        <w:t>二、生态系统的功能</w:t>
      </w:r>
    </w:p>
    <w:p w14:paraId="1EF1D1FF">
      <w:pPr>
        <w:bidi w:val="0"/>
        <w:rPr>
          <w:rFonts w:hint="default"/>
          <w:lang w:eastAsia="zh-CN"/>
        </w:rPr>
      </w:pPr>
      <w:r>
        <w:rPr>
          <w:rFonts w:hint="default"/>
          <w:lang w:eastAsia="zh-CN"/>
        </w:rPr>
        <w:t>农业生态系统的主要生态功能体现在农产品及副产品生产，包括为人们提供农产品，为现代工业提供加工原料，以及提供生物生源等。此外，农田生态系统也具有大气调节、环境净化、土壤保持、养分循环、水分调节、传粉播种、病虫害控制、生物多样性及基因资源以及餐饮、娱乐、文化等功能。</w:t>
      </w:r>
    </w:p>
    <w:p w14:paraId="4E6A1545">
      <w:pPr>
        <w:pStyle w:val="5"/>
        <w:bidi w:val="0"/>
        <w:rPr>
          <w:rFonts w:hint="default"/>
          <w:lang w:eastAsia="zh-CN"/>
        </w:rPr>
      </w:pPr>
      <w:r>
        <w:rPr>
          <w:rFonts w:hint="default"/>
          <w:lang w:eastAsia="zh-CN"/>
        </w:rPr>
        <w:t>村落生态系统</w:t>
      </w:r>
    </w:p>
    <w:p w14:paraId="7164171C">
      <w:pPr>
        <w:bidi w:val="0"/>
        <w:rPr>
          <w:rFonts w:hint="default"/>
          <w:lang w:eastAsia="zh-CN"/>
        </w:rPr>
      </w:pPr>
      <w:r>
        <w:rPr>
          <w:rFonts w:hint="default"/>
          <w:lang w:eastAsia="zh-CN"/>
        </w:rPr>
        <w:t>评价区属</w:t>
      </w:r>
      <w:r>
        <w:rPr>
          <w:rFonts w:hint="eastAsia"/>
          <w:lang w:val="en-US" w:eastAsia="zh-CN"/>
        </w:rPr>
        <w:t>观音山西</w:t>
      </w:r>
      <w:r>
        <w:rPr>
          <w:rFonts w:hint="default"/>
          <w:lang w:eastAsia="zh-CN"/>
        </w:rPr>
        <w:t>部，区域地貌以低山丘陵为主，地形破碎，村落生态系统分布零散。根据卫片解译，占总面积的</w:t>
      </w:r>
      <w:r>
        <w:rPr>
          <w:rFonts w:hint="eastAsia"/>
          <w:lang w:val="en-US" w:eastAsia="zh-CN"/>
        </w:rPr>
        <w:t>2.79</w:t>
      </w:r>
      <w:r>
        <w:rPr>
          <w:rFonts w:hint="default"/>
          <w:lang w:eastAsia="zh-CN"/>
        </w:rPr>
        <w:t>%，面积较小。结合评价区土地利用图，根据现场调查，区域村落生态系统多分布于水库</w:t>
      </w:r>
      <w:r>
        <w:rPr>
          <w:rFonts w:hint="eastAsia"/>
          <w:lang w:val="en-US" w:eastAsia="zh-CN"/>
        </w:rPr>
        <w:t>左侧</w:t>
      </w:r>
      <w:r>
        <w:rPr>
          <w:rFonts w:hint="default"/>
          <w:lang w:eastAsia="zh-CN"/>
        </w:rPr>
        <w:t>的村庄。</w:t>
      </w:r>
    </w:p>
    <w:p w14:paraId="6FF5F812">
      <w:pPr>
        <w:bidi w:val="0"/>
        <w:rPr>
          <w:rFonts w:hint="default"/>
          <w:lang w:eastAsia="zh-CN"/>
        </w:rPr>
      </w:pPr>
      <w:r>
        <w:rPr>
          <w:rFonts w:hint="default"/>
          <w:lang w:eastAsia="zh-CN"/>
        </w:rPr>
        <w:t>（1）植物现状</w:t>
      </w:r>
    </w:p>
    <w:p w14:paraId="2F8087B7">
      <w:pPr>
        <w:bidi w:val="0"/>
        <w:rPr>
          <w:rFonts w:hint="default"/>
          <w:lang w:eastAsia="zh-CN"/>
        </w:rPr>
      </w:pPr>
      <w:r>
        <w:rPr>
          <w:rFonts w:hint="default"/>
          <w:lang w:eastAsia="zh-CN"/>
        </w:rPr>
        <w:t>评价区村落生态系统内土地类型以建设用地为主，区域植物多零星分布，主要为四旁树种和行道树，常见的树种有樟(Cinnamomum camphora)、李、杨梅等。</w:t>
      </w:r>
    </w:p>
    <w:p w14:paraId="322AE9FC">
      <w:pPr>
        <w:bidi w:val="0"/>
        <w:rPr>
          <w:rFonts w:hint="default"/>
          <w:lang w:eastAsia="zh-CN"/>
        </w:rPr>
      </w:pPr>
      <w:r>
        <w:rPr>
          <w:rFonts w:hint="default"/>
          <w:lang w:eastAsia="zh-CN"/>
        </w:rPr>
        <w:t>（2）动物现状</w:t>
      </w:r>
    </w:p>
    <w:p w14:paraId="615F7E4D">
      <w:pPr>
        <w:bidi w:val="0"/>
        <w:rPr>
          <w:rFonts w:hint="default"/>
          <w:lang w:eastAsia="zh-CN"/>
        </w:rPr>
      </w:pPr>
      <w:r>
        <w:rPr>
          <w:rFonts w:hint="default"/>
          <w:lang w:eastAsia="zh-CN"/>
        </w:rPr>
        <w:t>生活于村落生态系统内的野生动物种类主要为与人类伴居的种类，如家燕(Hirundo rustica)、、麻雀(Passer montanus)、褐家鼠、小家鼠(Mus musculus)等。</w:t>
      </w:r>
    </w:p>
    <w:p w14:paraId="4B893EAA">
      <w:pPr>
        <w:bidi w:val="0"/>
        <w:rPr>
          <w:rFonts w:hint="default"/>
          <w:lang w:eastAsia="zh-CN"/>
        </w:rPr>
      </w:pPr>
      <w:r>
        <w:rPr>
          <w:rFonts w:hint="default"/>
          <w:lang w:eastAsia="zh-CN"/>
        </w:rPr>
        <w:t>二、生态系统的功能</w:t>
      </w:r>
    </w:p>
    <w:p w14:paraId="773CBA1E">
      <w:pPr>
        <w:bidi w:val="0"/>
        <w:rPr>
          <w:rFonts w:hint="default"/>
          <w:lang w:eastAsia="zh-CN"/>
        </w:rPr>
      </w:pPr>
      <w:r>
        <w:rPr>
          <w:rFonts w:hint="default"/>
          <w:lang w:eastAsia="zh-CN"/>
        </w:rPr>
        <w:t>村落是一个高度复合的人工化生态系统，与自然生态系统在结构和功能上都存在明显差别。评价区村落生态系统分布</w:t>
      </w:r>
      <w:r>
        <w:rPr>
          <w:rFonts w:hint="eastAsia"/>
          <w:lang w:val="en-US" w:eastAsia="zh-CN"/>
        </w:rPr>
        <w:t>在道路两旁</w:t>
      </w:r>
      <w:r>
        <w:rPr>
          <w:rFonts w:hint="default"/>
          <w:lang w:eastAsia="zh-CN"/>
        </w:rPr>
        <w:t>，面积较小，其服务功能较小，主要体现在提供生活和生产物质的功能，包括食物生产、原材料生产以及满足人类精神和物质生活需求的功能。</w:t>
      </w:r>
    </w:p>
    <w:p w14:paraId="418ADAF7">
      <w:pPr>
        <w:pStyle w:val="4"/>
        <w:bidi w:val="0"/>
        <w:rPr>
          <w:rFonts w:hint="default"/>
          <w:lang w:eastAsia="zh-CN"/>
        </w:rPr>
      </w:pPr>
      <w:r>
        <w:rPr>
          <w:rFonts w:hint="default"/>
          <w:lang w:eastAsia="zh-CN"/>
        </w:rPr>
        <w:t>陆生植物</w:t>
      </w:r>
    </w:p>
    <w:p w14:paraId="0BA83B0C">
      <w:pPr>
        <w:pStyle w:val="5"/>
        <w:bidi w:val="0"/>
        <w:rPr>
          <w:rFonts w:hint="default"/>
          <w:lang w:eastAsia="zh-CN"/>
        </w:rPr>
      </w:pPr>
      <w:r>
        <w:rPr>
          <w:rFonts w:hint="default"/>
          <w:lang w:eastAsia="zh-CN"/>
        </w:rPr>
        <w:t>植物多样</w:t>
      </w:r>
    </w:p>
    <w:p w14:paraId="05489E5C">
      <w:pPr>
        <w:bidi w:val="0"/>
        <w:rPr>
          <w:rFonts w:hint="default"/>
          <w:lang w:eastAsia="zh-CN"/>
        </w:rPr>
      </w:pPr>
      <w:r>
        <w:rPr>
          <w:rFonts w:hint="default"/>
          <w:lang w:eastAsia="zh-CN"/>
        </w:rPr>
        <w:t>根据《中国种子植物区系地理》（吴征镒等，2011年），评价区属于东亚植物区—中国-日本植物亚区—南岭中部地区。根据《湖南植被》中对湖南植物区系分区的特征描述，评级区地处于湘南植物区南岭山脉中萌渚岭山地中，植物区系基本为华南区的北缘，且向华东区过渡。评价区人为活动对区域植被存在一定干扰，现状植被以针叶林、阔叶林、竹林、灌丛和灌草丛为主。</w:t>
      </w:r>
    </w:p>
    <w:p w14:paraId="17B1D7BE">
      <w:pPr>
        <w:bidi w:val="0"/>
        <w:rPr>
          <w:rFonts w:hint="default"/>
          <w:lang w:eastAsia="zh-CN"/>
        </w:rPr>
      </w:pPr>
      <w:r>
        <w:rPr>
          <w:rFonts w:hint="default"/>
          <w:lang w:eastAsia="zh-CN"/>
        </w:rPr>
        <w:t>1、多样性分析</w:t>
      </w:r>
    </w:p>
    <w:p w14:paraId="44D59686">
      <w:pPr>
        <w:bidi w:val="0"/>
        <w:rPr>
          <w:rFonts w:hint="default"/>
          <w:lang w:eastAsia="zh-CN"/>
        </w:rPr>
      </w:pPr>
      <w:r>
        <w:rPr>
          <w:rFonts w:hint="default"/>
          <w:lang w:eastAsia="zh-CN"/>
        </w:rPr>
        <w:t>通过对比香农威纳多样性指数，评价区植物多样性指数为4.</w:t>
      </w:r>
      <w:r>
        <w:rPr>
          <w:rFonts w:hint="eastAsia"/>
          <w:lang w:val="en-US" w:eastAsia="zh-CN"/>
        </w:rPr>
        <w:t>45</w:t>
      </w:r>
      <w:r>
        <w:rPr>
          <w:rFonts w:hint="default"/>
          <w:lang w:eastAsia="zh-CN"/>
        </w:rPr>
        <w:t>，表明评价区植物生物多样性较好。评价区植物多样性与人类息息相关，评价区为</w:t>
      </w:r>
      <w:r>
        <w:rPr>
          <w:rFonts w:hint="eastAsia"/>
          <w:lang w:val="en-US" w:eastAsia="zh-CN"/>
        </w:rPr>
        <w:t>丘陵</w:t>
      </w:r>
      <w:r>
        <w:rPr>
          <w:rFonts w:hint="default"/>
          <w:lang w:eastAsia="zh-CN"/>
        </w:rPr>
        <w:t>山区，植被覆盖率较高，自然植被主要乔木、灌草丛为主、草本种类较多，物种较为多样，森林面积较大，因此评价区植被各层次结构呈现草本层&gt;乔木层&gt;灌木层。</w:t>
      </w:r>
    </w:p>
    <w:p w14:paraId="03707251">
      <w:pPr>
        <w:bidi w:val="0"/>
        <w:rPr>
          <w:rFonts w:hint="default"/>
          <w:lang w:eastAsia="zh-CN"/>
        </w:rPr>
      </w:pPr>
      <w:r>
        <w:rPr>
          <w:rFonts w:hint="default"/>
          <w:lang w:eastAsia="zh-CN"/>
        </w:rPr>
        <w:t>通过对比均匀度指数，评价区植物均匀度指数为5.0</w:t>
      </w:r>
      <w:r>
        <w:rPr>
          <w:rFonts w:hint="eastAsia"/>
          <w:lang w:val="en-US" w:eastAsia="zh-CN"/>
        </w:rPr>
        <w:t>3</w:t>
      </w:r>
      <w:r>
        <w:rPr>
          <w:rFonts w:hint="default"/>
          <w:lang w:eastAsia="zh-CN"/>
        </w:rPr>
        <w:t>，乔木层均匀度指数为1.6</w:t>
      </w:r>
      <w:r>
        <w:rPr>
          <w:rFonts w:hint="eastAsia"/>
          <w:lang w:val="en-US" w:eastAsia="zh-CN"/>
        </w:rPr>
        <w:t>3</w:t>
      </w:r>
      <w:r>
        <w:rPr>
          <w:rFonts w:hint="default"/>
          <w:lang w:eastAsia="zh-CN"/>
        </w:rPr>
        <w:t>，灌木层均匀度指数为1.2</w:t>
      </w:r>
      <w:r>
        <w:rPr>
          <w:rFonts w:hint="eastAsia"/>
          <w:lang w:val="en-US" w:eastAsia="zh-CN"/>
        </w:rPr>
        <w:t>3</w:t>
      </w:r>
      <w:r>
        <w:rPr>
          <w:rFonts w:hint="default"/>
          <w:lang w:eastAsia="zh-CN"/>
        </w:rPr>
        <w:t>，草本层均匀度指数为2.</w:t>
      </w:r>
      <w:r>
        <w:rPr>
          <w:rFonts w:hint="eastAsia"/>
          <w:lang w:val="en-US" w:eastAsia="zh-CN"/>
        </w:rPr>
        <w:t>07</w:t>
      </w:r>
      <w:r>
        <w:rPr>
          <w:rFonts w:hint="default"/>
          <w:lang w:eastAsia="zh-CN"/>
        </w:rPr>
        <w:t>，由此可见草本层全部物种个体数目的分配状况较为均匀，其次是乔木层，最后为灌木层。</w:t>
      </w:r>
    </w:p>
    <w:p w14:paraId="7125A34D">
      <w:pPr>
        <w:bidi w:val="0"/>
        <w:rPr>
          <w:rFonts w:hint="default"/>
          <w:lang w:eastAsia="zh-CN"/>
        </w:rPr>
      </w:pPr>
      <w:r>
        <w:rPr>
          <w:rFonts w:hint="default"/>
          <w:lang w:eastAsia="zh-CN"/>
        </w:rPr>
        <w:t>通过对比Simpson优势度指数，评价区植物Simpson优势度0.30，乔木层Simpson优势度为0.</w:t>
      </w:r>
      <w:r>
        <w:rPr>
          <w:rFonts w:hint="eastAsia"/>
          <w:lang w:val="en-US" w:eastAsia="zh-CN"/>
        </w:rPr>
        <w:t>69</w:t>
      </w:r>
      <w:r>
        <w:rPr>
          <w:rFonts w:hint="default"/>
          <w:lang w:eastAsia="zh-CN"/>
        </w:rPr>
        <w:t>，灌木层Simpson优势度为0.</w:t>
      </w:r>
      <w:r>
        <w:rPr>
          <w:rFonts w:hint="eastAsia"/>
          <w:lang w:val="en-US" w:eastAsia="zh-CN"/>
        </w:rPr>
        <w:t>61</w:t>
      </w:r>
      <w:r>
        <w:rPr>
          <w:rFonts w:hint="default"/>
          <w:lang w:eastAsia="zh-CN"/>
        </w:rPr>
        <w:t>，草本层Simpson优势度为0.</w:t>
      </w:r>
      <w:r>
        <w:rPr>
          <w:rFonts w:hint="eastAsia"/>
          <w:lang w:val="en-US" w:eastAsia="zh-CN"/>
        </w:rPr>
        <w:t>7</w:t>
      </w:r>
      <w:r>
        <w:rPr>
          <w:rFonts w:hint="default"/>
          <w:lang w:eastAsia="zh-CN"/>
        </w:rPr>
        <w:t>6，评价区群落各层呈现草本层&gt;乔木层&gt;灌木层，此结果与物种均匀度指数相吻合。</w:t>
      </w:r>
    </w:p>
    <w:p w14:paraId="691E103E">
      <w:pPr>
        <w:pStyle w:val="5"/>
        <w:bidi w:val="0"/>
        <w:rPr>
          <w:rFonts w:hint="default"/>
          <w:lang w:eastAsia="zh-CN"/>
        </w:rPr>
      </w:pPr>
      <w:r>
        <w:rPr>
          <w:rFonts w:hint="default"/>
          <w:lang w:eastAsia="zh-CN"/>
        </w:rPr>
        <w:t>植被概况</w:t>
      </w:r>
    </w:p>
    <w:p w14:paraId="6F37D321">
      <w:pPr>
        <w:bidi w:val="0"/>
        <w:rPr>
          <w:rFonts w:hint="default"/>
          <w:lang w:eastAsia="zh-CN"/>
        </w:rPr>
      </w:pPr>
      <w:r>
        <w:rPr>
          <w:rFonts w:hint="default"/>
          <w:lang w:eastAsia="zh-CN"/>
        </w:rPr>
        <w:t>根据《湖南植被》的分区，影响评价区处于中亚热带华南植物区系成分的常绿阔叶林南部植被亚地带，南岭山地植被小区。评价区为华南植物区系的沟谷常绿阔叶林和中山常绿阔叶林。乔木以松科、杉科、壳斗科、竹亚科为主，灌木和草本以里白科、蕨科、蔷薇科为主，河流两岸零散分布菊科、禾亚科植被。通过现场调查，影响评价区内植物资源以常见的资源性物种为主，植物资源较为丰富。通过对现场调查采集的植物标本鉴定以及对评价区域历年植物区系资料系统的整理，影响评价区有维管植物32</w:t>
      </w:r>
      <w:r>
        <w:rPr>
          <w:rFonts w:hint="eastAsia"/>
          <w:lang w:val="en-US" w:eastAsia="zh-CN"/>
        </w:rPr>
        <w:t>4</w:t>
      </w:r>
      <w:r>
        <w:rPr>
          <w:rFonts w:hint="default"/>
          <w:lang w:eastAsia="zh-CN"/>
        </w:rPr>
        <w:t>种，隶属22</w:t>
      </w:r>
      <w:r>
        <w:rPr>
          <w:rFonts w:hint="eastAsia"/>
          <w:lang w:val="en-US" w:eastAsia="zh-CN"/>
        </w:rPr>
        <w:t>0</w:t>
      </w:r>
      <w:r>
        <w:rPr>
          <w:rFonts w:hint="default"/>
          <w:lang w:eastAsia="zh-CN"/>
        </w:rPr>
        <w:t>科103属，其中裸子植物3科4属5种；被子植物90科19</w:t>
      </w:r>
      <w:r>
        <w:rPr>
          <w:rFonts w:hint="eastAsia"/>
          <w:lang w:val="en-US" w:eastAsia="zh-CN"/>
        </w:rPr>
        <w:t>1</w:t>
      </w:r>
      <w:r>
        <w:rPr>
          <w:rFonts w:hint="default"/>
          <w:lang w:eastAsia="zh-CN"/>
        </w:rPr>
        <w:t>属30</w:t>
      </w:r>
      <w:r>
        <w:rPr>
          <w:rFonts w:hint="eastAsia"/>
          <w:lang w:val="en-US" w:eastAsia="zh-CN"/>
        </w:rPr>
        <w:t>5</w:t>
      </w:r>
      <w:r>
        <w:rPr>
          <w:rFonts w:hint="default"/>
          <w:lang w:eastAsia="zh-CN"/>
        </w:rPr>
        <w:t>种；蕨类植物10科11属14种。影响评价区分布的植物种类以广布种为主，起源多为人工。</w:t>
      </w:r>
    </w:p>
    <w:p w14:paraId="0628DAAD">
      <w:pPr>
        <w:bidi w:val="0"/>
        <w:rPr>
          <w:rFonts w:hint="default"/>
          <w:lang w:eastAsia="zh-CN"/>
        </w:rPr>
      </w:pPr>
      <w:r>
        <w:rPr>
          <w:rFonts w:hint="default"/>
          <w:lang w:eastAsia="zh-CN"/>
        </w:rPr>
        <w:t>1、现状调查与评价方法</w:t>
      </w:r>
    </w:p>
    <w:p w14:paraId="739FFD20">
      <w:pPr>
        <w:bidi w:val="0"/>
        <w:rPr>
          <w:rFonts w:hint="default"/>
          <w:lang w:eastAsia="zh-CN"/>
        </w:rPr>
      </w:pPr>
      <w:r>
        <w:rPr>
          <w:rFonts w:hint="default"/>
          <w:lang w:eastAsia="zh-CN"/>
        </w:rPr>
        <w:t>(1)基础资料收集</w:t>
      </w:r>
    </w:p>
    <w:p w14:paraId="03986F9C">
      <w:pPr>
        <w:bidi w:val="0"/>
        <w:rPr>
          <w:rFonts w:hint="default"/>
          <w:lang w:eastAsia="zh-CN"/>
        </w:rPr>
      </w:pPr>
      <w:r>
        <w:rPr>
          <w:rFonts w:hint="default"/>
          <w:lang w:eastAsia="zh-CN"/>
        </w:rPr>
        <w:t>收集整理评价区及周围地区的现有生物多样性资料，在综合分析现有资料的基础上，确定实地考察的重点区域、考察路线及寻访对象。</w:t>
      </w:r>
    </w:p>
    <w:p w14:paraId="06C4A8F1">
      <w:pPr>
        <w:bidi w:val="0"/>
        <w:rPr>
          <w:rFonts w:hint="default"/>
          <w:lang w:eastAsia="zh-CN"/>
        </w:rPr>
      </w:pPr>
      <w:r>
        <w:rPr>
          <w:rFonts w:hint="default"/>
          <w:lang w:eastAsia="zh-CN"/>
        </w:rPr>
        <w:t>(2)野外实地考察</w:t>
      </w:r>
    </w:p>
    <w:p w14:paraId="0CB6516E">
      <w:pPr>
        <w:bidi w:val="0"/>
        <w:rPr>
          <w:rFonts w:hint="default"/>
          <w:lang w:eastAsia="zh-CN"/>
        </w:rPr>
      </w:pPr>
      <w:r>
        <w:rPr>
          <w:rFonts w:hint="default"/>
          <w:lang w:eastAsia="zh-CN"/>
        </w:rPr>
        <w:t>1)GPS地面类型取样</w:t>
      </w:r>
    </w:p>
    <w:p w14:paraId="67BED56B">
      <w:pPr>
        <w:bidi w:val="0"/>
        <w:rPr>
          <w:rFonts w:hint="default"/>
          <w:lang w:eastAsia="zh-CN"/>
        </w:rPr>
      </w:pPr>
      <w:r>
        <w:rPr>
          <w:rFonts w:hint="default"/>
          <w:lang w:eastAsia="zh-CN"/>
        </w:rPr>
        <w:t>GPS样点是卫星遥感影像判读各种景观类型的基础，根据室内判读的植被与土地利用类型初图，现场核实判读的正误率，并对每个GPS取样点作如下记录：海拔表读出测点的海拔值和经纬度；记录样点植被类型，以群系为单位，</w:t>
      </w:r>
    </w:p>
    <w:p w14:paraId="4864E129">
      <w:pPr>
        <w:bidi w:val="0"/>
        <w:rPr>
          <w:rFonts w:hint="default"/>
          <w:lang w:eastAsia="zh-CN"/>
        </w:rPr>
      </w:pPr>
      <w:r>
        <w:rPr>
          <w:rFonts w:hint="default"/>
          <w:lang w:eastAsia="zh-CN"/>
        </w:rPr>
        <w:t>同时记录坡向、坡度、土壤类型；记录样点优势植物以及观察动物的活动的情况；拍摄典型植被外貌与结构特征。</w:t>
      </w:r>
    </w:p>
    <w:p w14:paraId="40FB8FA1">
      <w:pPr>
        <w:bidi w:val="0"/>
        <w:rPr>
          <w:rFonts w:hint="default"/>
          <w:lang w:eastAsia="zh-CN"/>
        </w:rPr>
      </w:pPr>
      <w:r>
        <w:rPr>
          <w:rFonts w:hint="default"/>
          <w:lang w:eastAsia="zh-CN"/>
        </w:rPr>
        <w:t>2)群落调查</w:t>
      </w:r>
    </w:p>
    <w:p w14:paraId="241F0E38">
      <w:pPr>
        <w:bidi w:val="0"/>
        <w:rPr>
          <w:rFonts w:hint="default"/>
          <w:lang w:eastAsia="zh-CN"/>
        </w:rPr>
      </w:pPr>
      <w:r>
        <w:rPr>
          <w:rFonts w:hint="default"/>
          <w:lang w:eastAsia="zh-CN"/>
        </w:rPr>
        <w:t>在实地踏查的基础上，确定典型的群落地段，采用法瑞学派样地记录法进行群落调查，乔木群落样方面积为20m×20m，灌木样方为5m×5m，草本样方为1 m×1 m，记录样地的所有种类，并按Braun-Blanquet多优度-群聚度记分，利用GPS确定样方位置。</w:t>
      </w:r>
    </w:p>
    <w:p w14:paraId="460777FA">
      <w:pPr>
        <w:bidi w:val="0"/>
        <w:rPr>
          <w:rFonts w:hint="default"/>
          <w:lang w:eastAsia="zh-CN"/>
        </w:rPr>
      </w:pPr>
      <w:r>
        <w:rPr>
          <w:rFonts w:hint="default"/>
          <w:lang w:eastAsia="zh-CN"/>
        </w:rPr>
        <w:t>2）植物样方调查情况</w:t>
      </w:r>
    </w:p>
    <w:p w14:paraId="775440D3">
      <w:pPr>
        <w:bidi w:val="0"/>
      </w:pPr>
      <w:r>
        <w:rPr>
          <w:rFonts w:hint="default"/>
          <w:lang w:eastAsia="zh-CN"/>
        </w:rPr>
        <w:t>根据《湖南植被》的分区，影响评价区处于中亚热带华南植物区系成分的常绿阔叶林南部植被亚地带，南岭山地植被小区。评价区为华南植物区系的沟谷常绿阔叶林和中山常绿阔叶林。乔木以松科、杉科、壳斗科、竹亚科为主，灌木和草本以里白科、蕨科、蔷薇科为主，河流两岸零散分布菊科、禾亚科植被。主要建群种和优势种有马尾松（Pinus massoniana）、杉木（Cunninghamia lanceolata）、毛竹（Phyllostachys edulis）、木荷（Schima superb Gardn. Et Champ）、枇杷叶紫珠（Callicarpa kochiana Makino）、檵木（Loropetalum chinense）、五节芒（Lindera glauca）、芒萁（Dicranopteris pedata）等。在样方调查的基础上，参考现有的资料和文献，根据群落的特征，将各种植物群落，通过比较它们之间的异同点，按照吴征镒等《中国植被》、祁承经等《湖南植被》以及宋永昌《植物生态学》中对中国、湖南湘东和湘中地区自然、人工植被的分类系统，划分出拟建项目评价区域不同的植被类型。其中，评价区域的自然植被共划分为3个等级，包括了</w:t>
      </w:r>
      <w:r>
        <w:rPr>
          <w:rFonts w:hint="eastAsia"/>
          <w:lang w:val="en-US" w:eastAsia="zh-CN"/>
        </w:rPr>
        <w:t>3</w:t>
      </w:r>
      <w:r>
        <w:rPr>
          <w:rFonts w:hint="default"/>
          <w:lang w:eastAsia="zh-CN"/>
        </w:rPr>
        <w:t>个植被型组、</w:t>
      </w:r>
      <w:r>
        <w:rPr>
          <w:rFonts w:hint="eastAsia"/>
          <w:lang w:val="en-US" w:eastAsia="zh-CN"/>
        </w:rPr>
        <w:t>4</w:t>
      </w:r>
      <w:r>
        <w:rPr>
          <w:rFonts w:hint="default"/>
          <w:lang w:eastAsia="zh-CN"/>
        </w:rPr>
        <w:t>个植被型、</w:t>
      </w:r>
      <w:r>
        <w:rPr>
          <w:rFonts w:hint="eastAsia"/>
          <w:lang w:val="en-US" w:eastAsia="zh-CN"/>
        </w:rPr>
        <w:t>7</w:t>
      </w:r>
      <w:r>
        <w:rPr>
          <w:rFonts w:hint="default"/>
          <w:lang w:eastAsia="zh-CN"/>
        </w:rPr>
        <w:t>个群系。有关评价区域的植被分类系统、主要植被概况及其在评价区域的分布详见表5.</w:t>
      </w:r>
      <w:r>
        <w:rPr>
          <w:rFonts w:hint="eastAsia"/>
          <w:lang w:val="en-US" w:eastAsia="zh-CN"/>
        </w:rPr>
        <w:t>3</w:t>
      </w:r>
      <w:r>
        <w:rPr>
          <w:rFonts w:hint="default"/>
          <w:lang w:eastAsia="zh-CN"/>
        </w:rPr>
        <w:t>-</w:t>
      </w:r>
      <w:r>
        <w:rPr>
          <w:rFonts w:hint="eastAsia"/>
          <w:lang w:val="en-US" w:eastAsia="zh-CN"/>
        </w:rPr>
        <w:t>3</w:t>
      </w:r>
      <w:r>
        <w:rPr>
          <w:rFonts w:hint="default"/>
          <w:lang w:eastAsia="zh-CN"/>
        </w:rPr>
        <w:t>。</w:t>
      </w:r>
    </w:p>
    <w:p w14:paraId="526B82E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3</w:t>
      </w:r>
      <w:r>
        <w:rPr>
          <w:rFonts w:hint="default"/>
          <w:lang w:eastAsia="zh-CN"/>
        </w:rPr>
        <w:t xml:space="preserve">  植物群落调查结果统计表</w:t>
      </w:r>
    </w:p>
    <w:tbl>
      <w:tblPr>
        <w:tblStyle w:val="162"/>
        <w:tblW w:w="501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90"/>
        <w:gridCol w:w="1050"/>
        <w:gridCol w:w="1327"/>
        <w:gridCol w:w="2650"/>
        <w:gridCol w:w="2423"/>
      </w:tblGrid>
      <w:tr w14:paraId="2D3DEA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7E9B84C2">
            <w:pPr>
              <w:pStyle w:val="49"/>
              <w:bidi w:val="0"/>
              <w:jc w:val="center"/>
            </w:pPr>
            <w:r>
              <w:t>植被系列</w:t>
            </w:r>
          </w:p>
        </w:tc>
        <w:tc>
          <w:tcPr>
            <w:tcW w:w="629" w:type="pct"/>
            <w:vMerge w:val="restart"/>
            <w:tcBorders>
              <w:bottom w:val="nil"/>
            </w:tcBorders>
            <w:vAlign w:val="center"/>
          </w:tcPr>
          <w:p w14:paraId="160A2F13">
            <w:pPr>
              <w:pStyle w:val="49"/>
              <w:bidi w:val="0"/>
              <w:jc w:val="center"/>
            </w:pPr>
            <w:r>
              <w:t>植被型组</w:t>
            </w:r>
          </w:p>
        </w:tc>
        <w:tc>
          <w:tcPr>
            <w:tcW w:w="795" w:type="pct"/>
            <w:vMerge w:val="restart"/>
            <w:tcBorders>
              <w:bottom w:val="nil"/>
            </w:tcBorders>
            <w:vAlign w:val="center"/>
          </w:tcPr>
          <w:p w14:paraId="438870E6">
            <w:pPr>
              <w:pStyle w:val="49"/>
              <w:bidi w:val="0"/>
              <w:jc w:val="center"/>
            </w:pPr>
            <w:r>
              <w:t>植被型</w:t>
            </w:r>
          </w:p>
        </w:tc>
        <w:tc>
          <w:tcPr>
            <w:tcW w:w="1588" w:type="pct"/>
            <w:vMerge w:val="restart"/>
            <w:tcBorders>
              <w:bottom w:val="nil"/>
            </w:tcBorders>
            <w:vAlign w:val="center"/>
          </w:tcPr>
          <w:p w14:paraId="60F2A47D">
            <w:pPr>
              <w:pStyle w:val="49"/>
              <w:bidi w:val="0"/>
              <w:jc w:val="center"/>
            </w:pPr>
            <w:r>
              <w:t>群系</w:t>
            </w:r>
          </w:p>
        </w:tc>
        <w:tc>
          <w:tcPr>
            <w:tcW w:w="1452" w:type="pct"/>
            <w:vMerge w:val="restart"/>
            <w:tcBorders>
              <w:bottom w:val="nil"/>
            </w:tcBorders>
            <w:vAlign w:val="center"/>
          </w:tcPr>
          <w:p w14:paraId="33864A2B">
            <w:pPr>
              <w:pStyle w:val="49"/>
              <w:bidi w:val="0"/>
              <w:jc w:val="center"/>
            </w:pPr>
            <w:r>
              <w:t>分布区域</w:t>
            </w:r>
          </w:p>
        </w:tc>
      </w:tr>
      <w:tr w14:paraId="64C37D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667F44AB">
            <w:pPr>
              <w:pStyle w:val="49"/>
              <w:bidi w:val="0"/>
              <w:jc w:val="center"/>
            </w:pPr>
          </w:p>
        </w:tc>
        <w:tc>
          <w:tcPr>
            <w:tcW w:w="629" w:type="pct"/>
            <w:vMerge w:val="continue"/>
            <w:tcBorders>
              <w:top w:val="nil"/>
            </w:tcBorders>
            <w:vAlign w:val="center"/>
          </w:tcPr>
          <w:p w14:paraId="19FAB9D6">
            <w:pPr>
              <w:pStyle w:val="49"/>
              <w:bidi w:val="0"/>
              <w:jc w:val="center"/>
            </w:pPr>
          </w:p>
        </w:tc>
        <w:tc>
          <w:tcPr>
            <w:tcW w:w="795" w:type="pct"/>
            <w:vMerge w:val="continue"/>
            <w:tcBorders>
              <w:top w:val="nil"/>
            </w:tcBorders>
            <w:vAlign w:val="center"/>
          </w:tcPr>
          <w:p w14:paraId="3002FEBC">
            <w:pPr>
              <w:pStyle w:val="49"/>
              <w:bidi w:val="0"/>
              <w:jc w:val="center"/>
            </w:pPr>
          </w:p>
        </w:tc>
        <w:tc>
          <w:tcPr>
            <w:tcW w:w="1588" w:type="pct"/>
            <w:vMerge w:val="continue"/>
            <w:tcBorders>
              <w:top w:val="nil"/>
            </w:tcBorders>
            <w:vAlign w:val="center"/>
          </w:tcPr>
          <w:p w14:paraId="496C486F">
            <w:pPr>
              <w:pStyle w:val="49"/>
              <w:bidi w:val="0"/>
              <w:jc w:val="center"/>
            </w:pPr>
          </w:p>
        </w:tc>
        <w:tc>
          <w:tcPr>
            <w:tcW w:w="1452" w:type="pct"/>
            <w:vMerge w:val="continue"/>
            <w:tcBorders>
              <w:top w:val="nil"/>
            </w:tcBorders>
            <w:vAlign w:val="center"/>
          </w:tcPr>
          <w:p w14:paraId="5893F8CB">
            <w:pPr>
              <w:pStyle w:val="49"/>
              <w:bidi w:val="0"/>
              <w:jc w:val="center"/>
            </w:pPr>
          </w:p>
        </w:tc>
      </w:tr>
      <w:tr w14:paraId="6719E4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57F52362">
            <w:pPr>
              <w:pStyle w:val="49"/>
              <w:bidi w:val="0"/>
              <w:jc w:val="center"/>
            </w:pPr>
            <w:r>
              <w:t>自然植被</w:t>
            </w:r>
          </w:p>
        </w:tc>
        <w:tc>
          <w:tcPr>
            <w:tcW w:w="629" w:type="pct"/>
            <w:vMerge w:val="restart"/>
            <w:tcBorders>
              <w:bottom w:val="nil"/>
            </w:tcBorders>
            <w:vAlign w:val="center"/>
          </w:tcPr>
          <w:p w14:paraId="70F39963">
            <w:pPr>
              <w:pStyle w:val="49"/>
              <w:bidi w:val="0"/>
              <w:jc w:val="center"/>
            </w:pPr>
            <w:r>
              <w:t>针叶林</w:t>
            </w:r>
          </w:p>
        </w:tc>
        <w:tc>
          <w:tcPr>
            <w:tcW w:w="795" w:type="pct"/>
            <w:vMerge w:val="restart"/>
            <w:tcBorders>
              <w:bottom w:val="nil"/>
            </w:tcBorders>
            <w:vAlign w:val="center"/>
          </w:tcPr>
          <w:p w14:paraId="54334FF8">
            <w:pPr>
              <w:pStyle w:val="49"/>
              <w:bidi w:val="0"/>
              <w:jc w:val="center"/>
            </w:pPr>
            <w:r>
              <w:t>I暖性常绿针叶林</w:t>
            </w:r>
          </w:p>
        </w:tc>
        <w:tc>
          <w:tcPr>
            <w:tcW w:w="1588" w:type="pct"/>
            <w:vAlign w:val="center"/>
          </w:tcPr>
          <w:p w14:paraId="5150DB46">
            <w:pPr>
              <w:pStyle w:val="49"/>
              <w:bidi w:val="0"/>
              <w:jc w:val="center"/>
            </w:pPr>
            <w:r>
              <w:t>1.杉木林</w:t>
            </w:r>
          </w:p>
        </w:tc>
        <w:tc>
          <w:tcPr>
            <w:tcW w:w="1452" w:type="pct"/>
            <w:vAlign w:val="center"/>
          </w:tcPr>
          <w:p w14:paraId="2E0C99B6">
            <w:pPr>
              <w:pStyle w:val="49"/>
              <w:bidi w:val="0"/>
              <w:jc w:val="center"/>
              <w:rPr>
                <w:rFonts w:hint="default" w:eastAsia="宋体"/>
                <w:lang w:val="en-US" w:eastAsia="zh-CN"/>
              </w:rPr>
            </w:pPr>
            <w:r>
              <w:rPr>
                <w:rFonts w:hint="eastAsia"/>
                <w:lang w:val="en-US" w:eastAsia="zh-CN"/>
              </w:rPr>
              <w:t>水库周边</w:t>
            </w:r>
          </w:p>
        </w:tc>
      </w:tr>
      <w:tr w14:paraId="268BFC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1F4B5C37">
            <w:pPr>
              <w:pStyle w:val="49"/>
              <w:bidi w:val="0"/>
              <w:jc w:val="center"/>
            </w:pPr>
          </w:p>
        </w:tc>
        <w:tc>
          <w:tcPr>
            <w:tcW w:w="629" w:type="pct"/>
            <w:vMerge w:val="continue"/>
            <w:tcBorders>
              <w:top w:val="nil"/>
            </w:tcBorders>
            <w:vAlign w:val="center"/>
          </w:tcPr>
          <w:p w14:paraId="6635CE72">
            <w:pPr>
              <w:pStyle w:val="49"/>
              <w:bidi w:val="0"/>
              <w:jc w:val="center"/>
            </w:pPr>
          </w:p>
        </w:tc>
        <w:tc>
          <w:tcPr>
            <w:tcW w:w="795" w:type="pct"/>
            <w:vMerge w:val="continue"/>
            <w:tcBorders>
              <w:top w:val="nil"/>
            </w:tcBorders>
            <w:vAlign w:val="center"/>
          </w:tcPr>
          <w:p w14:paraId="66FBD093">
            <w:pPr>
              <w:pStyle w:val="49"/>
              <w:bidi w:val="0"/>
              <w:jc w:val="center"/>
            </w:pPr>
          </w:p>
        </w:tc>
        <w:tc>
          <w:tcPr>
            <w:tcW w:w="1588" w:type="pct"/>
            <w:vAlign w:val="center"/>
          </w:tcPr>
          <w:p w14:paraId="16BE6F34">
            <w:pPr>
              <w:pStyle w:val="49"/>
              <w:bidi w:val="0"/>
              <w:jc w:val="center"/>
            </w:pPr>
            <w:r>
              <w:t>2.马尾松林</w:t>
            </w:r>
          </w:p>
        </w:tc>
        <w:tc>
          <w:tcPr>
            <w:tcW w:w="1452" w:type="pct"/>
            <w:vAlign w:val="center"/>
          </w:tcPr>
          <w:p w14:paraId="2D29C03B">
            <w:pPr>
              <w:pStyle w:val="49"/>
              <w:bidi w:val="0"/>
              <w:jc w:val="center"/>
            </w:pPr>
            <w:r>
              <w:rPr>
                <w:rFonts w:hint="eastAsia"/>
                <w:lang w:val="en-US" w:eastAsia="zh-CN"/>
              </w:rPr>
              <w:t>水库周边</w:t>
            </w:r>
          </w:p>
        </w:tc>
      </w:tr>
      <w:tr w14:paraId="0D5BE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186982F0">
            <w:pPr>
              <w:pStyle w:val="49"/>
              <w:bidi w:val="0"/>
              <w:jc w:val="center"/>
            </w:pPr>
          </w:p>
        </w:tc>
        <w:tc>
          <w:tcPr>
            <w:tcW w:w="629" w:type="pct"/>
            <w:tcBorders>
              <w:bottom w:val="nil"/>
            </w:tcBorders>
            <w:vAlign w:val="center"/>
          </w:tcPr>
          <w:p w14:paraId="1F0D8D97">
            <w:pPr>
              <w:pStyle w:val="49"/>
              <w:bidi w:val="0"/>
              <w:jc w:val="center"/>
            </w:pPr>
            <w:r>
              <w:t>阔叶林</w:t>
            </w:r>
          </w:p>
        </w:tc>
        <w:tc>
          <w:tcPr>
            <w:tcW w:w="795" w:type="pct"/>
            <w:tcBorders>
              <w:bottom w:val="nil"/>
            </w:tcBorders>
            <w:vAlign w:val="center"/>
          </w:tcPr>
          <w:p w14:paraId="6304D648">
            <w:pPr>
              <w:pStyle w:val="49"/>
              <w:bidi w:val="0"/>
              <w:jc w:val="center"/>
            </w:pPr>
            <w:r>
              <w:t>Ⅱ</w:t>
            </w:r>
            <w:r>
              <w:rPr>
                <w:rFonts w:hint="eastAsia"/>
                <w:lang w:val="en-US" w:eastAsia="zh-CN"/>
              </w:rPr>
              <w:t>常绿</w:t>
            </w:r>
            <w:r>
              <w:t>阔叶林</w:t>
            </w:r>
          </w:p>
        </w:tc>
        <w:tc>
          <w:tcPr>
            <w:tcW w:w="1588" w:type="pct"/>
            <w:tcBorders>
              <w:bottom w:val="nil"/>
            </w:tcBorders>
            <w:vAlign w:val="center"/>
          </w:tcPr>
          <w:p w14:paraId="59628F81">
            <w:pPr>
              <w:pStyle w:val="49"/>
              <w:bidi w:val="0"/>
              <w:jc w:val="center"/>
            </w:pPr>
            <w:r>
              <w:t>3.</w:t>
            </w:r>
            <w:r>
              <w:rPr>
                <w:rFonts w:hint="eastAsia"/>
                <w:lang w:val="en-US" w:eastAsia="zh-CN"/>
              </w:rPr>
              <w:t>木荷</w:t>
            </w:r>
            <w:r>
              <w:t>林</w:t>
            </w:r>
          </w:p>
        </w:tc>
        <w:tc>
          <w:tcPr>
            <w:tcW w:w="1452" w:type="pct"/>
            <w:vAlign w:val="center"/>
          </w:tcPr>
          <w:p w14:paraId="30419584">
            <w:pPr>
              <w:pStyle w:val="49"/>
              <w:bidi w:val="0"/>
              <w:jc w:val="center"/>
            </w:pPr>
            <w:r>
              <w:rPr>
                <w:rFonts w:hint="eastAsia"/>
                <w:lang w:val="en-US" w:eastAsia="zh-CN"/>
              </w:rPr>
              <w:t>水库周边</w:t>
            </w:r>
          </w:p>
        </w:tc>
      </w:tr>
      <w:tr w14:paraId="3DCC9A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2E531223">
            <w:pPr>
              <w:pStyle w:val="49"/>
              <w:bidi w:val="0"/>
              <w:jc w:val="center"/>
            </w:pPr>
          </w:p>
        </w:tc>
        <w:tc>
          <w:tcPr>
            <w:tcW w:w="629" w:type="pct"/>
            <w:vMerge w:val="restart"/>
            <w:tcBorders>
              <w:bottom w:val="nil"/>
            </w:tcBorders>
            <w:vAlign w:val="center"/>
          </w:tcPr>
          <w:p w14:paraId="6104315E">
            <w:pPr>
              <w:pStyle w:val="49"/>
              <w:bidi w:val="0"/>
              <w:jc w:val="center"/>
            </w:pPr>
            <w:r>
              <w:t>灌丛和灌草丛</w:t>
            </w:r>
          </w:p>
        </w:tc>
        <w:tc>
          <w:tcPr>
            <w:tcW w:w="795" w:type="pct"/>
            <w:vMerge w:val="restart"/>
            <w:tcBorders>
              <w:bottom w:val="nil"/>
            </w:tcBorders>
            <w:vAlign w:val="center"/>
          </w:tcPr>
          <w:p w14:paraId="54B4E5DB">
            <w:pPr>
              <w:pStyle w:val="49"/>
              <w:bidi w:val="0"/>
              <w:jc w:val="center"/>
            </w:pPr>
            <w:r>
              <w:t>Ⅲ灌丛</w:t>
            </w:r>
          </w:p>
        </w:tc>
        <w:tc>
          <w:tcPr>
            <w:tcW w:w="1588" w:type="pct"/>
            <w:vAlign w:val="center"/>
          </w:tcPr>
          <w:p w14:paraId="1D18FE3D">
            <w:pPr>
              <w:pStyle w:val="49"/>
              <w:bidi w:val="0"/>
              <w:jc w:val="center"/>
            </w:pPr>
            <w:r>
              <w:rPr>
                <w:rFonts w:hint="eastAsia"/>
                <w:lang w:val="en-US" w:eastAsia="zh-CN"/>
              </w:rPr>
              <w:t>4</w:t>
            </w:r>
            <w:r>
              <w:t>.</w:t>
            </w:r>
            <w:r>
              <w:rPr>
                <w:rFonts w:hAnsi="宋体"/>
                <w:bCs/>
                <w:kern w:val="0"/>
                <w:sz w:val="21"/>
                <w:szCs w:val="21"/>
              </w:rPr>
              <w:t>檵木灌丛</w:t>
            </w:r>
          </w:p>
        </w:tc>
        <w:tc>
          <w:tcPr>
            <w:tcW w:w="1452" w:type="pct"/>
            <w:vMerge w:val="restart"/>
            <w:tcBorders>
              <w:bottom w:val="nil"/>
            </w:tcBorders>
            <w:vAlign w:val="center"/>
          </w:tcPr>
          <w:p w14:paraId="75AF5925">
            <w:pPr>
              <w:pStyle w:val="49"/>
              <w:bidi w:val="0"/>
              <w:jc w:val="center"/>
            </w:pPr>
            <w:r>
              <w:t>水库大坝下游</w:t>
            </w:r>
            <w:r>
              <w:rPr>
                <w:rFonts w:hint="eastAsia"/>
                <w:lang w:eastAsia="zh-CN"/>
              </w:rPr>
              <w:t>、</w:t>
            </w:r>
            <w:r>
              <w:rPr>
                <w:rFonts w:hint="eastAsia"/>
                <w:lang w:val="en-US" w:eastAsia="zh-CN"/>
              </w:rPr>
              <w:t>库尾</w:t>
            </w:r>
            <w:r>
              <w:t>均有分布</w:t>
            </w:r>
          </w:p>
        </w:tc>
      </w:tr>
      <w:tr w14:paraId="0A24DE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49DCA629">
            <w:pPr>
              <w:pStyle w:val="49"/>
              <w:bidi w:val="0"/>
              <w:jc w:val="center"/>
            </w:pPr>
          </w:p>
        </w:tc>
        <w:tc>
          <w:tcPr>
            <w:tcW w:w="629" w:type="pct"/>
            <w:vMerge w:val="continue"/>
            <w:tcBorders>
              <w:top w:val="nil"/>
              <w:bottom w:val="nil"/>
            </w:tcBorders>
            <w:vAlign w:val="center"/>
          </w:tcPr>
          <w:p w14:paraId="091018C5">
            <w:pPr>
              <w:pStyle w:val="49"/>
              <w:bidi w:val="0"/>
              <w:jc w:val="center"/>
            </w:pPr>
          </w:p>
        </w:tc>
        <w:tc>
          <w:tcPr>
            <w:tcW w:w="795" w:type="pct"/>
            <w:vMerge w:val="continue"/>
            <w:tcBorders>
              <w:top w:val="nil"/>
            </w:tcBorders>
            <w:vAlign w:val="center"/>
          </w:tcPr>
          <w:p w14:paraId="7DD3C387">
            <w:pPr>
              <w:pStyle w:val="49"/>
              <w:bidi w:val="0"/>
              <w:jc w:val="center"/>
            </w:pPr>
          </w:p>
        </w:tc>
        <w:tc>
          <w:tcPr>
            <w:tcW w:w="1588" w:type="pct"/>
            <w:vAlign w:val="center"/>
          </w:tcPr>
          <w:p w14:paraId="4EA01F1E">
            <w:pPr>
              <w:pStyle w:val="49"/>
              <w:bidi w:val="0"/>
              <w:jc w:val="center"/>
            </w:pPr>
            <w:r>
              <w:rPr>
                <w:rFonts w:hint="eastAsia"/>
                <w:lang w:val="en-US" w:eastAsia="zh-CN"/>
              </w:rPr>
              <w:t>5</w:t>
            </w:r>
            <w:r>
              <w:t>.</w:t>
            </w:r>
            <w:r>
              <w:rPr>
                <w:rFonts w:hint="eastAsia"/>
              </w:rPr>
              <w:t>盐肤木</w:t>
            </w:r>
            <w:r>
              <w:t>灌丛</w:t>
            </w:r>
          </w:p>
        </w:tc>
        <w:tc>
          <w:tcPr>
            <w:tcW w:w="1452" w:type="pct"/>
            <w:vMerge w:val="continue"/>
            <w:tcBorders>
              <w:top w:val="nil"/>
            </w:tcBorders>
            <w:vAlign w:val="center"/>
          </w:tcPr>
          <w:p w14:paraId="6B7217D2">
            <w:pPr>
              <w:pStyle w:val="49"/>
              <w:bidi w:val="0"/>
              <w:jc w:val="center"/>
            </w:pPr>
          </w:p>
        </w:tc>
      </w:tr>
      <w:tr w14:paraId="0B877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bottom w:val="nil"/>
            </w:tcBorders>
            <w:vAlign w:val="center"/>
          </w:tcPr>
          <w:p w14:paraId="4E70E99D">
            <w:pPr>
              <w:pStyle w:val="49"/>
              <w:bidi w:val="0"/>
              <w:jc w:val="center"/>
            </w:pPr>
          </w:p>
        </w:tc>
        <w:tc>
          <w:tcPr>
            <w:tcW w:w="629" w:type="pct"/>
            <w:vMerge w:val="continue"/>
            <w:tcBorders>
              <w:top w:val="nil"/>
              <w:bottom w:val="nil"/>
            </w:tcBorders>
            <w:vAlign w:val="center"/>
          </w:tcPr>
          <w:p w14:paraId="29F8507E">
            <w:pPr>
              <w:pStyle w:val="49"/>
              <w:bidi w:val="0"/>
              <w:jc w:val="center"/>
            </w:pPr>
          </w:p>
        </w:tc>
        <w:tc>
          <w:tcPr>
            <w:tcW w:w="795" w:type="pct"/>
            <w:vMerge w:val="restart"/>
            <w:tcBorders>
              <w:bottom w:val="nil"/>
            </w:tcBorders>
            <w:vAlign w:val="center"/>
          </w:tcPr>
          <w:p w14:paraId="1E898D9B">
            <w:pPr>
              <w:pStyle w:val="49"/>
              <w:bidi w:val="0"/>
              <w:jc w:val="center"/>
            </w:pPr>
            <w:r>
              <w:t>Ⅳ灌草丛</w:t>
            </w:r>
          </w:p>
        </w:tc>
        <w:tc>
          <w:tcPr>
            <w:tcW w:w="1588" w:type="pct"/>
            <w:vAlign w:val="center"/>
          </w:tcPr>
          <w:p w14:paraId="700462D0">
            <w:pPr>
              <w:pStyle w:val="49"/>
              <w:bidi w:val="0"/>
              <w:jc w:val="center"/>
            </w:pPr>
            <w:r>
              <w:rPr>
                <w:rFonts w:hint="eastAsia"/>
                <w:lang w:val="en-US" w:eastAsia="zh-CN"/>
              </w:rPr>
              <w:t>6</w:t>
            </w:r>
            <w:r>
              <w:t>.</w:t>
            </w:r>
            <w:r>
              <w:rPr>
                <w:sz w:val="21"/>
                <w:szCs w:val="21"/>
              </w:rPr>
              <w:t>芒灌草丛</w:t>
            </w:r>
          </w:p>
        </w:tc>
        <w:tc>
          <w:tcPr>
            <w:tcW w:w="1452" w:type="pct"/>
            <w:vMerge w:val="restart"/>
            <w:tcBorders>
              <w:bottom w:val="nil"/>
            </w:tcBorders>
            <w:vAlign w:val="center"/>
          </w:tcPr>
          <w:p w14:paraId="423A0A0C">
            <w:pPr>
              <w:pStyle w:val="49"/>
              <w:bidi w:val="0"/>
              <w:jc w:val="center"/>
            </w:pPr>
            <w:r>
              <w:t>水库大坝下游</w:t>
            </w:r>
            <w:r>
              <w:rPr>
                <w:rFonts w:hint="eastAsia"/>
                <w:lang w:eastAsia="zh-CN"/>
              </w:rPr>
              <w:t>、</w:t>
            </w:r>
            <w:r>
              <w:rPr>
                <w:rFonts w:hint="eastAsia"/>
                <w:lang w:val="en-US" w:eastAsia="zh-CN"/>
              </w:rPr>
              <w:t>库尾</w:t>
            </w:r>
            <w:r>
              <w:t>均有分布</w:t>
            </w:r>
          </w:p>
        </w:tc>
      </w:tr>
      <w:tr w14:paraId="7450FE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3DA35868">
            <w:pPr>
              <w:pStyle w:val="49"/>
              <w:bidi w:val="0"/>
              <w:jc w:val="center"/>
            </w:pPr>
          </w:p>
        </w:tc>
        <w:tc>
          <w:tcPr>
            <w:tcW w:w="629" w:type="pct"/>
            <w:vMerge w:val="continue"/>
            <w:tcBorders>
              <w:top w:val="nil"/>
            </w:tcBorders>
            <w:vAlign w:val="center"/>
          </w:tcPr>
          <w:p w14:paraId="25882B2C">
            <w:pPr>
              <w:pStyle w:val="49"/>
              <w:bidi w:val="0"/>
              <w:jc w:val="center"/>
            </w:pPr>
          </w:p>
        </w:tc>
        <w:tc>
          <w:tcPr>
            <w:tcW w:w="795" w:type="pct"/>
            <w:vMerge w:val="continue"/>
            <w:tcBorders>
              <w:top w:val="nil"/>
            </w:tcBorders>
            <w:vAlign w:val="center"/>
          </w:tcPr>
          <w:p w14:paraId="002C6404">
            <w:pPr>
              <w:pStyle w:val="49"/>
              <w:bidi w:val="0"/>
              <w:jc w:val="center"/>
            </w:pPr>
          </w:p>
        </w:tc>
        <w:tc>
          <w:tcPr>
            <w:tcW w:w="1588" w:type="pct"/>
            <w:vAlign w:val="center"/>
          </w:tcPr>
          <w:p w14:paraId="2602DA2C">
            <w:pPr>
              <w:pStyle w:val="49"/>
              <w:bidi w:val="0"/>
              <w:jc w:val="center"/>
            </w:pPr>
            <w:r>
              <w:rPr>
                <w:rFonts w:hint="eastAsia"/>
                <w:lang w:val="en-US" w:eastAsia="zh-CN"/>
              </w:rPr>
              <w:t>7</w:t>
            </w:r>
            <w:r>
              <w:t>.</w:t>
            </w:r>
            <w:r>
              <w:rPr>
                <w:rFonts w:hint="eastAsia"/>
                <w:lang w:val="en-US" w:eastAsia="zh-CN"/>
              </w:rPr>
              <w:t>白茅</w:t>
            </w:r>
            <w:r>
              <w:t>灌草丛</w:t>
            </w:r>
          </w:p>
        </w:tc>
        <w:tc>
          <w:tcPr>
            <w:tcW w:w="1452" w:type="pct"/>
            <w:vMerge w:val="continue"/>
            <w:tcBorders>
              <w:top w:val="nil"/>
            </w:tcBorders>
            <w:vAlign w:val="center"/>
          </w:tcPr>
          <w:p w14:paraId="7B221EEB">
            <w:pPr>
              <w:pStyle w:val="49"/>
              <w:bidi w:val="0"/>
              <w:jc w:val="center"/>
            </w:pPr>
          </w:p>
        </w:tc>
      </w:tr>
      <w:tr w14:paraId="7DC4D1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restart"/>
            <w:tcBorders>
              <w:bottom w:val="nil"/>
            </w:tcBorders>
            <w:vAlign w:val="center"/>
          </w:tcPr>
          <w:p w14:paraId="26A1A3C4">
            <w:pPr>
              <w:pStyle w:val="49"/>
              <w:bidi w:val="0"/>
              <w:jc w:val="center"/>
            </w:pPr>
            <w:r>
              <w:t>人工植被</w:t>
            </w:r>
          </w:p>
        </w:tc>
        <w:tc>
          <w:tcPr>
            <w:tcW w:w="629" w:type="pct"/>
            <w:vAlign w:val="center"/>
          </w:tcPr>
          <w:p w14:paraId="625B7174">
            <w:pPr>
              <w:pStyle w:val="49"/>
              <w:bidi w:val="0"/>
              <w:jc w:val="center"/>
            </w:pPr>
            <w:r>
              <w:t>人工林</w:t>
            </w:r>
          </w:p>
        </w:tc>
        <w:tc>
          <w:tcPr>
            <w:tcW w:w="795" w:type="pct"/>
            <w:vAlign w:val="center"/>
          </w:tcPr>
          <w:p w14:paraId="49169E7F">
            <w:pPr>
              <w:pStyle w:val="49"/>
              <w:bidi w:val="0"/>
              <w:jc w:val="center"/>
            </w:pPr>
            <w:r>
              <w:t>经济果木树种</w:t>
            </w:r>
          </w:p>
        </w:tc>
        <w:tc>
          <w:tcPr>
            <w:tcW w:w="1588" w:type="pct"/>
            <w:vAlign w:val="center"/>
          </w:tcPr>
          <w:p w14:paraId="70C32E6F">
            <w:pPr>
              <w:pStyle w:val="49"/>
              <w:bidi w:val="0"/>
              <w:rPr>
                <w:rFonts w:hint="default" w:eastAsia="宋体"/>
                <w:lang w:val="en-US" w:eastAsia="zh-CN"/>
              </w:rPr>
            </w:pPr>
            <w:r>
              <w:rPr>
                <w:rFonts w:hint="eastAsia"/>
              </w:rPr>
              <w:t>柑橘林、</w:t>
            </w:r>
            <w:r>
              <w:t>油茶林</w:t>
            </w:r>
            <w:r>
              <w:rPr>
                <w:rFonts w:hint="eastAsia"/>
                <w:lang w:eastAsia="zh-CN"/>
              </w:rPr>
              <w:t>、</w:t>
            </w:r>
            <w:r>
              <w:rPr>
                <w:rFonts w:hint="eastAsia"/>
                <w:lang w:val="en-US" w:eastAsia="zh-CN"/>
              </w:rPr>
              <w:t>茶、李</w:t>
            </w:r>
          </w:p>
        </w:tc>
        <w:tc>
          <w:tcPr>
            <w:tcW w:w="1452" w:type="pct"/>
            <w:vAlign w:val="center"/>
          </w:tcPr>
          <w:p w14:paraId="0E527034">
            <w:pPr>
              <w:pStyle w:val="49"/>
              <w:bidi w:val="0"/>
              <w:jc w:val="center"/>
              <w:rPr>
                <w:rFonts w:hint="eastAsia" w:eastAsia="宋体"/>
                <w:lang w:val="en-US" w:eastAsia="zh-CN"/>
              </w:rPr>
            </w:pPr>
            <w:r>
              <w:rPr>
                <w:rFonts w:hint="eastAsia"/>
                <w:lang w:val="en-US" w:eastAsia="zh-CN"/>
              </w:rPr>
              <w:t>/</w:t>
            </w:r>
          </w:p>
        </w:tc>
      </w:tr>
      <w:tr w14:paraId="1C57AD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3" w:type="pct"/>
            <w:vMerge w:val="continue"/>
            <w:tcBorders>
              <w:top w:val="nil"/>
            </w:tcBorders>
            <w:vAlign w:val="center"/>
          </w:tcPr>
          <w:p w14:paraId="78BE93BA">
            <w:pPr>
              <w:pStyle w:val="49"/>
              <w:bidi w:val="0"/>
              <w:jc w:val="center"/>
            </w:pPr>
          </w:p>
        </w:tc>
        <w:tc>
          <w:tcPr>
            <w:tcW w:w="629" w:type="pct"/>
            <w:tcBorders>
              <w:top w:val="nil"/>
            </w:tcBorders>
            <w:vAlign w:val="center"/>
          </w:tcPr>
          <w:p w14:paraId="08F3FD8D">
            <w:pPr>
              <w:pStyle w:val="49"/>
              <w:bidi w:val="0"/>
              <w:jc w:val="center"/>
              <w:rPr>
                <w:rFonts w:hint="default" w:eastAsia="宋体"/>
                <w:lang w:val="en-US" w:eastAsia="zh-CN"/>
              </w:rPr>
            </w:pPr>
            <w:r>
              <w:rPr>
                <w:rFonts w:hint="eastAsia"/>
                <w:lang w:val="en-US" w:eastAsia="zh-CN"/>
              </w:rPr>
              <w:t>经济作物</w:t>
            </w:r>
          </w:p>
        </w:tc>
        <w:tc>
          <w:tcPr>
            <w:tcW w:w="795" w:type="pct"/>
            <w:vAlign w:val="center"/>
          </w:tcPr>
          <w:p w14:paraId="63D7A9DF">
            <w:pPr>
              <w:pStyle w:val="49"/>
              <w:bidi w:val="0"/>
              <w:jc w:val="center"/>
            </w:pPr>
            <w:r>
              <w:t>经济作物</w:t>
            </w:r>
          </w:p>
        </w:tc>
        <w:tc>
          <w:tcPr>
            <w:tcW w:w="1588" w:type="pct"/>
            <w:vAlign w:val="center"/>
          </w:tcPr>
          <w:p w14:paraId="7DDCFEFC">
            <w:pPr>
              <w:pStyle w:val="49"/>
              <w:bidi w:val="0"/>
            </w:pPr>
            <w:r>
              <w:t>水稻、玉米、薯类、油茶等</w:t>
            </w:r>
          </w:p>
        </w:tc>
        <w:tc>
          <w:tcPr>
            <w:tcW w:w="1452" w:type="pct"/>
            <w:tcBorders>
              <w:top w:val="nil"/>
            </w:tcBorders>
            <w:vAlign w:val="center"/>
          </w:tcPr>
          <w:p w14:paraId="286F5607">
            <w:pPr>
              <w:pStyle w:val="49"/>
              <w:bidi w:val="0"/>
              <w:jc w:val="center"/>
              <w:rPr>
                <w:rFonts w:hint="eastAsia" w:eastAsia="宋体"/>
                <w:lang w:val="en-US" w:eastAsia="zh-CN"/>
              </w:rPr>
            </w:pPr>
            <w:r>
              <w:rPr>
                <w:rFonts w:hint="eastAsia"/>
                <w:lang w:val="en-US" w:eastAsia="zh-CN"/>
              </w:rPr>
              <w:t>/</w:t>
            </w:r>
          </w:p>
        </w:tc>
      </w:tr>
    </w:tbl>
    <w:p w14:paraId="6CCD5100">
      <w:pPr>
        <w:pStyle w:val="5"/>
        <w:bidi w:val="0"/>
        <w:rPr>
          <w:rFonts w:hint="default"/>
          <w:lang w:eastAsia="zh-CN"/>
        </w:rPr>
      </w:pPr>
      <w:r>
        <w:rPr>
          <w:rFonts w:hint="default"/>
          <w:lang w:eastAsia="zh-CN"/>
        </w:rPr>
        <w:t>评价区主要植被分布情况</w:t>
      </w:r>
    </w:p>
    <w:p w14:paraId="2CB36781">
      <w:pPr>
        <w:bidi w:val="0"/>
        <w:rPr>
          <w:rFonts w:hint="default"/>
          <w:lang w:eastAsia="zh-CN"/>
        </w:rPr>
      </w:pPr>
      <w:r>
        <w:rPr>
          <w:rFonts w:hint="default"/>
          <w:lang w:eastAsia="zh-CN"/>
        </w:rPr>
        <w:t>根据调查，在水库周边低矮的丘陵地带主要分布有杂灌木丛。在海拔较高的冈地的缓坡、沟谷、山体下缘水肥条件较好的区段，主要分布马尾松、杉木林、毛竹林等。</w:t>
      </w:r>
    </w:p>
    <w:p w14:paraId="746A37F0">
      <w:pPr>
        <w:bidi w:val="0"/>
        <w:rPr>
          <w:rFonts w:hint="default"/>
          <w:lang w:eastAsia="zh-CN"/>
        </w:rPr>
      </w:pPr>
      <w:r>
        <w:rPr>
          <w:rFonts w:hint="default"/>
          <w:lang w:eastAsia="zh-CN"/>
        </w:rPr>
        <w:t>水库周边的部分区段有呈斑块状分布的灌草丛、草丛草坡，调查发现，这些灌草丛、草丛草坡中的小部分是由原有植被遭受强烈破坏后形成的植被类型。针叶林、阔叶林是项目区内分布面积最大和最主要的植被类型，其中，杉木林、毛竹林、马尾松是项目区内主要的植被类型，呈斑块状或片状大量分布</w:t>
      </w:r>
      <w:r>
        <w:rPr>
          <w:rFonts w:hint="eastAsia"/>
          <w:lang w:eastAsia="zh-CN"/>
        </w:rPr>
        <w:t>。</w:t>
      </w:r>
    </w:p>
    <w:p w14:paraId="0A7E73A3">
      <w:pPr>
        <w:pStyle w:val="5"/>
        <w:bidi w:val="0"/>
        <w:rPr>
          <w:rFonts w:hint="default"/>
          <w:lang w:eastAsia="zh-CN"/>
        </w:rPr>
      </w:pPr>
      <w:r>
        <w:rPr>
          <w:rFonts w:hint="default"/>
          <w:lang w:eastAsia="zh-CN"/>
        </w:rPr>
        <w:t>评价区主要植被类型及群系特征</w:t>
      </w:r>
    </w:p>
    <w:p w14:paraId="6FFBD319">
      <w:pPr>
        <w:bidi w:val="0"/>
        <w:rPr>
          <w:rFonts w:hint="default"/>
          <w:lang w:eastAsia="zh-CN"/>
        </w:rPr>
      </w:pPr>
      <w:r>
        <w:rPr>
          <w:rFonts w:hint="default"/>
          <w:lang w:eastAsia="zh-CN"/>
        </w:rPr>
        <w:t>（1）暖性常绿针叶林</w:t>
      </w:r>
    </w:p>
    <w:p w14:paraId="26D69286">
      <w:pPr>
        <w:bidi w:val="0"/>
        <w:rPr>
          <w:rFonts w:hint="default"/>
          <w:lang w:eastAsia="zh-CN"/>
        </w:rPr>
      </w:pPr>
      <w:r>
        <w:rPr>
          <w:rFonts w:hint="default"/>
          <w:lang w:eastAsia="zh-CN"/>
        </w:rPr>
        <w:t>（a）杉木林</w:t>
      </w:r>
    </w:p>
    <w:p w14:paraId="086288CF">
      <w:pPr>
        <w:bidi w:val="0"/>
        <w:rPr>
          <w:rFonts w:hint="default"/>
          <w:lang w:eastAsia="zh-CN"/>
        </w:rPr>
      </w:pPr>
      <w:r>
        <w:rPr>
          <w:rFonts w:hint="default"/>
          <w:lang w:eastAsia="zh-CN"/>
        </w:rPr>
        <w:t>杉木是中国南方特有的用材树种之一，广泛分布于中国亚热带地区，目前大多数为人工林，少量为天然次生林。在评价区内分布广泛。</w:t>
      </w:r>
    </w:p>
    <w:p w14:paraId="760D4E4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4</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936"/>
        <w:gridCol w:w="1584"/>
        <w:gridCol w:w="770"/>
        <w:gridCol w:w="1431"/>
        <w:gridCol w:w="1319"/>
        <w:gridCol w:w="1758"/>
      </w:tblGrid>
      <w:tr w14:paraId="536F1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5D956511">
            <w:pPr>
              <w:pStyle w:val="53"/>
              <w:bidi w:val="0"/>
            </w:pPr>
            <w:r>
              <w:t>植被类型</w:t>
            </w:r>
          </w:p>
        </w:tc>
        <w:tc>
          <w:tcPr>
            <w:tcW w:w="1476" w:type="pct"/>
            <w:gridSpan w:val="2"/>
            <w:vMerge w:val="restart"/>
            <w:vAlign w:val="center"/>
          </w:tcPr>
          <w:p w14:paraId="297971E1">
            <w:pPr>
              <w:pStyle w:val="53"/>
              <w:bidi w:val="0"/>
            </w:pPr>
            <w:r>
              <w:t>杉木（Form.Cunninghamialanceolata）</w:t>
            </w:r>
          </w:p>
        </w:tc>
        <w:tc>
          <w:tcPr>
            <w:tcW w:w="3092" w:type="pct"/>
            <w:gridSpan w:val="4"/>
            <w:vAlign w:val="center"/>
          </w:tcPr>
          <w:p w14:paraId="7683EA0D">
            <w:pPr>
              <w:pStyle w:val="53"/>
              <w:bidi w:val="0"/>
            </w:pPr>
            <w:r>
              <w:t>环境特征</w:t>
            </w:r>
          </w:p>
        </w:tc>
      </w:tr>
      <w:tr w14:paraId="6D5FD3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5B981111">
            <w:pPr>
              <w:pStyle w:val="53"/>
              <w:bidi w:val="0"/>
            </w:pPr>
          </w:p>
        </w:tc>
        <w:tc>
          <w:tcPr>
            <w:tcW w:w="1476" w:type="pct"/>
            <w:gridSpan w:val="2"/>
            <w:vMerge w:val="continue"/>
            <w:vAlign w:val="center"/>
          </w:tcPr>
          <w:p w14:paraId="15DA6DB4">
            <w:pPr>
              <w:pStyle w:val="53"/>
              <w:bidi w:val="0"/>
            </w:pPr>
          </w:p>
        </w:tc>
        <w:tc>
          <w:tcPr>
            <w:tcW w:w="451" w:type="pct"/>
            <w:vAlign w:val="center"/>
          </w:tcPr>
          <w:p w14:paraId="239A7CC9">
            <w:pPr>
              <w:pStyle w:val="53"/>
              <w:bidi w:val="0"/>
            </w:pPr>
            <w:r>
              <w:t>地形</w:t>
            </w:r>
          </w:p>
        </w:tc>
        <w:tc>
          <w:tcPr>
            <w:tcW w:w="838" w:type="pct"/>
            <w:vAlign w:val="center"/>
          </w:tcPr>
          <w:p w14:paraId="407DB314">
            <w:pPr>
              <w:pStyle w:val="53"/>
              <w:bidi w:val="0"/>
            </w:pPr>
            <w:r>
              <w:t>海拔（m）</w:t>
            </w:r>
          </w:p>
        </w:tc>
        <w:tc>
          <w:tcPr>
            <w:tcW w:w="772" w:type="pct"/>
            <w:vAlign w:val="center"/>
          </w:tcPr>
          <w:p w14:paraId="419C0980">
            <w:pPr>
              <w:pStyle w:val="53"/>
              <w:bidi w:val="0"/>
            </w:pPr>
            <w:r>
              <w:t>坡向</w:t>
            </w:r>
          </w:p>
        </w:tc>
        <w:tc>
          <w:tcPr>
            <w:tcW w:w="1030" w:type="pct"/>
            <w:vAlign w:val="center"/>
          </w:tcPr>
          <w:p w14:paraId="22DEA6CF">
            <w:pPr>
              <w:pStyle w:val="53"/>
              <w:bidi w:val="0"/>
            </w:pPr>
            <w:r>
              <w:t>坡度（°）</w:t>
            </w:r>
          </w:p>
        </w:tc>
      </w:tr>
      <w:tr w14:paraId="20378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77480B7">
            <w:pPr>
              <w:pStyle w:val="53"/>
              <w:bidi w:val="0"/>
            </w:pPr>
            <w:r>
              <w:t>地点</w:t>
            </w:r>
          </w:p>
        </w:tc>
        <w:tc>
          <w:tcPr>
            <w:tcW w:w="1476" w:type="pct"/>
            <w:gridSpan w:val="2"/>
            <w:vAlign w:val="center"/>
          </w:tcPr>
          <w:p w14:paraId="6A4BD0A7">
            <w:pPr>
              <w:pStyle w:val="53"/>
              <w:bidi w:val="0"/>
              <w:rPr>
                <w:rFonts w:hint="default" w:eastAsia="宋体"/>
                <w:lang w:val="en-US" w:eastAsia="zh-CN"/>
              </w:rPr>
            </w:pPr>
            <w:r>
              <w:rPr>
                <w:rFonts w:hint="eastAsia"/>
                <w:lang w:val="en-US" w:eastAsia="zh-CN"/>
              </w:rPr>
              <w:t>大坝西南侧70m</w:t>
            </w:r>
          </w:p>
        </w:tc>
        <w:tc>
          <w:tcPr>
            <w:tcW w:w="451" w:type="pct"/>
            <w:vAlign w:val="center"/>
          </w:tcPr>
          <w:p w14:paraId="2555DBDE">
            <w:pPr>
              <w:pStyle w:val="53"/>
              <w:bidi w:val="0"/>
            </w:pPr>
            <w:r>
              <w:t>坡地</w:t>
            </w:r>
          </w:p>
        </w:tc>
        <w:tc>
          <w:tcPr>
            <w:tcW w:w="838" w:type="pct"/>
            <w:vAlign w:val="center"/>
          </w:tcPr>
          <w:p w14:paraId="7639BBD1">
            <w:pPr>
              <w:pStyle w:val="53"/>
              <w:bidi w:val="0"/>
              <w:rPr>
                <w:rFonts w:hint="default"/>
                <w:lang w:val="en-US"/>
              </w:rPr>
            </w:pPr>
            <w:r>
              <w:rPr>
                <w:rFonts w:hint="eastAsia"/>
                <w:lang w:val="en-US" w:eastAsia="zh-CN"/>
              </w:rPr>
              <w:t>319</w:t>
            </w:r>
          </w:p>
        </w:tc>
        <w:tc>
          <w:tcPr>
            <w:tcW w:w="772" w:type="pct"/>
            <w:vAlign w:val="center"/>
          </w:tcPr>
          <w:p w14:paraId="5175B67F">
            <w:pPr>
              <w:pStyle w:val="53"/>
              <w:bidi w:val="0"/>
              <w:rPr>
                <w:rFonts w:hint="default" w:eastAsia="宋体"/>
                <w:lang w:val="en-US" w:eastAsia="zh-CN"/>
              </w:rPr>
            </w:pPr>
            <w:r>
              <w:rPr>
                <w:rFonts w:hint="eastAsia"/>
                <w:lang w:val="en-US" w:eastAsia="zh-CN"/>
              </w:rPr>
              <w:t>西</w:t>
            </w:r>
          </w:p>
        </w:tc>
        <w:tc>
          <w:tcPr>
            <w:tcW w:w="1030" w:type="pct"/>
            <w:vAlign w:val="center"/>
          </w:tcPr>
          <w:p w14:paraId="64EACF78">
            <w:pPr>
              <w:pStyle w:val="53"/>
              <w:bidi w:val="0"/>
            </w:pPr>
            <w:r>
              <w:t>15</w:t>
            </w:r>
          </w:p>
        </w:tc>
      </w:tr>
      <w:tr w14:paraId="19FA6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370E52D">
            <w:pPr>
              <w:pStyle w:val="53"/>
              <w:bidi w:val="0"/>
            </w:pPr>
            <w:r>
              <w:t>经纬度</w:t>
            </w:r>
          </w:p>
        </w:tc>
        <w:tc>
          <w:tcPr>
            <w:tcW w:w="4569" w:type="pct"/>
            <w:gridSpan w:val="6"/>
            <w:vAlign w:val="center"/>
          </w:tcPr>
          <w:p w14:paraId="63FE40F9">
            <w:pPr>
              <w:pStyle w:val="53"/>
              <w:bidi w:val="0"/>
            </w:pPr>
            <w:r>
              <w:rPr>
                <w:rFonts w:hint="eastAsia"/>
              </w:rPr>
              <w:t>111.5934229,25.6779297</w:t>
            </w:r>
          </w:p>
        </w:tc>
      </w:tr>
      <w:tr w14:paraId="6976E5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2D69793">
            <w:pPr>
              <w:pStyle w:val="53"/>
              <w:bidi w:val="0"/>
            </w:pPr>
            <w:r>
              <w:t>层次</w:t>
            </w:r>
          </w:p>
        </w:tc>
        <w:tc>
          <w:tcPr>
            <w:tcW w:w="4569" w:type="pct"/>
            <w:gridSpan w:val="6"/>
            <w:vAlign w:val="center"/>
          </w:tcPr>
          <w:p w14:paraId="127AB387">
            <w:pPr>
              <w:pStyle w:val="53"/>
              <w:bidi w:val="0"/>
            </w:pPr>
            <w:r>
              <w:t>三层</w:t>
            </w:r>
          </w:p>
        </w:tc>
      </w:tr>
      <w:tr w14:paraId="08918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839C056">
            <w:pPr>
              <w:pStyle w:val="53"/>
              <w:bidi w:val="0"/>
            </w:pPr>
            <w:r>
              <w:t>分层</w:t>
            </w:r>
          </w:p>
        </w:tc>
        <w:tc>
          <w:tcPr>
            <w:tcW w:w="548" w:type="pct"/>
            <w:vAlign w:val="center"/>
          </w:tcPr>
          <w:p w14:paraId="23BB5357">
            <w:pPr>
              <w:pStyle w:val="53"/>
              <w:bidi w:val="0"/>
            </w:pPr>
            <w:r>
              <w:t>层盖度</w:t>
            </w:r>
          </w:p>
        </w:tc>
        <w:tc>
          <w:tcPr>
            <w:tcW w:w="2217" w:type="pct"/>
            <w:gridSpan w:val="3"/>
            <w:vAlign w:val="center"/>
          </w:tcPr>
          <w:p w14:paraId="187EF19E">
            <w:pPr>
              <w:pStyle w:val="53"/>
              <w:bidi w:val="0"/>
            </w:pPr>
            <w:r>
              <w:t>种类组成与生长状况</w:t>
            </w:r>
          </w:p>
        </w:tc>
        <w:tc>
          <w:tcPr>
            <w:tcW w:w="1803" w:type="pct"/>
            <w:gridSpan w:val="2"/>
            <w:vAlign w:val="center"/>
          </w:tcPr>
          <w:p w14:paraId="40C0A16B">
            <w:pPr>
              <w:pStyle w:val="53"/>
              <w:bidi w:val="0"/>
            </w:pPr>
            <w:r>
              <w:t>考察照片</w:t>
            </w:r>
          </w:p>
        </w:tc>
      </w:tr>
      <w:tr w14:paraId="726B9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181C083">
            <w:pPr>
              <w:pStyle w:val="53"/>
              <w:bidi w:val="0"/>
            </w:pPr>
            <w:r>
              <w:t>乔木层</w:t>
            </w:r>
          </w:p>
        </w:tc>
        <w:tc>
          <w:tcPr>
            <w:tcW w:w="548" w:type="pct"/>
            <w:vAlign w:val="center"/>
          </w:tcPr>
          <w:p w14:paraId="59903189">
            <w:pPr>
              <w:pStyle w:val="53"/>
              <w:bidi w:val="0"/>
              <w:rPr>
                <w:rFonts w:hint="eastAsia" w:eastAsia="宋体"/>
                <w:lang w:val="en-US" w:eastAsia="zh-CN"/>
              </w:rPr>
            </w:pPr>
            <w:r>
              <w:t>郁闭度0.</w:t>
            </w:r>
            <w:r>
              <w:rPr>
                <w:rFonts w:hint="eastAsia"/>
                <w:lang w:val="en-US" w:eastAsia="zh-CN"/>
              </w:rPr>
              <w:t>5</w:t>
            </w:r>
          </w:p>
        </w:tc>
        <w:tc>
          <w:tcPr>
            <w:tcW w:w="2217" w:type="pct"/>
            <w:gridSpan w:val="3"/>
            <w:vAlign w:val="center"/>
          </w:tcPr>
          <w:p w14:paraId="580CFF53">
            <w:pPr>
              <w:pStyle w:val="53"/>
              <w:bidi w:val="0"/>
            </w:pPr>
            <w:r>
              <w:t>层均高5m，优势种为杉木（Cunninghamia lanceolata），高5-</w:t>
            </w:r>
            <w:r>
              <w:rPr>
                <w:rFonts w:hint="eastAsia"/>
                <w:lang w:val="en-US" w:eastAsia="zh-CN"/>
              </w:rPr>
              <w:t>7</w:t>
            </w:r>
            <w:r>
              <w:t>m，胸径5-10cm，盖度</w:t>
            </w:r>
            <w:r>
              <w:rPr>
                <w:rFonts w:hint="eastAsia"/>
                <w:lang w:val="en-US" w:eastAsia="zh-CN"/>
              </w:rPr>
              <w:t>5</w:t>
            </w:r>
            <w:r>
              <w:t>0%，主要伴生种有马尾松林（Pinusmassoniana）、苦竹（Form.Pleioblastus amarus）等。</w:t>
            </w:r>
          </w:p>
        </w:tc>
        <w:tc>
          <w:tcPr>
            <w:tcW w:w="1803" w:type="pct"/>
            <w:gridSpan w:val="2"/>
            <w:vMerge w:val="restart"/>
            <w:vAlign w:val="center"/>
          </w:tcPr>
          <w:p w14:paraId="2B98F2D8">
            <w:pPr>
              <w:pStyle w:val="53"/>
              <w:bidi w:val="0"/>
              <w:rPr>
                <w:rFonts w:hint="eastAsia" w:eastAsia="宋体"/>
                <w:lang w:eastAsia="zh-CN"/>
              </w:rPr>
            </w:pPr>
            <w:r>
              <w:rPr>
                <w:rFonts w:hint="eastAsia" w:eastAsia="宋体"/>
                <w:lang w:eastAsia="zh-CN"/>
              </w:rPr>
              <w:drawing>
                <wp:inline distT="0" distB="0" distL="114300" distR="114300">
                  <wp:extent cx="1864995" cy="1399540"/>
                  <wp:effectExtent l="0" t="0" r="1905" b="10160"/>
                  <wp:docPr id="1" name="图片 1" descr="IMG_20250328_14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328_144437"/>
                          <pic:cNvPicPr>
                            <a:picLocks noChangeAspect="1"/>
                          </pic:cNvPicPr>
                        </pic:nvPicPr>
                        <pic:blipFill>
                          <a:blip r:embed="rId44"/>
                          <a:stretch>
                            <a:fillRect/>
                          </a:stretch>
                        </pic:blipFill>
                        <pic:spPr>
                          <a:xfrm>
                            <a:off x="0" y="0"/>
                            <a:ext cx="1864995" cy="1399540"/>
                          </a:xfrm>
                          <a:prstGeom prst="rect">
                            <a:avLst/>
                          </a:prstGeom>
                        </pic:spPr>
                      </pic:pic>
                    </a:graphicData>
                  </a:graphic>
                </wp:inline>
              </w:drawing>
            </w:r>
          </w:p>
        </w:tc>
      </w:tr>
      <w:tr w14:paraId="3B660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257B4E3">
            <w:pPr>
              <w:pStyle w:val="53"/>
              <w:bidi w:val="0"/>
            </w:pPr>
            <w:r>
              <w:t>灌木层</w:t>
            </w:r>
          </w:p>
        </w:tc>
        <w:tc>
          <w:tcPr>
            <w:tcW w:w="548" w:type="pct"/>
            <w:vAlign w:val="center"/>
          </w:tcPr>
          <w:p w14:paraId="7BF5E5BD">
            <w:pPr>
              <w:pStyle w:val="53"/>
              <w:bidi w:val="0"/>
            </w:pPr>
            <w:r>
              <w:t>层盖度30%</w:t>
            </w:r>
          </w:p>
        </w:tc>
        <w:tc>
          <w:tcPr>
            <w:tcW w:w="2217" w:type="pct"/>
            <w:gridSpan w:val="3"/>
            <w:vAlign w:val="center"/>
          </w:tcPr>
          <w:p w14:paraId="3427643C">
            <w:pPr>
              <w:pStyle w:val="53"/>
              <w:bidi w:val="0"/>
            </w:pPr>
            <w:r>
              <w:t>层均高</w:t>
            </w:r>
            <w:r>
              <w:rPr>
                <w:rFonts w:hint="eastAsia"/>
              </w:rPr>
              <w:t>1</w:t>
            </w:r>
            <w:r>
              <w:t>m，</w:t>
            </w:r>
            <w:r>
              <w:rPr>
                <w:rFonts w:hint="eastAsia"/>
              </w:rPr>
              <w:t>无明显优势种，主要分布有檵木（Loropetalumchinense）、盐肤木（Rhuschinensis）</w:t>
            </w:r>
            <w:r>
              <w:t>等。</w:t>
            </w:r>
          </w:p>
        </w:tc>
        <w:tc>
          <w:tcPr>
            <w:tcW w:w="1803" w:type="pct"/>
            <w:gridSpan w:val="2"/>
            <w:vMerge w:val="continue"/>
            <w:vAlign w:val="center"/>
          </w:tcPr>
          <w:p w14:paraId="7234CE68">
            <w:pPr>
              <w:pStyle w:val="53"/>
              <w:bidi w:val="0"/>
            </w:pPr>
          </w:p>
        </w:tc>
      </w:tr>
      <w:tr w14:paraId="6CCFE5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CD34546">
            <w:pPr>
              <w:pStyle w:val="53"/>
              <w:bidi w:val="0"/>
            </w:pPr>
            <w:r>
              <w:t>草本层</w:t>
            </w:r>
          </w:p>
        </w:tc>
        <w:tc>
          <w:tcPr>
            <w:tcW w:w="548" w:type="pct"/>
            <w:vAlign w:val="center"/>
          </w:tcPr>
          <w:p w14:paraId="0ED17CBB">
            <w:pPr>
              <w:pStyle w:val="53"/>
              <w:bidi w:val="0"/>
            </w:pPr>
            <w:r>
              <w:t>层盖度20%</w:t>
            </w:r>
          </w:p>
        </w:tc>
        <w:tc>
          <w:tcPr>
            <w:tcW w:w="2217" w:type="pct"/>
            <w:gridSpan w:val="3"/>
            <w:vAlign w:val="center"/>
          </w:tcPr>
          <w:p w14:paraId="03B483FD">
            <w:pPr>
              <w:pStyle w:val="53"/>
              <w:bidi w:val="0"/>
            </w:pPr>
            <w:r>
              <w:t>层均高0.</w:t>
            </w:r>
            <w:r>
              <w:rPr>
                <w:rFonts w:hint="eastAsia"/>
              </w:rPr>
              <w:t>4</w:t>
            </w:r>
            <w:r>
              <w:t>m，主要伴生种有芒萁（Dicranopteris dichotoma）、蕨（</w:t>
            </w:r>
            <w:r>
              <w:rPr>
                <w:rFonts w:hint="eastAsia"/>
              </w:rPr>
              <w:t>Form.Pteridiumaquilinumvar.latiusculum</w:t>
            </w:r>
            <w:r>
              <w:t>）等。</w:t>
            </w:r>
          </w:p>
        </w:tc>
        <w:tc>
          <w:tcPr>
            <w:tcW w:w="1803" w:type="pct"/>
            <w:gridSpan w:val="2"/>
            <w:vMerge w:val="continue"/>
            <w:vAlign w:val="center"/>
          </w:tcPr>
          <w:p w14:paraId="04CE7F39">
            <w:pPr>
              <w:pStyle w:val="53"/>
              <w:bidi w:val="0"/>
            </w:pPr>
          </w:p>
        </w:tc>
      </w:tr>
    </w:tbl>
    <w:p w14:paraId="0241238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5</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648"/>
        <w:gridCol w:w="1872"/>
        <w:gridCol w:w="770"/>
        <w:gridCol w:w="1408"/>
        <w:gridCol w:w="1342"/>
        <w:gridCol w:w="1758"/>
      </w:tblGrid>
      <w:tr w14:paraId="533998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70F22392">
            <w:pPr>
              <w:pStyle w:val="53"/>
              <w:bidi w:val="0"/>
            </w:pPr>
            <w:r>
              <w:t>植被类型</w:t>
            </w:r>
          </w:p>
        </w:tc>
        <w:tc>
          <w:tcPr>
            <w:tcW w:w="1476" w:type="pct"/>
            <w:gridSpan w:val="2"/>
            <w:vMerge w:val="restart"/>
            <w:vAlign w:val="center"/>
          </w:tcPr>
          <w:p w14:paraId="7C6B04A9">
            <w:pPr>
              <w:pStyle w:val="53"/>
              <w:bidi w:val="0"/>
            </w:pPr>
            <w:r>
              <w:t>杉木（Form.Cunninghamialanceolata）</w:t>
            </w:r>
          </w:p>
        </w:tc>
        <w:tc>
          <w:tcPr>
            <w:tcW w:w="3092" w:type="pct"/>
            <w:gridSpan w:val="4"/>
            <w:vAlign w:val="center"/>
          </w:tcPr>
          <w:p w14:paraId="5FC61F2B">
            <w:pPr>
              <w:pStyle w:val="53"/>
              <w:bidi w:val="0"/>
            </w:pPr>
            <w:r>
              <w:t>环境特征</w:t>
            </w:r>
          </w:p>
        </w:tc>
      </w:tr>
      <w:tr w14:paraId="6B4B5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19EE3F17">
            <w:pPr>
              <w:pStyle w:val="53"/>
              <w:bidi w:val="0"/>
            </w:pPr>
          </w:p>
        </w:tc>
        <w:tc>
          <w:tcPr>
            <w:tcW w:w="1476" w:type="pct"/>
            <w:gridSpan w:val="2"/>
            <w:vMerge w:val="continue"/>
            <w:vAlign w:val="center"/>
          </w:tcPr>
          <w:p w14:paraId="6CD2A052">
            <w:pPr>
              <w:pStyle w:val="53"/>
              <w:bidi w:val="0"/>
            </w:pPr>
          </w:p>
        </w:tc>
        <w:tc>
          <w:tcPr>
            <w:tcW w:w="451" w:type="pct"/>
            <w:vAlign w:val="center"/>
          </w:tcPr>
          <w:p w14:paraId="10CD9938">
            <w:pPr>
              <w:pStyle w:val="53"/>
              <w:bidi w:val="0"/>
            </w:pPr>
            <w:r>
              <w:t>地形</w:t>
            </w:r>
          </w:p>
        </w:tc>
        <w:tc>
          <w:tcPr>
            <w:tcW w:w="825" w:type="pct"/>
            <w:vAlign w:val="center"/>
          </w:tcPr>
          <w:p w14:paraId="4E5722C8">
            <w:pPr>
              <w:pStyle w:val="53"/>
              <w:bidi w:val="0"/>
            </w:pPr>
            <w:r>
              <w:t>海拔（m）</w:t>
            </w:r>
          </w:p>
        </w:tc>
        <w:tc>
          <w:tcPr>
            <w:tcW w:w="786" w:type="pct"/>
            <w:vAlign w:val="center"/>
          </w:tcPr>
          <w:p w14:paraId="6C82FD7D">
            <w:pPr>
              <w:pStyle w:val="53"/>
              <w:bidi w:val="0"/>
            </w:pPr>
            <w:r>
              <w:t>坡向</w:t>
            </w:r>
          </w:p>
        </w:tc>
        <w:tc>
          <w:tcPr>
            <w:tcW w:w="1030" w:type="pct"/>
            <w:vAlign w:val="center"/>
          </w:tcPr>
          <w:p w14:paraId="47E27138">
            <w:pPr>
              <w:pStyle w:val="53"/>
              <w:bidi w:val="0"/>
            </w:pPr>
            <w:r>
              <w:t>坡度（°）</w:t>
            </w:r>
          </w:p>
        </w:tc>
      </w:tr>
      <w:tr w14:paraId="62399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D11C4C0">
            <w:pPr>
              <w:pStyle w:val="53"/>
              <w:bidi w:val="0"/>
            </w:pPr>
            <w:r>
              <w:t>地点</w:t>
            </w:r>
          </w:p>
        </w:tc>
        <w:tc>
          <w:tcPr>
            <w:tcW w:w="1476" w:type="pct"/>
            <w:gridSpan w:val="2"/>
            <w:vAlign w:val="center"/>
          </w:tcPr>
          <w:p w14:paraId="2F310460">
            <w:pPr>
              <w:pStyle w:val="53"/>
              <w:bidi w:val="0"/>
              <w:rPr>
                <w:rFonts w:hint="default" w:eastAsia="宋体"/>
                <w:lang w:val="en-US" w:eastAsia="zh-CN"/>
              </w:rPr>
            </w:pPr>
            <w:r>
              <w:rPr>
                <w:rFonts w:hint="eastAsia"/>
                <w:lang w:val="en-US" w:eastAsia="zh-CN"/>
              </w:rPr>
              <w:t>大坝东侧62m</w:t>
            </w:r>
          </w:p>
        </w:tc>
        <w:tc>
          <w:tcPr>
            <w:tcW w:w="451" w:type="pct"/>
            <w:vAlign w:val="center"/>
          </w:tcPr>
          <w:p w14:paraId="67939E57">
            <w:pPr>
              <w:pStyle w:val="53"/>
              <w:bidi w:val="0"/>
            </w:pPr>
            <w:r>
              <w:t>坡地</w:t>
            </w:r>
          </w:p>
        </w:tc>
        <w:tc>
          <w:tcPr>
            <w:tcW w:w="825" w:type="pct"/>
            <w:vAlign w:val="center"/>
          </w:tcPr>
          <w:p w14:paraId="6DA7D968">
            <w:pPr>
              <w:pStyle w:val="53"/>
              <w:bidi w:val="0"/>
              <w:rPr>
                <w:rFonts w:hint="default"/>
                <w:lang w:val="en-US"/>
              </w:rPr>
            </w:pPr>
            <w:r>
              <w:rPr>
                <w:rFonts w:hint="eastAsia"/>
                <w:lang w:val="en-US" w:eastAsia="zh-CN"/>
              </w:rPr>
              <w:t>315</w:t>
            </w:r>
          </w:p>
        </w:tc>
        <w:tc>
          <w:tcPr>
            <w:tcW w:w="786" w:type="pct"/>
            <w:vAlign w:val="center"/>
          </w:tcPr>
          <w:p w14:paraId="242B3DED">
            <w:pPr>
              <w:pStyle w:val="53"/>
              <w:bidi w:val="0"/>
              <w:rPr>
                <w:rFonts w:hint="eastAsia" w:eastAsia="宋体"/>
                <w:lang w:eastAsia="zh-CN"/>
              </w:rPr>
            </w:pPr>
            <w:r>
              <w:rPr>
                <w:rFonts w:hint="eastAsia"/>
                <w:lang w:val="en-US" w:eastAsia="zh-CN"/>
              </w:rPr>
              <w:t>西</w:t>
            </w:r>
          </w:p>
        </w:tc>
        <w:tc>
          <w:tcPr>
            <w:tcW w:w="1030" w:type="pct"/>
            <w:vAlign w:val="center"/>
          </w:tcPr>
          <w:p w14:paraId="7104E562">
            <w:pPr>
              <w:pStyle w:val="53"/>
              <w:bidi w:val="0"/>
              <w:rPr>
                <w:rFonts w:hint="default" w:eastAsia="宋体"/>
                <w:lang w:val="en-US" w:eastAsia="zh-CN"/>
              </w:rPr>
            </w:pPr>
            <w:r>
              <w:rPr>
                <w:rFonts w:hint="eastAsia"/>
                <w:lang w:val="en-US" w:eastAsia="zh-CN"/>
              </w:rPr>
              <w:t>17</w:t>
            </w:r>
          </w:p>
        </w:tc>
      </w:tr>
      <w:tr w14:paraId="492CE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8F91F8D">
            <w:pPr>
              <w:pStyle w:val="53"/>
              <w:bidi w:val="0"/>
            </w:pPr>
            <w:r>
              <w:t>经纬度</w:t>
            </w:r>
          </w:p>
        </w:tc>
        <w:tc>
          <w:tcPr>
            <w:tcW w:w="4569" w:type="pct"/>
            <w:gridSpan w:val="6"/>
            <w:vAlign w:val="center"/>
          </w:tcPr>
          <w:p w14:paraId="05E78F5E">
            <w:pPr>
              <w:pStyle w:val="53"/>
              <w:bidi w:val="0"/>
              <w:rPr>
                <w:rFonts w:hint="eastAsia" w:eastAsia="宋体"/>
                <w:lang w:eastAsia="zh-CN"/>
              </w:rPr>
            </w:pPr>
            <w:r>
              <w:rPr>
                <w:rFonts w:hint="eastAsia"/>
              </w:rPr>
              <w:t>111.5966376,25.678851</w:t>
            </w:r>
            <w:r>
              <w:rPr>
                <w:rFonts w:hint="eastAsia"/>
                <w:lang w:val="en-US" w:eastAsia="zh-CN"/>
              </w:rPr>
              <w:t>1</w:t>
            </w:r>
          </w:p>
        </w:tc>
      </w:tr>
      <w:tr w14:paraId="17DD84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8CC2D97">
            <w:pPr>
              <w:pStyle w:val="53"/>
              <w:bidi w:val="0"/>
            </w:pPr>
            <w:r>
              <w:t>层次</w:t>
            </w:r>
          </w:p>
        </w:tc>
        <w:tc>
          <w:tcPr>
            <w:tcW w:w="4569" w:type="pct"/>
            <w:gridSpan w:val="6"/>
            <w:vAlign w:val="center"/>
          </w:tcPr>
          <w:p w14:paraId="5B5F2F5B">
            <w:pPr>
              <w:pStyle w:val="53"/>
              <w:bidi w:val="0"/>
            </w:pPr>
            <w:r>
              <w:t>三层</w:t>
            </w:r>
          </w:p>
        </w:tc>
      </w:tr>
      <w:tr w14:paraId="4A166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D4D6BA8">
            <w:pPr>
              <w:pStyle w:val="53"/>
              <w:bidi w:val="0"/>
            </w:pPr>
            <w:r>
              <w:t>分层</w:t>
            </w:r>
          </w:p>
        </w:tc>
        <w:tc>
          <w:tcPr>
            <w:tcW w:w="379" w:type="pct"/>
            <w:vAlign w:val="center"/>
          </w:tcPr>
          <w:p w14:paraId="12EE2147">
            <w:pPr>
              <w:pStyle w:val="53"/>
              <w:bidi w:val="0"/>
            </w:pPr>
            <w:r>
              <w:t>层盖度</w:t>
            </w:r>
          </w:p>
        </w:tc>
        <w:tc>
          <w:tcPr>
            <w:tcW w:w="2373" w:type="pct"/>
            <w:gridSpan w:val="3"/>
            <w:vAlign w:val="center"/>
          </w:tcPr>
          <w:p w14:paraId="1086905E">
            <w:pPr>
              <w:pStyle w:val="53"/>
              <w:bidi w:val="0"/>
            </w:pPr>
            <w:r>
              <w:t>种类组成与生长状况</w:t>
            </w:r>
          </w:p>
        </w:tc>
        <w:tc>
          <w:tcPr>
            <w:tcW w:w="1816" w:type="pct"/>
            <w:gridSpan w:val="2"/>
            <w:vAlign w:val="center"/>
          </w:tcPr>
          <w:p w14:paraId="66FA7C9F">
            <w:pPr>
              <w:pStyle w:val="53"/>
              <w:bidi w:val="0"/>
            </w:pPr>
            <w:r>
              <w:t>考察照片</w:t>
            </w:r>
          </w:p>
        </w:tc>
      </w:tr>
      <w:tr w14:paraId="693ACF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0E850B29">
            <w:pPr>
              <w:pStyle w:val="53"/>
              <w:bidi w:val="0"/>
            </w:pPr>
            <w:r>
              <w:t>乔木层</w:t>
            </w:r>
          </w:p>
        </w:tc>
        <w:tc>
          <w:tcPr>
            <w:tcW w:w="379" w:type="pct"/>
            <w:vAlign w:val="center"/>
          </w:tcPr>
          <w:p w14:paraId="1F28E830">
            <w:pPr>
              <w:pStyle w:val="53"/>
              <w:bidi w:val="0"/>
              <w:rPr>
                <w:rFonts w:hint="eastAsia" w:eastAsia="宋体"/>
                <w:lang w:val="en-US" w:eastAsia="zh-CN"/>
              </w:rPr>
            </w:pPr>
            <w:r>
              <w:t>郁闭度0.</w:t>
            </w:r>
            <w:r>
              <w:rPr>
                <w:rFonts w:hint="eastAsia"/>
                <w:lang w:val="en-US" w:eastAsia="zh-CN"/>
              </w:rPr>
              <w:t>6</w:t>
            </w:r>
          </w:p>
        </w:tc>
        <w:tc>
          <w:tcPr>
            <w:tcW w:w="2373" w:type="pct"/>
            <w:gridSpan w:val="3"/>
            <w:vAlign w:val="top"/>
          </w:tcPr>
          <w:p w14:paraId="000993CF">
            <w:pPr>
              <w:pStyle w:val="49"/>
              <w:bidi w:val="0"/>
            </w:pPr>
            <w:r>
              <w:t>乔木层均高9m，优势树种为杉木(Cunninghamia</w:t>
            </w:r>
            <w:r>
              <w:rPr>
                <w:rFonts w:hint="eastAsia"/>
                <w:lang w:val="en-US" w:eastAsia="zh-CN"/>
              </w:rPr>
              <w:t>=</w:t>
            </w:r>
            <w:r>
              <w:t>lanceolata)，高7~10m，胸径8~ 16cm，其他主要物种有马尾松(Pinusmassoniana)、毛竹(Phyllostachys edulis)等。</w:t>
            </w:r>
          </w:p>
        </w:tc>
        <w:tc>
          <w:tcPr>
            <w:tcW w:w="1816" w:type="pct"/>
            <w:gridSpan w:val="2"/>
            <w:vMerge w:val="restart"/>
            <w:vAlign w:val="center"/>
          </w:tcPr>
          <w:p w14:paraId="15B3EA77">
            <w:pPr>
              <w:pStyle w:val="53"/>
              <w:bidi w:val="0"/>
            </w:pPr>
            <w:r>
              <w:rPr>
                <w:position w:val="-59"/>
              </w:rPr>
              <w:drawing>
                <wp:inline distT="0" distB="0" distL="0" distR="0">
                  <wp:extent cx="1874520" cy="1497330"/>
                  <wp:effectExtent l="0" t="0" r="11430" b="762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45"/>
                          <a:stretch>
                            <a:fillRect/>
                          </a:stretch>
                        </pic:blipFill>
                        <pic:spPr>
                          <a:xfrm>
                            <a:off x="0" y="0"/>
                            <a:ext cx="1874520" cy="1497330"/>
                          </a:xfrm>
                          <a:prstGeom prst="rect">
                            <a:avLst/>
                          </a:prstGeom>
                        </pic:spPr>
                      </pic:pic>
                    </a:graphicData>
                  </a:graphic>
                </wp:inline>
              </w:drawing>
            </w:r>
          </w:p>
        </w:tc>
      </w:tr>
      <w:tr w14:paraId="1C72F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AAAFF28">
            <w:pPr>
              <w:pStyle w:val="53"/>
              <w:bidi w:val="0"/>
            </w:pPr>
            <w:r>
              <w:t>灌木层</w:t>
            </w:r>
          </w:p>
        </w:tc>
        <w:tc>
          <w:tcPr>
            <w:tcW w:w="379" w:type="pct"/>
            <w:vAlign w:val="center"/>
          </w:tcPr>
          <w:p w14:paraId="15D4B4EE">
            <w:pPr>
              <w:pStyle w:val="53"/>
              <w:bidi w:val="0"/>
            </w:pPr>
            <w:r>
              <w:t>层盖度</w:t>
            </w:r>
            <w:r>
              <w:rPr>
                <w:rFonts w:hint="eastAsia"/>
                <w:lang w:val="en-US" w:eastAsia="zh-CN"/>
              </w:rPr>
              <w:t>40</w:t>
            </w:r>
            <w:r>
              <w:t>%</w:t>
            </w:r>
          </w:p>
        </w:tc>
        <w:tc>
          <w:tcPr>
            <w:tcW w:w="2373" w:type="pct"/>
            <w:gridSpan w:val="3"/>
            <w:vAlign w:val="top"/>
          </w:tcPr>
          <w:p w14:paraId="3E4E7009">
            <w:pPr>
              <w:pStyle w:val="49"/>
              <w:bidi w:val="0"/>
            </w:pPr>
            <w:r>
              <w:t>灌木层均高1.</w:t>
            </w:r>
            <w:r>
              <w:rPr>
                <w:rFonts w:hint="eastAsia"/>
                <w:lang w:val="en-US" w:eastAsia="zh-CN"/>
              </w:rPr>
              <w:t>8</w:t>
            </w:r>
            <w:r>
              <w:t>m，优势种为</w:t>
            </w:r>
            <w:r>
              <w:rPr>
                <w:rFonts w:hint="eastAsia"/>
                <w:lang w:val="en-US" w:eastAsia="zh-CN"/>
              </w:rPr>
              <w:t>水竹</w:t>
            </w:r>
            <w:r>
              <w:t>Oreocnide</w:t>
            </w:r>
          </w:p>
          <w:p w14:paraId="2B3AF30A">
            <w:pPr>
              <w:pStyle w:val="49"/>
              <w:bidi w:val="0"/>
            </w:pPr>
            <w:r>
              <w:t>frutescens (Thunb.) Miq)高0.6~ 1.5m，地径1.3~2cm，其他主要物种有</w:t>
            </w:r>
            <w:r>
              <w:rPr>
                <w:rFonts w:hint="eastAsia"/>
              </w:rPr>
              <w:t>枇杷叶紫珠</w:t>
            </w:r>
            <w:r>
              <w:rPr>
                <w:rFonts w:hint="eastAsia"/>
                <w:lang w:eastAsia="zh-CN"/>
              </w:rPr>
              <w:t>、</w:t>
            </w:r>
            <w:r>
              <w:rPr>
                <w:rFonts w:hint="eastAsia"/>
              </w:rPr>
              <w:t>茶</w:t>
            </w:r>
          </w:p>
        </w:tc>
        <w:tc>
          <w:tcPr>
            <w:tcW w:w="1816" w:type="pct"/>
            <w:gridSpan w:val="2"/>
            <w:vMerge w:val="continue"/>
            <w:vAlign w:val="center"/>
          </w:tcPr>
          <w:p w14:paraId="724F4387">
            <w:pPr>
              <w:pStyle w:val="53"/>
              <w:bidi w:val="0"/>
            </w:pPr>
          </w:p>
        </w:tc>
      </w:tr>
      <w:tr w14:paraId="681B1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76C495F6">
            <w:pPr>
              <w:pStyle w:val="53"/>
              <w:bidi w:val="0"/>
            </w:pPr>
            <w:r>
              <w:t>草本层</w:t>
            </w:r>
          </w:p>
        </w:tc>
        <w:tc>
          <w:tcPr>
            <w:tcW w:w="379" w:type="pct"/>
            <w:vAlign w:val="center"/>
          </w:tcPr>
          <w:p w14:paraId="0C4DB7C7">
            <w:pPr>
              <w:pStyle w:val="53"/>
              <w:bidi w:val="0"/>
            </w:pPr>
            <w:r>
              <w:t>层盖度</w:t>
            </w:r>
            <w:r>
              <w:rPr>
                <w:rFonts w:hint="eastAsia"/>
                <w:lang w:val="en-US" w:eastAsia="zh-CN"/>
              </w:rPr>
              <w:t>30</w:t>
            </w:r>
            <w:r>
              <w:t>%</w:t>
            </w:r>
          </w:p>
        </w:tc>
        <w:tc>
          <w:tcPr>
            <w:tcW w:w="2373" w:type="pct"/>
            <w:gridSpan w:val="3"/>
            <w:vAlign w:val="center"/>
          </w:tcPr>
          <w:p w14:paraId="2A0E01F7">
            <w:pPr>
              <w:pStyle w:val="53"/>
              <w:bidi w:val="0"/>
            </w:pPr>
            <w:r>
              <w:rPr>
                <w:rFonts w:hint="eastAsia"/>
              </w:rPr>
              <w:t>草本层均高0.6m，优势种为蕨、五节芒，盖度约30%，高50cm，伴有芒萁、蕨等</w:t>
            </w:r>
            <w:r>
              <w:t>。</w:t>
            </w:r>
          </w:p>
        </w:tc>
        <w:tc>
          <w:tcPr>
            <w:tcW w:w="1816" w:type="pct"/>
            <w:gridSpan w:val="2"/>
            <w:vMerge w:val="continue"/>
            <w:vAlign w:val="center"/>
          </w:tcPr>
          <w:p w14:paraId="3DC850A3">
            <w:pPr>
              <w:pStyle w:val="53"/>
              <w:bidi w:val="0"/>
            </w:pPr>
          </w:p>
        </w:tc>
      </w:tr>
    </w:tbl>
    <w:p w14:paraId="5874E64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6</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648"/>
        <w:gridCol w:w="1872"/>
        <w:gridCol w:w="770"/>
        <w:gridCol w:w="1431"/>
        <w:gridCol w:w="1319"/>
        <w:gridCol w:w="1758"/>
      </w:tblGrid>
      <w:tr w14:paraId="452F4C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restart"/>
            <w:vAlign w:val="center"/>
          </w:tcPr>
          <w:p w14:paraId="73207786">
            <w:pPr>
              <w:pStyle w:val="53"/>
              <w:bidi w:val="0"/>
            </w:pPr>
            <w:r>
              <w:t>植被类型</w:t>
            </w:r>
          </w:p>
        </w:tc>
        <w:tc>
          <w:tcPr>
            <w:tcW w:w="1476" w:type="pct"/>
            <w:gridSpan w:val="2"/>
            <w:vMerge w:val="restart"/>
            <w:vAlign w:val="center"/>
          </w:tcPr>
          <w:p w14:paraId="10BA9C34">
            <w:pPr>
              <w:pStyle w:val="53"/>
              <w:bidi w:val="0"/>
            </w:pPr>
            <w:r>
              <w:t>杉木（Form.Cunninghamialanceolata）</w:t>
            </w:r>
          </w:p>
        </w:tc>
        <w:tc>
          <w:tcPr>
            <w:tcW w:w="3092" w:type="pct"/>
            <w:gridSpan w:val="4"/>
            <w:vAlign w:val="center"/>
          </w:tcPr>
          <w:p w14:paraId="22C3EAF5">
            <w:pPr>
              <w:pStyle w:val="53"/>
              <w:bidi w:val="0"/>
            </w:pPr>
            <w:r>
              <w:t>环境特征</w:t>
            </w:r>
          </w:p>
        </w:tc>
      </w:tr>
      <w:tr w14:paraId="4C268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Merge w:val="continue"/>
            <w:vAlign w:val="center"/>
          </w:tcPr>
          <w:p w14:paraId="5C5C63F8">
            <w:pPr>
              <w:pStyle w:val="53"/>
              <w:bidi w:val="0"/>
            </w:pPr>
          </w:p>
        </w:tc>
        <w:tc>
          <w:tcPr>
            <w:tcW w:w="1476" w:type="pct"/>
            <w:gridSpan w:val="2"/>
            <w:vMerge w:val="continue"/>
            <w:vAlign w:val="center"/>
          </w:tcPr>
          <w:p w14:paraId="0128BE6B">
            <w:pPr>
              <w:pStyle w:val="53"/>
              <w:bidi w:val="0"/>
            </w:pPr>
          </w:p>
        </w:tc>
        <w:tc>
          <w:tcPr>
            <w:tcW w:w="451" w:type="pct"/>
            <w:vAlign w:val="center"/>
          </w:tcPr>
          <w:p w14:paraId="7805FDAF">
            <w:pPr>
              <w:pStyle w:val="53"/>
              <w:bidi w:val="0"/>
            </w:pPr>
            <w:r>
              <w:t>地形</w:t>
            </w:r>
          </w:p>
        </w:tc>
        <w:tc>
          <w:tcPr>
            <w:tcW w:w="838" w:type="pct"/>
            <w:vAlign w:val="center"/>
          </w:tcPr>
          <w:p w14:paraId="16048497">
            <w:pPr>
              <w:pStyle w:val="53"/>
              <w:bidi w:val="0"/>
            </w:pPr>
            <w:r>
              <w:t>海拔（m）</w:t>
            </w:r>
          </w:p>
        </w:tc>
        <w:tc>
          <w:tcPr>
            <w:tcW w:w="772" w:type="pct"/>
            <w:vAlign w:val="center"/>
          </w:tcPr>
          <w:p w14:paraId="12359B19">
            <w:pPr>
              <w:pStyle w:val="53"/>
              <w:bidi w:val="0"/>
            </w:pPr>
            <w:r>
              <w:t>坡向</w:t>
            </w:r>
          </w:p>
        </w:tc>
        <w:tc>
          <w:tcPr>
            <w:tcW w:w="1030" w:type="pct"/>
            <w:vAlign w:val="center"/>
          </w:tcPr>
          <w:p w14:paraId="5C8D41AC">
            <w:pPr>
              <w:pStyle w:val="53"/>
              <w:bidi w:val="0"/>
            </w:pPr>
            <w:r>
              <w:t>坡度（°）</w:t>
            </w:r>
          </w:p>
        </w:tc>
      </w:tr>
      <w:tr w14:paraId="51E642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34ED1207">
            <w:pPr>
              <w:pStyle w:val="53"/>
              <w:bidi w:val="0"/>
            </w:pPr>
            <w:r>
              <w:t>地点</w:t>
            </w:r>
          </w:p>
        </w:tc>
        <w:tc>
          <w:tcPr>
            <w:tcW w:w="1476" w:type="pct"/>
            <w:gridSpan w:val="2"/>
            <w:vAlign w:val="center"/>
          </w:tcPr>
          <w:p w14:paraId="10B41B8F">
            <w:pPr>
              <w:pStyle w:val="53"/>
              <w:bidi w:val="0"/>
              <w:rPr>
                <w:rFonts w:hint="default" w:eastAsia="宋体"/>
                <w:lang w:val="en-US" w:eastAsia="zh-CN"/>
              </w:rPr>
            </w:pPr>
            <w:r>
              <w:rPr>
                <w:rFonts w:hint="eastAsia"/>
                <w:lang w:val="en-US" w:eastAsia="zh-CN"/>
              </w:rPr>
              <w:t>大坝东北侧400m</w:t>
            </w:r>
          </w:p>
        </w:tc>
        <w:tc>
          <w:tcPr>
            <w:tcW w:w="451" w:type="pct"/>
            <w:vAlign w:val="center"/>
          </w:tcPr>
          <w:p w14:paraId="613AB5D4">
            <w:pPr>
              <w:pStyle w:val="53"/>
              <w:bidi w:val="0"/>
            </w:pPr>
            <w:r>
              <w:t>坡地</w:t>
            </w:r>
          </w:p>
        </w:tc>
        <w:tc>
          <w:tcPr>
            <w:tcW w:w="838" w:type="pct"/>
            <w:vAlign w:val="center"/>
          </w:tcPr>
          <w:p w14:paraId="49ED91A6">
            <w:pPr>
              <w:pStyle w:val="53"/>
              <w:bidi w:val="0"/>
              <w:rPr>
                <w:rFonts w:hint="default"/>
                <w:lang w:val="en-US"/>
              </w:rPr>
            </w:pPr>
            <w:r>
              <w:rPr>
                <w:rFonts w:hint="eastAsia"/>
                <w:lang w:val="en-US" w:eastAsia="zh-CN"/>
              </w:rPr>
              <w:t>291</w:t>
            </w:r>
          </w:p>
        </w:tc>
        <w:tc>
          <w:tcPr>
            <w:tcW w:w="772" w:type="pct"/>
            <w:vAlign w:val="center"/>
          </w:tcPr>
          <w:p w14:paraId="7B8F69FE">
            <w:pPr>
              <w:pStyle w:val="53"/>
              <w:bidi w:val="0"/>
              <w:rPr>
                <w:rFonts w:hint="eastAsia" w:eastAsia="宋体"/>
                <w:lang w:eastAsia="zh-CN"/>
              </w:rPr>
            </w:pPr>
            <w:r>
              <w:rPr>
                <w:rFonts w:hint="eastAsia"/>
                <w:lang w:val="en-US" w:eastAsia="zh-CN"/>
              </w:rPr>
              <w:t>东</w:t>
            </w:r>
          </w:p>
        </w:tc>
        <w:tc>
          <w:tcPr>
            <w:tcW w:w="1030" w:type="pct"/>
            <w:vAlign w:val="center"/>
          </w:tcPr>
          <w:p w14:paraId="44424305">
            <w:pPr>
              <w:pStyle w:val="53"/>
              <w:bidi w:val="0"/>
              <w:rPr>
                <w:rFonts w:hint="default" w:eastAsia="宋体"/>
                <w:lang w:val="en-US" w:eastAsia="zh-CN"/>
              </w:rPr>
            </w:pPr>
            <w:r>
              <w:rPr>
                <w:rFonts w:hint="eastAsia"/>
                <w:lang w:val="en-US" w:eastAsia="zh-CN"/>
              </w:rPr>
              <w:t>14</w:t>
            </w:r>
          </w:p>
        </w:tc>
      </w:tr>
      <w:tr w14:paraId="211A05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CA0F107">
            <w:pPr>
              <w:pStyle w:val="53"/>
              <w:bidi w:val="0"/>
            </w:pPr>
            <w:r>
              <w:t>经纬度</w:t>
            </w:r>
          </w:p>
        </w:tc>
        <w:tc>
          <w:tcPr>
            <w:tcW w:w="4569" w:type="pct"/>
            <w:gridSpan w:val="6"/>
            <w:vAlign w:val="center"/>
          </w:tcPr>
          <w:p w14:paraId="6B63313E">
            <w:pPr>
              <w:pStyle w:val="53"/>
              <w:bidi w:val="0"/>
            </w:pPr>
            <w:r>
              <w:rPr>
                <w:rFonts w:hint="eastAsia"/>
              </w:rPr>
              <w:t>111.5977748,25.6823084</w:t>
            </w:r>
          </w:p>
        </w:tc>
      </w:tr>
      <w:tr w14:paraId="022E8A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4DDCE04A">
            <w:pPr>
              <w:pStyle w:val="53"/>
              <w:bidi w:val="0"/>
            </w:pPr>
            <w:r>
              <w:t>层次</w:t>
            </w:r>
          </w:p>
        </w:tc>
        <w:tc>
          <w:tcPr>
            <w:tcW w:w="4569" w:type="pct"/>
            <w:gridSpan w:val="6"/>
            <w:vAlign w:val="center"/>
          </w:tcPr>
          <w:p w14:paraId="1171A39C">
            <w:pPr>
              <w:pStyle w:val="53"/>
              <w:bidi w:val="0"/>
            </w:pPr>
            <w:r>
              <w:t>三层</w:t>
            </w:r>
          </w:p>
        </w:tc>
      </w:tr>
      <w:tr w14:paraId="79411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685DAC23">
            <w:pPr>
              <w:pStyle w:val="53"/>
              <w:bidi w:val="0"/>
            </w:pPr>
            <w:r>
              <w:t>分层</w:t>
            </w:r>
          </w:p>
        </w:tc>
        <w:tc>
          <w:tcPr>
            <w:tcW w:w="379" w:type="pct"/>
            <w:vAlign w:val="center"/>
          </w:tcPr>
          <w:p w14:paraId="247C7C7D">
            <w:pPr>
              <w:pStyle w:val="53"/>
              <w:bidi w:val="0"/>
            </w:pPr>
            <w:r>
              <w:t>层盖度</w:t>
            </w:r>
          </w:p>
        </w:tc>
        <w:tc>
          <w:tcPr>
            <w:tcW w:w="2386" w:type="pct"/>
            <w:gridSpan w:val="3"/>
            <w:vAlign w:val="center"/>
          </w:tcPr>
          <w:p w14:paraId="4E2F0EFC">
            <w:pPr>
              <w:pStyle w:val="53"/>
              <w:bidi w:val="0"/>
            </w:pPr>
            <w:r>
              <w:t>种类组成与生长状况</w:t>
            </w:r>
          </w:p>
        </w:tc>
        <w:tc>
          <w:tcPr>
            <w:tcW w:w="1803" w:type="pct"/>
            <w:gridSpan w:val="2"/>
            <w:vAlign w:val="center"/>
          </w:tcPr>
          <w:p w14:paraId="5D080DA1">
            <w:pPr>
              <w:pStyle w:val="53"/>
              <w:bidi w:val="0"/>
            </w:pPr>
            <w:r>
              <w:t>考察照片</w:t>
            </w:r>
          </w:p>
        </w:tc>
      </w:tr>
      <w:tr w14:paraId="5B1E7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285EC40A">
            <w:pPr>
              <w:pStyle w:val="53"/>
              <w:bidi w:val="0"/>
            </w:pPr>
            <w:r>
              <w:t>乔木层</w:t>
            </w:r>
          </w:p>
        </w:tc>
        <w:tc>
          <w:tcPr>
            <w:tcW w:w="379" w:type="pct"/>
            <w:vAlign w:val="center"/>
          </w:tcPr>
          <w:p w14:paraId="2E6EB868">
            <w:pPr>
              <w:pStyle w:val="53"/>
              <w:bidi w:val="0"/>
            </w:pPr>
            <w:r>
              <w:t>郁闭度0.</w:t>
            </w:r>
            <w:r>
              <w:rPr>
                <w:rFonts w:hint="eastAsia"/>
              </w:rPr>
              <w:t>5</w:t>
            </w:r>
          </w:p>
        </w:tc>
        <w:tc>
          <w:tcPr>
            <w:tcW w:w="2386" w:type="pct"/>
            <w:gridSpan w:val="3"/>
            <w:vAlign w:val="center"/>
          </w:tcPr>
          <w:p w14:paraId="6788A722">
            <w:pPr>
              <w:pStyle w:val="53"/>
              <w:bidi w:val="0"/>
            </w:pPr>
            <w:r>
              <w:t>层均高</w:t>
            </w:r>
            <w:r>
              <w:rPr>
                <w:rFonts w:hint="eastAsia"/>
                <w:lang w:val="en-US" w:eastAsia="zh-CN"/>
              </w:rPr>
              <w:t>6</w:t>
            </w:r>
            <w:r>
              <w:t>m，优势种为杉木（Cunninghamia lanceolata），高5-8m，胸径5-10cm，盖度</w:t>
            </w:r>
            <w:r>
              <w:rPr>
                <w:rFonts w:hint="eastAsia"/>
              </w:rPr>
              <w:t>5</w:t>
            </w:r>
            <w:r>
              <w:t>0%，主要伴生种有马尾松林（Pinusmassoniana）、苦竹（Form.Pleioblastus amarus）等。</w:t>
            </w:r>
          </w:p>
        </w:tc>
        <w:tc>
          <w:tcPr>
            <w:tcW w:w="1803" w:type="pct"/>
            <w:gridSpan w:val="2"/>
            <w:vMerge w:val="restart"/>
            <w:vAlign w:val="center"/>
          </w:tcPr>
          <w:p w14:paraId="173C9EFB">
            <w:pPr>
              <w:pStyle w:val="53"/>
              <w:bidi w:val="0"/>
            </w:pPr>
            <w:r>
              <w:drawing>
                <wp:inline distT="0" distB="0" distL="114300" distR="114300">
                  <wp:extent cx="1873885" cy="1615440"/>
                  <wp:effectExtent l="0" t="0" r="12065" b="381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6"/>
                          <a:stretch>
                            <a:fillRect/>
                          </a:stretch>
                        </pic:blipFill>
                        <pic:spPr>
                          <a:xfrm>
                            <a:off x="0" y="0"/>
                            <a:ext cx="1873885" cy="1615440"/>
                          </a:xfrm>
                          <a:prstGeom prst="rect">
                            <a:avLst/>
                          </a:prstGeom>
                          <a:noFill/>
                          <a:ln>
                            <a:noFill/>
                          </a:ln>
                        </pic:spPr>
                      </pic:pic>
                    </a:graphicData>
                  </a:graphic>
                </wp:inline>
              </w:drawing>
            </w:r>
          </w:p>
        </w:tc>
      </w:tr>
      <w:tr w14:paraId="769C8D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52AB3AA2">
            <w:pPr>
              <w:pStyle w:val="53"/>
              <w:bidi w:val="0"/>
            </w:pPr>
            <w:r>
              <w:t>灌木层</w:t>
            </w:r>
          </w:p>
        </w:tc>
        <w:tc>
          <w:tcPr>
            <w:tcW w:w="379" w:type="pct"/>
            <w:vAlign w:val="center"/>
          </w:tcPr>
          <w:p w14:paraId="02CDF727">
            <w:pPr>
              <w:pStyle w:val="53"/>
              <w:bidi w:val="0"/>
            </w:pPr>
            <w:r>
              <w:t>层盖度</w:t>
            </w:r>
            <w:r>
              <w:rPr>
                <w:rFonts w:hint="eastAsia"/>
                <w:lang w:val="en-US" w:eastAsia="zh-CN"/>
              </w:rPr>
              <w:t>35</w:t>
            </w:r>
            <w:r>
              <w:t>%</w:t>
            </w:r>
          </w:p>
        </w:tc>
        <w:tc>
          <w:tcPr>
            <w:tcW w:w="2386" w:type="pct"/>
            <w:gridSpan w:val="3"/>
            <w:vAlign w:val="center"/>
          </w:tcPr>
          <w:p w14:paraId="15E55CA4">
            <w:pPr>
              <w:pStyle w:val="53"/>
              <w:bidi w:val="0"/>
            </w:pPr>
            <w:r>
              <w:t>层均高</w:t>
            </w:r>
            <w:r>
              <w:rPr>
                <w:rFonts w:hint="eastAsia"/>
              </w:rPr>
              <w:t>1</w:t>
            </w:r>
            <w:r>
              <w:t>m，</w:t>
            </w:r>
            <w:r>
              <w:rPr>
                <w:rFonts w:hint="eastAsia"/>
              </w:rPr>
              <w:t>优势种</w:t>
            </w:r>
            <w:r>
              <w:rPr>
                <w:rFonts w:hint="eastAsia"/>
                <w:lang w:val="en-US" w:eastAsia="zh-CN"/>
              </w:rPr>
              <w:t>为</w:t>
            </w:r>
            <w:r>
              <w:rPr>
                <w:rFonts w:hint="eastAsia"/>
              </w:rPr>
              <w:t>檵木，主要分布有檵木（Loropetalumchinense）、</w:t>
            </w:r>
            <w:r>
              <w:rPr>
                <w:rFonts w:hint="eastAsia"/>
                <w:color w:val="000000" w:themeColor="text1"/>
                <w:kern w:val="0"/>
                <w:sz w:val="21"/>
                <w:highlight w:val="none"/>
                <w14:textFill>
                  <w14:solidFill>
                    <w14:schemeClr w14:val="tx1"/>
                  </w14:solidFill>
                </w14:textFill>
              </w:rPr>
              <w:t>枇杷叶紫珠</w:t>
            </w:r>
            <w:r>
              <w:rPr>
                <w:rFonts w:hint="eastAsia"/>
                <w:color w:val="000000" w:themeColor="text1"/>
                <w:kern w:val="0"/>
                <w:sz w:val="21"/>
                <w:highlight w:val="none"/>
                <w:lang w:eastAsia="zh-CN"/>
                <w14:textFill>
                  <w14:solidFill>
                    <w14:schemeClr w14:val="tx1"/>
                  </w14:solidFill>
                </w14:textFill>
              </w:rPr>
              <w:t>、</w:t>
            </w:r>
            <w:r>
              <w:rPr>
                <w:rFonts w:hint="eastAsia"/>
              </w:rPr>
              <w:t>盐肤木（Rhuschinensis）</w:t>
            </w:r>
            <w:r>
              <w:t>等。</w:t>
            </w:r>
          </w:p>
        </w:tc>
        <w:tc>
          <w:tcPr>
            <w:tcW w:w="1803" w:type="pct"/>
            <w:gridSpan w:val="2"/>
            <w:vMerge w:val="continue"/>
            <w:vAlign w:val="center"/>
          </w:tcPr>
          <w:p w14:paraId="2E255DCA">
            <w:pPr>
              <w:pStyle w:val="53"/>
              <w:bidi w:val="0"/>
            </w:pPr>
          </w:p>
        </w:tc>
      </w:tr>
      <w:tr w14:paraId="5ACBC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vAlign w:val="center"/>
          </w:tcPr>
          <w:p w14:paraId="549569D3">
            <w:pPr>
              <w:pStyle w:val="53"/>
              <w:bidi w:val="0"/>
            </w:pPr>
            <w:r>
              <w:t>草本层</w:t>
            </w:r>
          </w:p>
        </w:tc>
        <w:tc>
          <w:tcPr>
            <w:tcW w:w="379" w:type="pct"/>
            <w:vAlign w:val="center"/>
          </w:tcPr>
          <w:p w14:paraId="7DD896AC">
            <w:pPr>
              <w:pStyle w:val="53"/>
              <w:bidi w:val="0"/>
            </w:pPr>
            <w:r>
              <w:t>层盖度</w:t>
            </w:r>
            <w:r>
              <w:rPr>
                <w:rFonts w:hint="eastAsia"/>
                <w:lang w:val="en-US" w:eastAsia="zh-CN"/>
              </w:rPr>
              <w:t>3</w:t>
            </w:r>
            <w:r>
              <w:t>0%</w:t>
            </w:r>
          </w:p>
        </w:tc>
        <w:tc>
          <w:tcPr>
            <w:tcW w:w="2386" w:type="pct"/>
            <w:gridSpan w:val="3"/>
            <w:vAlign w:val="center"/>
          </w:tcPr>
          <w:p w14:paraId="1B5BCC16">
            <w:pPr>
              <w:pStyle w:val="53"/>
              <w:bidi w:val="0"/>
            </w:pPr>
            <w:r>
              <w:t>层均高0.</w:t>
            </w:r>
            <w:r>
              <w:rPr>
                <w:rFonts w:hint="eastAsia"/>
                <w:lang w:val="en-US" w:eastAsia="zh-CN"/>
              </w:rPr>
              <w:t>5</w:t>
            </w:r>
            <w:r>
              <w:t>m，主要伴生种有</w:t>
            </w:r>
            <w:r>
              <w:rPr>
                <w:rFonts w:hint="eastAsia"/>
              </w:rPr>
              <w:t>五节芒</w:t>
            </w:r>
            <w:r>
              <w:t>、蕨（</w:t>
            </w:r>
            <w:r>
              <w:rPr>
                <w:rFonts w:hint="eastAsia"/>
              </w:rPr>
              <w:t>Form.Pteridiumaquilinumvar.latiusculum</w:t>
            </w:r>
            <w:r>
              <w:t>）等。</w:t>
            </w:r>
          </w:p>
        </w:tc>
        <w:tc>
          <w:tcPr>
            <w:tcW w:w="1803" w:type="pct"/>
            <w:gridSpan w:val="2"/>
            <w:vMerge w:val="continue"/>
            <w:vAlign w:val="center"/>
          </w:tcPr>
          <w:p w14:paraId="0A86583D">
            <w:pPr>
              <w:pStyle w:val="53"/>
              <w:bidi w:val="0"/>
            </w:pPr>
          </w:p>
        </w:tc>
      </w:tr>
    </w:tbl>
    <w:p w14:paraId="6BD03653">
      <w:pPr>
        <w:rPr>
          <w:rFonts w:hint="default"/>
          <w:lang w:eastAsia="zh-CN"/>
        </w:rPr>
      </w:pPr>
      <w:r>
        <w:rPr>
          <w:rFonts w:hint="default"/>
          <w:lang w:eastAsia="zh-CN"/>
        </w:rPr>
        <w:t>（b）马尾松林</w:t>
      </w:r>
    </w:p>
    <w:p w14:paraId="53DA1705">
      <w:pPr>
        <w:rPr>
          <w:rFonts w:hint="default"/>
          <w:lang w:eastAsia="zh-CN"/>
        </w:rPr>
      </w:pPr>
      <w:r>
        <w:rPr>
          <w:rFonts w:hint="default"/>
          <w:lang w:eastAsia="zh-CN"/>
        </w:rPr>
        <w:t>马尾松(Pinus massoniana) ，松科松属植物，为喜光、深根性树种，不耐庇荫，喜温暖湿润气候，能生于干旱、瘠薄的红壤、石砾土及沙质土，或生于岩石缝中，为荒山恢复森林的先锋树种。在评价区常呈片状分布于山坡中下部。</w:t>
      </w:r>
    </w:p>
    <w:p w14:paraId="079C56C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7</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179"/>
        <w:gridCol w:w="1173"/>
        <w:gridCol w:w="1224"/>
        <w:gridCol w:w="1156"/>
        <w:gridCol w:w="78"/>
      </w:tblGrid>
      <w:tr w14:paraId="2F0D5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3BD5E8B9">
            <w:pPr>
              <w:pStyle w:val="49"/>
              <w:bidi w:val="0"/>
              <w:jc w:val="center"/>
            </w:pPr>
            <w:r>
              <w:t>植被类型</w:t>
            </w:r>
          </w:p>
        </w:tc>
        <w:tc>
          <w:tcPr>
            <w:tcW w:w="2594" w:type="dxa"/>
            <w:gridSpan w:val="2"/>
            <w:vMerge w:val="restart"/>
            <w:vAlign w:val="center"/>
          </w:tcPr>
          <w:p w14:paraId="2C747F62">
            <w:pPr>
              <w:pStyle w:val="49"/>
              <w:bidi w:val="0"/>
              <w:ind w:left="0" w:leftChars="0" w:firstLine="0" w:firstLineChars="0"/>
              <w:jc w:val="center"/>
            </w:pPr>
            <w:r>
              <w:t>马尾松林（Form. Pinus massoniana）</w:t>
            </w:r>
          </w:p>
        </w:tc>
        <w:tc>
          <w:tcPr>
            <w:tcW w:w="5261" w:type="dxa"/>
            <w:gridSpan w:val="6"/>
            <w:vAlign w:val="center"/>
          </w:tcPr>
          <w:p w14:paraId="5DE23060">
            <w:pPr>
              <w:pStyle w:val="49"/>
              <w:bidi w:val="0"/>
              <w:ind w:left="0" w:leftChars="0" w:firstLine="0" w:firstLineChars="0"/>
              <w:jc w:val="center"/>
            </w:pPr>
            <w:r>
              <w:t>环境特征</w:t>
            </w:r>
          </w:p>
        </w:tc>
      </w:tr>
      <w:tr w14:paraId="6A3AEB81">
        <w:tblPrEx>
          <w:tblCellMar>
            <w:top w:w="0" w:type="dxa"/>
            <w:left w:w="108" w:type="dxa"/>
            <w:bottom w:w="0" w:type="dxa"/>
            <w:right w:w="108" w:type="dxa"/>
          </w:tblCellMar>
        </w:tblPrEx>
        <w:trPr>
          <w:trHeight w:val="340" w:hRule="atLeast"/>
          <w:jc w:val="center"/>
        </w:trPr>
        <w:tc>
          <w:tcPr>
            <w:tcW w:w="397" w:type="pct"/>
            <w:vMerge w:val="continue"/>
            <w:vAlign w:val="center"/>
          </w:tcPr>
          <w:p w14:paraId="4CB026C1">
            <w:pPr>
              <w:pStyle w:val="49"/>
              <w:bidi w:val="0"/>
              <w:jc w:val="center"/>
            </w:pPr>
          </w:p>
        </w:tc>
        <w:tc>
          <w:tcPr>
            <w:tcW w:w="2594" w:type="dxa"/>
            <w:gridSpan w:val="2"/>
            <w:vMerge w:val="continue"/>
            <w:vAlign w:val="center"/>
          </w:tcPr>
          <w:p w14:paraId="0D668BD0">
            <w:pPr>
              <w:pStyle w:val="49"/>
              <w:bidi w:val="0"/>
              <w:ind w:left="0" w:leftChars="0" w:firstLine="0" w:firstLineChars="0"/>
              <w:jc w:val="center"/>
            </w:pPr>
          </w:p>
        </w:tc>
        <w:tc>
          <w:tcPr>
            <w:tcW w:w="1451" w:type="dxa"/>
            <w:vAlign w:val="center"/>
          </w:tcPr>
          <w:p w14:paraId="4D5E4360">
            <w:pPr>
              <w:pStyle w:val="49"/>
              <w:bidi w:val="0"/>
              <w:ind w:left="0" w:leftChars="0" w:firstLine="0" w:firstLineChars="0"/>
              <w:jc w:val="center"/>
            </w:pPr>
            <w:r>
              <w:t>地形</w:t>
            </w:r>
          </w:p>
        </w:tc>
        <w:tc>
          <w:tcPr>
            <w:tcW w:w="1352" w:type="dxa"/>
            <w:gridSpan w:val="2"/>
            <w:vAlign w:val="center"/>
          </w:tcPr>
          <w:p w14:paraId="471DC3BE">
            <w:pPr>
              <w:pStyle w:val="49"/>
              <w:bidi w:val="0"/>
              <w:ind w:left="0" w:leftChars="0" w:firstLine="0" w:firstLineChars="0"/>
              <w:jc w:val="center"/>
            </w:pPr>
            <w:r>
              <w:t>海拔（m）</w:t>
            </w:r>
          </w:p>
        </w:tc>
        <w:tc>
          <w:tcPr>
            <w:tcW w:w="1224" w:type="dxa"/>
            <w:vAlign w:val="center"/>
          </w:tcPr>
          <w:p w14:paraId="04AF92EE">
            <w:pPr>
              <w:pStyle w:val="49"/>
              <w:bidi w:val="0"/>
              <w:ind w:left="0" w:leftChars="0" w:firstLine="0" w:firstLineChars="0"/>
              <w:jc w:val="center"/>
            </w:pPr>
            <w:r>
              <w:t>坡向</w:t>
            </w:r>
          </w:p>
        </w:tc>
        <w:tc>
          <w:tcPr>
            <w:tcW w:w="1234" w:type="dxa"/>
            <w:gridSpan w:val="2"/>
            <w:vAlign w:val="center"/>
          </w:tcPr>
          <w:p w14:paraId="48596F64">
            <w:pPr>
              <w:pStyle w:val="49"/>
              <w:bidi w:val="0"/>
              <w:ind w:left="0" w:leftChars="0" w:firstLine="0" w:firstLineChars="0"/>
              <w:jc w:val="center"/>
            </w:pPr>
            <w:r>
              <w:t>坡度（°）</w:t>
            </w:r>
          </w:p>
        </w:tc>
      </w:tr>
      <w:tr w14:paraId="481ED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67FC3159">
            <w:pPr>
              <w:pStyle w:val="49"/>
              <w:bidi w:val="0"/>
              <w:jc w:val="center"/>
            </w:pPr>
            <w:r>
              <w:t>地点</w:t>
            </w:r>
          </w:p>
        </w:tc>
        <w:tc>
          <w:tcPr>
            <w:tcW w:w="2594" w:type="dxa"/>
            <w:gridSpan w:val="2"/>
            <w:vAlign w:val="center"/>
          </w:tcPr>
          <w:p w14:paraId="047EE047">
            <w:pPr>
              <w:pStyle w:val="49"/>
              <w:bidi w:val="0"/>
              <w:ind w:left="0" w:leftChars="0" w:firstLine="0" w:firstLineChars="0"/>
              <w:jc w:val="center"/>
              <w:rPr>
                <w:rFonts w:hint="default" w:eastAsia="宋体"/>
                <w:lang w:val="en-US" w:eastAsia="zh-CN"/>
              </w:rPr>
            </w:pPr>
            <w:r>
              <w:rPr>
                <w:rFonts w:hint="eastAsia"/>
                <w:lang w:val="en-US" w:eastAsia="zh-CN"/>
              </w:rPr>
              <w:t>大坝西侧</w:t>
            </w:r>
          </w:p>
        </w:tc>
        <w:tc>
          <w:tcPr>
            <w:tcW w:w="1451" w:type="dxa"/>
            <w:vAlign w:val="center"/>
          </w:tcPr>
          <w:p w14:paraId="06A3E237">
            <w:pPr>
              <w:pStyle w:val="49"/>
              <w:bidi w:val="0"/>
              <w:ind w:left="0" w:leftChars="0" w:firstLine="0" w:firstLineChars="0"/>
              <w:jc w:val="center"/>
            </w:pPr>
            <w:r>
              <w:t>坡地</w:t>
            </w:r>
          </w:p>
        </w:tc>
        <w:tc>
          <w:tcPr>
            <w:tcW w:w="1352" w:type="dxa"/>
            <w:gridSpan w:val="2"/>
            <w:vAlign w:val="center"/>
          </w:tcPr>
          <w:p w14:paraId="08B1BEC8">
            <w:pPr>
              <w:pStyle w:val="49"/>
              <w:bidi w:val="0"/>
              <w:ind w:left="0" w:leftChars="0" w:firstLine="0" w:firstLineChars="0"/>
              <w:jc w:val="center"/>
              <w:rPr>
                <w:rFonts w:hint="default" w:eastAsia="宋体"/>
                <w:lang w:val="en-US" w:eastAsia="zh-CN"/>
              </w:rPr>
            </w:pPr>
            <w:r>
              <w:rPr>
                <w:rFonts w:hint="eastAsia"/>
                <w:lang w:val="en-US" w:eastAsia="zh-CN"/>
              </w:rPr>
              <w:t>284</w:t>
            </w:r>
          </w:p>
        </w:tc>
        <w:tc>
          <w:tcPr>
            <w:tcW w:w="1224" w:type="dxa"/>
            <w:vAlign w:val="center"/>
          </w:tcPr>
          <w:p w14:paraId="5424E1C3">
            <w:pPr>
              <w:pStyle w:val="49"/>
              <w:bidi w:val="0"/>
              <w:ind w:left="0" w:leftChars="0" w:firstLine="0" w:firstLineChars="0"/>
              <w:jc w:val="center"/>
              <w:rPr>
                <w:rFonts w:hint="eastAsia" w:eastAsia="宋体"/>
                <w:lang w:eastAsia="zh-CN"/>
              </w:rPr>
            </w:pPr>
            <w:r>
              <w:rPr>
                <w:rFonts w:hint="eastAsia"/>
                <w:lang w:val="en-US" w:eastAsia="zh-CN"/>
              </w:rPr>
              <w:t>东</w:t>
            </w:r>
          </w:p>
        </w:tc>
        <w:tc>
          <w:tcPr>
            <w:tcW w:w="1234" w:type="dxa"/>
            <w:gridSpan w:val="2"/>
            <w:vAlign w:val="center"/>
          </w:tcPr>
          <w:p w14:paraId="733B53C2">
            <w:pPr>
              <w:pStyle w:val="49"/>
              <w:bidi w:val="0"/>
              <w:ind w:left="0" w:leftChars="0" w:firstLine="0" w:firstLineChars="0"/>
              <w:jc w:val="center"/>
              <w:rPr>
                <w:rFonts w:hint="default" w:eastAsia="宋体"/>
                <w:lang w:val="en-US" w:eastAsia="zh-CN"/>
              </w:rPr>
            </w:pPr>
            <w:r>
              <w:rPr>
                <w:rFonts w:hint="eastAsia"/>
                <w:lang w:val="en-US" w:eastAsia="zh-CN"/>
              </w:rPr>
              <w:t>15</w:t>
            </w:r>
          </w:p>
        </w:tc>
      </w:tr>
      <w:tr w14:paraId="13BA5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C5687F3">
            <w:pPr>
              <w:pStyle w:val="49"/>
              <w:bidi w:val="0"/>
              <w:jc w:val="center"/>
            </w:pPr>
            <w:r>
              <w:t>经纬度</w:t>
            </w:r>
          </w:p>
        </w:tc>
        <w:tc>
          <w:tcPr>
            <w:tcW w:w="7855" w:type="dxa"/>
            <w:gridSpan w:val="8"/>
            <w:vAlign w:val="center"/>
          </w:tcPr>
          <w:p w14:paraId="70CA49F7">
            <w:pPr>
              <w:pStyle w:val="49"/>
              <w:bidi w:val="0"/>
              <w:ind w:left="0" w:leftChars="0" w:firstLine="0" w:firstLineChars="0"/>
              <w:jc w:val="center"/>
            </w:pPr>
            <w:r>
              <w:rPr>
                <w:rFonts w:hint="eastAsia"/>
              </w:rPr>
              <w:t>111.5938212,25.6778237</w:t>
            </w:r>
          </w:p>
        </w:tc>
      </w:tr>
      <w:tr w14:paraId="7A2AD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1A994E1">
            <w:pPr>
              <w:pStyle w:val="49"/>
              <w:bidi w:val="0"/>
              <w:jc w:val="center"/>
            </w:pPr>
            <w:r>
              <w:t>层次</w:t>
            </w:r>
          </w:p>
        </w:tc>
        <w:tc>
          <w:tcPr>
            <w:tcW w:w="4602" w:type="pct"/>
            <w:gridSpan w:val="8"/>
            <w:vAlign w:val="center"/>
          </w:tcPr>
          <w:p w14:paraId="09232DAB">
            <w:pPr>
              <w:pStyle w:val="49"/>
              <w:bidi w:val="0"/>
              <w:jc w:val="center"/>
            </w:pPr>
            <w:r>
              <w:t>三层</w:t>
            </w:r>
          </w:p>
        </w:tc>
      </w:tr>
      <w:tr w14:paraId="541030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4FA933AF">
            <w:pPr>
              <w:pStyle w:val="49"/>
              <w:bidi w:val="0"/>
              <w:jc w:val="center"/>
            </w:pPr>
            <w:r>
              <w:t>分层</w:t>
            </w:r>
          </w:p>
        </w:tc>
        <w:tc>
          <w:tcPr>
            <w:tcW w:w="453" w:type="pct"/>
            <w:vAlign w:val="center"/>
          </w:tcPr>
          <w:p w14:paraId="7B2F253E">
            <w:pPr>
              <w:pStyle w:val="49"/>
              <w:bidi w:val="0"/>
              <w:jc w:val="center"/>
            </w:pPr>
            <w:r>
              <w:t>层盖度</w:t>
            </w:r>
          </w:p>
        </w:tc>
        <w:tc>
          <w:tcPr>
            <w:tcW w:w="2021" w:type="pct"/>
            <w:gridSpan w:val="3"/>
            <w:vAlign w:val="center"/>
          </w:tcPr>
          <w:p w14:paraId="4C28F1A3">
            <w:pPr>
              <w:pStyle w:val="49"/>
              <w:bidi w:val="0"/>
              <w:jc w:val="center"/>
            </w:pPr>
            <w:r>
              <w:t>种类组成与生长状况</w:t>
            </w:r>
          </w:p>
        </w:tc>
        <w:tc>
          <w:tcPr>
            <w:tcW w:w="2081" w:type="pct"/>
            <w:gridSpan w:val="3"/>
            <w:vAlign w:val="center"/>
          </w:tcPr>
          <w:p w14:paraId="39AA18C6">
            <w:pPr>
              <w:pStyle w:val="49"/>
              <w:bidi w:val="0"/>
              <w:jc w:val="center"/>
            </w:pPr>
            <w:r>
              <w:t>考察照片</w:t>
            </w:r>
          </w:p>
        </w:tc>
      </w:tr>
      <w:tr w14:paraId="19904912">
        <w:tblPrEx>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18B5AD0E">
            <w:pPr>
              <w:pStyle w:val="49"/>
              <w:bidi w:val="0"/>
              <w:jc w:val="center"/>
            </w:pPr>
            <w:r>
              <w:t>乔木层</w:t>
            </w:r>
          </w:p>
        </w:tc>
        <w:tc>
          <w:tcPr>
            <w:tcW w:w="453" w:type="pct"/>
            <w:vAlign w:val="center"/>
          </w:tcPr>
          <w:p w14:paraId="0E1EA79F">
            <w:pPr>
              <w:pStyle w:val="53"/>
              <w:bidi w:val="0"/>
              <w:jc w:val="center"/>
            </w:pPr>
            <w:r>
              <w:t>郁闭度0.7</w:t>
            </w:r>
          </w:p>
        </w:tc>
        <w:tc>
          <w:tcPr>
            <w:tcW w:w="2021" w:type="pct"/>
            <w:gridSpan w:val="3"/>
            <w:vAlign w:val="center"/>
          </w:tcPr>
          <w:p w14:paraId="461AFFFD">
            <w:pPr>
              <w:pStyle w:val="53"/>
              <w:bidi w:val="0"/>
              <w:jc w:val="center"/>
            </w:pPr>
            <w:r>
              <w:t>乔木层均高9m，优势树种为马尾松，高8~13m，胸径12-25cm，其他主要物种有</w:t>
            </w:r>
            <w:r>
              <w:rPr>
                <w:rFonts w:hint="eastAsia"/>
                <w:lang w:val="en-US" w:eastAsia="zh-CN"/>
              </w:rPr>
              <w:t>杉树</w:t>
            </w:r>
            <w:r>
              <w:t>、</w:t>
            </w:r>
            <w:r>
              <w:rPr>
                <w:rFonts w:hint="eastAsia"/>
                <w:lang w:val="en-US" w:eastAsia="zh-CN"/>
              </w:rPr>
              <w:t>木荷</w:t>
            </w:r>
            <w:r>
              <w:t>等。</w:t>
            </w:r>
          </w:p>
        </w:tc>
        <w:tc>
          <w:tcPr>
            <w:tcW w:w="2081" w:type="pct"/>
            <w:gridSpan w:val="3"/>
            <w:vMerge w:val="restart"/>
            <w:vAlign w:val="center"/>
          </w:tcPr>
          <w:p w14:paraId="4804FEF9">
            <w:pPr>
              <w:pStyle w:val="53"/>
              <w:bidi w:val="0"/>
              <w:rPr>
                <w:rFonts w:hint="eastAsia" w:eastAsia="宋体"/>
                <w:lang w:eastAsia="zh-CN"/>
              </w:rPr>
            </w:pPr>
            <w:r>
              <w:rPr>
                <w:rFonts w:hint="eastAsia" w:eastAsia="宋体"/>
                <w:lang w:eastAsia="zh-CN"/>
              </w:rPr>
              <w:drawing>
                <wp:inline distT="0" distB="0" distL="114300" distR="114300">
                  <wp:extent cx="1960880" cy="1578610"/>
                  <wp:effectExtent l="0" t="0" r="1270" b="2540"/>
                  <wp:docPr id="11" name="图片 11" descr="IMG_20250328_14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50328_143836"/>
                          <pic:cNvPicPr>
                            <a:picLocks noChangeAspect="1"/>
                          </pic:cNvPicPr>
                        </pic:nvPicPr>
                        <pic:blipFill>
                          <a:blip r:embed="rId47"/>
                          <a:srcRect r="11529" b="5055"/>
                          <a:stretch>
                            <a:fillRect/>
                          </a:stretch>
                        </pic:blipFill>
                        <pic:spPr>
                          <a:xfrm>
                            <a:off x="0" y="0"/>
                            <a:ext cx="1960880" cy="1578610"/>
                          </a:xfrm>
                          <a:prstGeom prst="rect">
                            <a:avLst/>
                          </a:prstGeom>
                        </pic:spPr>
                      </pic:pic>
                    </a:graphicData>
                  </a:graphic>
                </wp:inline>
              </w:drawing>
            </w:r>
          </w:p>
        </w:tc>
      </w:tr>
      <w:tr w14:paraId="798EB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233575F6">
            <w:pPr>
              <w:pStyle w:val="49"/>
              <w:bidi w:val="0"/>
              <w:jc w:val="center"/>
            </w:pPr>
            <w:r>
              <w:t>灌木层</w:t>
            </w:r>
          </w:p>
        </w:tc>
        <w:tc>
          <w:tcPr>
            <w:tcW w:w="453" w:type="pct"/>
            <w:vAlign w:val="center"/>
          </w:tcPr>
          <w:p w14:paraId="13719E77">
            <w:pPr>
              <w:pStyle w:val="53"/>
              <w:bidi w:val="0"/>
              <w:jc w:val="center"/>
            </w:pPr>
            <w:r>
              <w:t>层盖度</w:t>
            </w:r>
          </w:p>
          <w:p w14:paraId="3AD3C9B5">
            <w:pPr>
              <w:pStyle w:val="53"/>
              <w:bidi w:val="0"/>
              <w:jc w:val="center"/>
            </w:pPr>
            <w:r>
              <w:t>30%</w:t>
            </w:r>
          </w:p>
        </w:tc>
        <w:tc>
          <w:tcPr>
            <w:tcW w:w="2021" w:type="pct"/>
            <w:gridSpan w:val="3"/>
            <w:vAlign w:val="center"/>
          </w:tcPr>
          <w:p w14:paraId="6FBC7797">
            <w:pPr>
              <w:pStyle w:val="53"/>
              <w:bidi w:val="0"/>
              <w:jc w:val="center"/>
            </w:pPr>
            <w:r>
              <w:t>灌木层均高1.5m，优势种为</w:t>
            </w:r>
            <w:r>
              <w:rPr>
                <w:rFonts w:hint="eastAsia"/>
                <w:lang w:val="en-US" w:eastAsia="zh-CN"/>
              </w:rPr>
              <w:t>黄荆</w:t>
            </w:r>
            <w:r>
              <w:t>，高2m，盖度30%其他主要物种有檵木、杜鹃等。</w:t>
            </w:r>
          </w:p>
        </w:tc>
        <w:tc>
          <w:tcPr>
            <w:tcW w:w="2081" w:type="pct"/>
            <w:gridSpan w:val="3"/>
            <w:vMerge w:val="continue"/>
            <w:vAlign w:val="center"/>
          </w:tcPr>
          <w:p w14:paraId="2E630730">
            <w:pPr>
              <w:pStyle w:val="49"/>
              <w:bidi w:val="0"/>
              <w:jc w:val="center"/>
            </w:pPr>
          </w:p>
        </w:tc>
      </w:tr>
      <w:tr w14:paraId="373C2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340" w:hRule="atLeast"/>
          <w:jc w:val="center"/>
        </w:trPr>
        <w:tc>
          <w:tcPr>
            <w:tcW w:w="397" w:type="pct"/>
            <w:vAlign w:val="center"/>
          </w:tcPr>
          <w:p w14:paraId="2F39F7CA">
            <w:pPr>
              <w:pStyle w:val="49"/>
              <w:bidi w:val="0"/>
              <w:jc w:val="center"/>
            </w:pPr>
            <w:r>
              <w:t>草本层</w:t>
            </w:r>
          </w:p>
        </w:tc>
        <w:tc>
          <w:tcPr>
            <w:tcW w:w="453" w:type="pct"/>
            <w:vAlign w:val="center"/>
          </w:tcPr>
          <w:p w14:paraId="79C26D64">
            <w:pPr>
              <w:pStyle w:val="53"/>
              <w:bidi w:val="0"/>
              <w:jc w:val="center"/>
            </w:pPr>
            <w:r>
              <w:t>层盖度</w:t>
            </w:r>
          </w:p>
          <w:p w14:paraId="052089E4">
            <w:pPr>
              <w:pStyle w:val="53"/>
              <w:bidi w:val="0"/>
              <w:jc w:val="center"/>
            </w:pPr>
            <w:r>
              <w:t>35%</w:t>
            </w:r>
          </w:p>
        </w:tc>
        <w:tc>
          <w:tcPr>
            <w:tcW w:w="2021" w:type="pct"/>
            <w:gridSpan w:val="3"/>
            <w:vAlign w:val="center"/>
          </w:tcPr>
          <w:p w14:paraId="63766D0C">
            <w:pPr>
              <w:pStyle w:val="53"/>
              <w:bidi w:val="0"/>
              <w:jc w:val="center"/>
            </w:pPr>
            <w:r>
              <w:t>草本层均高0.65m，优势种为白茅，高0.5~1m，盖度18%，其他主要物种有芒萁、南方菟丝子、车前草等。</w:t>
            </w:r>
          </w:p>
        </w:tc>
        <w:tc>
          <w:tcPr>
            <w:tcW w:w="2081" w:type="pct"/>
            <w:gridSpan w:val="3"/>
            <w:vMerge w:val="continue"/>
            <w:vAlign w:val="center"/>
          </w:tcPr>
          <w:p w14:paraId="35DE82FC">
            <w:pPr>
              <w:pStyle w:val="49"/>
              <w:bidi w:val="0"/>
              <w:jc w:val="center"/>
            </w:pPr>
          </w:p>
        </w:tc>
      </w:tr>
    </w:tbl>
    <w:p w14:paraId="53372B4C">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8</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410"/>
        <w:gridCol w:w="942"/>
        <w:gridCol w:w="1224"/>
        <w:gridCol w:w="1234"/>
      </w:tblGrid>
      <w:tr w14:paraId="1AD334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1DD8E4F0">
            <w:pPr>
              <w:pStyle w:val="49"/>
              <w:bidi w:val="0"/>
              <w:jc w:val="center"/>
            </w:pPr>
            <w:bookmarkStart w:id="202" w:name="_Hlk172215539"/>
            <w:r>
              <w:t>植被类型</w:t>
            </w:r>
          </w:p>
        </w:tc>
        <w:tc>
          <w:tcPr>
            <w:tcW w:w="1519" w:type="pct"/>
            <w:gridSpan w:val="2"/>
            <w:vMerge w:val="restart"/>
            <w:vAlign w:val="center"/>
          </w:tcPr>
          <w:p w14:paraId="7728B966">
            <w:pPr>
              <w:pStyle w:val="49"/>
              <w:bidi w:val="0"/>
              <w:jc w:val="center"/>
            </w:pPr>
            <w:r>
              <w:t>马尾松林（Form. Pinus massoniana）</w:t>
            </w:r>
          </w:p>
        </w:tc>
        <w:tc>
          <w:tcPr>
            <w:tcW w:w="3082" w:type="pct"/>
            <w:gridSpan w:val="5"/>
            <w:vAlign w:val="center"/>
          </w:tcPr>
          <w:p w14:paraId="2BD00C64">
            <w:pPr>
              <w:pStyle w:val="49"/>
              <w:bidi w:val="0"/>
              <w:jc w:val="center"/>
            </w:pPr>
            <w:r>
              <w:t>环境特征</w:t>
            </w:r>
          </w:p>
        </w:tc>
      </w:tr>
      <w:tr w14:paraId="6F468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vAlign w:val="center"/>
          </w:tcPr>
          <w:p w14:paraId="47496C3B">
            <w:pPr>
              <w:pStyle w:val="49"/>
              <w:bidi w:val="0"/>
              <w:jc w:val="center"/>
            </w:pPr>
          </w:p>
        </w:tc>
        <w:tc>
          <w:tcPr>
            <w:tcW w:w="1519" w:type="pct"/>
            <w:gridSpan w:val="2"/>
            <w:vMerge w:val="continue"/>
            <w:vAlign w:val="center"/>
          </w:tcPr>
          <w:p w14:paraId="177D745D">
            <w:pPr>
              <w:pStyle w:val="49"/>
              <w:bidi w:val="0"/>
              <w:jc w:val="center"/>
            </w:pPr>
          </w:p>
        </w:tc>
        <w:tc>
          <w:tcPr>
            <w:tcW w:w="850" w:type="pct"/>
            <w:vAlign w:val="center"/>
          </w:tcPr>
          <w:p w14:paraId="5B582C0F">
            <w:pPr>
              <w:pStyle w:val="49"/>
              <w:bidi w:val="0"/>
              <w:jc w:val="center"/>
            </w:pPr>
            <w:r>
              <w:t>地形</w:t>
            </w:r>
          </w:p>
        </w:tc>
        <w:tc>
          <w:tcPr>
            <w:tcW w:w="792" w:type="pct"/>
            <w:gridSpan w:val="2"/>
            <w:vAlign w:val="center"/>
          </w:tcPr>
          <w:p w14:paraId="561F5F87">
            <w:pPr>
              <w:pStyle w:val="49"/>
              <w:bidi w:val="0"/>
              <w:jc w:val="center"/>
            </w:pPr>
            <w:r>
              <w:t>海拔（m）</w:t>
            </w:r>
          </w:p>
        </w:tc>
        <w:tc>
          <w:tcPr>
            <w:tcW w:w="717" w:type="pct"/>
            <w:vAlign w:val="center"/>
          </w:tcPr>
          <w:p w14:paraId="2D351577">
            <w:pPr>
              <w:pStyle w:val="49"/>
              <w:bidi w:val="0"/>
              <w:jc w:val="center"/>
            </w:pPr>
            <w:r>
              <w:t>坡向</w:t>
            </w:r>
          </w:p>
        </w:tc>
        <w:tc>
          <w:tcPr>
            <w:tcW w:w="723" w:type="pct"/>
            <w:vAlign w:val="center"/>
          </w:tcPr>
          <w:p w14:paraId="7FBD30D0">
            <w:pPr>
              <w:pStyle w:val="49"/>
              <w:bidi w:val="0"/>
              <w:jc w:val="center"/>
            </w:pPr>
            <w:r>
              <w:t>坡度（°）</w:t>
            </w:r>
          </w:p>
        </w:tc>
      </w:tr>
      <w:tr w14:paraId="0BAC1A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4216774">
            <w:pPr>
              <w:pStyle w:val="49"/>
              <w:bidi w:val="0"/>
              <w:jc w:val="center"/>
            </w:pPr>
            <w:r>
              <w:t>地点</w:t>
            </w:r>
          </w:p>
        </w:tc>
        <w:tc>
          <w:tcPr>
            <w:tcW w:w="1519" w:type="pct"/>
            <w:gridSpan w:val="2"/>
            <w:vAlign w:val="center"/>
          </w:tcPr>
          <w:p w14:paraId="048D252A">
            <w:pPr>
              <w:pStyle w:val="49"/>
              <w:bidi w:val="0"/>
              <w:jc w:val="center"/>
              <w:rPr>
                <w:rFonts w:hint="default" w:eastAsia="宋体"/>
                <w:lang w:val="en-US" w:eastAsia="zh-CN"/>
              </w:rPr>
            </w:pPr>
            <w:r>
              <w:rPr>
                <w:rFonts w:hint="eastAsia"/>
                <w:lang w:val="en-US" w:eastAsia="zh-CN"/>
              </w:rPr>
              <w:t>大坝西侧</w:t>
            </w:r>
          </w:p>
        </w:tc>
        <w:tc>
          <w:tcPr>
            <w:tcW w:w="850" w:type="pct"/>
            <w:vAlign w:val="center"/>
          </w:tcPr>
          <w:p w14:paraId="2BADB620">
            <w:pPr>
              <w:pStyle w:val="49"/>
              <w:bidi w:val="0"/>
              <w:jc w:val="center"/>
            </w:pPr>
            <w:r>
              <w:t>坡地</w:t>
            </w:r>
          </w:p>
        </w:tc>
        <w:tc>
          <w:tcPr>
            <w:tcW w:w="792" w:type="pct"/>
            <w:gridSpan w:val="2"/>
            <w:vAlign w:val="center"/>
          </w:tcPr>
          <w:p w14:paraId="43BA855B">
            <w:pPr>
              <w:pStyle w:val="49"/>
              <w:bidi w:val="0"/>
              <w:jc w:val="center"/>
              <w:rPr>
                <w:rFonts w:hint="default" w:eastAsia="宋体"/>
                <w:lang w:val="en-US" w:eastAsia="zh-CN"/>
              </w:rPr>
            </w:pPr>
            <w:r>
              <w:rPr>
                <w:rFonts w:hint="eastAsia"/>
                <w:lang w:val="en-US" w:eastAsia="zh-CN"/>
              </w:rPr>
              <w:t>310</w:t>
            </w:r>
          </w:p>
        </w:tc>
        <w:tc>
          <w:tcPr>
            <w:tcW w:w="717" w:type="pct"/>
            <w:vAlign w:val="center"/>
          </w:tcPr>
          <w:p w14:paraId="3EE4A8D2">
            <w:pPr>
              <w:pStyle w:val="49"/>
              <w:bidi w:val="0"/>
              <w:jc w:val="center"/>
              <w:rPr>
                <w:rFonts w:hint="eastAsia" w:eastAsia="宋体"/>
                <w:lang w:eastAsia="zh-CN"/>
              </w:rPr>
            </w:pPr>
            <w:r>
              <w:rPr>
                <w:rFonts w:hint="eastAsia"/>
                <w:lang w:val="en-US" w:eastAsia="zh-CN"/>
              </w:rPr>
              <w:t>西</w:t>
            </w:r>
          </w:p>
        </w:tc>
        <w:tc>
          <w:tcPr>
            <w:tcW w:w="723" w:type="pct"/>
            <w:vAlign w:val="center"/>
          </w:tcPr>
          <w:p w14:paraId="1A38F5A2">
            <w:pPr>
              <w:pStyle w:val="49"/>
              <w:bidi w:val="0"/>
              <w:jc w:val="center"/>
              <w:rPr>
                <w:rFonts w:hint="default" w:eastAsia="宋体"/>
                <w:lang w:val="en-US" w:eastAsia="zh-CN"/>
              </w:rPr>
            </w:pPr>
            <w:r>
              <w:rPr>
                <w:rFonts w:hint="eastAsia"/>
                <w:lang w:val="en-US" w:eastAsia="zh-CN"/>
              </w:rPr>
              <w:t>17</w:t>
            </w:r>
          </w:p>
        </w:tc>
      </w:tr>
      <w:tr w14:paraId="67877E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3D108BFC">
            <w:pPr>
              <w:pStyle w:val="49"/>
              <w:bidi w:val="0"/>
              <w:jc w:val="center"/>
            </w:pPr>
            <w:r>
              <w:t>经纬度</w:t>
            </w:r>
          </w:p>
        </w:tc>
        <w:tc>
          <w:tcPr>
            <w:tcW w:w="4602" w:type="pct"/>
            <w:gridSpan w:val="7"/>
            <w:vAlign w:val="center"/>
          </w:tcPr>
          <w:p w14:paraId="78FDB3E2">
            <w:pPr>
              <w:pStyle w:val="49"/>
              <w:bidi w:val="0"/>
              <w:jc w:val="center"/>
            </w:pPr>
            <w:r>
              <w:rPr>
                <w:rFonts w:hint="eastAsia"/>
              </w:rPr>
              <w:t>111.5965625,25.6782529</w:t>
            </w:r>
          </w:p>
        </w:tc>
      </w:tr>
      <w:tr w14:paraId="2F7E85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825A56B">
            <w:pPr>
              <w:pStyle w:val="49"/>
              <w:bidi w:val="0"/>
              <w:jc w:val="center"/>
            </w:pPr>
            <w:r>
              <w:t>层次</w:t>
            </w:r>
          </w:p>
        </w:tc>
        <w:tc>
          <w:tcPr>
            <w:tcW w:w="4602" w:type="pct"/>
            <w:gridSpan w:val="7"/>
            <w:vAlign w:val="center"/>
          </w:tcPr>
          <w:p w14:paraId="0D4A31E3">
            <w:pPr>
              <w:pStyle w:val="49"/>
              <w:bidi w:val="0"/>
              <w:jc w:val="center"/>
            </w:pPr>
            <w:r>
              <w:t>三层</w:t>
            </w:r>
          </w:p>
        </w:tc>
      </w:tr>
      <w:tr w14:paraId="7D747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5CA375FB">
            <w:pPr>
              <w:pStyle w:val="49"/>
              <w:bidi w:val="0"/>
              <w:jc w:val="center"/>
            </w:pPr>
            <w:r>
              <w:t>分层</w:t>
            </w:r>
          </w:p>
        </w:tc>
        <w:tc>
          <w:tcPr>
            <w:tcW w:w="453" w:type="pct"/>
            <w:vAlign w:val="center"/>
          </w:tcPr>
          <w:p w14:paraId="7C3BE6C7">
            <w:pPr>
              <w:pStyle w:val="49"/>
              <w:bidi w:val="0"/>
              <w:jc w:val="center"/>
            </w:pPr>
            <w:r>
              <w:t>层盖度</w:t>
            </w:r>
          </w:p>
        </w:tc>
        <w:tc>
          <w:tcPr>
            <w:tcW w:w="2156" w:type="pct"/>
            <w:gridSpan w:val="3"/>
            <w:vAlign w:val="center"/>
          </w:tcPr>
          <w:p w14:paraId="0345D16C">
            <w:pPr>
              <w:pStyle w:val="49"/>
              <w:bidi w:val="0"/>
              <w:jc w:val="center"/>
            </w:pPr>
            <w:r>
              <w:t>种类组成与生长状况</w:t>
            </w:r>
          </w:p>
        </w:tc>
        <w:tc>
          <w:tcPr>
            <w:tcW w:w="1992" w:type="pct"/>
            <w:gridSpan w:val="3"/>
            <w:vAlign w:val="center"/>
          </w:tcPr>
          <w:p w14:paraId="72B93990">
            <w:pPr>
              <w:pStyle w:val="49"/>
              <w:bidi w:val="0"/>
              <w:jc w:val="center"/>
            </w:pPr>
            <w:r>
              <w:t>考察照片</w:t>
            </w:r>
          </w:p>
        </w:tc>
      </w:tr>
      <w:tr w14:paraId="0E84A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28EF5487">
            <w:pPr>
              <w:pStyle w:val="49"/>
              <w:bidi w:val="0"/>
              <w:jc w:val="center"/>
            </w:pPr>
            <w:r>
              <w:t>乔木层</w:t>
            </w:r>
          </w:p>
        </w:tc>
        <w:tc>
          <w:tcPr>
            <w:tcW w:w="453" w:type="pct"/>
            <w:vAlign w:val="center"/>
          </w:tcPr>
          <w:p w14:paraId="4493E21C">
            <w:pPr>
              <w:pStyle w:val="49"/>
              <w:bidi w:val="0"/>
              <w:jc w:val="center"/>
            </w:pPr>
            <w:r>
              <w:t>郁闭度0.4</w:t>
            </w:r>
          </w:p>
        </w:tc>
        <w:tc>
          <w:tcPr>
            <w:tcW w:w="2156" w:type="pct"/>
            <w:gridSpan w:val="3"/>
            <w:vAlign w:val="center"/>
          </w:tcPr>
          <w:p w14:paraId="43ECA8B3">
            <w:pPr>
              <w:pStyle w:val="49"/>
              <w:bidi w:val="0"/>
              <w:jc w:val="center"/>
            </w:pPr>
            <w:r>
              <w:t>层均高</w:t>
            </w:r>
            <w:r>
              <w:rPr>
                <w:rFonts w:hint="eastAsia"/>
              </w:rPr>
              <w:t>4</w:t>
            </w:r>
            <w:r>
              <w:t>m，优势种为马尾松（Pinusmassoniana），高2-5m，胸径3-8cm，盖度40%，主要伴生种有杉木（Cunninghamia lanceolata）。</w:t>
            </w:r>
          </w:p>
        </w:tc>
        <w:tc>
          <w:tcPr>
            <w:tcW w:w="1992" w:type="pct"/>
            <w:gridSpan w:val="3"/>
            <w:vMerge w:val="restart"/>
            <w:vAlign w:val="center"/>
          </w:tcPr>
          <w:p w14:paraId="2B566925">
            <w:pPr>
              <w:pStyle w:val="53"/>
              <w:bidi w:val="0"/>
            </w:pPr>
          </w:p>
          <w:p w14:paraId="37FE2C68">
            <w:pPr>
              <w:pStyle w:val="53"/>
              <w:bidi w:val="0"/>
            </w:pPr>
            <w:r>
              <w:drawing>
                <wp:inline distT="0" distB="0" distL="0" distR="0">
                  <wp:extent cx="2101850" cy="1940560"/>
                  <wp:effectExtent l="0" t="0" r="12700" b="2540"/>
                  <wp:docPr id="7305639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63935" name="图片 8"/>
                          <pic:cNvPicPr>
                            <a:picLocks noChangeAspect="1" noChangeArrowheads="1"/>
                          </pic:cNvPicPr>
                        </pic:nvPicPr>
                        <pic:blipFill>
                          <a:blip r:embed="rId48" cstate="print">
                            <a:extLst>
                              <a:ext uri="{28A0092B-C50C-407E-A947-70E740481C1C}">
                                <a14:useLocalDpi xmlns:a14="http://schemas.microsoft.com/office/drawing/2010/main" val="0"/>
                              </a:ext>
                            </a:extLst>
                          </a:blip>
                          <a:srcRect b="21156"/>
                          <a:stretch>
                            <a:fillRect/>
                          </a:stretch>
                        </pic:blipFill>
                        <pic:spPr>
                          <a:xfrm>
                            <a:off x="0" y="0"/>
                            <a:ext cx="2101850" cy="1940560"/>
                          </a:xfrm>
                          <a:prstGeom prst="rect">
                            <a:avLst/>
                          </a:prstGeom>
                          <a:noFill/>
                          <a:ln>
                            <a:noFill/>
                          </a:ln>
                        </pic:spPr>
                      </pic:pic>
                    </a:graphicData>
                  </a:graphic>
                </wp:inline>
              </w:drawing>
            </w:r>
          </w:p>
          <w:p w14:paraId="207E915F">
            <w:pPr>
              <w:pStyle w:val="53"/>
              <w:bidi w:val="0"/>
            </w:pPr>
          </w:p>
        </w:tc>
      </w:tr>
      <w:tr w14:paraId="6E4DE0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6B585C8">
            <w:pPr>
              <w:pStyle w:val="49"/>
              <w:bidi w:val="0"/>
              <w:jc w:val="center"/>
            </w:pPr>
            <w:r>
              <w:t>灌木层</w:t>
            </w:r>
          </w:p>
        </w:tc>
        <w:tc>
          <w:tcPr>
            <w:tcW w:w="453" w:type="pct"/>
            <w:vAlign w:val="center"/>
          </w:tcPr>
          <w:p w14:paraId="66B77602">
            <w:pPr>
              <w:pStyle w:val="49"/>
              <w:bidi w:val="0"/>
              <w:jc w:val="center"/>
            </w:pPr>
            <w:r>
              <w:t>层盖度</w:t>
            </w:r>
            <w:r>
              <w:rPr>
                <w:rFonts w:hint="eastAsia"/>
              </w:rPr>
              <w:t>2</w:t>
            </w:r>
            <w:r>
              <w:t>5%</w:t>
            </w:r>
          </w:p>
        </w:tc>
        <w:tc>
          <w:tcPr>
            <w:tcW w:w="2156" w:type="pct"/>
            <w:gridSpan w:val="3"/>
            <w:vAlign w:val="center"/>
          </w:tcPr>
          <w:p w14:paraId="4959B356">
            <w:pPr>
              <w:pStyle w:val="49"/>
              <w:bidi w:val="0"/>
              <w:jc w:val="center"/>
            </w:pPr>
            <w:r>
              <w:t>层均高1.5m，</w:t>
            </w:r>
            <w:r>
              <w:rPr>
                <w:rFonts w:hint="eastAsia"/>
              </w:rPr>
              <w:t>主要檵木、杜鹃、红背山麻秆（Alchornea trewioides）、粗叶悬钩子（Rubus alceifolius）等</w:t>
            </w:r>
            <w:r>
              <w:t>。</w:t>
            </w:r>
          </w:p>
        </w:tc>
        <w:tc>
          <w:tcPr>
            <w:tcW w:w="1992" w:type="pct"/>
            <w:gridSpan w:val="3"/>
            <w:vMerge w:val="continue"/>
            <w:vAlign w:val="center"/>
          </w:tcPr>
          <w:p w14:paraId="1DCFA91C">
            <w:pPr>
              <w:pStyle w:val="49"/>
              <w:bidi w:val="0"/>
              <w:jc w:val="center"/>
            </w:pPr>
          </w:p>
        </w:tc>
      </w:tr>
      <w:tr w14:paraId="62045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32D4F0C4">
            <w:pPr>
              <w:pStyle w:val="49"/>
              <w:bidi w:val="0"/>
              <w:jc w:val="center"/>
            </w:pPr>
            <w:r>
              <w:t>草本层</w:t>
            </w:r>
          </w:p>
        </w:tc>
        <w:tc>
          <w:tcPr>
            <w:tcW w:w="453" w:type="pct"/>
            <w:vAlign w:val="center"/>
          </w:tcPr>
          <w:p w14:paraId="6C2B37AE">
            <w:pPr>
              <w:pStyle w:val="49"/>
              <w:bidi w:val="0"/>
              <w:jc w:val="center"/>
            </w:pPr>
            <w:r>
              <w:t>层盖度</w:t>
            </w:r>
            <w:r>
              <w:rPr>
                <w:rFonts w:hint="eastAsia"/>
              </w:rPr>
              <w:t>1</w:t>
            </w:r>
            <w:r>
              <w:t>5%</w:t>
            </w:r>
          </w:p>
        </w:tc>
        <w:tc>
          <w:tcPr>
            <w:tcW w:w="2156" w:type="pct"/>
            <w:gridSpan w:val="3"/>
            <w:vAlign w:val="center"/>
          </w:tcPr>
          <w:p w14:paraId="49EBFBA2">
            <w:pPr>
              <w:pStyle w:val="49"/>
              <w:bidi w:val="0"/>
              <w:jc w:val="center"/>
            </w:pPr>
            <w:r>
              <w:t>层均高0.5m，优势种为五节芒（Miscanthusfloridulus），高0.5-1m，盖度20%，主要伴生种有芒（Miscanthus sinensis）等。</w:t>
            </w:r>
          </w:p>
        </w:tc>
        <w:tc>
          <w:tcPr>
            <w:tcW w:w="1992" w:type="pct"/>
            <w:gridSpan w:val="3"/>
            <w:vMerge w:val="continue"/>
            <w:vAlign w:val="center"/>
          </w:tcPr>
          <w:p w14:paraId="2CAE0128">
            <w:pPr>
              <w:pStyle w:val="49"/>
              <w:bidi w:val="0"/>
              <w:jc w:val="center"/>
            </w:pPr>
          </w:p>
        </w:tc>
      </w:tr>
      <w:bookmarkEnd w:id="202"/>
    </w:tbl>
    <w:p w14:paraId="3A750C6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9</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774"/>
        <w:gridCol w:w="1820"/>
        <w:gridCol w:w="1451"/>
        <w:gridCol w:w="564"/>
        <w:gridCol w:w="788"/>
        <w:gridCol w:w="1224"/>
        <w:gridCol w:w="1234"/>
      </w:tblGrid>
      <w:tr w14:paraId="072A2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restart"/>
            <w:vAlign w:val="center"/>
          </w:tcPr>
          <w:p w14:paraId="760BC894">
            <w:pPr>
              <w:pStyle w:val="49"/>
              <w:bidi w:val="0"/>
              <w:jc w:val="center"/>
            </w:pPr>
            <w:r>
              <w:t>植被类型</w:t>
            </w:r>
          </w:p>
        </w:tc>
        <w:tc>
          <w:tcPr>
            <w:tcW w:w="1519" w:type="pct"/>
            <w:gridSpan w:val="2"/>
            <w:vMerge w:val="restart"/>
            <w:vAlign w:val="center"/>
          </w:tcPr>
          <w:p w14:paraId="78D8C0CA">
            <w:pPr>
              <w:pStyle w:val="49"/>
              <w:bidi w:val="0"/>
              <w:jc w:val="center"/>
            </w:pPr>
            <w:r>
              <w:t>马尾松林（Form. Pinus massoniana）</w:t>
            </w:r>
          </w:p>
        </w:tc>
        <w:tc>
          <w:tcPr>
            <w:tcW w:w="3082" w:type="pct"/>
            <w:gridSpan w:val="5"/>
            <w:vAlign w:val="center"/>
          </w:tcPr>
          <w:p w14:paraId="189214D0">
            <w:pPr>
              <w:pStyle w:val="49"/>
              <w:bidi w:val="0"/>
              <w:jc w:val="center"/>
            </w:pPr>
            <w:r>
              <w:t>环境特征</w:t>
            </w:r>
          </w:p>
        </w:tc>
      </w:tr>
      <w:tr w14:paraId="5720FB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Merge w:val="continue"/>
            <w:vAlign w:val="center"/>
          </w:tcPr>
          <w:p w14:paraId="0949D497">
            <w:pPr>
              <w:pStyle w:val="49"/>
              <w:bidi w:val="0"/>
              <w:jc w:val="center"/>
            </w:pPr>
          </w:p>
        </w:tc>
        <w:tc>
          <w:tcPr>
            <w:tcW w:w="1519" w:type="pct"/>
            <w:gridSpan w:val="2"/>
            <w:vMerge w:val="continue"/>
            <w:vAlign w:val="center"/>
          </w:tcPr>
          <w:p w14:paraId="53C084BA">
            <w:pPr>
              <w:pStyle w:val="49"/>
              <w:bidi w:val="0"/>
              <w:jc w:val="center"/>
            </w:pPr>
          </w:p>
        </w:tc>
        <w:tc>
          <w:tcPr>
            <w:tcW w:w="850" w:type="pct"/>
            <w:vAlign w:val="center"/>
          </w:tcPr>
          <w:p w14:paraId="7D489715">
            <w:pPr>
              <w:pStyle w:val="49"/>
              <w:bidi w:val="0"/>
              <w:jc w:val="center"/>
            </w:pPr>
            <w:r>
              <w:t>地形</w:t>
            </w:r>
          </w:p>
        </w:tc>
        <w:tc>
          <w:tcPr>
            <w:tcW w:w="792" w:type="pct"/>
            <w:gridSpan w:val="2"/>
            <w:vAlign w:val="center"/>
          </w:tcPr>
          <w:p w14:paraId="1249D4C5">
            <w:pPr>
              <w:pStyle w:val="49"/>
              <w:bidi w:val="0"/>
              <w:jc w:val="center"/>
            </w:pPr>
            <w:r>
              <w:t>海拔（m）</w:t>
            </w:r>
          </w:p>
        </w:tc>
        <w:tc>
          <w:tcPr>
            <w:tcW w:w="717" w:type="pct"/>
            <w:vAlign w:val="center"/>
          </w:tcPr>
          <w:p w14:paraId="4F53F33E">
            <w:pPr>
              <w:pStyle w:val="49"/>
              <w:bidi w:val="0"/>
              <w:jc w:val="center"/>
            </w:pPr>
            <w:r>
              <w:t>坡向</w:t>
            </w:r>
          </w:p>
        </w:tc>
        <w:tc>
          <w:tcPr>
            <w:tcW w:w="723" w:type="pct"/>
            <w:vAlign w:val="center"/>
          </w:tcPr>
          <w:p w14:paraId="6B3EB52B">
            <w:pPr>
              <w:pStyle w:val="49"/>
              <w:bidi w:val="0"/>
              <w:jc w:val="center"/>
            </w:pPr>
            <w:r>
              <w:t>坡度（°）</w:t>
            </w:r>
          </w:p>
        </w:tc>
      </w:tr>
      <w:tr w14:paraId="56256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94BC22F">
            <w:pPr>
              <w:pStyle w:val="49"/>
              <w:bidi w:val="0"/>
              <w:jc w:val="center"/>
            </w:pPr>
            <w:r>
              <w:t>地点</w:t>
            </w:r>
          </w:p>
        </w:tc>
        <w:tc>
          <w:tcPr>
            <w:tcW w:w="1519" w:type="pct"/>
            <w:gridSpan w:val="2"/>
            <w:vAlign w:val="center"/>
          </w:tcPr>
          <w:p w14:paraId="64C109FB">
            <w:pPr>
              <w:pStyle w:val="49"/>
              <w:bidi w:val="0"/>
              <w:jc w:val="center"/>
              <w:rPr>
                <w:rFonts w:hint="default" w:eastAsia="宋体"/>
                <w:lang w:val="en-US" w:eastAsia="zh-CN"/>
              </w:rPr>
            </w:pPr>
            <w:r>
              <w:rPr>
                <w:rFonts w:hint="eastAsia"/>
                <w:lang w:val="en-US" w:eastAsia="zh-CN"/>
              </w:rPr>
              <w:t>水库西侧</w:t>
            </w:r>
          </w:p>
        </w:tc>
        <w:tc>
          <w:tcPr>
            <w:tcW w:w="850" w:type="pct"/>
            <w:vAlign w:val="center"/>
          </w:tcPr>
          <w:p w14:paraId="3A63A8A2">
            <w:pPr>
              <w:pStyle w:val="49"/>
              <w:bidi w:val="0"/>
              <w:jc w:val="center"/>
            </w:pPr>
            <w:r>
              <w:t>坡地</w:t>
            </w:r>
          </w:p>
        </w:tc>
        <w:tc>
          <w:tcPr>
            <w:tcW w:w="792" w:type="pct"/>
            <w:gridSpan w:val="2"/>
            <w:vAlign w:val="center"/>
          </w:tcPr>
          <w:p w14:paraId="044903C2">
            <w:pPr>
              <w:pStyle w:val="49"/>
              <w:bidi w:val="0"/>
              <w:jc w:val="center"/>
              <w:rPr>
                <w:rFonts w:hint="default" w:eastAsia="宋体"/>
                <w:lang w:val="en-US" w:eastAsia="zh-CN"/>
              </w:rPr>
            </w:pPr>
            <w:r>
              <w:rPr>
                <w:rFonts w:hint="eastAsia"/>
                <w:lang w:val="en-US" w:eastAsia="zh-CN"/>
              </w:rPr>
              <w:t>310</w:t>
            </w:r>
          </w:p>
        </w:tc>
        <w:tc>
          <w:tcPr>
            <w:tcW w:w="717" w:type="pct"/>
            <w:vAlign w:val="center"/>
          </w:tcPr>
          <w:p w14:paraId="1F616BA0">
            <w:pPr>
              <w:pStyle w:val="49"/>
              <w:bidi w:val="0"/>
              <w:jc w:val="center"/>
              <w:rPr>
                <w:rFonts w:hint="default" w:eastAsia="宋体"/>
                <w:lang w:val="en-US" w:eastAsia="zh-CN"/>
              </w:rPr>
            </w:pPr>
            <w:r>
              <w:rPr>
                <w:rFonts w:hint="eastAsia"/>
                <w:lang w:val="en-US" w:eastAsia="zh-CN"/>
              </w:rPr>
              <w:t>东</w:t>
            </w:r>
          </w:p>
        </w:tc>
        <w:tc>
          <w:tcPr>
            <w:tcW w:w="723" w:type="pct"/>
            <w:vAlign w:val="center"/>
          </w:tcPr>
          <w:p w14:paraId="2F79505E">
            <w:pPr>
              <w:pStyle w:val="49"/>
              <w:bidi w:val="0"/>
              <w:jc w:val="center"/>
              <w:rPr>
                <w:rFonts w:hint="default" w:eastAsia="宋体"/>
                <w:lang w:val="en-US" w:eastAsia="zh-CN"/>
              </w:rPr>
            </w:pPr>
            <w:r>
              <w:rPr>
                <w:rFonts w:hint="eastAsia"/>
                <w:lang w:val="en-US" w:eastAsia="zh-CN"/>
              </w:rPr>
              <w:t>14</w:t>
            </w:r>
          </w:p>
        </w:tc>
      </w:tr>
      <w:tr w14:paraId="583160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F63D9F2">
            <w:pPr>
              <w:pStyle w:val="49"/>
              <w:bidi w:val="0"/>
              <w:jc w:val="center"/>
            </w:pPr>
            <w:r>
              <w:t>经纬度</w:t>
            </w:r>
          </w:p>
        </w:tc>
        <w:tc>
          <w:tcPr>
            <w:tcW w:w="4602" w:type="pct"/>
            <w:gridSpan w:val="7"/>
            <w:vAlign w:val="center"/>
          </w:tcPr>
          <w:p w14:paraId="06FF9790">
            <w:pPr>
              <w:pStyle w:val="49"/>
              <w:bidi w:val="0"/>
              <w:jc w:val="center"/>
            </w:pPr>
            <w:r>
              <w:rPr>
                <w:rFonts w:hint="eastAsia"/>
              </w:rPr>
              <w:t>111.5936925,25.6860849</w:t>
            </w:r>
          </w:p>
        </w:tc>
      </w:tr>
      <w:tr w14:paraId="310C3F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122C6983">
            <w:pPr>
              <w:pStyle w:val="49"/>
              <w:bidi w:val="0"/>
              <w:jc w:val="center"/>
            </w:pPr>
            <w:r>
              <w:t>层次</w:t>
            </w:r>
          </w:p>
        </w:tc>
        <w:tc>
          <w:tcPr>
            <w:tcW w:w="4602" w:type="pct"/>
            <w:gridSpan w:val="7"/>
            <w:vAlign w:val="center"/>
          </w:tcPr>
          <w:p w14:paraId="40E5B75B">
            <w:pPr>
              <w:pStyle w:val="49"/>
              <w:bidi w:val="0"/>
              <w:jc w:val="center"/>
            </w:pPr>
            <w:r>
              <w:t>三层</w:t>
            </w:r>
          </w:p>
        </w:tc>
      </w:tr>
      <w:tr w14:paraId="1069E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D46B92C">
            <w:pPr>
              <w:pStyle w:val="49"/>
              <w:bidi w:val="0"/>
              <w:jc w:val="center"/>
            </w:pPr>
            <w:r>
              <w:t>分层</w:t>
            </w:r>
          </w:p>
        </w:tc>
        <w:tc>
          <w:tcPr>
            <w:tcW w:w="453" w:type="pct"/>
            <w:vAlign w:val="center"/>
          </w:tcPr>
          <w:p w14:paraId="7919196D">
            <w:pPr>
              <w:pStyle w:val="49"/>
              <w:bidi w:val="0"/>
              <w:jc w:val="center"/>
            </w:pPr>
            <w:r>
              <w:t>层盖度</w:t>
            </w:r>
          </w:p>
        </w:tc>
        <w:tc>
          <w:tcPr>
            <w:tcW w:w="2247" w:type="pct"/>
            <w:gridSpan w:val="3"/>
            <w:vAlign w:val="center"/>
          </w:tcPr>
          <w:p w14:paraId="74332A34">
            <w:pPr>
              <w:pStyle w:val="49"/>
              <w:bidi w:val="0"/>
              <w:jc w:val="center"/>
            </w:pPr>
            <w:r>
              <w:t>种类组成与生长状况</w:t>
            </w:r>
          </w:p>
        </w:tc>
        <w:tc>
          <w:tcPr>
            <w:tcW w:w="1902" w:type="pct"/>
            <w:gridSpan w:val="3"/>
            <w:vAlign w:val="center"/>
          </w:tcPr>
          <w:p w14:paraId="3BDB1308">
            <w:pPr>
              <w:pStyle w:val="49"/>
              <w:bidi w:val="0"/>
              <w:jc w:val="center"/>
            </w:pPr>
            <w:r>
              <w:t>考察照片</w:t>
            </w:r>
          </w:p>
        </w:tc>
      </w:tr>
      <w:tr w14:paraId="2A001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5CD4CF82">
            <w:pPr>
              <w:pStyle w:val="49"/>
              <w:bidi w:val="0"/>
              <w:jc w:val="center"/>
            </w:pPr>
            <w:r>
              <w:t>乔木层</w:t>
            </w:r>
          </w:p>
        </w:tc>
        <w:tc>
          <w:tcPr>
            <w:tcW w:w="774" w:type="dxa"/>
            <w:vAlign w:val="center"/>
          </w:tcPr>
          <w:p w14:paraId="5AE41928">
            <w:pPr>
              <w:pStyle w:val="53"/>
              <w:bidi w:val="0"/>
              <w:jc w:val="center"/>
            </w:pPr>
            <w:r>
              <w:t>郁闭度0.5</w:t>
            </w:r>
          </w:p>
        </w:tc>
        <w:tc>
          <w:tcPr>
            <w:tcW w:w="3835" w:type="dxa"/>
            <w:gridSpan w:val="3"/>
            <w:vAlign w:val="center"/>
          </w:tcPr>
          <w:p w14:paraId="55F3632B">
            <w:pPr>
              <w:pStyle w:val="53"/>
              <w:bidi w:val="0"/>
              <w:jc w:val="center"/>
            </w:pPr>
            <w:r>
              <w:t>乔木层均高8m，优势树种为马尾松(Pinus massoniana)，高8~13m，胸径12-25cm，盖度50%其他主要物种有毛竹</w:t>
            </w:r>
          </w:p>
          <w:p w14:paraId="69D059F3">
            <w:pPr>
              <w:pStyle w:val="53"/>
              <w:bidi w:val="0"/>
              <w:jc w:val="center"/>
            </w:pPr>
            <w:r>
              <w:t>(Phyllostachys edulis)、杉木(Cunninghamia lanceolata)、枫香(Liquidambar formosana)等。</w:t>
            </w:r>
          </w:p>
        </w:tc>
        <w:tc>
          <w:tcPr>
            <w:tcW w:w="1902" w:type="pct"/>
            <w:gridSpan w:val="3"/>
            <w:vMerge w:val="restart"/>
            <w:vAlign w:val="center"/>
          </w:tcPr>
          <w:p w14:paraId="509450DB">
            <w:pPr>
              <w:pStyle w:val="53"/>
              <w:bidi w:val="0"/>
              <w:jc w:val="center"/>
            </w:pPr>
            <w:r>
              <w:drawing>
                <wp:inline distT="0" distB="0" distL="114300" distR="114300">
                  <wp:extent cx="1952625" cy="1962785"/>
                  <wp:effectExtent l="0" t="0" r="9525" b="1841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9"/>
                          <a:stretch>
                            <a:fillRect/>
                          </a:stretch>
                        </pic:blipFill>
                        <pic:spPr>
                          <a:xfrm>
                            <a:off x="0" y="0"/>
                            <a:ext cx="1952625" cy="1962785"/>
                          </a:xfrm>
                          <a:prstGeom prst="rect">
                            <a:avLst/>
                          </a:prstGeom>
                          <a:noFill/>
                          <a:ln>
                            <a:noFill/>
                          </a:ln>
                        </pic:spPr>
                      </pic:pic>
                    </a:graphicData>
                  </a:graphic>
                </wp:inline>
              </w:drawing>
            </w:r>
          </w:p>
        </w:tc>
      </w:tr>
      <w:tr w14:paraId="7F0BBA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06ADEA92">
            <w:pPr>
              <w:pStyle w:val="49"/>
              <w:bidi w:val="0"/>
              <w:jc w:val="center"/>
            </w:pPr>
            <w:r>
              <w:t>灌木层</w:t>
            </w:r>
          </w:p>
        </w:tc>
        <w:tc>
          <w:tcPr>
            <w:tcW w:w="774" w:type="dxa"/>
            <w:vAlign w:val="center"/>
          </w:tcPr>
          <w:p w14:paraId="59AF9C0D">
            <w:pPr>
              <w:pStyle w:val="53"/>
              <w:bidi w:val="0"/>
              <w:jc w:val="center"/>
            </w:pPr>
            <w:r>
              <w:t>层盖度18%</w:t>
            </w:r>
          </w:p>
        </w:tc>
        <w:tc>
          <w:tcPr>
            <w:tcW w:w="3835" w:type="dxa"/>
            <w:gridSpan w:val="3"/>
            <w:vAlign w:val="center"/>
          </w:tcPr>
          <w:p w14:paraId="7E636E21">
            <w:pPr>
              <w:pStyle w:val="53"/>
              <w:bidi w:val="0"/>
              <w:jc w:val="center"/>
            </w:pPr>
            <w:r>
              <w:t>灌木层均高1.5m，盖度18%</w:t>
            </w:r>
            <w:r>
              <w:rPr>
                <w:rFonts w:hint="eastAsia"/>
                <w:lang w:eastAsia="zh-CN"/>
              </w:rPr>
              <w:t>，</w:t>
            </w:r>
            <w:r>
              <w:t>主要物种有檵木(Loropetalum chinense)、杜鹃(Rhododendron simsii)、</w:t>
            </w:r>
            <w:r>
              <w:rPr>
                <w:rFonts w:hint="eastAsia"/>
              </w:rPr>
              <w:t>枇杷叶紫珠</w:t>
            </w:r>
            <w:r>
              <w:rPr>
                <w:rFonts w:hint="eastAsia"/>
                <w:lang w:eastAsia="zh-CN"/>
              </w:rPr>
              <w:t>、</w:t>
            </w:r>
            <w:r>
              <w:t>(Dalbergia hupeana)等。</w:t>
            </w:r>
          </w:p>
        </w:tc>
        <w:tc>
          <w:tcPr>
            <w:tcW w:w="1902" w:type="pct"/>
            <w:gridSpan w:val="3"/>
            <w:vMerge w:val="continue"/>
            <w:vAlign w:val="center"/>
          </w:tcPr>
          <w:p w14:paraId="55C86A48">
            <w:pPr>
              <w:pStyle w:val="49"/>
              <w:bidi w:val="0"/>
              <w:jc w:val="center"/>
            </w:pPr>
          </w:p>
        </w:tc>
      </w:tr>
      <w:tr w14:paraId="4F983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7" w:type="pct"/>
            <w:vAlign w:val="center"/>
          </w:tcPr>
          <w:p w14:paraId="70E60360">
            <w:pPr>
              <w:pStyle w:val="49"/>
              <w:bidi w:val="0"/>
              <w:jc w:val="center"/>
            </w:pPr>
            <w:r>
              <w:t>草本层</w:t>
            </w:r>
          </w:p>
        </w:tc>
        <w:tc>
          <w:tcPr>
            <w:tcW w:w="774" w:type="dxa"/>
            <w:vAlign w:val="center"/>
          </w:tcPr>
          <w:p w14:paraId="5A9AFC00">
            <w:pPr>
              <w:pStyle w:val="53"/>
              <w:bidi w:val="0"/>
              <w:jc w:val="center"/>
            </w:pPr>
            <w:r>
              <w:t>层盖度</w:t>
            </w:r>
          </w:p>
          <w:p w14:paraId="60142F91">
            <w:pPr>
              <w:pStyle w:val="53"/>
              <w:bidi w:val="0"/>
              <w:jc w:val="center"/>
            </w:pPr>
            <w:r>
              <w:t>5%</w:t>
            </w:r>
          </w:p>
        </w:tc>
        <w:tc>
          <w:tcPr>
            <w:tcW w:w="3835" w:type="dxa"/>
            <w:gridSpan w:val="3"/>
            <w:vAlign w:val="center"/>
          </w:tcPr>
          <w:p w14:paraId="61C78F3A">
            <w:pPr>
              <w:pStyle w:val="53"/>
              <w:bidi w:val="0"/>
              <w:jc w:val="center"/>
            </w:pPr>
            <w:r>
              <w:t>草本层均高0.45m，优势种为悬钩子，高0.5~1m，盖度15%，其他主要物种有芒萁、商陆、苦荬菜、蕨等。</w:t>
            </w:r>
          </w:p>
        </w:tc>
        <w:tc>
          <w:tcPr>
            <w:tcW w:w="1902" w:type="pct"/>
            <w:gridSpan w:val="3"/>
            <w:vMerge w:val="continue"/>
            <w:vAlign w:val="center"/>
          </w:tcPr>
          <w:p w14:paraId="39F0948F">
            <w:pPr>
              <w:pStyle w:val="49"/>
              <w:bidi w:val="0"/>
              <w:jc w:val="center"/>
            </w:pPr>
          </w:p>
        </w:tc>
      </w:tr>
    </w:tbl>
    <w:p w14:paraId="561FB97E">
      <w:pPr>
        <w:rPr>
          <w:rFonts w:hint="default"/>
          <w:lang w:eastAsia="zh-CN"/>
        </w:rPr>
      </w:pPr>
      <w:r>
        <w:rPr>
          <w:rFonts w:hint="default"/>
          <w:lang w:eastAsia="zh-CN"/>
        </w:rPr>
        <w:t>（2）阔叶林</w:t>
      </w:r>
    </w:p>
    <w:p w14:paraId="17D94E4D">
      <w:pPr>
        <w:rPr>
          <w:rFonts w:hint="default"/>
          <w:lang w:val="en-US" w:eastAsia="zh-CN"/>
        </w:rPr>
      </w:pPr>
      <w:r>
        <w:rPr>
          <w:rFonts w:hint="default"/>
          <w:lang w:eastAsia="zh-CN"/>
        </w:rPr>
        <w:t>（a）</w:t>
      </w:r>
      <w:r>
        <w:rPr>
          <w:rFonts w:hint="eastAsia"/>
          <w:lang w:val="en-US" w:eastAsia="zh-CN"/>
        </w:rPr>
        <w:t>木荷</w:t>
      </w:r>
    </w:p>
    <w:p w14:paraId="195C708A">
      <w:pPr>
        <w:rPr>
          <w:rFonts w:hint="default"/>
          <w:lang w:eastAsia="zh-CN"/>
        </w:rPr>
      </w:pPr>
      <w:r>
        <w:rPr>
          <w:rFonts w:hint="default"/>
          <w:lang w:eastAsia="zh-CN"/>
        </w:rPr>
        <w:t>山茶科，木荷属大乔木，高可达25米，嫩枝通常无毛。喜光，幼年稍耐庇荫。其分布于浙江、福建、台湾、江西、湖南、广东、海南、广西、贵州等地。木荷既是一种优良的绿化、用材树种，又是一种较好的耐火、抗火、难燃树种。</w:t>
      </w:r>
    </w:p>
    <w:p w14:paraId="4DD6513F">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10</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673"/>
        <w:gridCol w:w="1698"/>
        <w:gridCol w:w="1296"/>
        <w:gridCol w:w="586"/>
        <w:gridCol w:w="681"/>
        <w:gridCol w:w="1405"/>
        <w:gridCol w:w="1422"/>
      </w:tblGrid>
      <w:tr w14:paraId="084396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restart"/>
            <w:vAlign w:val="center"/>
          </w:tcPr>
          <w:p w14:paraId="4AEF050C">
            <w:pPr>
              <w:pStyle w:val="53"/>
              <w:bidi w:val="0"/>
            </w:pPr>
            <w:r>
              <w:t>植被类型</w:t>
            </w:r>
          </w:p>
        </w:tc>
        <w:tc>
          <w:tcPr>
            <w:tcW w:w="1389" w:type="pct"/>
            <w:gridSpan w:val="2"/>
            <w:vMerge w:val="restart"/>
            <w:vAlign w:val="center"/>
          </w:tcPr>
          <w:p w14:paraId="6E52BB17">
            <w:pPr>
              <w:pStyle w:val="53"/>
              <w:bidi w:val="0"/>
            </w:pPr>
            <w:r>
              <w:rPr>
                <w:rFonts w:hint="eastAsia"/>
              </w:rPr>
              <w:t>木荷（</w:t>
            </w:r>
            <w:r>
              <w:t>Schima superba Gardn.et Champ.</w:t>
            </w:r>
            <w:r>
              <w:rPr>
                <w:rFonts w:hint="eastAsia"/>
              </w:rPr>
              <w:t>）</w:t>
            </w:r>
          </w:p>
        </w:tc>
        <w:tc>
          <w:tcPr>
            <w:tcW w:w="3157" w:type="pct"/>
            <w:gridSpan w:val="5"/>
          </w:tcPr>
          <w:p w14:paraId="703EA4DF">
            <w:pPr>
              <w:pStyle w:val="53"/>
              <w:bidi w:val="0"/>
            </w:pPr>
            <w:r>
              <w:t>环境特征</w:t>
            </w:r>
          </w:p>
        </w:tc>
      </w:tr>
      <w:tr w14:paraId="262CC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1BF00409">
            <w:pPr>
              <w:pStyle w:val="53"/>
              <w:bidi w:val="0"/>
            </w:pPr>
          </w:p>
        </w:tc>
        <w:tc>
          <w:tcPr>
            <w:tcW w:w="1389" w:type="pct"/>
            <w:gridSpan w:val="2"/>
            <w:vMerge w:val="continue"/>
            <w:vAlign w:val="center"/>
          </w:tcPr>
          <w:p w14:paraId="51F22847">
            <w:pPr>
              <w:pStyle w:val="53"/>
              <w:bidi w:val="0"/>
            </w:pPr>
          </w:p>
        </w:tc>
        <w:tc>
          <w:tcPr>
            <w:tcW w:w="759" w:type="pct"/>
          </w:tcPr>
          <w:p w14:paraId="7E1B7B6B">
            <w:pPr>
              <w:pStyle w:val="53"/>
              <w:bidi w:val="0"/>
            </w:pPr>
            <w:r>
              <w:t>地形</w:t>
            </w:r>
          </w:p>
        </w:tc>
        <w:tc>
          <w:tcPr>
            <w:tcW w:w="742" w:type="pct"/>
            <w:gridSpan w:val="2"/>
          </w:tcPr>
          <w:p w14:paraId="1BB5965C">
            <w:pPr>
              <w:pStyle w:val="53"/>
              <w:bidi w:val="0"/>
            </w:pPr>
            <w:r>
              <w:t>海拔（m）</w:t>
            </w:r>
          </w:p>
        </w:tc>
        <w:tc>
          <w:tcPr>
            <w:tcW w:w="823" w:type="pct"/>
          </w:tcPr>
          <w:p w14:paraId="44B7EFB3">
            <w:pPr>
              <w:pStyle w:val="53"/>
              <w:bidi w:val="0"/>
            </w:pPr>
            <w:r>
              <w:t>坡向</w:t>
            </w:r>
          </w:p>
        </w:tc>
        <w:tc>
          <w:tcPr>
            <w:tcW w:w="832" w:type="pct"/>
          </w:tcPr>
          <w:p w14:paraId="1465DA90">
            <w:pPr>
              <w:pStyle w:val="53"/>
              <w:bidi w:val="0"/>
            </w:pPr>
            <w:r>
              <w:t>坡度（°）</w:t>
            </w:r>
          </w:p>
        </w:tc>
      </w:tr>
      <w:tr w14:paraId="683867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20914FAE">
            <w:pPr>
              <w:pStyle w:val="53"/>
              <w:bidi w:val="0"/>
            </w:pPr>
            <w:r>
              <w:t>地点</w:t>
            </w:r>
          </w:p>
        </w:tc>
        <w:tc>
          <w:tcPr>
            <w:tcW w:w="1389" w:type="pct"/>
            <w:gridSpan w:val="2"/>
            <w:vAlign w:val="center"/>
          </w:tcPr>
          <w:p w14:paraId="326AF37C">
            <w:pPr>
              <w:pStyle w:val="53"/>
              <w:bidi w:val="0"/>
              <w:rPr>
                <w:rFonts w:hint="default" w:eastAsia="宋体"/>
                <w:lang w:val="en-US" w:eastAsia="zh-CN"/>
              </w:rPr>
            </w:pPr>
            <w:r>
              <w:rPr>
                <w:rFonts w:hint="eastAsia"/>
                <w:lang w:val="en-US" w:eastAsia="zh-CN"/>
              </w:rPr>
              <w:t>大坝南侧</w:t>
            </w:r>
          </w:p>
        </w:tc>
        <w:tc>
          <w:tcPr>
            <w:tcW w:w="759" w:type="pct"/>
            <w:vAlign w:val="center"/>
          </w:tcPr>
          <w:p w14:paraId="6962BA29">
            <w:pPr>
              <w:pStyle w:val="53"/>
              <w:bidi w:val="0"/>
            </w:pPr>
            <w:r>
              <w:t>坡地</w:t>
            </w:r>
          </w:p>
        </w:tc>
        <w:tc>
          <w:tcPr>
            <w:tcW w:w="742" w:type="pct"/>
            <w:gridSpan w:val="2"/>
            <w:vAlign w:val="center"/>
          </w:tcPr>
          <w:p w14:paraId="1E223FD9">
            <w:pPr>
              <w:pStyle w:val="53"/>
              <w:bidi w:val="0"/>
              <w:rPr>
                <w:rFonts w:hint="default" w:eastAsia="宋体"/>
                <w:lang w:val="en-US" w:eastAsia="zh-CN"/>
              </w:rPr>
            </w:pPr>
            <w:r>
              <w:rPr>
                <w:rFonts w:hint="eastAsia"/>
                <w:lang w:val="en-US" w:eastAsia="zh-CN"/>
              </w:rPr>
              <w:t>259</w:t>
            </w:r>
          </w:p>
        </w:tc>
        <w:tc>
          <w:tcPr>
            <w:tcW w:w="823" w:type="pct"/>
            <w:vAlign w:val="center"/>
          </w:tcPr>
          <w:p w14:paraId="1F0AF874">
            <w:pPr>
              <w:pStyle w:val="53"/>
              <w:bidi w:val="0"/>
              <w:rPr>
                <w:rFonts w:hint="eastAsia" w:eastAsia="宋体"/>
                <w:lang w:val="en-US" w:eastAsia="zh-CN"/>
              </w:rPr>
            </w:pPr>
            <w:r>
              <w:rPr>
                <w:rFonts w:hint="eastAsia"/>
                <w:lang w:val="en-US" w:eastAsia="zh-CN"/>
              </w:rPr>
              <w:t>西</w:t>
            </w:r>
          </w:p>
        </w:tc>
        <w:tc>
          <w:tcPr>
            <w:tcW w:w="832" w:type="pct"/>
            <w:vAlign w:val="center"/>
          </w:tcPr>
          <w:p w14:paraId="2716A9CC">
            <w:pPr>
              <w:pStyle w:val="53"/>
              <w:bidi w:val="0"/>
              <w:rPr>
                <w:rFonts w:hint="default" w:eastAsia="宋体"/>
                <w:lang w:val="en-US" w:eastAsia="zh-CN"/>
              </w:rPr>
            </w:pPr>
            <w:r>
              <w:rPr>
                <w:rFonts w:hint="eastAsia"/>
                <w:lang w:val="en-US" w:eastAsia="zh-CN"/>
              </w:rPr>
              <w:t>8</w:t>
            </w:r>
          </w:p>
        </w:tc>
      </w:tr>
      <w:tr w14:paraId="0F1B85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1679EA26">
            <w:pPr>
              <w:pStyle w:val="53"/>
              <w:bidi w:val="0"/>
            </w:pPr>
            <w:r>
              <w:t>经纬度</w:t>
            </w:r>
          </w:p>
        </w:tc>
        <w:tc>
          <w:tcPr>
            <w:tcW w:w="4546" w:type="pct"/>
            <w:gridSpan w:val="7"/>
            <w:vAlign w:val="center"/>
          </w:tcPr>
          <w:p w14:paraId="67171834">
            <w:pPr>
              <w:pStyle w:val="53"/>
              <w:bidi w:val="0"/>
            </w:pPr>
            <w:r>
              <w:rPr>
                <w:rFonts w:hint="eastAsia"/>
              </w:rPr>
              <w:t>111.5946487,25.6766798</w:t>
            </w:r>
          </w:p>
        </w:tc>
      </w:tr>
      <w:tr w14:paraId="4344E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A89834F">
            <w:pPr>
              <w:pStyle w:val="53"/>
              <w:bidi w:val="0"/>
            </w:pPr>
            <w:r>
              <w:t>层次</w:t>
            </w:r>
          </w:p>
        </w:tc>
        <w:tc>
          <w:tcPr>
            <w:tcW w:w="4546" w:type="pct"/>
            <w:gridSpan w:val="7"/>
            <w:vAlign w:val="center"/>
          </w:tcPr>
          <w:p w14:paraId="66365A0D">
            <w:pPr>
              <w:pStyle w:val="53"/>
              <w:bidi w:val="0"/>
            </w:pPr>
            <w:r>
              <w:t>三层</w:t>
            </w:r>
          </w:p>
        </w:tc>
      </w:tr>
      <w:tr w14:paraId="3568D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DE65EB4">
            <w:pPr>
              <w:pStyle w:val="53"/>
              <w:bidi w:val="0"/>
            </w:pPr>
            <w:r>
              <w:t>分层</w:t>
            </w:r>
          </w:p>
        </w:tc>
        <w:tc>
          <w:tcPr>
            <w:tcW w:w="394" w:type="pct"/>
            <w:vAlign w:val="center"/>
          </w:tcPr>
          <w:p w14:paraId="67E5CA0B">
            <w:pPr>
              <w:pStyle w:val="53"/>
              <w:bidi w:val="0"/>
            </w:pPr>
            <w:r>
              <w:t>层盖度</w:t>
            </w:r>
          </w:p>
        </w:tc>
        <w:tc>
          <w:tcPr>
            <w:tcW w:w="2097" w:type="pct"/>
            <w:gridSpan w:val="3"/>
            <w:vAlign w:val="center"/>
          </w:tcPr>
          <w:p w14:paraId="72139CEA">
            <w:pPr>
              <w:pStyle w:val="53"/>
              <w:bidi w:val="0"/>
            </w:pPr>
            <w:r>
              <w:t>种类组成与生长状况</w:t>
            </w:r>
          </w:p>
        </w:tc>
        <w:tc>
          <w:tcPr>
            <w:tcW w:w="2054" w:type="pct"/>
            <w:gridSpan w:val="3"/>
            <w:vAlign w:val="center"/>
          </w:tcPr>
          <w:p w14:paraId="29104FDA">
            <w:pPr>
              <w:pStyle w:val="53"/>
              <w:bidi w:val="0"/>
            </w:pPr>
            <w:r>
              <w:t>考察照片</w:t>
            </w:r>
          </w:p>
        </w:tc>
      </w:tr>
      <w:tr w14:paraId="5A452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9F39ED3">
            <w:pPr>
              <w:pStyle w:val="53"/>
              <w:bidi w:val="0"/>
            </w:pPr>
            <w:r>
              <w:t>乔木层</w:t>
            </w:r>
          </w:p>
        </w:tc>
        <w:tc>
          <w:tcPr>
            <w:tcW w:w="394" w:type="pct"/>
            <w:vAlign w:val="center"/>
          </w:tcPr>
          <w:p w14:paraId="2B8F9300">
            <w:pPr>
              <w:pStyle w:val="53"/>
              <w:bidi w:val="0"/>
            </w:pPr>
            <w:r>
              <w:t>郁闭度0.</w:t>
            </w:r>
            <w:r>
              <w:rPr>
                <w:rFonts w:hint="eastAsia"/>
              </w:rPr>
              <w:t>5</w:t>
            </w:r>
          </w:p>
        </w:tc>
        <w:tc>
          <w:tcPr>
            <w:tcW w:w="2097" w:type="pct"/>
            <w:gridSpan w:val="3"/>
            <w:vAlign w:val="center"/>
          </w:tcPr>
          <w:p w14:paraId="414FD815">
            <w:pPr>
              <w:pStyle w:val="53"/>
              <w:bidi w:val="0"/>
            </w:pPr>
            <w:r>
              <w:t>层均高</w:t>
            </w:r>
            <w:r>
              <w:rPr>
                <w:rFonts w:hint="eastAsia"/>
              </w:rPr>
              <w:t>8</w:t>
            </w:r>
            <w:r>
              <w:t>m，</w:t>
            </w:r>
            <w:r>
              <w:rPr>
                <w:rFonts w:hint="eastAsia"/>
              </w:rPr>
              <w:t>优势种为木荷（</w:t>
            </w:r>
            <w:r>
              <w:t>Schima superba Gardn.et Champ.</w:t>
            </w:r>
            <w:r>
              <w:rPr>
                <w:rFonts w:hint="eastAsia"/>
              </w:rPr>
              <w:t>），高约10~15m，胸径11~25cm，盖度50~60%，主要伴生种杉木、黧蒴锥等。</w:t>
            </w:r>
          </w:p>
        </w:tc>
        <w:tc>
          <w:tcPr>
            <w:tcW w:w="2054" w:type="pct"/>
            <w:gridSpan w:val="3"/>
            <w:vMerge w:val="restart"/>
            <w:vAlign w:val="center"/>
          </w:tcPr>
          <w:p w14:paraId="0A1C4810">
            <w:pPr>
              <w:pStyle w:val="53"/>
              <w:bidi w:val="0"/>
            </w:pPr>
            <w:r>
              <w:drawing>
                <wp:inline distT="0" distB="0" distL="0" distR="0">
                  <wp:extent cx="1939290" cy="2265045"/>
                  <wp:effectExtent l="0" t="0" r="3810" b="1905"/>
                  <wp:docPr id="16543125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12589" name="图片 25"/>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200000"/>
                                    </a14:imgEffect>
                                  </a14:imgLayer>
                                </a14:imgProps>
                              </a:ext>
                              <a:ext uri="{28A0092B-C50C-407E-A947-70E740481C1C}">
                                <a14:useLocalDpi xmlns:a14="http://schemas.microsoft.com/office/drawing/2010/main" val="0"/>
                              </a:ext>
                            </a:extLst>
                          </a:blip>
                          <a:srcRect t="7255"/>
                          <a:stretch>
                            <a:fillRect/>
                          </a:stretch>
                        </pic:blipFill>
                        <pic:spPr>
                          <a:xfrm>
                            <a:off x="0" y="0"/>
                            <a:ext cx="1939290" cy="2265045"/>
                          </a:xfrm>
                          <a:prstGeom prst="rect">
                            <a:avLst/>
                          </a:prstGeom>
                          <a:noFill/>
                          <a:ln>
                            <a:noFill/>
                          </a:ln>
                        </pic:spPr>
                      </pic:pic>
                    </a:graphicData>
                  </a:graphic>
                </wp:inline>
              </w:drawing>
            </w:r>
          </w:p>
        </w:tc>
      </w:tr>
      <w:tr w14:paraId="08C29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A938154">
            <w:pPr>
              <w:pStyle w:val="53"/>
              <w:bidi w:val="0"/>
            </w:pPr>
            <w:r>
              <w:t>灌木层</w:t>
            </w:r>
          </w:p>
        </w:tc>
        <w:tc>
          <w:tcPr>
            <w:tcW w:w="394" w:type="pct"/>
            <w:vAlign w:val="center"/>
          </w:tcPr>
          <w:p w14:paraId="5324C0E0">
            <w:pPr>
              <w:pStyle w:val="53"/>
              <w:bidi w:val="0"/>
            </w:pPr>
            <w:r>
              <w:t>层盖度</w:t>
            </w:r>
            <w:r>
              <w:rPr>
                <w:rFonts w:hint="eastAsia"/>
              </w:rPr>
              <w:t>2</w:t>
            </w:r>
            <w:r>
              <w:t>5%</w:t>
            </w:r>
          </w:p>
        </w:tc>
        <w:tc>
          <w:tcPr>
            <w:tcW w:w="2097" w:type="pct"/>
            <w:gridSpan w:val="3"/>
            <w:vAlign w:val="center"/>
          </w:tcPr>
          <w:p w14:paraId="4A325FEE">
            <w:pPr>
              <w:pStyle w:val="53"/>
              <w:bidi w:val="0"/>
            </w:pPr>
            <w:r>
              <w:t>层均高</w:t>
            </w:r>
            <w:r>
              <w:rPr>
                <w:rFonts w:hint="eastAsia"/>
              </w:rPr>
              <w:t>2</w:t>
            </w:r>
            <w:r>
              <w:t>m，</w:t>
            </w:r>
            <w:r>
              <w:rPr>
                <w:rFonts w:hint="eastAsia"/>
              </w:rPr>
              <w:t>主要檵木、盐肤木、构棘（Maclura cochinchinensis）等</w:t>
            </w:r>
            <w:r>
              <w:t>。</w:t>
            </w:r>
          </w:p>
        </w:tc>
        <w:tc>
          <w:tcPr>
            <w:tcW w:w="2054" w:type="pct"/>
            <w:gridSpan w:val="3"/>
            <w:vMerge w:val="continue"/>
            <w:vAlign w:val="center"/>
          </w:tcPr>
          <w:p w14:paraId="148F6D35">
            <w:pPr>
              <w:pStyle w:val="53"/>
              <w:bidi w:val="0"/>
            </w:pPr>
          </w:p>
        </w:tc>
      </w:tr>
      <w:tr w14:paraId="3F68A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63943363">
            <w:pPr>
              <w:pStyle w:val="53"/>
              <w:bidi w:val="0"/>
            </w:pPr>
            <w:r>
              <w:t>草本层</w:t>
            </w:r>
          </w:p>
        </w:tc>
        <w:tc>
          <w:tcPr>
            <w:tcW w:w="394" w:type="pct"/>
            <w:vAlign w:val="center"/>
          </w:tcPr>
          <w:p w14:paraId="6D1F7894">
            <w:pPr>
              <w:pStyle w:val="53"/>
              <w:bidi w:val="0"/>
            </w:pPr>
            <w:r>
              <w:t>层盖度</w:t>
            </w:r>
            <w:r>
              <w:rPr>
                <w:rFonts w:hint="eastAsia"/>
              </w:rPr>
              <w:t>1</w:t>
            </w:r>
            <w:r>
              <w:t>5%</w:t>
            </w:r>
          </w:p>
        </w:tc>
        <w:tc>
          <w:tcPr>
            <w:tcW w:w="2097" w:type="pct"/>
            <w:gridSpan w:val="3"/>
            <w:vAlign w:val="center"/>
          </w:tcPr>
          <w:p w14:paraId="5F9B3A50">
            <w:pPr>
              <w:pStyle w:val="53"/>
              <w:bidi w:val="0"/>
            </w:pPr>
            <w:r>
              <w:rPr>
                <w:rFonts w:hint="eastAsia"/>
              </w:rPr>
              <w:t>层高约0.5~1.2m。优势种为五节芒，高约0.5~1.2m，盖度15%，主要伴生种为白茅（Imperatacylindrica）、欧洲蕨。</w:t>
            </w:r>
          </w:p>
        </w:tc>
        <w:tc>
          <w:tcPr>
            <w:tcW w:w="2054" w:type="pct"/>
            <w:gridSpan w:val="3"/>
            <w:vMerge w:val="continue"/>
            <w:vAlign w:val="center"/>
          </w:tcPr>
          <w:p w14:paraId="5586A634">
            <w:pPr>
              <w:pStyle w:val="53"/>
              <w:bidi w:val="0"/>
            </w:pPr>
          </w:p>
        </w:tc>
      </w:tr>
    </w:tbl>
    <w:p w14:paraId="08EAE132">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11</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611"/>
        <w:gridCol w:w="1636"/>
        <w:gridCol w:w="1235"/>
        <w:gridCol w:w="525"/>
        <w:gridCol w:w="741"/>
        <w:gridCol w:w="1528"/>
        <w:gridCol w:w="1547"/>
      </w:tblGrid>
      <w:tr w14:paraId="0A340E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restart"/>
            <w:vAlign w:val="center"/>
          </w:tcPr>
          <w:p w14:paraId="4615DCC2">
            <w:pPr>
              <w:pStyle w:val="53"/>
              <w:bidi w:val="0"/>
            </w:pPr>
            <w:r>
              <w:t>植被类型</w:t>
            </w:r>
          </w:p>
        </w:tc>
        <w:tc>
          <w:tcPr>
            <w:tcW w:w="1389" w:type="pct"/>
            <w:gridSpan w:val="2"/>
            <w:vMerge w:val="restart"/>
            <w:vAlign w:val="center"/>
          </w:tcPr>
          <w:p w14:paraId="5BDB55FE">
            <w:pPr>
              <w:pStyle w:val="53"/>
              <w:bidi w:val="0"/>
            </w:pPr>
            <w:r>
              <w:rPr>
                <w:rFonts w:hint="eastAsia"/>
              </w:rPr>
              <w:t>木荷（</w:t>
            </w:r>
            <w:r>
              <w:t>Schima superba Gardn.et Champ.</w:t>
            </w:r>
            <w:r>
              <w:rPr>
                <w:rFonts w:hint="eastAsia"/>
              </w:rPr>
              <w:t>）</w:t>
            </w:r>
          </w:p>
        </w:tc>
        <w:tc>
          <w:tcPr>
            <w:tcW w:w="3158" w:type="pct"/>
            <w:gridSpan w:val="5"/>
          </w:tcPr>
          <w:p w14:paraId="387D43D0">
            <w:pPr>
              <w:pStyle w:val="53"/>
              <w:bidi w:val="0"/>
            </w:pPr>
            <w:r>
              <w:t>环境特征</w:t>
            </w:r>
          </w:p>
        </w:tc>
      </w:tr>
      <w:tr w14:paraId="66268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vAlign w:val="center"/>
          </w:tcPr>
          <w:p w14:paraId="3D340C0C">
            <w:pPr>
              <w:pStyle w:val="53"/>
              <w:bidi w:val="0"/>
            </w:pPr>
          </w:p>
        </w:tc>
        <w:tc>
          <w:tcPr>
            <w:tcW w:w="1389" w:type="pct"/>
            <w:gridSpan w:val="2"/>
            <w:vMerge w:val="continue"/>
            <w:vAlign w:val="center"/>
          </w:tcPr>
          <w:p w14:paraId="27198372">
            <w:pPr>
              <w:pStyle w:val="53"/>
              <w:bidi w:val="0"/>
            </w:pPr>
          </w:p>
        </w:tc>
        <w:tc>
          <w:tcPr>
            <w:tcW w:w="759" w:type="pct"/>
          </w:tcPr>
          <w:p w14:paraId="072DF253">
            <w:pPr>
              <w:pStyle w:val="53"/>
              <w:bidi w:val="0"/>
            </w:pPr>
            <w:r>
              <w:t>地形</w:t>
            </w:r>
          </w:p>
        </w:tc>
        <w:tc>
          <w:tcPr>
            <w:tcW w:w="742" w:type="pct"/>
            <w:gridSpan w:val="2"/>
          </w:tcPr>
          <w:p w14:paraId="3833A328">
            <w:pPr>
              <w:pStyle w:val="53"/>
              <w:bidi w:val="0"/>
            </w:pPr>
            <w:r>
              <w:t>海拔（m）</w:t>
            </w:r>
          </w:p>
        </w:tc>
        <w:tc>
          <w:tcPr>
            <w:tcW w:w="823" w:type="pct"/>
          </w:tcPr>
          <w:p w14:paraId="4F89E55E">
            <w:pPr>
              <w:pStyle w:val="53"/>
              <w:bidi w:val="0"/>
            </w:pPr>
            <w:r>
              <w:t>坡向</w:t>
            </w:r>
          </w:p>
        </w:tc>
        <w:tc>
          <w:tcPr>
            <w:tcW w:w="833" w:type="pct"/>
          </w:tcPr>
          <w:p w14:paraId="293463EE">
            <w:pPr>
              <w:pStyle w:val="53"/>
              <w:bidi w:val="0"/>
            </w:pPr>
            <w:r>
              <w:t>坡度（°）</w:t>
            </w:r>
          </w:p>
        </w:tc>
      </w:tr>
      <w:tr w14:paraId="773759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2E286496">
            <w:pPr>
              <w:pStyle w:val="53"/>
              <w:bidi w:val="0"/>
            </w:pPr>
            <w:r>
              <w:t>地点</w:t>
            </w:r>
          </w:p>
        </w:tc>
        <w:tc>
          <w:tcPr>
            <w:tcW w:w="1389" w:type="pct"/>
            <w:gridSpan w:val="2"/>
            <w:shd w:val="clear" w:color="auto" w:fill="auto"/>
            <w:vAlign w:val="center"/>
          </w:tcPr>
          <w:p w14:paraId="780B9355">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大坝施工期东侧</w:t>
            </w:r>
          </w:p>
        </w:tc>
        <w:tc>
          <w:tcPr>
            <w:tcW w:w="759" w:type="pct"/>
            <w:shd w:val="clear" w:color="auto" w:fill="auto"/>
            <w:vAlign w:val="center"/>
          </w:tcPr>
          <w:p w14:paraId="46876CCA">
            <w:pPr>
              <w:pStyle w:val="53"/>
              <w:bidi w:val="0"/>
              <w:ind w:left="0" w:leftChars="0" w:firstLine="0" w:firstLineChars="0"/>
              <w:rPr>
                <w:rFonts w:ascii="Times New Roman" w:hAnsi="Times New Roman" w:eastAsia="宋体" w:cs="宋体"/>
                <w:kern w:val="2"/>
                <w:sz w:val="21"/>
                <w:szCs w:val="20"/>
                <w:lang w:val="en-US" w:eastAsia="zh-CN" w:bidi="ar-SA"/>
              </w:rPr>
            </w:pPr>
            <w:r>
              <w:t>坡地</w:t>
            </w:r>
          </w:p>
        </w:tc>
        <w:tc>
          <w:tcPr>
            <w:tcW w:w="742" w:type="pct"/>
            <w:gridSpan w:val="2"/>
            <w:shd w:val="clear" w:color="auto" w:fill="auto"/>
            <w:vAlign w:val="center"/>
          </w:tcPr>
          <w:p w14:paraId="2A7DFA0C">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256</w:t>
            </w:r>
          </w:p>
        </w:tc>
        <w:tc>
          <w:tcPr>
            <w:tcW w:w="823" w:type="pct"/>
            <w:shd w:val="clear" w:color="auto" w:fill="auto"/>
            <w:vAlign w:val="center"/>
          </w:tcPr>
          <w:p w14:paraId="31D7EB62">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cs="宋体"/>
                <w:kern w:val="2"/>
                <w:sz w:val="21"/>
                <w:szCs w:val="20"/>
                <w:lang w:val="en-US" w:eastAsia="zh-CN" w:bidi="ar-SA"/>
              </w:rPr>
              <w:t>西</w:t>
            </w:r>
          </w:p>
        </w:tc>
        <w:tc>
          <w:tcPr>
            <w:tcW w:w="833" w:type="pct"/>
            <w:shd w:val="clear" w:color="auto" w:fill="auto"/>
            <w:vAlign w:val="center"/>
          </w:tcPr>
          <w:p w14:paraId="5CB5EE05">
            <w:pPr>
              <w:pStyle w:val="53"/>
              <w:bidi w:val="0"/>
              <w:ind w:left="0" w:leftChars="0" w:firstLine="0" w:firstLineChars="0"/>
              <w:rPr>
                <w:rFonts w:hint="default" w:ascii="Times New Roman" w:hAnsi="Times New Roman" w:eastAsia="宋体" w:cs="宋体"/>
                <w:kern w:val="2"/>
                <w:sz w:val="21"/>
                <w:szCs w:val="20"/>
                <w:lang w:val="en-US" w:eastAsia="zh-CN" w:bidi="ar-SA"/>
              </w:rPr>
            </w:pPr>
            <w:r>
              <w:rPr>
                <w:rFonts w:hint="eastAsia"/>
                <w:lang w:val="en-US" w:eastAsia="zh-CN"/>
              </w:rPr>
              <w:t>10</w:t>
            </w:r>
          </w:p>
        </w:tc>
      </w:tr>
      <w:tr w14:paraId="049D3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307E7358">
            <w:pPr>
              <w:pStyle w:val="53"/>
              <w:bidi w:val="0"/>
            </w:pPr>
            <w:r>
              <w:t>经纬度</w:t>
            </w:r>
          </w:p>
        </w:tc>
        <w:tc>
          <w:tcPr>
            <w:tcW w:w="4547" w:type="pct"/>
            <w:gridSpan w:val="7"/>
            <w:shd w:val="clear" w:color="auto" w:fill="auto"/>
            <w:vAlign w:val="center"/>
          </w:tcPr>
          <w:p w14:paraId="5739932D">
            <w:pPr>
              <w:pStyle w:val="53"/>
              <w:bidi w:val="0"/>
              <w:ind w:left="0" w:leftChars="0" w:firstLine="0" w:firstLineChars="0"/>
              <w:rPr>
                <w:rFonts w:ascii="Times New Roman" w:hAnsi="Times New Roman" w:eastAsia="宋体" w:cs="宋体"/>
                <w:kern w:val="2"/>
                <w:sz w:val="21"/>
                <w:szCs w:val="20"/>
                <w:lang w:val="en-US" w:eastAsia="zh-CN" w:bidi="ar-SA"/>
              </w:rPr>
            </w:pPr>
            <w:r>
              <w:rPr>
                <w:rFonts w:hint="eastAsia"/>
              </w:rPr>
              <w:t>111.595426</w:t>
            </w:r>
            <w:r>
              <w:rPr>
                <w:rFonts w:hint="eastAsia"/>
                <w:lang w:val="en-US" w:eastAsia="zh-CN"/>
              </w:rPr>
              <w:t>6</w:t>
            </w:r>
            <w:r>
              <w:rPr>
                <w:rFonts w:hint="eastAsia"/>
              </w:rPr>
              <w:t>,25.6765953</w:t>
            </w:r>
          </w:p>
        </w:tc>
      </w:tr>
      <w:tr w14:paraId="7DE66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41D94B32">
            <w:pPr>
              <w:pStyle w:val="53"/>
              <w:bidi w:val="0"/>
            </w:pPr>
            <w:r>
              <w:t>层次</w:t>
            </w:r>
          </w:p>
        </w:tc>
        <w:tc>
          <w:tcPr>
            <w:tcW w:w="4547" w:type="pct"/>
            <w:gridSpan w:val="7"/>
            <w:vAlign w:val="center"/>
          </w:tcPr>
          <w:p w14:paraId="0556001F">
            <w:pPr>
              <w:pStyle w:val="53"/>
              <w:bidi w:val="0"/>
            </w:pPr>
            <w:r>
              <w:t>三层</w:t>
            </w:r>
          </w:p>
        </w:tc>
      </w:tr>
      <w:tr w14:paraId="161D7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49A2F63E">
            <w:pPr>
              <w:pStyle w:val="53"/>
              <w:bidi w:val="0"/>
            </w:pPr>
            <w:r>
              <w:t>分层</w:t>
            </w:r>
          </w:p>
        </w:tc>
        <w:tc>
          <w:tcPr>
            <w:tcW w:w="394" w:type="pct"/>
            <w:vAlign w:val="center"/>
          </w:tcPr>
          <w:p w14:paraId="7EB31AF8">
            <w:pPr>
              <w:pStyle w:val="53"/>
              <w:bidi w:val="0"/>
            </w:pPr>
            <w:r>
              <w:t>层盖度</w:t>
            </w:r>
          </w:p>
        </w:tc>
        <w:tc>
          <w:tcPr>
            <w:tcW w:w="2097" w:type="pct"/>
            <w:gridSpan w:val="3"/>
            <w:vAlign w:val="center"/>
          </w:tcPr>
          <w:p w14:paraId="115F6CD0">
            <w:pPr>
              <w:pStyle w:val="53"/>
              <w:bidi w:val="0"/>
            </w:pPr>
            <w:r>
              <w:t>种类组成与生长状况</w:t>
            </w:r>
          </w:p>
        </w:tc>
        <w:tc>
          <w:tcPr>
            <w:tcW w:w="2055" w:type="pct"/>
            <w:gridSpan w:val="3"/>
            <w:vAlign w:val="center"/>
          </w:tcPr>
          <w:p w14:paraId="42ADB902">
            <w:pPr>
              <w:pStyle w:val="53"/>
              <w:bidi w:val="0"/>
            </w:pPr>
            <w:r>
              <w:t>考察照片</w:t>
            </w:r>
          </w:p>
        </w:tc>
      </w:tr>
      <w:tr w14:paraId="35C3F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191E54F6">
            <w:pPr>
              <w:pStyle w:val="53"/>
              <w:bidi w:val="0"/>
            </w:pPr>
            <w:r>
              <w:t>乔木层</w:t>
            </w:r>
          </w:p>
        </w:tc>
        <w:tc>
          <w:tcPr>
            <w:tcW w:w="394" w:type="pct"/>
            <w:shd w:val="clear" w:color="auto" w:fill="auto"/>
            <w:vAlign w:val="center"/>
          </w:tcPr>
          <w:p w14:paraId="7CC77CFC">
            <w:pPr>
              <w:pStyle w:val="53"/>
              <w:bidi w:val="0"/>
              <w:ind w:left="0" w:leftChars="0" w:firstLine="0" w:firstLineChars="0"/>
              <w:jc w:val="center"/>
              <w:rPr>
                <w:rFonts w:hint="eastAsia" w:ascii="Times New Roman" w:hAnsi="Times New Roman" w:eastAsia="宋体" w:cs="宋体"/>
                <w:kern w:val="2"/>
                <w:sz w:val="21"/>
                <w:szCs w:val="20"/>
                <w:lang w:val="en-US" w:eastAsia="zh-CN" w:bidi="ar-SA"/>
              </w:rPr>
            </w:pPr>
            <w:r>
              <w:t>郁闭度0.</w:t>
            </w:r>
            <w:r>
              <w:rPr>
                <w:rFonts w:hint="eastAsia"/>
                <w:lang w:val="en-US" w:eastAsia="zh-CN"/>
              </w:rPr>
              <w:t>3</w:t>
            </w:r>
          </w:p>
        </w:tc>
        <w:tc>
          <w:tcPr>
            <w:tcW w:w="2097" w:type="pct"/>
            <w:gridSpan w:val="3"/>
            <w:shd w:val="clear" w:color="auto" w:fill="auto"/>
            <w:vAlign w:val="center"/>
          </w:tcPr>
          <w:p w14:paraId="0E9F0893">
            <w:pPr>
              <w:pStyle w:val="53"/>
              <w:bidi w:val="0"/>
              <w:ind w:left="0" w:leftChars="0" w:firstLine="0" w:firstLineChars="0"/>
              <w:jc w:val="center"/>
              <w:rPr>
                <w:rFonts w:ascii="Times New Roman" w:hAnsi="Times New Roman" w:eastAsia="宋体" w:cs="宋体"/>
                <w:kern w:val="2"/>
                <w:sz w:val="21"/>
                <w:szCs w:val="20"/>
                <w:lang w:val="en-US" w:eastAsia="zh-CN" w:bidi="ar-SA"/>
              </w:rPr>
            </w:pPr>
            <w:r>
              <w:t>乔木层均高</w:t>
            </w:r>
            <w:r>
              <w:rPr>
                <w:rFonts w:hint="eastAsia"/>
                <w:lang w:val="en-US" w:eastAsia="zh-CN"/>
              </w:rPr>
              <w:t>4</w:t>
            </w:r>
            <w:r>
              <w:t>m，优势树种为</w:t>
            </w:r>
            <w:r>
              <w:rPr>
                <w:rFonts w:hint="eastAsia"/>
                <w:lang w:val="en-US" w:eastAsia="zh-CN"/>
              </w:rPr>
              <w:t>木荷</w:t>
            </w:r>
            <w:r>
              <w:t>(Pinus massoniana)，高</w:t>
            </w:r>
            <w:r>
              <w:rPr>
                <w:rFonts w:hint="eastAsia"/>
                <w:lang w:val="en-US" w:eastAsia="zh-CN"/>
              </w:rPr>
              <w:t>4-6</w:t>
            </w:r>
            <w:r>
              <w:t>m，胸径12-25cm，盖度</w:t>
            </w:r>
            <w:r>
              <w:rPr>
                <w:rFonts w:hint="eastAsia"/>
                <w:lang w:val="en-US" w:eastAsia="zh-CN"/>
              </w:rPr>
              <w:t>30</w:t>
            </w:r>
            <w:r>
              <w:t>0%其他主要物种有枫香(Liquidambar formosana)等。</w:t>
            </w:r>
          </w:p>
        </w:tc>
        <w:tc>
          <w:tcPr>
            <w:tcW w:w="2055" w:type="pct"/>
            <w:gridSpan w:val="3"/>
            <w:vMerge w:val="restart"/>
            <w:vAlign w:val="center"/>
          </w:tcPr>
          <w:p w14:paraId="417307AB">
            <w:pPr>
              <w:pStyle w:val="53"/>
              <w:bidi w:val="0"/>
            </w:pPr>
          </w:p>
          <w:p w14:paraId="39A17E6C">
            <w:pPr>
              <w:pStyle w:val="53"/>
              <w:bidi w:val="0"/>
            </w:pPr>
            <w:r>
              <w:drawing>
                <wp:inline distT="0" distB="0" distL="114300" distR="114300">
                  <wp:extent cx="2273300" cy="2296795"/>
                  <wp:effectExtent l="0" t="0" r="12700" b="825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52"/>
                          <a:stretch>
                            <a:fillRect/>
                          </a:stretch>
                        </pic:blipFill>
                        <pic:spPr>
                          <a:xfrm>
                            <a:off x="0" y="0"/>
                            <a:ext cx="2273300" cy="2296795"/>
                          </a:xfrm>
                          <a:prstGeom prst="rect">
                            <a:avLst/>
                          </a:prstGeom>
                          <a:noFill/>
                          <a:ln>
                            <a:noFill/>
                          </a:ln>
                        </pic:spPr>
                      </pic:pic>
                    </a:graphicData>
                  </a:graphic>
                </wp:inline>
              </w:drawing>
            </w:r>
          </w:p>
        </w:tc>
      </w:tr>
      <w:tr w14:paraId="46C79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0AB43361">
            <w:pPr>
              <w:pStyle w:val="53"/>
              <w:bidi w:val="0"/>
            </w:pPr>
            <w:r>
              <w:t>灌木层</w:t>
            </w:r>
          </w:p>
        </w:tc>
        <w:tc>
          <w:tcPr>
            <w:tcW w:w="394" w:type="pct"/>
            <w:shd w:val="clear" w:color="auto" w:fill="auto"/>
            <w:vAlign w:val="center"/>
          </w:tcPr>
          <w:p w14:paraId="28E28C88">
            <w:pPr>
              <w:pStyle w:val="53"/>
              <w:bidi w:val="0"/>
              <w:ind w:left="0" w:leftChars="0" w:firstLine="0" w:firstLineChars="0"/>
              <w:jc w:val="center"/>
              <w:rPr>
                <w:rFonts w:ascii="Times New Roman" w:hAnsi="Times New Roman" w:eastAsia="宋体" w:cs="宋体"/>
                <w:kern w:val="2"/>
                <w:sz w:val="21"/>
                <w:szCs w:val="20"/>
                <w:lang w:val="en-US" w:eastAsia="zh-CN" w:bidi="ar-SA"/>
              </w:rPr>
            </w:pPr>
            <w:r>
              <w:t>层盖度18%</w:t>
            </w:r>
          </w:p>
        </w:tc>
        <w:tc>
          <w:tcPr>
            <w:tcW w:w="2097" w:type="pct"/>
            <w:gridSpan w:val="3"/>
            <w:shd w:val="clear" w:color="auto" w:fill="auto"/>
            <w:vAlign w:val="center"/>
          </w:tcPr>
          <w:p w14:paraId="5B274C12">
            <w:pPr>
              <w:pStyle w:val="53"/>
              <w:bidi w:val="0"/>
              <w:ind w:left="0" w:leftChars="0" w:firstLine="0" w:firstLineChars="0"/>
              <w:jc w:val="center"/>
              <w:rPr>
                <w:rFonts w:ascii="Times New Roman" w:hAnsi="Times New Roman" w:eastAsia="宋体" w:cs="宋体"/>
                <w:kern w:val="2"/>
                <w:sz w:val="21"/>
                <w:szCs w:val="20"/>
                <w:lang w:val="en-US" w:eastAsia="zh-CN" w:bidi="ar-SA"/>
              </w:rPr>
            </w:pPr>
            <w:r>
              <w:t>灌木层均高</w:t>
            </w:r>
            <w:r>
              <w:rPr>
                <w:rFonts w:hint="eastAsia"/>
                <w:lang w:val="en-US" w:eastAsia="zh-CN"/>
              </w:rPr>
              <w:t>1.0</w:t>
            </w:r>
            <w:r>
              <w:t>m，盖度18%</w:t>
            </w:r>
            <w:r>
              <w:rPr>
                <w:rFonts w:hint="eastAsia"/>
                <w:lang w:eastAsia="zh-CN"/>
              </w:rPr>
              <w:t>，</w:t>
            </w:r>
            <w:r>
              <w:t>主要物种有檵木(Loropetalum chinense)、杜鹃(Rhododendron simsii)、</w:t>
            </w:r>
            <w:r>
              <w:rPr>
                <w:rFonts w:hint="eastAsia"/>
                <w:lang w:eastAsia="zh-CN"/>
              </w:rPr>
              <w:t>、</w:t>
            </w:r>
            <w:r>
              <w:t>(Dalbergia hupeana)等。</w:t>
            </w:r>
          </w:p>
        </w:tc>
        <w:tc>
          <w:tcPr>
            <w:tcW w:w="2055" w:type="pct"/>
            <w:gridSpan w:val="3"/>
            <w:vMerge w:val="continue"/>
            <w:vAlign w:val="center"/>
          </w:tcPr>
          <w:p w14:paraId="0B392B60">
            <w:pPr>
              <w:pStyle w:val="53"/>
              <w:bidi w:val="0"/>
            </w:pPr>
          </w:p>
        </w:tc>
      </w:tr>
      <w:tr w14:paraId="0FB982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Align w:val="center"/>
          </w:tcPr>
          <w:p w14:paraId="7D0AB456">
            <w:pPr>
              <w:pStyle w:val="53"/>
              <w:bidi w:val="0"/>
            </w:pPr>
            <w:r>
              <w:t>草本层</w:t>
            </w:r>
          </w:p>
        </w:tc>
        <w:tc>
          <w:tcPr>
            <w:tcW w:w="394" w:type="pct"/>
            <w:shd w:val="clear" w:color="auto" w:fill="auto"/>
            <w:vAlign w:val="center"/>
          </w:tcPr>
          <w:p w14:paraId="0FED441E">
            <w:pPr>
              <w:pStyle w:val="53"/>
              <w:bidi w:val="0"/>
              <w:jc w:val="center"/>
            </w:pPr>
            <w:r>
              <w:t>层盖度</w:t>
            </w:r>
          </w:p>
          <w:p w14:paraId="1B875C91">
            <w:pPr>
              <w:pStyle w:val="53"/>
              <w:bidi w:val="0"/>
              <w:ind w:left="0" w:leftChars="0" w:firstLine="0" w:firstLineChars="0"/>
              <w:jc w:val="center"/>
              <w:rPr>
                <w:rFonts w:ascii="Times New Roman" w:hAnsi="Times New Roman" w:eastAsia="宋体" w:cs="宋体"/>
                <w:kern w:val="2"/>
                <w:sz w:val="21"/>
                <w:szCs w:val="20"/>
                <w:lang w:val="en-US" w:eastAsia="zh-CN" w:bidi="ar-SA"/>
              </w:rPr>
            </w:pPr>
            <w:r>
              <w:t>5%</w:t>
            </w:r>
          </w:p>
        </w:tc>
        <w:tc>
          <w:tcPr>
            <w:tcW w:w="2097" w:type="pct"/>
            <w:gridSpan w:val="3"/>
            <w:shd w:val="clear" w:color="auto" w:fill="auto"/>
            <w:vAlign w:val="center"/>
          </w:tcPr>
          <w:p w14:paraId="29ECCE6B">
            <w:pPr>
              <w:pStyle w:val="53"/>
              <w:bidi w:val="0"/>
              <w:ind w:left="0" w:leftChars="0" w:firstLine="0" w:firstLineChars="0"/>
              <w:jc w:val="center"/>
              <w:rPr>
                <w:rFonts w:ascii="Times New Roman" w:hAnsi="Times New Roman" w:eastAsia="宋体" w:cs="宋体"/>
                <w:kern w:val="2"/>
                <w:sz w:val="21"/>
                <w:szCs w:val="20"/>
                <w:lang w:val="en-US" w:eastAsia="zh-CN" w:bidi="ar-SA"/>
              </w:rPr>
            </w:pPr>
            <w:r>
              <w:t>草本层均高0.45m，优势种为芒萁，高0.5~1m，盖度15%，其他主要物种有商陆、苦荬菜等。</w:t>
            </w:r>
          </w:p>
        </w:tc>
        <w:tc>
          <w:tcPr>
            <w:tcW w:w="2055" w:type="pct"/>
            <w:gridSpan w:val="3"/>
            <w:vMerge w:val="continue"/>
            <w:vAlign w:val="center"/>
          </w:tcPr>
          <w:p w14:paraId="378980F0">
            <w:pPr>
              <w:pStyle w:val="53"/>
              <w:bidi w:val="0"/>
            </w:pPr>
          </w:p>
        </w:tc>
      </w:tr>
    </w:tbl>
    <w:p w14:paraId="7F63D9F5">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12</w:t>
      </w:r>
      <w:r>
        <w:rPr>
          <w:rFonts w:hint="default"/>
          <w:lang w:eastAsia="zh-CN"/>
        </w:rPr>
        <w:t xml:space="preserve">  样方调查表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671"/>
        <w:gridCol w:w="1696"/>
        <w:gridCol w:w="1294"/>
        <w:gridCol w:w="584"/>
        <w:gridCol w:w="683"/>
        <w:gridCol w:w="1408"/>
        <w:gridCol w:w="1426"/>
      </w:tblGrid>
      <w:tr w14:paraId="2F7B4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restart"/>
            <w:vAlign w:val="center"/>
          </w:tcPr>
          <w:p w14:paraId="01112E99">
            <w:pPr>
              <w:pStyle w:val="53"/>
              <w:bidi w:val="0"/>
            </w:pPr>
            <w:r>
              <w:t>植被类型</w:t>
            </w:r>
          </w:p>
        </w:tc>
        <w:tc>
          <w:tcPr>
            <w:tcW w:w="1389" w:type="pct"/>
            <w:gridSpan w:val="2"/>
            <w:vMerge w:val="restart"/>
            <w:vAlign w:val="center"/>
          </w:tcPr>
          <w:p w14:paraId="71281004">
            <w:pPr>
              <w:pStyle w:val="53"/>
              <w:bidi w:val="0"/>
            </w:pPr>
            <w:r>
              <w:rPr>
                <w:rFonts w:hint="eastAsia"/>
              </w:rPr>
              <w:t>木荷（</w:t>
            </w:r>
            <w:r>
              <w:t>Schima superba Gardn.et Champ.</w:t>
            </w:r>
            <w:r>
              <w:rPr>
                <w:rFonts w:hint="eastAsia"/>
              </w:rPr>
              <w:t>）</w:t>
            </w:r>
          </w:p>
        </w:tc>
        <w:tc>
          <w:tcPr>
            <w:tcW w:w="3157" w:type="pct"/>
            <w:gridSpan w:val="5"/>
          </w:tcPr>
          <w:p w14:paraId="1545E162">
            <w:pPr>
              <w:pStyle w:val="53"/>
              <w:bidi w:val="0"/>
            </w:pPr>
            <w:r>
              <w:t>环境特征</w:t>
            </w:r>
          </w:p>
        </w:tc>
      </w:tr>
      <w:tr w14:paraId="731A9C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7586CCA1">
            <w:pPr>
              <w:pStyle w:val="53"/>
              <w:bidi w:val="0"/>
            </w:pPr>
          </w:p>
        </w:tc>
        <w:tc>
          <w:tcPr>
            <w:tcW w:w="1389" w:type="pct"/>
            <w:gridSpan w:val="2"/>
            <w:vMerge w:val="continue"/>
            <w:vAlign w:val="center"/>
          </w:tcPr>
          <w:p w14:paraId="6692E838">
            <w:pPr>
              <w:pStyle w:val="53"/>
              <w:bidi w:val="0"/>
            </w:pPr>
          </w:p>
        </w:tc>
        <w:tc>
          <w:tcPr>
            <w:tcW w:w="759" w:type="pct"/>
          </w:tcPr>
          <w:p w14:paraId="7E56C60A">
            <w:pPr>
              <w:pStyle w:val="53"/>
              <w:bidi w:val="0"/>
            </w:pPr>
            <w:r>
              <w:t>地形</w:t>
            </w:r>
          </w:p>
        </w:tc>
        <w:tc>
          <w:tcPr>
            <w:tcW w:w="742" w:type="pct"/>
            <w:gridSpan w:val="2"/>
          </w:tcPr>
          <w:p w14:paraId="23E88476">
            <w:pPr>
              <w:pStyle w:val="53"/>
              <w:bidi w:val="0"/>
            </w:pPr>
            <w:r>
              <w:t>海拔（m）</w:t>
            </w:r>
          </w:p>
        </w:tc>
        <w:tc>
          <w:tcPr>
            <w:tcW w:w="823" w:type="pct"/>
          </w:tcPr>
          <w:p w14:paraId="46FDC613">
            <w:pPr>
              <w:pStyle w:val="53"/>
              <w:bidi w:val="0"/>
            </w:pPr>
            <w:r>
              <w:t>坡向</w:t>
            </w:r>
          </w:p>
        </w:tc>
        <w:tc>
          <w:tcPr>
            <w:tcW w:w="832" w:type="pct"/>
          </w:tcPr>
          <w:p w14:paraId="3E90DDE6">
            <w:pPr>
              <w:pStyle w:val="53"/>
              <w:bidi w:val="0"/>
            </w:pPr>
            <w:r>
              <w:t>坡度（°）</w:t>
            </w:r>
          </w:p>
        </w:tc>
      </w:tr>
      <w:tr w14:paraId="0758E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03B6B2CD">
            <w:pPr>
              <w:pStyle w:val="53"/>
              <w:bidi w:val="0"/>
            </w:pPr>
            <w:r>
              <w:t>地点</w:t>
            </w:r>
          </w:p>
        </w:tc>
        <w:tc>
          <w:tcPr>
            <w:tcW w:w="1389" w:type="pct"/>
            <w:gridSpan w:val="2"/>
            <w:vAlign w:val="center"/>
          </w:tcPr>
          <w:p w14:paraId="1BDD70DF">
            <w:pPr>
              <w:pStyle w:val="53"/>
              <w:bidi w:val="0"/>
              <w:rPr>
                <w:rFonts w:hint="default" w:eastAsia="宋体"/>
                <w:lang w:val="en-US" w:eastAsia="zh-CN"/>
              </w:rPr>
            </w:pPr>
            <w:r>
              <w:rPr>
                <w:rFonts w:hint="eastAsia"/>
                <w:lang w:val="en-US" w:eastAsia="zh-CN"/>
              </w:rPr>
              <w:t>大坝西侧</w:t>
            </w:r>
          </w:p>
        </w:tc>
        <w:tc>
          <w:tcPr>
            <w:tcW w:w="759" w:type="pct"/>
            <w:vAlign w:val="center"/>
          </w:tcPr>
          <w:p w14:paraId="7C6E9C06">
            <w:pPr>
              <w:pStyle w:val="53"/>
              <w:bidi w:val="0"/>
            </w:pPr>
            <w:r>
              <w:t>坡地</w:t>
            </w:r>
          </w:p>
        </w:tc>
        <w:tc>
          <w:tcPr>
            <w:tcW w:w="742" w:type="pct"/>
            <w:gridSpan w:val="2"/>
            <w:vAlign w:val="center"/>
          </w:tcPr>
          <w:p w14:paraId="043F0FB8">
            <w:pPr>
              <w:pStyle w:val="53"/>
              <w:bidi w:val="0"/>
              <w:rPr>
                <w:rFonts w:hint="default" w:eastAsia="宋体"/>
                <w:lang w:val="en-US" w:eastAsia="zh-CN"/>
              </w:rPr>
            </w:pPr>
            <w:r>
              <w:rPr>
                <w:rFonts w:hint="eastAsia"/>
                <w:lang w:val="en-US" w:eastAsia="zh-CN"/>
              </w:rPr>
              <w:t>261</w:t>
            </w:r>
          </w:p>
        </w:tc>
        <w:tc>
          <w:tcPr>
            <w:tcW w:w="823" w:type="pct"/>
            <w:vAlign w:val="center"/>
          </w:tcPr>
          <w:p w14:paraId="2407515A">
            <w:pPr>
              <w:pStyle w:val="53"/>
              <w:bidi w:val="0"/>
              <w:rPr>
                <w:rFonts w:hint="eastAsia" w:eastAsia="宋体"/>
                <w:lang w:val="en-US" w:eastAsia="zh-CN"/>
              </w:rPr>
            </w:pPr>
            <w:r>
              <w:rPr>
                <w:rFonts w:hint="eastAsia"/>
                <w:lang w:val="en-US" w:eastAsia="zh-CN"/>
              </w:rPr>
              <w:t>西</w:t>
            </w:r>
          </w:p>
        </w:tc>
        <w:tc>
          <w:tcPr>
            <w:tcW w:w="832" w:type="pct"/>
            <w:vAlign w:val="center"/>
          </w:tcPr>
          <w:p w14:paraId="403DEA9D">
            <w:pPr>
              <w:pStyle w:val="53"/>
              <w:bidi w:val="0"/>
              <w:rPr>
                <w:rFonts w:hint="default" w:eastAsia="宋体"/>
                <w:lang w:val="en-US" w:eastAsia="zh-CN"/>
              </w:rPr>
            </w:pPr>
            <w:r>
              <w:rPr>
                <w:rFonts w:hint="eastAsia"/>
                <w:lang w:val="en-US" w:eastAsia="zh-CN"/>
              </w:rPr>
              <w:t>10</w:t>
            </w:r>
          </w:p>
        </w:tc>
      </w:tr>
      <w:tr w14:paraId="546618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4475C2E7">
            <w:pPr>
              <w:pStyle w:val="53"/>
              <w:bidi w:val="0"/>
            </w:pPr>
            <w:r>
              <w:t>经纬度</w:t>
            </w:r>
          </w:p>
        </w:tc>
        <w:tc>
          <w:tcPr>
            <w:tcW w:w="4546" w:type="pct"/>
            <w:gridSpan w:val="7"/>
            <w:vAlign w:val="center"/>
          </w:tcPr>
          <w:p w14:paraId="42ABA00A">
            <w:pPr>
              <w:pStyle w:val="53"/>
              <w:bidi w:val="0"/>
            </w:pPr>
            <w:r>
              <w:rPr>
                <w:rFonts w:hint="eastAsia"/>
              </w:rPr>
              <w:t>111.5941820,25.6775327</w:t>
            </w:r>
          </w:p>
        </w:tc>
      </w:tr>
      <w:tr w14:paraId="7B3AB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53A75DAF">
            <w:pPr>
              <w:pStyle w:val="53"/>
              <w:bidi w:val="0"/>
            </w:pPr>
            <w:r>
              <w:t>层次</w:t>
            </w:r>
          </w:p>
        </w:tc>
        <w:tc>
          <w:tcPr>
            <w:tcW w:w="4546" w:type="pct"/>
            <w:gridSpan w:val="7"/>
            <w:vAlign w:val="center"/>
          </w:tcPr>
          <w:p w14:paraId="6B301834">
            <w:pPr>
              <w:pStyle w:val="53"/>
              <w:bidi w:val="0"/>
            </w:pPr>
            <w:r>
              <w:t>三层</w:t>
            </w:r>
          </w:p>
        </w:tc>
      </w:tr>
      <w:tr w14:paraId="0E946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3" w:type="pct"/>
            <w:vAlign w:val="center"/>
          </w:tcPr>
          <w:p w14:paraId="39B45491">
            <w:pPr>
              <w:pStyle w:val="53"/>
              <w:bidi w:val="0"/>
            </w:pPr>
            <w:r>
              <w:t>分层</w:t>
            </w:r>
          </w:p>
        </w:tc>
        <w:tc>
          <w:tcPr>
            <w:tcW w:w="394" w:type="pct"/>
            <w:vAlign w:val="center"/>
          </w:tcPr>
          <w:p w14:paraId="536258F0">
            <w:pPr>
              <w:pStyle w:val="53"/>
              <w:bidi w:val="0"/>
            </w:pPr>
            <w:r>
              <w:t>层盖度</w:t>
            </w:r>
          </w:p>
        </w:tc>
        <w:tc>
          <w:tcPr>
            <w:tcW w:w="2097" w:type="pct"/>
            <w:gridSpan w:val="3"/>
            <w:vAlign w:val="center"/>
          </w:tcPr>
          <w:p w14:paraId="1238F9C0">
            <w:pPr>
              <w:pStyle w:val="53"/>
              <w:bidi w:val="0"/>
            </w:pPr>
            <w:r>
              <w:t>种类组成与生长状况</w:t>
            </w:r>
          </w:p>
        </w:tc>
        <w:tc>
          <w:tcPr>
            <w:tcW w:w="2054" w:type="pct"/>
            <w:gridSpan w:val="3"/>
            <w:vAlign w:val="center"/>
          </w:tcPr>
          <w:p w14:paraId="5C56E361">
            <w:pPr>
              <w:pStyle w:val="53"/>
              <w:bidi w:val="0"/>
            </w:pPr>
            <w:r>
              <w:t>考察照片</w:t>
            </w:r>
          </w:p>
        </w:tc>
      </w:tr>
      <w:tr w14:paraId="387469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4ED560FC">
            <w:pPr>
              <w:pStyle w:val="49"/>
              <w:bidi w:val="0"/>
              <w:ind w:left="0" w:leftChars="0" w:firstLine="0" w:firstLineChars="0"/>
              <w:jc w:val="center"/>
            </w:pPr>
            <w:r>
              <w:t>乔木层</w:t>
            </w:r>
          </w:p>
        </w:tc>
        <w:tc>
          <w:tcPr>
            <w:tcW w:w="671" w:type="dxa"/>
            <w:vAlign w:val="center"/>
          </w:tcPr>
          <w:p w14:paraId="220B9C57">
            <w:pPr>
              <w:pStyle w:val="53"/>
              <w:bidi w:val="0"/>
              <w:ind w:left="0" w:leftChars="0" w:firstLine="0" w:firstLineChars="0"/>
              <w:jc w:val="center"/>
            </w:pPr>
            <w:r>
              <w:t>郁闭度0.7</w:t>
            </w:r>
          </w:p>
        </w:tc>
        <w:tc>
          <w:tcPr>
            <w:tcW w:w="3574" w:type="dxa"/>
            <w:gridSpan w:val="3"/>
            <w:vAlign w:val="center"/>
          </w:tcPr>
          <w:p w14:paraId="5429C920">
            <w:pPr>
              <w:pStyle w:val="53"/>
              <w:bidi w:val="0"/>
              <w:ind w:left="0" w:leftChars="0" w:firstLine="0" w:firstLineChars="0"/>
              <w:jc w:val="center"/>
            </w:pPr>
            <w:r>
              <w:t>乔木层均高</w:t>
            </w:r>
            <w:r>
              <w:rPr>
                <w:rFonts w:hint="eastAsia"/>
                <w:lang w:val="en-US" w:eastAsia="zh-CN"/>
              </w:rPr>
              <w:t>2</w:t>
            </w:r>
            <w:r>
              <w:t>m，优势树种为</w:t>
            </w:r>
            <w:r>
              <w:rPr>
                <w:rFonts w:hint="eastAsia"/>
                <w:lang w:val="en-US" w:eastAsia="zh-CN"/>
              </w:rPr>
              <w:t>木荷</w:t>
            </w:r>
            <w:r>
              <w:t>，高8~13m，胸径12-25cm，其他主要物种有</w:t>
            </w:r>
            <w:r>
              <w:rPr>
                <w:rFonts w:hint="eastAsia"/>
                <w:lang w:val="en-US" w:eastAsia="zh-CN"/>
              </w:rPr>
              <w:t>杉树、枫香树</w:t>
            </w:r>
            <w:r>
              <w:t>等。</w:t>
            </w:r>
          </w:p>
        </w:tc>
        <w:tc>
          <w:tcPr>
            <w:tcW w:w="2054" w:type="pct"/>
            <w:gridSpan w:val="3"/>
            <w:vMerge w:val="restart"/>
            <w:vAlign w:val="center"/>
          </w:tcPr>
          <w:p w14:paraId="66347676">
            <w:pPr>
              <w:pStyle w:val="53"/>
              <w:bidi w:val="0"/>
              <w:rPr>
                <w:rFonts w:hint="eastAsia" w:eastAsia="宋体"/>
                <w:lang w:eastAsia="zh-CN"/>
              </w:rPr>
            </w:pPr>
            <w:r>
              <w:rPr>
                <w:rFonts w:hint="eastAsia" w:eastAsia="宋体"/>
                <w:lang w:eastAsia="zh-CN"/>
              </w:rPr>
              <w:drawing>
                <wp:inline distT="0" distB="0" distL="114300" distR="114300">
                  <wp:extent cx="2084705" cy="1563370"/>
                  <wp:effectExtent l="0" t="0" r="10795" b="17780"/>
                  <wp:docPr id="28" name="图片 28" descr="IMG_20250328_14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50328_144956"/>
                          <pic:cNvPicPr>
                            <a:picLocks noChangeAspect="1"/>
                          </pic:cNvPicPr>
                        </pic:nvPicPr>
                        <pic:blipFill>
                          <a:blip r:embed="rId53"/>
                          <a:stretch>
                            <a:fillRect/>
                          </a:stretch>
                        </pic:blipFill>
                        <pic:spPr>
                          <a:xfrm>
                            <a:off x="0" y="0"/>
                            <a:ext cx="2084705" cy="1563370"/>
                          </a:xfrm>
                          <a:prstGeom prst="rect">
                            <a:avLst/>
                          </a:prstGeom>
                        </pic:spPr>
                      </pic:pic>
                    </a:graphicData>
                  </a:graphic>
                </wp:inline>
              </w:drawing>
            </w:r>
          </w:p>
        </w:tc>
      </w:tr>
      <w:tr w14:paraId="58FF7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309D81B4">
            <w:pPr>
              <w:pStyle w:val="49"/>
              <w:bidi w:val="0"/>
              <w:ind w:left="0" w:leftChars="0" w:firstLine="0" w:firstLineChars="0"/>
              <w:jc w:val="center"/>
            </w:pPr>
            <w:r>
              <w:t>灌木层</w:t>
            </w:r>
          </w:p>
        </w:tc>
        <w:tc>
          <w:tcPr>
            <w:tcW w:w="671" w:type="dxa"/>
            <w:vAlign w:val="center"/>
          </w:tcPr>
          <w:p w14:paraId="2A19A12E">
            <w:pPr>
              <w:pStyle w:val="53"/>
              <w:bidi w:val="0"/>
              <w:jc w:val="center"/>
            </w:pPr>
            <w:r>
              <w:t>层盖度</w:t>
            </w:r>
          </w:p>
          <w:p w14:paraId="65CAC986">
            <w:pPr>
              <w:pStyle w:val="53"/>
              <w:bidi w:val="0"/>
              <w:ind w:left="0" w:leftChars="0" w:firstLine="0" w:firstLineChars="0"/>
              <w:jc w:val="center"/>
            </w:pPr>
            <w:r>
              <w:t>30%</w:t>
            </w:r>
          </w:p>
        </w:tc>
        <w:tc>
          <w:tcPr>
            <w:tcW w:w="3574" w:type="dxa"/>
            <w:gridSpan w:val="3"/>
            <w:vAlign w:val="center"/>
          </w:tcPr>
          <w:p w14:paraId="45D16AD9">
            <w:pPr>
              <w:pStyle w:val="53"/>
              <w:bidi w:val="0"/>
              <w:ind w:left="0" w:leftChars="0" w:firstLine="0" w:firstLineChars="0"/>
              <w:jc w:val="center"/>
            </w:pPr>
            <w:r>
              <w:t>灌木层均高1m，优势种为</w:t>
            </w:r>
            <w:r>
              <w:rPr>
                <w:rFonts w:hint="eastAsia"/>
                <w:lang w:val="en-US" w:eastAsia="zh-CN"/>
              </w:rPr>
              <w:t>黄荆</w:t>
            </w:r>
            <w:r>
              <w:t>，高2m，盖度30%其他主要物种有檵木、杜鹃等。</w:t>
            </w:r>
          </w:p>
        </w:tc>
        <w:tc>
          <w:tcPr>
            <w:tcW w:w="2054" w:type="pct"/>
            <w:gridSpan w:val="3"/>
            <w:vMerge w:val="continue"/>
            <w:vAlign w:val="center"/>
          </w:tcPr>
          <w:p w14:paraId="36667EEF">
            <w:pPr>
              <w:pStyle w:val="53"/>
              <w:bidi w:val="0"/>
            </w:pPr>
          </w:p>
        </w:tc>
      </w:tr>
      <w:tr w14:paraId="3C462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dxa"/>
            <w:vAlign w:val="center"/>
          </w:tcPr>
          <w:p w14:paraId="53C14DA9">
            <w:pPr>
              <w:pStyle w:val="49"/>
              <w:bidi w:val="0"/>
              <w:ind w:left="0" w:leftChars="0" w:firstLine="0" w:firstLineChars="0"/>
              <w:jc w:val="center"/>
            </w:pPr>
            <w:r>
              <w:t>草本层</w:t>
            </w:r>
          </w:p>
        </w:tc>
        <w:tc>
          <w:tcPr>
            <w:tcW w:w="671" w:type="dxa"/>
            <w:vAlign w:val="center"/>
          </w:tcPr>
          <w:p w14:paraId="48663D2D">
            <w:pPr>
              <w:pStyle w:val="53"/>
              <w:bidi w:val="0"/>
              <w:jc w:val="center"/>
            </w:pPr>
            <w:r>
              <w:t>层盖度</w:t>
            </w:r>
          </w:p>
          <w:p w14:paraId="26D60EA0">
            <w:pPr>
              <w:pStyle w:val="53"/>
              <w:bidi w:val="0"/>
              <w:ind w:left="0" w:leftChars="0" w:firstLine="0" w:firstLineChars="0"/>
              <w:jc w:val="center"/>
            </w:pPr>
            <w:r>
              <w:t>35%</w:t>
            </w:r>
          </w:p>
        </w:tc>
        <w:tc>
          <w:tcPr>
            <w:tcW w:w="3574" w:type="dxa"/>
            <w:gridSpan w:val="3"/>
            <w:vAlign w:val="center"/>
          </w:tcPr>
          <w:p w14:paraId="7F1977B3">
            <w:pPr>
              <w:pStyle w:val="53"/>
              <w:bidi w:val="0"/>
              <w:ind w:left="0" w:leftChars="0" w:firstLine="0" w:firstLineChars="0"/>
              <w:jc w:val="center"/>
            </w:pPr>
            <w:r>
              <w:t>草本层均高0.</w:t>
            </w:r>
            <w:r>
              <w:rPr>
                <w:rFonts w:hint="eastAsia"/>
                <w:lang w:val="en-US" w:eastAsia="zh-CN"/>
              </w:rPr>
              <w:t>5</w:t>
            </w:r>
            <w:r>
              <w:t>m，优势种为</w:t>
            </w:r>
            <w:r>
              <w:rPr>
                <w:rFonts w:hint="eastAsia"/>
                <w:lang w:val="en-US" w:eastAsia="zh-CN"/>
              </w:rPr>
              <w:t>五节芒</w:t>
            </w:r>
            <w:r>
              <w:t>，高0.5</w:t>
            </w:r>
            <w:r>
              <w:rPr>
                <w:rFonts w:hint="eastAsia"/>
                <w:lang w:val="en-US" w:eastAsia="zh-CN"/>
              </w:rPr>
              <w:t>-0.6</w:t>
            </w:r>
            <w:r>
              <w:t>m，盖度</w:t>
            </w:r>
            <w:r>
              <w:rPr>
                <w:rFonts w:hint="eastAsia"/>
                <w:lang w:val="en-US" w:eastAsia="zh-CN"/>
              </w:rPr>
              <w:t>35</w:t>
            </w:r>
            <w:r>
              <w:t>%，其他主要物种有芒萁、南方菟丝子、车前草等。</w:t>
            </w:r>
          </w:p>
        </w:tc>
        <w:tc>
          <w:tcPr>
            <w:tcW w:w="2054" w:type="pct"/>
            <w:gridSpan w:val="3"/>
            <w:vMerge w:val="continue"/>
            <w:vAlign w:val="center"/>
          </w:tcPr>
          <w:p w14:paraId="612E6920">
            <w:pPr>
              <w:pStyle w:val="53"/>
              <w:bidi w:val="0"/>
            </w:pPr>
          </w:p>
        </w:tc>
      </w:tr>
    </w:tbl>
    <w:p w14:paraId="0B56A51F">
      <w:pPr>
        <w:rPr>
          <w:rFonts w:hint="default"/>
          <w:lang w:eastAsia="zh-CN"/>
        </w:rPr>
      </w:pPr>
      <w:r>
        <w:rPr>
          <w:rFonts w:hint="default"/>
          <w:lang w:eastAsia="zh-CN"/>
        </w:rPr>
        <w:t>（</w:t>
      </w:r>
      <w:r>
        <w:rPr>
          <w:rFonts w:hint="eastAsia"/>
          <w:lang w:val="en-US" w:eastAsia="zh-CN"/>
        </w:rPr>
        <w:t>3</w:t>
      </w:r>
      <w:r>
        <w:rPr>
          <w:rFonts w:hint="default"/>
          <w:lang w:eastAsia="zh-CN"/>
        </w:rPr>
        <w:t>）灌丛和灌草丛</w:t>
      </w:r>
    </w:p>
    <w:p w14:paraId="4DDA5D93">
      <w:pPr>
        <w:rPr>
          <w:rFonts w:hint="default"/>
          <w:highlight w:val="none"/>
          <w:lang w:eastAsia="zh-CN"/>
        </w:rPr>
      </w:pPr>
      <w:r>
        <w:rPr>
          <w:rFonts w:hint="default"/>
          <w:highlight w:val="none"/>
          <w:lang w:eastAsia="zh-CN"/>
        </w:rPr>
        <w:t>灌丛系指以灌木为优势种所组成的植被类型。它与森林植被的区别，不仅是高度上的不同,更主要的是灌木的建群种多为丛生的灌木生活型，灌丛植株一般无明显的主干，其群落高度多在4m以下。大多是当地森林被砍伐后形成的次生植被或是植被演替过程中的一个阶段。主要有檵木灌丛、黄荆群系等。</w:t>
      </w:r>
    </w:p>
    <w:p w14:paraId="78FEEA7A">
      <w:pPr>
        <w:rPr>
          <w:rFonts w:hint="default"/>
          <w:highlight w:val="none"/>
          <w:lang w:eastAsia="zh-CN"/>
        </w:rPr>
      </w:pPr>
      <w:r>
        <w:rPr>
          <w:rFonts w:hint="default"/>
          <w:highlight w:val="none"/>
          <w:lang w:eastAsia="zh-CN"/>
        </w:rPr>
        <w:t>①檵木灌丛（Form.Loropetalumchinense）</w:t>
      </w:r>
    </w:p>
    <w:p w14:paraId="6BD52610">
      <w:pPr>
        <w:rPr>
          <w:rFonts w:hint="default"/>
          <w:highlight w:val="none"/>
          <w:lang w:eastAsia="zh-CN"/>
        </w:rPr>
      </w:pPr>
      <w:r>
        <w:rPr>
          <w:rFonts w:hint="default"/>
          <w:highlight w:val="none"/>
          <w:lang w:eastAsia="zh-CN"/>
        </w:rPr>
        <w:t>檵木喜生于向阳的丘陵及山地，在本评价区分布多，主要生长于山坡、路边及马尾松和湿地松林缘，成小片生长成灌丛，生长茂盛。</w:t>
      </w:r>
    </w:p>
    <w:p w14:paraId="177F53A2">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13</w:t>
      </w:r>
      <w:r>
        <w:rPr>
          <w:rFonts w:hint="default"/>
          <w:lang w:eastAsia="zh-CN"/>
        </w:rPr>
        <w:t xml:space="preserve">  样方调查表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47947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restart"/>
            <w:vAlign w:val="center"/>
          </w:tcPr>
          <w:p w14:paraId="42B87BF3">
            <w:pPr>
              <w:pStyle w:val="49"/>
              <w:bidi w:val="0"/>
            </w:pPr>
            <w:r>
              <w:t>植被类型</w:t>
            </w:r>
          </w:p>
        </w:tc>
        <w:tc>
          <w:tcPr>
            <w:tcW w:w="1776" w:type="pct"/>
            <w:gridSpan w:val="2"/>
            <w:vMerge w:val="restart"/>
            <w:vAlign w:val="center"/>
          </w:tcPr>
          <w:p w14:paraId="2D60116D">
            <w:pPr>
              <w:pStyle w:val="49"/>
              <w:bidi w:val="0"/>
            </w:pPr>
            <w:r>
              <w:rPr>
                <w:rFonts w:hint="eastAsia"/>
              </w:rPr>
              <w:t>檵木（Form.Loropetalumchinense）</w:t>
            </w:r>
          </w:p>
        </w:tc>
        <w:tc>
          <w:tcPr>
            <w:tcW w:w="2609" w:type="pct"/>
            <w:gridSpan w:val="5"/>
            <w:vAlign w:val="center"/>
          </w:tcPr>
          <w:p w14:paraId="117478E1">
            <w:pPr>
              <w:pStyle w:val="49"/>
              <w:bidi w:val="0"/>
            </w:pPr>
            <w:r>
              <w:t>环境特征</w:t>
            </w:r>
          </w:p>
        </w:tc>
      </w:tr>
      <w:tr w14:paraId="6CA99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continue"/>
            <w:vAlign w:val="center"/>
          </w:tcPr>
          <w:p w14:paraId="263E4968">
            <w:pPr>
              <w:pStyle w:val="49"/>
              <w:bidi w:val="0"/>
            </w:pPr>
          </w:p>
        </w:tc>
        <w:tc>
          <w:tcPr>
            <w:tcW w:w="1776" w:type="pct"/>
            <w:gridSpan w:val="2"/>
            <w:vMerge w:val="continue"/>
            <w:vAlign w:val="center"/>
          </w:tcPr>
          <w:p w14:paraId="62E67250">
            <w:pPr>
              <w:pStyle w:val="49"/>
              <w:bidi w:val="0"/>
            </w:pPr>
          </w:p>
        </w:tc>
        <w:tc>
          <w:tcPr>
            <w:tcW w:w="555" w:type="pct"/>
            <w:vAlign w:val="center"/>
          </w:tcPr>
          <w:p w14:paraId="390AB4FC">
            <w:pPr>
              <w:pStyle w:val="49"/>
              <w:bidi w:val="0"/>
            </w:pPr>
            <w:r>
              <w:t>地形</w:t>
            </w:r>
          </w:p>
        </w:tc>
        <w:tc>
          <w:tcPr>
            <w:tcW w:w="631" w:type="pct"/>
            <w:gridSpan w:val="2"/>
            <w:vAlign w:val="center"/>
          </w:tcPr>
          <w:p w14:paraId="2356F543">
            <w:pPr>
              <w:pStyle w:val="49"/>
              <w:bidi w:val="0"/>
            </w:pPr>
            <w:r>
              <w:t>海拔（m）</w:t>
            </w:r>
          </w:p>
        </w:tc>
        <w:tc>
          <w:tcPr>
            <w:tcW w:w="631" w:type="pct"/>
            <w:vAlign w:val="center"/>
          </w:tcPr>
          <w:p w14:paraId="245BE7D5">
            <w:pPr>
              <w:pStyle w:val="49"/>
              <w:bidi w:val="0"/>
            </w:pPr>
            <w:r>
              <w:t>坡向</w:t>
            </w:r>
          </w:p>
        </w:tc>
        <w:tc>
          <w:tcPr>
            <w:tcW w:w="790" w:type="pct"/>
            <w:vAlign w:val="center"/>
          </w:tcPr>
          <w:p w14:paraId="6E65BFDC">
            <w:pPr>
              <w:pStyle w:val="49"/>
              <w:bidi w:val="0"/>
            </w:pPr>
            <w:r>
              <w:t>坡度（°）</w:t>
            </w:r>
          </w:p>
        </w:tc>
      </w:tr>
      <w:tr w14:paraId="26F431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50ED9E04">
            <w:pPr>
              <w:pStyle w:val="49"/>
              <w:bidi w:val="0"/>
            </w:pPr>
            <w:r>
              <w:t>地点</w:t>
            </w:r>
          </w:p>
        </w:tc>
        <w:tc>
          <w:tcPr>
            <w:tcW w:w="1776" w:type="pct"/>
            <w:gridSpan w:val="2"/>
            <w:vAlign w:val="center"/>
          </w:tcPr>
          <w:p w14:paraId="7B3E52BA">
            <w:pPr>
              <w:pStyle w:val="49"/>
              <w:bidi w:val="0"/>
              <w:rPr>
                <w:rFonts w:hint="default" w:eastAsia="宋体"/>
                <w:lang w:val="en-US" w:eastAsia="zh-CN"/>
              </w:rPr>
            </w:pPr>
            <w:r>
              <w:rPr>
                <w:rFonts w:hint="eastAsia"/>
                <w:lang w:val="en-US" w:eastAsia="zh-CN"/>
              </w:rPr>
              <w:t>防汛道路旁</w:t>
            </w:r>
          </w:p>
        </w:tc>
        <w:tc>
          <w:tcPr>
            <w:tcW w:w="555" w:type="pct"/>
            <w:vAlign w:val="center"/>
          </w:tcPr>
          <w:p w14:paraId="02B66EE7">
            <w:pPr>
              <w:pStyle w:val="49"/>
              <w:bidi w:val="0"/>
              <w:rPr>
                <w:rFonts w:hint="eastAsia"/>
                <w:lang w:eastAsia="zh-CN"/>
              </w:rPr>
            </w:pPr>
            <w:r>
              <w:rPr>
                <w:rFonts w:hint="eastAsia"/>
                <w:lang w:val="en-US" w:eastAsia="zh-CN"/>
              </w:rPr>
              <w:t>平地</w:t>
            </w:r>
          </w:p>
        </w:tc>
        <w:tc>
          <w:tcPr>
            <w:tcW w:w="631" w:type="pct"/>
            <w:gridSpan w:val="2"/>
            <w:vAlign w:val="center"/>
          </w:tcPr>
          <w:p w14:paraId="2BEEA842">
            <w:pPr>
              <w:pStyle w:val="49"/>
              <w:bidi w:val="0"/>
              <w:rPr>
                <w:rFonts w:hint="default" w:eastAsia="宋体"/>
                <w:lang w:val="en-US" w:eastAsia="zh-CN"/>
              </w:rPr>
            </w:pPr>
            <w:r>
              <w:rPr>
                <w:rFonts w:hint="eastAsia"/>
                <w:lang w:val="en-US" w:eastAsia="zh-CN"/>
              </w:rPr>
              <w:t>258</w:t>
            </w:r>
          </w:p>
        </w:tc>
        <w:tc>
          <w:tcPr>
            <w:tcW w:w="631" w:type="pct"/>
            <w:vAlign w:val="center"/>
          </w:tcPr>
          <w:p w14:paraId="6C62B22A">
            <w:pPr>
              <w:pStyle w:val="49"/>
              <w:bidi w:val="0"/>
              <w:rPr>
                <w:rFonts w:hint="eastAsia" w:eastAsia="宋体"/>
                <w:lang w:val="en-US" w:eastAsia="zh-CN"/>
              </w:rPr>
            </w:pPr>
            <w:r>
              <w:rPr>
                <w:rFonts w:hint="eastAsia"/>
                <w:lang w:val="en-US" w:eastAsia="zh-CN"/>
              </w:rPr>
              <w:t>/</w:t>
            </w:r>
          </w:p>
        </w:tc>
        <w:tc>
          <w:tcPr>
            <w:tcW w:w="790" w:type="pct"/>
            <w:vAlign w:val="center"/>
          </w:tcPr>
          <w:p w14:paraId="622506B3">
            <w:pPr>
              <w:pStyle w:val="49"/>
              <w:bidi w:val="0"/>
              <w:rPr>
                <w:rFonts w:hint="default"/>
                <w:lang w:val="en-US" w:eastAsia="zh-CN"/>
              </w:rPr>
            </w:pPr>
            <w:r>
              <w:rPr>
                <w:rFonts w:hint="eastAsia"/>
                <w:lang w:val="en-US" w:eastAsia="zh-CN"/>
              </w:rPr>
              <w:t>/</w:t>
            </w:r>
          </w:p>
        </w:tc>
      </w:tr>
      <w:tr w14:paraId="3CB87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D2E31A0">
            <w:pPr>
              <w:pStyle w:val="49"/>
              <w:bidi w:val="0"/>
            </w:pPr>
            <w:r>
              <w:t>经纬度</w:t>
            </w:r>
          </w:p>
        </w:tc>
        <w:tc>
          <w:tcPr>
            <w:tcW w:w="4385" w:type="pct"/>
            <w:gridSpan w:val="7"/>
            <w:vAlign w:val="center"/>
          </w:tcPr>
          <w:p w14:paraId="56B8FCC8">
            <w:pPr>
              <w:pStyle w:val="49"/>
              <w:bidi w:val="0"/>
            </w:pPr>
            <w:r>
              <w:rPr>
                <w:rFonts w:hint="eastAsia"/>
              </w:rPr>
              <w:t>111.595351451,25.675928721</w:t>
            </w:r>
          </w:p>
        </w:tc>
      </w:tr>
      <w:tr w14:paraId="7FAFC9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4A5884DA">
            <w:pPr>
              <w:pStyle w:val="49"/>
              <w:bidi w:val="0"/>
            </w:pPr>
            <w:r>
              <w:t>层次</w:t>
            </w:r>
          </w:p>
        </w:tc>
        <w:tc>
          <w:tcPr>
            <w:tcW w:w="4385" w:type="pct"/>
            <w:gridSpan w:val="7"/>
            <w:vAlign w:val="center"/>
          </w:tcPr>
          <w:p w14:paraId="7EAAB1C7">
            <w:pPr>
              <w:pStyle w:val="49"/>
              <w:bidi w:val="0"/>
            </w:pPr>
            <w:r>
              <w:rPr>
                <w:rFonts w:hint="eastAsia"/>
                <w:lang w:val="en-US" w:eastAsia="zh-CN"/>
              </w:rPr>
              <w:t>二</w:t>
            </w:r>
            <w:r>
              <w:t>层</w:t>
            </w:r>
          </w:p>
        </w:tc>
      </w:tr>
      <w:tr w14:paraId="1B6661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264C1FF2">
            <w:pPr>
              <w:pStyle w:val="49"/>
              <w:bidi w:val="0"/>
            </w:pPr>
            <w:r>
              <w:t>分层</w:t>
            </w:r>
          </w:p>
        </w:tc>
        <w:tc>
          <w:tcPr>
            <w:tcW w:w="485" w:type="pct"/>
            <w:vAlign w:val="center"/>
          </w:tcPr>
          <w:p w14:paraId="6638D2B4">
            <w:pPr>
              <w:pStyle w:val="49"/>
              <w:bidi w:val="0"/>
            </w:pPr>
            <w:r>
              <w:t>层盖度</w:t>
            </w:r>
          </w:p>
        </w:tc>
        <w:tc>
          <w:tcPr>
            <w:tcW w:w="2023" w:type="pct"/>
            <w:gridSpan w:val="3"/>
            <w:vAlign w:val="center"/>
          </w:tcPr>
          <w:p w14:paraId="61F471A5">
            <w:pPr>
              <w:pStyle w:val="49"/>
              <w:bidi w:val="0"/>
            </w:pPr>
            <w:r>
              <w:t>种类组成与生长状况</w:t>
            </w:r>
          </w:p>
        </w:tc>
        <w:tc>
          <w:tcPr>
            <w:tcW w:w="1876" w:type="pct"/>
            <w:gridSpan w:val="3"/>
            <w:vAlign w:val="center"/>
          </w:tcPr>
          <w:p w14:paraId="5B3C40FF">
            <w:pPr>
              <w:pStyle w:val="49"/>
              <w:bidi w:val="0"/>
            </w:pPr>
            <w:r>
              <w:t>考察照片</w:t>
            </w:r>
          </w:p>
        </w:tc>
      </w:tr>
      <w:tr w14:paraId="1FA65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A9FEC67">
            <w:pPr>
              <w:pStyle w:val="49"/>
              <w:bidi w:val="0"/>
            </w:pPr>
            <w:r>
              <w:t>灌木层</w:t>
            </w:r>
          </w:p>
        </w:tc>
        <w:tc>
          <w:tcPr>
            <w:tcW w:w="485" w:type="pct"/>
            <w:shd w:val="clear" w:color="auto" w:fill="auto"/>
            <w:vAlign w:val="center"/>
          </w:tcPr>
          <w:p w14:paraId="59200793">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60-7</w:t>
            </w:r>
            <w:r>
              <w:t>0%</w:t>
            </w:r>
          </w:p>
        </w:tc>
        <w:tc>
          <w:tcPr>
            <w:tcW w:w="2023" w:type="pct"/>
            <w:gridSpan w:val="3"/>
            <w:shd w:val="clear" w:color="auto" w:fill="auto"/>
            <w:vAlign w:val="center"/>
          </w:tcPr>
          <w:p w14:paraId="053AF9B1">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层高约</w:t>
            </w:r>
            <w:r>
              <w:rPr>
                <w:rFonts w:hint="eastAsia"/>
                <w:lang w:val="en-US" w:eastAsia="zh-CN"/>
              </w:rPr>
              <w:t>1.2</w:t>
            </w:r>
            <w:r>
              <w:rPr>
                <w:rFonts w:hint="eastAsia"/>
              </w:rPr>
              <w:t>m，优势种檵木（Form. Loropetalum chinense），高约1</w:t>
            </w:r>
            <w:r>
              <w:rPr>
                <w:rFonts w:hint="eastAsia"/>
                <w:lang w:val="en-US" w:eastAsia="zh-CN"/>
              </w:rPr>
              <w:t>.2~1.5</w:t>
            </w:r>
            <w:r>
              <w:rPr>
                <w:rFonts w:hint="eastAsia"/>
              </w:rPr>
              <w:t>m，盖度约60%，伴生种主要有盐肤木（Rhus chinensis）、牡荆（Vitex negundo var. cannabifolia）。</w:t>
            </w:r>
          </w:p>
        </w:tc>
        <w:tc>
          <w:tcPr>
            <w:tcW w:w="1876" w:type="pct"/>
            <w:gridSpan w:val="3"/>
            <w:vMerge w:val="restart"/>
            <w:vAlign w:val="center"/>
          </w:tcPr>
          <w:p w14:paraId="07B3B76E">
            <w:pPr>
              <w:pStyle w:val="49"/>
              <w:bidi w:val="0"/>
              <w:rPr>
                <w:rFonts w:hint="eastAsia"/>
                <w:lang w:eastAsia="zh-CN"/>
              </w:rPr>
            </w:pPr>
            <w:r>
              <w:drawing>
                <wp:inline distT="0" distB="0" distL="114300" distR="114300">
                  <wp:extent cx="1893570" cy="1702435"/>
                  <wp:effectExtent l="0" t="0" r="11430" b="1206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54"/>
                          <a:stretch>
                            <a:fillRect/>
                          </a:stretch>
                        </pic:blipFill>
                        <pic:spPr>
                          <a:xfrm>
                            <a:off x="0" y="0"/>
                            <a:ext cx="1893570" cy="1702435"/>
                          </a:xfrm>
                          <a:prstGeom prst="rect">
                            <a:avLst/>
                          </a:prstGeom>
                          <a:noFill/>
                          <a:ln>
                            <a:noFill/>
                          </a:ln>
                        </pic:spPr>
                      </pic:pic>
                    </a:graphicData>
                  </a:graphic>
                </wp:inline>
              </w:drawing>
            </w:r>
          </w:p>
        </w:tc>
      </w:tr>
      <w:tr w14:paraId="0D492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F41C6AB">
            <w:pPr>
              <w:pStyle w:val="49"/>
              <w:bidi w:val="0"/>
            </w:pPr>
            <w:r>
              <w:t>草本层</w:t>
            </w:r>
          </w:p>
        </w:tc>
        <w:tc>
          <w:tcPr>
            <w:tcW w:w="485" w:type="pct"/>
            <w:shd w:val="clear" w:color="auto" w:fill="auto"/>
            <w:vAlign w:val="center"/>
          </w:tcPr>
          <w:p w14:paraId="701EC6FF">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40</w:t>
            </w:r>
            <w:r>
              <w:t>%</w:t>
            </w:r>
          </w:p>
        </w:tc>
        <w:tc>
          <w:tcPr>
            <w:tcW w:w="2023" w:type="pct"/>
            <w:gridSpan w:val="3"/>
            <w:shd w:val="clear" w:color="auto" w:fill="auto"/>
            <w:vAlign w:val="center"/>
          </w:tcPr>
          <w:p w14:paraId="5AD1BF2A">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层均高0.5m，优势种为芒（Miscanthus sinensis），高约0.5m，盖度约</w:t>
            </w:r>
            <w:r>
              <w:rPr>
                <w:rFonts w:hint="eastAsia"/>
                <w:lang w:val="en-US" w:eastAsia="zh-CN"/>
              </w:rPr>
              <w:t>4</w:t>
            </w:r>
            <w:r>
              <w:rPr>
                <w:rFonts w:hint="eastAsia"/>
              </w:rPr>
              <w:t>0%，伴生种较少，主要有黄背草（Themeda japonica）芒萁（Dicranopteris pedata）、野艾蒿（Artemisia lavandulifolia）等。</w:t>
            </w:r>
          </w:p>
        </w:tc>
        <w:tc>
          <w:tcPr>
            <w:tcW w:w="1876" w:type="pct"/>
            <w:gridSpan w:val="3"/>
            <w:vMerge w:val="continue"/>
            <w:vAlign w:val="center"/>
          </w:tcPr>
          <w:p w14:paraId="792D63A5">
            <w:pPr>
              <w:pStyle w:val="49"/>
              <w:bidi w:val="0"/>
            </w:pPr>
          </w:p>
        </w:tc>
      </w:tr>
    </w:tbl>
    <w:p w14:paraId="221DC5A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14</w:t>
      </w:r>
      <w:r>
        <w:rPr>
          <w:rFonts w:hint="default"/>
          <w:lang w:eastAsia="zh-CN"/>
        </w:rPr>
        <w:t xml:space="preserve">  样方调查表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2517D5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restart"/>
            <w:vAlign w:val="center"/>
          </w:tcPr>
          <w:p w14:paraId="43716463">
            <w:pPr>
              <w:pStyle w:val="49"/>
              <w:bidi w:val="0"/>
            </w:pPr>
            <w:r>
              <w:t>植被类型</w:t>
            </w:r>
          </w:p>
        </w:tc>
        <w:tc>
          <w:tcPr>
            <w:tcW w:w="1776" w:type="pct"/>
            <w:gridSpan w:val="2"/>
            <w:vMerge w:val="restart"/>
            <w:vAlign w:val="center"/>
          </w:tcPr>
          <w:p w14:paraId="6628933E">
            <w:pPr>
              <w:pStyle w:val="49"/>
              <w:bidi w:val="0"/>
            </w:pPr>
            <w:r>
              <w:rPr>
                <w:rFonts w:hint="eastAsia"/>
              </w:rPr>
              <w:t>檵木（Form. Loropetalum chinense）</w:t>
            </w:r>
          </w:p>
        </w:tc>
        <w:tc>
          <w:tcPr>
            <w:tcW w:w="2609" w:type="pct"/>
            <w:gridSpan w:val="5"/>
            <w:vAlign w:val="center"/>
          </w:tcPr>
          <w:p w14:paraId="16B34A1E">
            <w:pPr>
              <w:pStyle w:val="49"/>
              <w:bidi w:val="0"/>
            </w:pPr>
            <w:r>
              <w:t>环境特征</w:t>
            </w:r>
          </w:p>
        </w:tc>
      </w:tr>
      <w:tr w14:paraId="67FBE0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Merge w:val="continue"/>
            <w:vAlign w:val="center"/>
          </w:tcPr>
          <w:p w14:paraId="2C2F8188">
            <w:pPr>
              <w:pStyle w:val="49"/>
              <w:bidi w:val="0"/>
            </w:pPr>
          </w:p>
        </w:tc>
        <w:tc>
          <w:tcPr>
            <w:tcW w:w="1776" w:type="pct"/>
            <w:gridSpan w:val="2"/>
            <w:vMerge w:val="continue"/>
            <w:vAlign w:val="center"/>
          </w:tcPr>
          <w:p w14:paraId="0435F2FA">
            <w:pPr>
              <w:pStyle w:val="49"/>
              <w:bidi w:val="0"/>
            </w:pPr>
          </w:p>
        </w:tc>
        <w:tc>
          <w:tcPr>
            <w:tcW w:w="555" w:type="pct"/>
            <w:vAlign w:val="center"/>
          </w:tcPr>
          <w:p w14:paraId="42DC1B5D">
            <w:pPr>
              <w:pStyle w:val="49"/>
              <w:bidi w:val="0"/>
            </w:pPr>
            <w:r>
              <w:t>地形</w:t>
            </w:r>
          </w:p>
        </w:tc>
        <w:tc>
          <w:tcPr>
            <w:tcW w:w="631" w:type="pct"/>
            <w:gridSpan w:val="2"/>
            <w:vAlign w:val="center"/>
          </w:tcPr>
          <w:p w14:paraId="17AD8031">
            <w:pPr>
              <w:pStyle w:val="49"/>
              <w:bidi w:val="0"/>
            </w:pPr>
            <w:r>
              <w:t>海拔（m）</w:t>
            </w:r>
          </w:p>
        </w:tc>
        <w:tc>
          <w:tcPr>
            <w:tcW w:w="631" w:type="pct"/>
            <w:vAlign w:val="center"/>
          </w:tcPr>
          <w:p w14:paraId="3704B040">
            <w:pPr>
              <w:pStyle w:val="49"/>
              <w:bidi w:val="0"/>
            </w:pPr>
            <w:r>
              <w:t>坡向</w:t>
            </w:r>
          </w:p>
        </w:tc>
        <w:tc>
          <w:tcPr>
            <w:tcW w:w="790" w:type="pct"/>
            <w:vAlign w:val="center"/>
          </w:tcPr>
          <w:p w14:paraId="4574D017">
            <w:pPr>
              <w:pStyle w:val="49"/>
              <w:bidi w:val="0"/>
            </w:pPr>
            <w:r>
              <w:t>坡度（°）</w:t>
            </w:r>
          </w:p>
        </w:tc>
      </w:tr>
      <w:tr w14:paraId="55374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016D3805">
            <w:pPr>
              <w:pStyle w:val="49"/>
              <w:bidi w:val="0"/>
            </w:pPr>
            <w:r>
              <w:t>地点</w:t>
            </w:r>
          </w:p>
        </w:tc>
        <w:tc>
          <w:tcPr>
            <w:tcW w:w="1776" w:type="pct"/>
            <w:gridSpan w:val="2"/>
            <w:vAlign w:val="center"/>
          </w:tcPr>
          <w:p w14:paraId="2AF118B6">
            <w:pPr>
              <w:pStyle w:val="49"/>
              <w:bidi w:val="0"/>
              <w:rPr>
                <w:rFonts w:hint="default" w:eastAsia="宋体"/>
                <w:lang w:val="en-US" w:eastAsia="zh-CN"/>
              </w:rPr>
            </w:pPr>
            <w:r>
              <w:rPr>
                <w:rFonts w:hint="eastAsia"/>
                <w:lang w:val="en-US" w:eastAsia="zh-CN"/>
              </w:rPr>
              <w:t>大坝西南侧</w:t>
            </w:r>
          </w:p>
        </w:tc>
        <w:tc>
          <w:tcPr>
            <w:tcW w:w="555" w:type="pct"/>
            <w:vAlign w:val="center"/>
          </w:tcPr>
          <w:p w14:paraId="334767EF">
            <w:pPr>
              <w:pStyle w:val="49"/>
              <w:bidi w:val="0"/>
              <w:rPr>
                <w:rFonts w:hint="eastAsia"/>
                <w:lang w:eastAsia="zh-CN"/>
              </w:rPr>
            </w:pPr>
            <w:r>
              <w:rPr>
                <w:rFonts w:hint="eastAsia"/>
                <w:lang w:val="en-US" w:eastAsia="zh-CN"/>
              </w:rPr>
              <w:t>坡地</w:t>
            </w:r>
          </w:p>
        </w:tc>
        <w:tc>
          <w:tcPr>
            <w:tcW w:w="631" w:type="pct"/>
            <w:gridSpan w:val="2"/>
            <w:vAlign w:val="center"/>
          </w:tcPr>
          <w:p w14:paraId="1D218726">
            <w:pPr>
              <w:pStyle w:val="49"/>
              <w:bidi w:val="0"/>
              <w:rPr>
                <w:rFonts w:hint="default" w:eastAsia="宋体"/>
                <w:lang w:val="en-US" w:eastAsia="zh-CN"/>
              </w:rPr>
            </w:pPr>
            <w:r>
              <w:rPr>
                <w:rFonts w:hint="eastAsia"/>
                <w:lang w:val="en-US" w:eastAsia="zh-CN"/>
              </w:rPr>
              <w:t>284</w:t>
            </w:r>
          </w:p>
        </w:tc>
        <w:tc>
          <w:tcPr>
            <w:tcW w:w="631" w:type="pct"/>
            <w:vAlign w:val="center"/>
          </w:tcPr>
          <w:p w14:paraId="0F9F1709">
            <w:pPr>
              <w:pStyle w:val="49"/>
              <w:bidi w:val="0"/>
              <w:rPr>
                <w:rFonts w:hint="eastAsia" w:eastAsia="宋体"/>
                <w:lang w:val="en-US" w:eastAsia="zh-CN"/>
              </w:rPr>
            </w:pPr>
            <w:r>
              <w:rPr>
                <w:rFonts w:hint="eastAsia"/>
                <w:lang w:val="en-US" w:eastAsia="zh-CN"/>
              </w:rPr>
              <w:t>东</w:t>
            </w:r>
          </w:p>
        </w:tc>
        <w:tc>
          <w:tcPr>
            <w:tcW w:w="790" w:type="pct"/>
            <w:vAlign w:val="center"/>
          </w:tcPr>
          <w:p w14:paraId="656D88CD">
            <w:pPr>
              <w:pStyle w:val="49"/>
              <w:bidi w:val="0"/>
              <w:rPr>
                <w:rFonts w:hint="default"/>
                <w:lang w:val="en-US" w:eastAsia="zh-CN"/>
              </w:rPr>
            </w:pPr>
            <w:r>
              <w:rPr>
                <w:rFonts w:hint="eastAsia"/>
                <w:lang w:val="en-US" w:eastAsia="zh-CN"/>
              </w:rPr>
              <w:t>15</w:t>
            </w:r>
          </w:p>
        </w:tc>
      </w:tr>
      <w:tr w14:paraId="3C6A9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C5932D3">
            <w:pPr>
              <w:pStyle w:val="49"/>
              <w:bidi w:val="0"/>
            </w:pPr>
            <w:r>
              <w:t>经纬度</w:t>
            </w:r>
          </w:p>
        </w:tc>
        <w:tc>
          <w:tcPr>
            <w:tcW w:w="4385" w:type="pct"/>
            <w:gridSpan w:val="7"/>
            <w:vAlign w:val="center"/>
          </w:tcPr>
          <w:p w14:paraId="4E5E7420">
            <w:pPr>
              <w:pStyle w:val="49"/>
              <w:bidi w:val="0"/>
            </w:pPr>
            <w:r>
              <w:rPr>
                <w:rFonts w:hint="eastAsia"/>
              </w:rPr>
              <w:t>111.593897694,25.677548775</w:t>
            </w:r>
          </w:p>
        </w:tc>
      </w:tr>
      <w:tr w14:paraId="09806F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042FCA4">
            <w:pPr>
              <w:pStyle w:val="49"/>
              <w:bidi w:val="0"/>
            </w:pPr>
            <w:r>
              <w:t>层次</w:t>
            </w:r>
          </w:p>
        </w:tc>
        <w:tc>
          <w:tcPr>
            <w:tcW w:w="4385" w:type="pct"/>
            <w:gridSpan w:val="7"/>
            <w:vAlign w:val="center"/>
          </w:tcPr>
          <w:p w14:paraId="3E19E906">
            <w:pPr>
              <w:pStyle w:val="49"/>
              <w:bidi w:val="0"/>
            </w:pPr>
            <w:r>
              <w:rPr>
                <w:rFonts w:hint="eastAsia"/>
                <w:lang w:val="en-US" w:eastAsia="zh-CN"/>
              </w:rPr>
              <w:t>二</w:t>
            </w:r>
            <w:r>
              <w:t>层</w:t>
            </w:r>
          </w:p>
        </w:tc>
      </w:tr>
      <w:tr w14:paraId="674490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3921982D">
            <w:pPr>
              <w:pStyle w:val="49"/>
              <w:bidi w:val="0"/>
            </w:pPr>
            <w:r>
              <w:t>分层</w:t>
            </w:r>
          </w:p>
        </w:tc>
        <w:tc>
          <w:tcPr>
            <w:tcW w:w="485" w:type="pct"/>
            <w:vAlign w:val="center"/>
          </w:tcPr>
          <w:p w14:paraId="5FBFAC17">
            <w:pPr>
              <w:pStyle w:val="49"/>
              <w:bidi w:val="0"/>
            </w:pPr>
            <w:r>
              <w:t>层盖度</w:t>
            </w:r>
          </w:p>
        </w:tc>
        <w:tc>
          <w:tcPr>
            <w:tcW w:w="2023" w:type="pct"/>
            <w:gridSpan w:val="3"/>
            <w:vAlign w:val="center"/>
          </w:tcPr>
          <w:p w14:paraId="430DB748">
            <w:pPr>
              <w:pStyle w:val="49"/>
              <w:bidi w:val="0"/>
            </w:pPr>
            <w:r>
              <w:t>种类组成与生长状况</w:t>
            </w:r>
          </w:p>
        </w:tc>
        <w:tc>
          <w:tcPr>
            <w:tcW w:w="1876" w:type="pct"/>
            <w:gridSpan w:val="3"/>
            <w:vAlign w:val="center"/>
          </w:tcPr>
          <w:p w14:paraId="07975930">
            <w:pPr>
              <w:pStyle w:val="49"/>
              <w:bidi w:val="0"/>
            </w:pPr>
            <w:r>
              <w:t>考察照片</w:t>
            </w:r>
          </w:p>
        </w:tc>
      </w:tr>
      <w:tr w14:paraId="2AA49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47B58C07">
            <w:pPr>
              <w:pStyle w:val="49"/>
              <w:bidi w:val="0"/>
            </w:pPr>
            <w:r>
              <w:t>灌木层</w:t>
            </w:r>
          </w:p>
        </w:tc>
        <w:tc>
          <w:tcPr>
            <w:tcW w:w="485" w:type="pct"/>
            <w:shd w:val="clear" w:color="auto" w:fill="auto"/>
            <w:vAlign w:val="center"/>
          </w:tcPr>
          <w:p w14:paraId="1BC0DCE5">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50</w:t>
            </w:r>
            <w:r>
              <w:t>%</w:t>
            </w:r>
          </w:p>
        </w:tc>
        <w:tc>
          <w:tcPr>
            <w:tcW w:w="2023" w:type="pct"/>
            <w:gridSpan w:val="3"/>
            <w:shd w:val="clear" w:color="auto" w:fill="auto"/>
            <w:vAlign w:val="center"/>
          </w:tcPr>
          <w:p w14:paraId="45211B9B">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层高约</w:t>
            </w:r>
            <w:r>
              <w:rPr>
                <w:rFonts w:hint="eastAsia"/>
                <w:lang w:val="en-US" w:eastAsia="zh-CN"/>
              </w:rPr>
              <w:t>1</w:t>
            </w:r>
            <w:r>
              <w:rPr>
                <w:rFonts w:hint="eastAsia"/>
              </w:rPr>
              <w:t>m，优势种檵木（Form. Loropetalum chinense），高约1</w:t>
            </w:r>
            <w:r>
              <w:rPr>
                <w:rFonts w:hint="eastAsia"/>
                <w:lang w:val="en-US" w:eastAsia="zh-CN"/>
              </w:rPr>
              <w:t>~1.2</w:t>
            </w:r>
            <w:r>
              <w:rPr>
                <w:rFonts w:hint="eastAsia"/>
              </w:rPr>
              <w:t>m，盖度约</w:t>
            </w:r>
            <w:r>
              <w:rPr>
                <w:rFonts w:hint="eastAsia"/>
                <w:lang w:val="en-US" w:eastAsia="zh-CN"/>
              </w:rPr>
              <w:t>5</w:t>
            </w:r>
            <w:r>
              <w:rPr>
                <w:rFonts w:hint="eastAsia"/>
              </w:rPr>
              <w:t>0%，伴生种主要有</w:t>
            </w:r>
            <w:r>
              <w:rPr>
                <w:rFonts w:hint="eastAsia"/>
                <w:lang w:val="en-US" w:eastAsia="zh-CN"/>
              </w:rPr>
              <w:t>小果蔷薇</w:t>
            </w:r>
            <w:r>
              <w:rPr>
                <w:rFonts w:hint="eastAsia"/>
              </w:rPr>
              <w:t>（Rosa cymosa Tratt.）、火棘（Pyracantha fortuneana）、盐肤木（Rhus chinensis）、牡荆（Vitex negundo var. cannabifolia）。</w:t>
            </w:r>
          </w:p>
        </w:tc>
        <w:tc>
          <w:tcPr>
            <w:tcW w:w="1876" w:type="pct"/>
            <w:gridSpan w:val="3"/>
            <w:vMerge w:val="restart"/>
            <w:vAlign w:val="center"/>
          </w:tcPr>
          <w:p w14:paraId="175989A4">
            <w:pPr>
              <w:pStyle w:val="49"/>
              <w:bidi w:val="0"/>
              <w:rPr>
                <w:rFonts w:hint="eastAsia"/>
                <w:lang w:eastAsia="zh-CN"/>
              </w:rPr>
            </w:pPr>
            <w:r>
              <w:rPr>
                <w:rFonts w:hint="eastAsia"/>
                <w:lang w:eastAsia="zh-CN"/>
              </w:rPr>
              <w:drawing>
                <wp:inline distT="0" distB="0" distL="114300" distR="114300">
                  <wp:extent cx="1828800" cy="2437765"/>
                  <wp:effectExtent l="0" t="0" r="0" b="635"/>
                  <wp:docPr id="6" name="图片 6" descr="96875de75498dea51b12b67fef4b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6875de75498dea51b12b67fef4b11a"/>
                          <pic:cNvPicPr>
                            <a:picLocks noChangeAspect="1"/>
                          </pic:cNvPicPr>
                        </pic:nvPicPr>
                        <pic:blipFill>
                          <a:blip r:embed="rId55"/>
                          <a:stretch>
                            <a:fillRect/>
                          </a:stretch>
                        </pic:blipFill>
                        <pic:spPr>
                          <a:xfrm>
                            <a:off x="0" y="0"/>
                            <a:ext cx="1828800" cy="2437765"/>
                          </a:xfrm>
                          <a:prstGeom prst="rect">
                            <a:avLst/>
                          </a:prstGeom>
                        </pic:spPr>
                      </pic:pic>
                    </a:graphicData>
                  </a:graphic>
                </wp:inline>
              </w:drawing>
            </w:r>
          </w:p>
        </w:tc>
      </w:tr>
      <w:tr w14:paraId="26DBA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4" w:type="pct"/>
            <w:vAlign w:val="center"/>
          </w:tcPr>
          <w:p w14:paraId="13DD1EBA">
            <w:pPr>
              <w:pStyle w:val="49"/>
              <w:bidi w:val="0"/>
            </w:pPr>
            <w:r>
              <w:t>草本层</w:t>
            </w:r>
          </w:p>
        </w:tc>
        <w:tc>
          <w:tcPr>
            <w:tcW w:w="485" w:type="pct"/>
            <w:shd w:val="clear" w:color="auto" w:fill="auto"/>
            <w:vAlign w:val="center"/>
          </w:tcPr>
          <w:p w14:paraId="38FD3B76">
            <w:pPr>
              <w:pStyle w:val="49"/>
              <w:bidi w:val="0"/>
              <w:ind w:left="0" w:leftChars="0" w:firstLine="0" w:firstLineChars="0"/>
              <w:rPr>
                <w:rFonts w:ascii="Times New Roman" w:hAnsi="Times New Roman" w:eastAsia="宋体" w:cs="Times New Roman"/>
                <w:kern w:val="2"/>
                <w:sz w:val="21"/>
                <w:szCs w:val="21"/>
                <w:lang w:val="en-US" w:eastAsia="zh-CN" w:bidi="ar-SA"/>
              </w:rPr>
            </w:pPr>
            <w:r>
              <w:t>层盖度</w:t>
            </w:r>
            <w:r>
              <w:rPr>
                <w:rFonts w:hint="eastAsia"/>
                <w:lang w:val="en-US" w:eastAsia="zh-CN"/>
              </w:rPr>
              <w:t>30</w:t>
            </w:r>
            <w:r>
              <w:t>%</w:t>
            </w:r>
          </w:p>
        </w:tc>
        <w:tc>
          <w:tcPr>
            <w:tcW w:w="2023" w:type="pct"/>
            <w:gridSpan w:val="3"/>
            <w:shd w:val="clear" w:color="auto" w:fill="auto"/>
            <w:vAlign w:val="center"/>
          </w:tcPr>
          <w:p w14:paraId="309DEC1B">
            <w:pPr>
              <w:pStyle w:val="49"/>
              <w:bidi w:val="0"/>
              <w:ind w:left="0" w:leftChars="0" w:firstLine="0" w:firstLineChars="0"/>
              <w:rPr>
                <w:rFonts w:hint="eastAsia" w:ascii="Times New Roman" w:hAnsi="Times New Roman" w:eastAsia="宋体" w:cs="Times New Roman"/>
                <w:kern w:val="2"/>
                <w:sz w:val="21"/>
                <w:szCs w:val="21"/>
                <w:lang w:val="en-US" w:eastAsia="zh-CN" w:bidi="ar-SA"/>
              </w:rPr>
            </w:pPr>
            <w:r>
              <w:rPr>
                <w:rFonts w:hint="eastAsia"/>
              </w:rPr>
              <w:t>层均高0.5m，优势种为芒（Miscanthus sinensis），高约0.5m，盖度约30%，伴生种较少，主要有黄背草（Themeda japonica）、千里光（Senecio scandens）、芒萁（Dicranopteris pedata）、野艾蒿（Artemisia lavandulifolia）等。</w:t>
            </w:r>
          </w:p>
        </w:tc>
        <w:tc>
          <w:tcPr>
            <w:tcW w:w="1876" w:type="pct"/>
            <w:gridSpan w:val="3"/>
            <w:vMerge w:val="continue"/>
            <w:vAlign w:val="center"/>
          </w:tcPr>
          <w:p w14:paraId="5D9B8764">
            <w:pPr>
              <w:pStyle w:val="49"/>
              <w:bidi w:val="0"/>
            </w:pPr>
          </w:p>
        </w:tc>
      </w:tr>
    </w:tbl>
    <w:p w14:paraId="24F9046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15</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37A136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0F4F8F73">
            <w:pPr>
              <w:pStyle w:val="49"/>
              <w:bidi w:val="0"/>
            </w:pPr>
            <w:r>
              <w:t>植被类型</w:t>
            </w:r>
          </w:p>
        </w:tc>
        <w:tc>
          <w:tcPr>
            <w:tcW w:w="1775" w:type="pct"/>
            <w:gridSpan w:val="2"/>
            <w:vMerge w:val="restart"/>
            <w:vAlign w:val="center"/>
          </w:tcPr>
          <w:p w14:paraId="0E8B0EB8">
            <w:pPr>
              <w:pStyle w:val="49"/>
              <w:bidi w:val="0"/>
            </w:pPr>
            <w:r>
              <w:rPr>
                <w:rFonts w:hint="eastAsia"/>
              </w:rPr>
              <w:t>檵木（Form.Loropetalumchinense）</w:t>
            </w:r>
          </w:p>
        </w:tc>
        <w:tc>
          <w:tcPr>
            <w:tcW w:w="2609" w:type="pct"/>
            <w:gridSpan w:val="5"/>
            <w:vAlign w:val="center"/>
          </w:tcPr>
          <w:p w14:paraId="529E33DC">
            <w:pPr>
              <w:pStyle w:val="49"/>
              <w:bidi w:val="0"/>
            </w:pPr>
            <w:r>
              <w:t>环境特征</w:t>
            </w:r>
          </w:p>
        </w:tc>
      </w:tr>
      <w:tr w14:paraId="59E19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7590C8B">
            <w:pPr>
              <w:pStyle w:val="49"/>
              <w:bidi w:val="0"/>
            </w:pPr>
          </w:p>
        </w:tc>
        <w:tc>
          <w:tcPr>
            <w:tcW w:w="1775" w:type="pct"/>
            <w:gridSpan w:val="2"/>
            <w:vMerge w:val="continue"/>
            <w:vAlign w:val="center"/>
          </w:tcPr>
          <w:p w14:paraId="35A753A6">
            <w:pPr>
              <w:pStyle w:val="49"/>
              <w:bidi w:val="0"/>
            </w:pPr>
          </w:p>
        </w:tc>
        <w:tc>
          <w:tcPr>
            <w:tcW w:w="555" w:type="pct"/>
            <w:vAlign w:val="center"/>
          </w:tcPr>
          <w:p w14:paraId="13468AD4">
            <w:pPr>
              <w:pStyle w:val="49"/>
              <w:bidi w:val="0"/>
            </w:pPr>
            <w:r>
              <w:t>地形</w:t>
            </w:r>
          </w:p>
        </w:tc>
        <w:tc>
          <w:tcPr>
            <w:tcW w:w="631" w:type="pct"/>
            <w:gridSpan w:val="2"/>
            <w:vAlign w:val="center"/>
          </w:tcPr>
          <w:p w14:paraId="35C2D73A">
            <w:pPr>
              <w:pStyle w:val="49"/>
              <w:bidi w:val="0"/>
            </w:pPr>
            <w:r>
              <w:t>海拔（m）</w:t>
            </w:r>
          </w:p>
        </w:tc>
        <w:tc>
          <w:tcPr>
            <w:tcW w:w="631" w:type="pct"/>
            <w:vAlign w:val="center"/>
          </w:tcPr>
          <w:p w14:paraId="2D7DA1B2">
            <w:pPr>
              <w:pStyle w:val="49"/>
              <w:bidi w:val="0"/>
            </w:pPr>
            <w:r>
              <w:t>坡向</w:t>
            </w:r>
          </w:p>
        </w:tc>
        <w:tc>
          <w:tcPr>
            <w:tcW w:w="790" w:type="pct"/>
            <w:vAlign w:val="center"/>
          </w:tcPr>
          <w:p w14:paraId="00135BFC">
            <w:pPr>
              <w:pStyle w:val="49"/>
              <w:bidi w:val="0"/>
            </w:pPr>
            <w:r>
              <w:t>坡度（°）</w:t>
            </w:r>
          </w:p>
        </w:tc>
      </w:tr>
      <w:tr w14:paraId="1078C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79EF1B1">
            <w:pPr>
              <w:pStyle w:val="49"/>
              <w:bidi w:val="0"/>
            </w:pPr>
            <w:r>
              <w:t>地点</w:t>
            </w:r>
          </w:p>
        </w:tc>
        <w:tc>
          <w:tcPr>
            <w:tcW w:w="1775" w:type="pct"/>
            <w:gridSpan w:val="2"/>
            <w:vAlign w:val="center"/>
          </w:tcPr>
          <w:p w14:paraId="513DA6E7">
            <w:pPr>
              <w:pStyle w:val="49"/>
              <w:bidi w:val="0"/>
              <w:rPr>
                <w:rFonts w:hint="default" w:eastAsia="宋体"/>
                <w:lang w:val="en-US" w:eastAsia="zh-CN"/>
              </w:rPr>
            </w:pPr>
            <w:r>
              <w:rPr>
                <w:rFonts w:hint="eastAsia"/>
                <w:lang w:val="en-US" w:eastAsia="zh-CN"/>
              </w:rPr>
              <w:t>库尾西北侧</w:t>
            </w:r>
          </w:p>
        </w:tc>
        <w:tc>
          <w:tcPr>
            <w:tcW w:w="555" w:type="pct"/>
            <w:vAlign w:val="center"/>
          </w:tcPr>
          <w:p w14:paraId="4F3B41F6">
            <w:pPr>
              <w:pStyle w:val="49"/>
              <w:bidi w:val="0"/>
              <w:rPr>
                <w:rFonts w:hint="eastAsia"/>
                <w:lang w:eastAsia="zh-CN"/>
              </w:rPr>
            </w:pPr>
            <w:r>
              <w:rPr>
                <w:rFonts w:hint="eastAsia"/>
                <w:lang w:val="en-US" w:eastAsia="zh-CN"/>
              </w:rPr>
              <w:t>坡地</w:t>
            </w:r>
          </w:p>
        </w:tc>
        <w:tc>
          <w:tcPr>
            <w:tcW w:w="631" w:type="pct"/>
            <w:gridSpan w:val="2"/>
            <w:vAlign w:val="center"/>
          </w:tcPr>
          <w:p w14:paraId="47AA5FB7">
            <w:pPr>
              <w:pStyle w:val="49"/>
              <w:bidi w:val="0"/>
              <w:rPr>
                <w:rFonts w:hint="default" w:eastAsia="宋体"/>
                <w:lang w:val="en-US" w:eastAsia="zh-CN"/>
              </w:rPr>
            </w:pPr>
            <w:r>
              <w:rPr>
                <w:rFonts w:hint="eastAsia"/>
                <w:lang w:val="en-US" w:eastAsia="zh-CN"/>
              </w:rPr>
              <w:t>308</w:t>
            </w:r>
          </w:p>
        </w:tc>
        <w:tc>
          <w:tcPr>
            <w:tcW w:w="631" w:type="pct"/>
            <w:vAlign w:val="center"/>
          </w:tcPr>
          <w:p w14:paraId="2EABD221">
            <w:pPr>
              <w:pStyle w:val="49"/>
              <w:bidi w:val="0"/>
              <w:rPr>
                <w:rFonts w:hint="eastAsia" w:eastAsia="宋体"/>
                <w:lang w:val="en-US" w:eastAsia="zh-CN"/>
              </w:rPr>
            </w:pPr>
            <w:r>
              <w:rPr>
                <w:rFonts w:hint="eastAsia"/>
                <w:lang w:val="en-US" w:eastAsia="zh-CN"/>
              </w:rPr>
              <w:t>东</w:t>
            </w:r>
          </w:p>
        </w:tc>
        <w:tc>
          <w:tcPr>
            <w:tcW w:w="790" w:type="pct"/>
            <w:vAlign w:val="center"/>
          </w:tcPr>
          <w:p w14:paraId="38483C50">
            <w:pPr>
              <w:pStyle w:val="49"/>
              <w:bidi w:val="0"/>
              <w:rPr>
                <w:rFonts w:hint="default"/>
                <w:lang w:val="en-US" w:eastAsia="zh-CN"/>
              </w:rPr>
            </w:pPr>
            <w:r>
              <w:rPr>
                <w:rFonts w:hint="eastAsia"/>
                <w:lang w:val="en-US" w:eastAsia="zh-CN"/>
              </w:rPr>
              <w:t>16</w:t>
            </w:r>
          </w:p>
        </w:tc>
      </w:tr>
      <w:tr w14:paraId="3BD51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16554F2">
            <w:pPr>
              <w:pStyle w:val="49"/>
              <w:bidi w:val="0"/>
            </w:pPr>
            <w:r>
              <w:t>经纬度</w:t>
            </w:r>
          </w:p>
        </w:tc>
        <w:tc>
          <w:tcPr>
            <w:tcW w:w="4384" w:type="pct"/>
            <w:gridSpan w:val="7"/>
            <w:vAlign w:val="center"/>
          </w:tcPr>
          <w:p w14:paraId="4DFD5EBD">
            <w:pPr>
              <w:pStyle w:val="49"/>
              <w:bidi w:val="0"/>
            </w:pPr>
            <w:r>
              <w:rPr>
                <w:rFonts w:hint="eastAsia"/>
              </w:rPr>
              <w:t>111.594137752,25.687077323</w:t>
            </w:r>
          </w:p>
        </w:tc>
      </w:tr>
      <w:tr w14:paraId="77F8CA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EA90C33">
            <w:pPr>
              <w:pStyle w:val="49"/>
              <w:bidi w:val="0"/>
            </w:pPr>
            <w:r>
              <w:t>层次</w:t>
            </w:r>
          </w:p>
        </w:tc>
        <w:tc>
          <w:tcPr>
            <w:tcW w:w="4384" w:type="pct"/>
            <w:gridSpan w:val="7"/>
            <w:vAlign w:val="center"/>
          </w:tcPr>
          <w:p w14:paraId="7956F094">
            <w:pPr>
              <w:pStyle w:val="49"/>
              <w:bidi w:val="0"/>
            </w:pPr>
            <w:r>
              <w:rPr>
                <w:rFonts w:hint="eastAsia"/>
                <w:lang w:val="en-US" w:eastAsia="zh-CN"/>
              </w:rPr>
              <w:t>二</w:t>
            </w:r>
            <w:r>
              <w:t>层</w:t>
            </w:r>
          </w:p>
        </w:tc>
      </w:tr>
      <w:tr w14:paraId="626A5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CFE5B8B">
            <w:pPr>
              <w:pStyle w:val="49"/>
              <w:bidi w:val="0"/>
            </w:pPr>
            <w:r>
              <w:t>分层</w:t>
            </w:r>
          </w:p>
        </w:tc>
        <w:tc>
          <w:tcPr>
            <w:tcW w:w="485" w:type="pct"/>
            <w:vAlign w:val="center"/>
          </w:tcPr>
          <w:p w14:paraId="6E39E681">
            <w:pPr>
              <w:pStyle w:val="49"/>
              <w:bidi w:val="0"/>
            </w:pPr>
            <w:r>
              <w:t>层盖度</w:t>
            </w:r>
          </w:p>
        </w:tc>
        <w:tc>
          <w:tcPr>
            <w:tcW w:w="2022" w:type="pct"/>
            <w:gridSpan w:val="3"/>
            <w:vAlign w:val="center"/>
          </w:tcPr>
          <w:p w14:paraId="19ED2946">
            <w:pPr>
              <w:pStyle w:val="49"/>
              <w:bidi w:val="0"/>
            </w:pPr>
            <w:r>
              <w:t>种类组成与生长状况</w:t>
            </w:r>
          </w:p>
        </w:tc>
        <w:tc>
          <w:tcPr>
            <w:tcW w:w="1876" w:type="pct"/>
            <w:gridSpan w:val="3"/>
            <w:vAlign w:val="center"/>
          </w:tcPr>
          <w:p w14:paraId="786AAE52">
            <w:pPr>
              <w:pStyle w:val="49"/>
              <w:bidi w:val="0"/>
            </w:pPr>
            <w:r>
              <w:t>考察照片</w:t>
            </w:r>
          </w:p>
        </w:tc>
      </w:tr>
      <w:tr w14:paraId="65EA20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A3065F3">
            <w:pPr>
              <w:pStyle w:val="49"/>
              <w:bidi w:val="0"/>
            </w:pPr>
            <w:r>
              <w:t>灌木层</w:t>
            </w:r>
          </w:p>
        </w:tc>
        <w:tc>
          <w:tcPr>
            <w:tcW w:w="828" w:type="dxa"/>
            <w:vAlign w:val="center"/>
          </w:tcPr>
          <w:p w14:paraId="737D10BC">
            <w:pPr>
              <w:pStyle w:val="49"/>
              <w:bidi w:val="0"/>
            </w:pPr>
            <w:r>
              <w:rPr>
                <w:rFonts w:hint="eastAsia"/>
                <w:lang w:val="en-US" w:eastAsia="zh-CN"/>
              </w:rPr>
              <w:t>5</w:t>
            </w:r>
            <w:r>
              <w:rPr>
                <w:rFonts w:hint="eastAsia"/>
              </w:rPr>
              <w:t>0%</w:t>
            </w:r>
          </w:p>
        </w:tc>
        <w:tc>
          <w:tcPr>
            <w:tcW w:w="3452" w:type="dxa"/>
            <w:gridSpan w:val="3"/>
            <w:vAlign w:val="center"/>
          </w:tcPr>
          <w:p w14:paraId="630F9803">
            <w:pPr>
              <w:pStyle w:val="49"/>
              <w:bidi w:val="0"/>
              <w:rPr>
                <w:rFonts w:hint="eastAsia"/>
              </w:rPr>
            </w:pPr>
            <w:r>
              <w:rPr>
                <w:rFonts w:hint="eastAsia"/>
              </w:rPr>
              <w:t>层高约1.5m。优势种为檵木，伴生种主要有地菍、构棘、尖连蕊茶（Camellia cuspidata）等。</w:t>
            </w:r>
          </w:p>
        </w:tc>
        <w:tc>
          <w:tcPr>
            <w:tcW w:w="1876" w:type="pct"/>
            <w:gridSpan w:val="3"/>
            <w:vMerge w:val="restart"/>
            <w:vAlign w:val="center"/>
          </w:tcPr>
          <w:p w14:paraId="51389895">
            <w:pPr>
              <w:pStyle w:val="49"/>
              <w:bidi w:val="0"/>
              <w:rPr>
                <w:rFonts w:hint="eastAsia"/>
                <w:lang w:eastAsia="zh-CN"/>
              </w:rPr>
            </w:pPr>
            <w:r>
              <w:rPr>
                <w:rFonts w:hint="eastAsia"/>
                <w:lang w:eastAsia="zh-CN"/>
              </w:rPr>
              <w:drawing>
                <wp:inline distT="0" distB="0" distL="114300" distR="114300">
                  <wp:extent cx="1865630" cy="1397000"/>
                  <wp:effectExtent l="0" t="0" r="1270" b="12700"/>
                  <wp:docPr id="37" name="图片 37" descr="IMG_20250328_14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328_144332"/>
                          <pic:cNvPicPr>
                            <a:picLocks noChangeAspect="1"/>
                          </pic:cNvPicPr>
                        </pic:nvPicPr>
                        <pic:blipFill>
                          <a:blip r:embed="rId56"/>
                          <a:stretch>
                            <a:fillRect/>
                          </a:stretch>
                        </pic:blipFill>
                        <pic:spPr>
                          <a:xfrm>
                            <a:off x="0" y="0"/>
                            <a:ext cx="1865630" cy="1397000"/>
                          </a:xfrm>
                          <a:prstGeom prst="rect">
                            <a:avLst/>
                          </a:prstGeom>
                        </pic:spPr>
                      </pic:pic>
                    </a:graphicData>
                  </a:graphic>
                </wp:inline>
              </w:drawing>
            </w:r>
          </w:p>
        </w:tc>
      </w:tr>
      <w:tr w14:paraId="478D9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4AD1996">
            <w:pPr>
              <w:pStyle w:val="49"/>
              <w:bidi w:val="0"/>
            </w:pPr>
            <w:r>
              <w:t>草本层</w:t>
            </w:r>
          </w:p>
        </w:tc>
        <w:tc>
          <w:tcPr>
            <w:tcW w:w="828" w:type="dxa"/>
            <w:vAlign w:val="center"/>
          </w:tcPr>
          <w:p w14:paraId="0768A249">
            <w:pPr>
              <w:pStyle w:val="49"/>
              <w:bidi w:val="0"/>
            </w:pPr>
            <w:r>
              <w:t>盖度</w:t>
            </w:r>
            <w:r>
              <w:rPr>
                <w:rFonts w:hint="eastAsia"/>
              </w:rPr>
              <w:t>2</w:t>
            </w:r>
            <w:r>
              <w:t>0%</w:t>
            </w:r>
          </w:p>
        </w:tc>
        <w:tc>
          <w:tcPr>
            <w:tcW w:w="3452" w:type="dxa"/>
            <w:gridSpan w:val="3"/>
            <w:vAlign w:val="center"/>
          </w:tcPr>
          <w:p w14:paraId="434CD0F2">
            <w:pPr>
              <w:pStyle w:val="49"/>
              <w:bidi w:val="0"/>
            </w:pPr>
            <w:r>
              <w:rPr>
                <w:rFonts w:hint="eastAsia"/>
              </w:rPr>
              <w:t>优势种黄背草（Themeda japonica），</w:t>
            </w:r>
          </w:p>
          <w:p w14:paraId="54BB0C1D">
            <w:pPr>
              <w:pStyle w:val="49"/>
              <w:bidi w:val="0"/>
            </w:pPr>
            <w:r>
              <w:rPr>
                <w:rFonts w:hint="eastAsia"/>
              </w:rPr>
              <w:t>伴生种有芒、显子草（Phaenosperma</w:t>
            </w:r>
          </w:p>
          <w:p w14:paraId="37EC74F6">
            <w:pPr>
              <w:pStyle w:val="49"/>
              <w:bidi w:val="0"/>
            </w:pPr>
            <w:r>
              <w:rPr>
                <w:rFonts w:hint="eastAsia"/>
              </w:rPr>
              <w:t>globosa）、岩菖蒲（Tofieldia</w:t>
            </w:r>
          </w:p>
          <w:p w14:paraId="14EE82F5">
            <w:pPr>
              <w:pStyle w:val="49"/>
              <w:bidi w:val="0"/>
              <w:rPr>
                <w:rFonts w:hint="eastAsia"/>
              </w:rPr>
            </w:pPr>
            <w:r>
              <w:rPr>
                <w:rFonts w:hint="eastAsia"/>
              </w:rPr>
              <w:t>thibetica）等。</w:t>
            </w:r>
          </w:p>
        </w:tc>
        <w:tc>
          <w:tcPr>
            <w:tcW w:w="1876" w:type="pct"/>
            <w:gridSpan w:val="3"/>
            <w:vMerge w:val="continue"/>
            <w:vAlign w:val="center"/>
          </w:tcPr>
          <w:p w14:paraId="468D9AE5">
            <w:pPr>
              <w:pStyle w:val="49"/>
              <w:bidi w:val="0"/>
            </w:pPr>
          </w:p>
        </w:tc>
      </w:tr>
    </w:tbl>
    <w:p w14:paraId="69FE9E6B">
      <w:pPr>
        <w:bidi w:val="0"/>
        <w:rPr>
          <w:rFonts w:hint="default"/>
          <w:lang w:eastAsia="zh-CN"/>
        </w:rPr>
      </w:pPr>
      <w:r>
        <w:rPr>
          <w:rFonts w:hint="eastAsia"/>
          <w:lang w:val="en-US" w:eastAsia="zh-CN"/>
        </w:rPr>
        <w:t>②</w:t>
      </w:r>
      <w:r>
        <w:rPr>
          <w:rFonts w:hint="default"/>
          <w:lang w:eastAsia="zh-CN"/>
        </w:rPr>
        <w:t>盐肤木灌丛(Form.Rhus chinensis)</w:t>
      </w:r>
    </w:p>
    <w:p w14:paraId="097DD7F9">
      <w:pPr>
        <w:bidi w:val="0"/>
        <w:rPr>
          <w:rFonts w:hint="default"/>
          <w:lang w:eastAsia="zh-CN"/>
        </w:rPr>
      </w:pPr>
      <w:r>
        <w:rPr>
          <w:rFonts w:hint="default"/>
          <w:lang w:eastAsia="zh-CN"/>
        </w:rPr>
        <w:t>盐麸木(RhuschinensisMill.)，漆树科盐麸木属植物，性喜阳光。常见于评论区疏林或灌丛中，叶轴有翅，辨识度高，群落外貌呈绿色，群系下土壤颜色为黄壤，群落结构及种类组成较简单。</w:t>
      </w:r>
    </w:p>
    <w:p w14:paraId="653F8B8A">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16</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580C0C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37C657A">
            <w:pPr>
              <w:pStyle w:val="49"/>
              <w:bidi w:val="0"/>
            </w:pPr>
            <w:r>
              <w:t>植被类型</w:t>
            </w:r>
          </w:p>
        </w:tc>
        <w:tc>
          <w:tcPr>
            <w:tcW w:w="1775" w:type="pct"/>
            <w:gridSpan w:val="2"/>
            <w:vMerge w:val="restart"/>
            <w:vAlign w:val="center"/>
          </w:tcPr>
          <w:p w14:paraId="2C69618D">
            <w:pPr>
              <w:pStyle w:val="49"/>
              <w:bidi w:val="0"/>
            </w:pPr>
            <w:r>
              <w:rPr>
                <w:rFonts w:hint="default"/>
                <w:lang w:eastAsia="zh-CN"/>
              </w:rPr>
              <w:t>盐肤木灌丛</w:t>
            </w:r>
          </w:p>
        </w:tc>
        <w:tc>
          <w:tcPr>
            <w:tcW w:w="2609" w:type="pct"/>
            <w:gridSpan w:val="5"/>
            <w:vAlign w:val="center"/>
          </w:tcPr>
          <w:p w14:paraId="12D37C63">
            <w:pPr>
              <w:pStyle w:val="49"/>
              <w:bidi w:val="0"/>
            </w:pPr>
            <w:r>
              <w:t>环境特征</w:t>
            </w:r>
          </w:p>
        </w:tc>
      </w:tr>
      <w:tr w14:paraId="6D75E0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1588A2A">
            <w:pPr>
              <w:pStyle w:val="49"/>
              <w:bidi w:val="0"/>
            </w:pPr>
          </w:p>
        </w:tc>
        <w:tc>
          <w:tcPr>
            <w:tcW w:w="1775" w:type="pct"/>
            <w:gridSpan w:val="2"/>
            <w:vMerge w:val="continue"/>
            <w:vAlign w:val="center"/>
          </w:tcPr>
          <w:p w14:paraId="573DD914">
            <w:pPr>
              <w:pStyle w:val="49"/>
              <w:bidi w:val="0"/>
            </w:pPr>
          </w:p>
        </w:tc>
        <w:tc>
          <w:tcPr>
            <w:tcW w:w="555" w:type="pct"/>
            <w:vAlign w:val="center"/>
          </w:tcPr>
          <w:p w14:paraId="149F8424">
            <w:pPr>
              <w:pStyle w:val="49"/>
              <w:bidi w:val="0"/>
            </w:pPr>
            <w:r>
              <w:t>地形</w:t>
            </w:r>
          </w:p>
        </w:tc>
        <w:tc>
          <w:tcPr>
            <w:tcW w:w="631" w:type="pct"/>
            <w:gridSpan w:val="2"/>
            <w:vAlign w:val="center"/>
          </w:tcPr>
          <w:p w14:paraId="46589C5D">
            <w:pPr>
              <w:pStyle w:val="49"/>
              <w:bidi w:val="0"/>
            </w:pPr>
            <w:r>
              <w:t>海拔（m）</w:t>
            </w:r>
          </w:p>
        </w:tc>
        <w:tc>
          <w:tcPr>
            <w:tcW w:w="631" w:type="pct"/>
            <w:vAlign w:val="center"/>
          </w:tcPr>
          <w:p w14:paraId="2779282A">
            <w:pPr>
              <w:pStyle w:val="49"/>
              <w:bidi w:val="0"/>
            </w:pPr>
            <w:r>
              <w:t>坡向</w:t>
            </w:r>
          </w:p>
        </w:tc>
        <w:tc>
          <w:tcPr>
            <w:tcW w:w="790" w:type="pct"/>
            <w:vAlign w:val="center"/>
          </w:tcPr>
          <w:p w14:paraId="7223A030">
            <w:pPr>
              <w:pStyle w:val="49"/>
              <w:bidi w:val="0"/>
            </w:pPr>
            <w:r>
              <w:t>坡度（°）</w:t>
            </w:r>
          </w:p>
        </w:tc>
      </w:tr>
      <w:tr w14:paraId="43E432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435485F">
            <w:pPr>
              <w:pStyle w:val="49"/>
              <w:bidi w:val="0"/>
            </w:pPr>
            <w:r>
              <w:t>地点</w:t>
            </w:r>
          </w:p>
        </w:tc>
        <w:tc>
          <w:tcPr>
            <w:tcW w:w="1775" w:type="pct"/>
            <w:gridSpan w:val="2"/>
            <w:vAlign w:val="center"/>
          </w:tcPr>
          <w:p w14:paraId="3D6671C7">
            <w:pPr>
              <w:pStyle w:val="49"/>
              <w:bidi w:val="0"/>
              <w:rPr>
                <w:rFonts w:hint="default" w:eastAsia="宋体"/>
                <w:lang w:val="en-US" w:eastAsia="zh-CN"/>
              </w:rPr>
            </w:pPr>
            <w:r>
              <w:rPr>
                <w:rFonts w:hint="eastAsia"/>
                <w:lang w:val="en-US" w:eastAsia="zh-CN"/>
              </w:rPr>
              <w:t>出水渠边</w:t>
            </w:r>
          </w:p>
        </w:tc>
        <w:tc>
          <w:tcPr>
            <w:tcW w:w="555" w:type="pct"/>
            <w:vAlign w:val="center"/>
          </w:tcPr>
          <w:p w14:paraId="42993466">
            <w:pPr>
              <w:pStyle w:val="49"/>
              <w:bidi w:val="0"/>
              <w:rPr>
                <w:rFonts w:hint="default"/>
                <w:lang w:val="en-US" w:eastAsia="zh-CN"/>
              </w:rPr>
            </w:pPr>
            <w:r>
              <w:rPr>
                <w:rFonts w:hint="eastAsia"/>
                <w:lang w:val="en-US" w:eastAsia="zh-CN"/>
              </w:rPr>
              <w:t>平地</w:t>
            </w:r>
          </w:p>
        </w:tc>
        <w:tc>
          <w:tcPr>
            <w:tcW w:w="631" w:type="pct"/>
            <w:gridSpan w:val="2"/>
            <w:vAlign w:val="center"/>
          </w:tcPr>
          <w:p w14:paraId="0DD1C05F">
            <w:pPr>
              <w:pStyle w:val="49"/>
              <w:bidi w:val="0"/>
              <w:rPr>
                <w:rFonts w:hint="default" w:eastAsia="宋体"/>
                <w:lang w:val="en-US" w:eastAsia="zh-CN"/>
              </w:rPr>
            </w:pPr>
            <w:r>
              <w:rPr>
                <w:rFonts w:hint="eastAsia"/>
                <w:lang w:val="en-US" w:eastAsia="zh-CN"/>
              </w:rPr>
              <w:t>251</w:t>
            </w:r>
          </w:p>
        </w:tc>
        <w:tc>
          <w:tcPr>
            <w:tcW w:w="631" w:type="pct"/>
            <w:vAlign w:val="center"/>
          </w:tcPr>
          <w:p w14:paraId="5F33FF0C">
            <w:pPr>
              <w:pStyle w:val="49"/>
              <w:bidi w:val="0"/>
              <w:rPr>
                <w:rFonts w:hint="default" w:eastAsia="宋体"/>
                <w:lang w:val="en-US" w:eastAsia="zh-CN"/>
              </w:rPr>
            </w:pPr>
            <w:r>
              <w:rPr>
                <w:rFonts w:hint="eastAsia"/>
                <w:lang w:val="en-US" w:eastAsia="zh-CN"/>
              </w:rPr>
              <w:t>/</w:t>
            </w:r>
          </w:p>
        </w:tc>
        <w:tc>
          <w:tcPr>
            <w:tcW w:w="790" w:type="pct"/>
            <w:vAlign w:val="center"/>
          </w:tcPr>
          <w:p w14:paraId="61E15078">
            <w:pPr>
              <w:pStyle w:val="49"/>
              <w:bidi w:val="0"/>
              <w:rPr>
                <w:rFonts w:hint="default"/>
                <w:lang w:val="en-US" w:eastAsia="zh-CN"/>
              </w:rPr>
            </w:pPr>
            <w:r>
              <w:rPr>
                <w:rFonts w:hint="eastAsia"/>
                <w:lang w:val="en-US" w:eastAsia="zh-CN"/>
              </w:rPr>
              <w:t>/</w:t>
            </w:r>
          </w:p>
        </w:tc>
      </w:tr>
      <w:tr w14:paraId="4D9E5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C469C9D">
            <w:pPr>
              <w:pStyle w:val="49"/>
              <w:bidi w:val="0"/>
            </w:pPr>
            <w:r>
              <w:t>经纬度</w:t>
            </w:r>
          </w:p>
        </w:tc>
        <w:tc>
          <w:tcPr>
            <w:tcW w:w="4384" w:type="pct"/>
            <w:gridSpan w:val="7"/>
            <w:vAlign w:val="center"/>
          </w:tcPr>
          <w:p w14:paraId="4FD9F780">
            <w:pPr>
              <w:pStyle w:val="49"/>
              <w:bidi w:val="0"/>
            </w:pPr>
            <w:r>
              <w:rPr>
                <w:rFonts w:hint="eastAsia"/>
              </w:rPr>
              <w:t>111.595248186,25.677206793</w:t>
            </w:r>
          </w:p>
        </w:tc>
      </w:tr>
      <w:tr w14:paraId="50900C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8BC588D">
            <w:pPr>
              <w:pStyle w:val="49"/>
              <w:bidi w:val="0"/>
            </w:pPr>
            <w:r>
              <w:t>层次</w:t>
            </w:r>
          </w:p>
        </w:tc>
        <w:tc>
          <w:tcPr>
            <w:tcW w:w="4384" w:type="pct"/>
            <w:gridSpan w:val="7"/>
            <w:vAlign w:val="center"/>
          </w:tcPr>
          <w:p w14:paraId="09CD903F">
            <w:pPr>
              <w:pStyle w:val="49"/>
              <w:bidi w:val="0"/>
              <w:rPr>
                <w:rFonts w:hint="default" w:eastAsia="宋体"/>
                <w:lang w:val="en-US" w:eastAsia="zh-CN"/>
              </w:rPr>
            </w:pPr>
            <w:r>
              <w:rPr>
                <w:rFonts w:hint="eastAsia"/>
                <w:lang w:val="en-US" w:eastAsia="zh-CN"/>
              </w:rPr>
              <w:t>2层</w:t>
            </w:r>
          </w:p>
        </w:tc>
      </w:tr>
      <w:tr w14:paraId="0DEDC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F0C8953">
            <w:pPr>
              <w:pStyle w:val="49"/>
              <w:bidi w:val="0"/>
            </w:pPr>
            <w:r>
              <w:t>分层</w:t>
            </w:r>
          </w:p>
        </w:tc>
        <w:tc>
          <w:tcPr>
            <w:tcW w:w="485" w:type="pct"/>
            <w:vAlign w:val="center"/>
          </w:tcPr>
          <w:p w14:paraId="4A06FFED">
            <w:pPr>
              <w:pStyle w:val="49"/>
              <w:bidi w:val="0"/>
            </w:pPr>
            <w:r>
              <w:t>层盖度</w:t>
            </w:r>
          </w:p>
        </w:tc>
        <w:tc>
          <w:tcPr>
            <w:tcW w:w="2022" w:type="pct"/>
            <w:gridSpan w:val="3"/>
            <w:vAlign w:val="center"/>
          </w:tcPr>
          <w:p w14:paraId="54544B20">
            <w:pPr>
              <w:pStyle w:val="49"/>
              <w:bidi w:val="0"/>
            </w:pPr>
            <w:r>
              <w:t>种类组成与生长状况</w:t>
            </w:r>
          </w:p>
        </w:tc>
        <w:tc>
          <w:tcPr>
            <w:tcW w:w="1876" w:type="pct"/>
            <w:gridSpan w:val="3"/>
            <w:vAlign w:val="center"/>
          </w:tcPr>
          <w:p w14:paraId="1ABB8E44">
            <w:pPr>
              <w:pStyle w:val="49"/>
              <w:bidi w:val="0"/>
            </w:pPr>
            <w:r>
              <w:t>考察照片</w:t>
            </w:r>
          </w:p>
        </w:tc>
      </w:tr>
      <w:tr w14:paraId="42497B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3053DEF7">
            <w:pPr>
              <w:pStyle w:val="49"/>
              <w:bidi w:val="0"/>
            </w:pPr>
            <w:r>
              <w:rPr>
                <w:rFonts w:hint="eastAsia"/>
              </w:rPr>
              <w:t>灌木层</w:t>
            </w:r>
          </w:p>
        </w:tc>
        <w:tc>
          <w:tcPr>
            <w:tcW w:w="828" w:type="dxa"/>
            <w:vAlign w:val="center"/>
          </w:tcPr>
          <w:p w14:paraId="2A76EBEC">
            <w:pPr>
              <w:pStyle w:val="49"/>
              <w:bidi w:val="0"/>
            </w:pPr>
            <w:r>
              <w:rPr>
                <w:rFonts w:hint="eastAsia"/>
                <w:lang w:val="en-US" w:eastAsia="zh-CN"/>
              </w:rPr>
              <w:t>35</w:t>
            </w:r>
            <w:r>
              <w:rPr>
                <w:rFonts w:hint="eastAsia"/>
              </w:rPr>
              <w:t>%</w:t>
            </w:r>
          </w:p>
        </w:tc>
        <w:tc>
          <w:tcPr>
            <w:tcW w:w="3452" w:type="dxa"/>
            <w:gridSpan w:val="3"/>
            <w:vAlign w:val="center"/>
          </w:tcPr>
          <w:p w14:paraId="4F5D8C0C">
            <w:pPr>
              <w:pStyle w:val="49"/>
              <w:bidi w:val="0"/>
            </w:pPr>
            <w:r>
              <w:rPr>
                <w:rFonts w:hint="eastAsia"/>
              </w:rPr>
              <w:t>层高约</w:t>
            </w:r>
            <w:r>
              <w:rPr>
                <w:rFonts w:hint="eastAsia"/>
                <w:lang w:val="en-US" w:eastAsia="zh-CN"/>
              </w:rPr>
              <w:t>0.5</w:t>
            </w:r>
            <w:r>
              <w:rPr>
                <w:rFonts w:hint="eastAsia"/>
              </w:rPr>
              <w:t>m。优势种为盐肤木，盖</w:t>
            </w:r>
          </w:p>
          <w:p w14:paraId="76BD1EAF">
            <w:pPr>
              <w:pStyle w:val="49"/>
              <w:bidi w:val="0"/>
              <w:rPr>
                <w:rFonts w:hint="eastAsia"/>
              </w:rPr>
            </w:pPr>
            <w:r>
              <w:rPr>
                <w:rFonts w:hint="eastAsia"/>
              </w:rPr>
              <w:t>度</w:t>
            </w:r>
            <w:r>
              <w:rPr>
                <w:rFonts w:hint="eastAsia"/>
                <w:lang w:val="en-US" w:eastAsia="zh-CN"/>
              </w:rPr>
              <w:t>35</w:t>
            </w:r>
            <w:r>
              <w:rPr>
                <w:rFonts w:hint="eastAsia"/>
              </w:rPr>
              <w:t>%，伴生种有</w:t>
            </w:r>
            <w:r>
              <w:rPr>
                <w:rFonts w:hint="eastAsia"/>
                <w:lang w:val="en-US" w:eastAsia="zh-CN"/>
              </w:rPr>
              <w:t>白首乌</w:t>
            </w:r>
            <w:r>
              <w:rPr>
                <w:rFonts w:hint="eastAsia"/>
              </w:rPr>
              <w:t>等。</w:t>
            </w:r>
          </w:p>
        </w:tc>
        <w:tc>
          <w:tcPr>
            <w:tcW w:w="1876" w:type="pct"/>
            <w:gridSpan w:val="3"/>
            <w:vMerge w:val="restart"/>
            <w:vAlign w:val="center"/>
          </w:tcPr>
          <w:p w14:paraId="7A1A0A55">
            <w:pPr>
              <w:pStyle w:val="49"/>
              <w:bidi w:val="0"/>
              <w:rPr>
                <w:rFonts w:hint="eastAsia"/>
                <w:lang w:eastAsia="zh-CN"/>
              </w:rPr>
            </w:pPr>
            <w:r>
              <w:rPr>
                <w:rFonts w:hint="eastAsia"/>
                <w:lang w:eastAsia="zh-CN"/>
              </w:rPr>
              <w:drawing>
                <wp:inline distT="0" distB="0" distL="114300" distR="114300">
                  <wp:extent cx="1863090" cy="1831975"/>
                  <wp:effectExtent l="0" t="0" r="3810" b="15875"/>
                  <wp:docPr id="49" name="图片 49" descr="IMG_20250328_1443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50328_144314_1"/>
                          <pic:cNvPicPr>
                            <a:picLocks noChangeAspect="1"/>
                          </pic:cNvPicPr>
                        </pic:nvPicPr>
                        <pic:blipFill>
                          <a:blip r:embed="rId57"/>
                          <a:srcRect b="26347"/>
                          <a:stretch>
                            <a:fillRect/>
                          </a:stretch>
                        </pic:blipFill>
                        <pic:spPr>
                          <a:xfrm>
                            <a:off x="0" y="0"/>
                            <a:ext cx="1863090" cy="1831975"/>
                          </a:xfrm>
                          <a:prstGeom prst="rect">
                            <a:avLst/>
                          </a:prstGeom>
                        </pic:spPr>
                      </pic:pic>
                    </a:graphicData>
                  </a:graphic>
                </wp:inline>
              </w:drawing>
            </w:r>
          </w:p>
        </w:tc>
      </w:tr>
      <w:tr w14:paraId="5F6F0D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2A969D64">
            <w:pPr>
              <w:pStyle w:val="49"/>
              <w:bidi w:val="0"/>
            </w:pPr>
            <w:r>
              <w:t>草本层</w:t>
            </w:r>
          </w:p>
        </w:tc>
        <w:tc>
          <w:tcPr>
            <w:tcW w:w="828" w:type="dxa"/>
            <w:vAlign w:val="center"/>
          </w:tcPr>
          <w:p w14:paraId="6470F547">
            <w:pPr>
              <w:pStyle w:val="49"/>
              <w:bidi w:val="0"/>
            </w:pPr>
            <w:r>
              <w:t>盖度</w:t>
            </w:r>
            <w:r>
              <w:rPr>
                <w:rFonts w:hint="eastAsia"/>
              </w:rPr>
              <w:t>1</w:t>
            </w:r>
            <w:r>
              <w:t>0%</w:t>
            </w:r>
          </w:p>
        </w:tc>
        <w:tc>
          <w:tcPr>
            <w:tcW w:w="3452" w:type="dxa"/>
            <w:gridSpan w:val="3"/>
            <w:vAlign w:val="center"/>
          </w:tcPr>
          <w:p w14:paraId="1CE3F0A3">
            <w:pPr>
              <w:pStyle w:val="49"/>
              <w:bidi w:val="0"/>
              <w:rPr>
                <w:rFonts w:hint="eastAsia" w:eastAsia="宋体"/>
                <w:lang w:eastAsia="zh-CN"/>
              </w:rPr>
            </w:pPr>
            <w:r>
              <w:rPr>
                <w:rFonts w:hint="eastAsia"/>
              </w:rPr>
              <w:t>层高约0.1m，优势种为芒（Miscanthus sinensis）、伴生有繁缕（Stellaria media）、</w:t>
            </w:r>
            <w:r>
              <w:rPr>
                <w:rFonts w:hint="eastAsia"/>
                <w:lang w:val="en-US" w:eastAsia="zh-CN"/>
              </w:rPr>
              <w:t>芒</w:t>
            </w:r>
          </w:p>
          <w:p w14:paraId="6F6E2DC9">
            <w:pPr>
              <w:pStyle w:val="49"/>
              <w:bidi w:val="0"/>
              <w:rPr>
                <w:rFonts w:hint="eastAsia"/>
              </w:rPr>
            </w:pPr>
            <w:r>
              <w:rPr>
                <w:rFonts w:hint="eastAsia"/>
              </w:rPr>
              <w:t>（Arenaria serpyllifolia）等</w:t>
            </w:r>
          </w:p>
        </w:tc>
        <w:tc>
          <w:tcPr>
            <w:tcW w:w="1876" w:type="pct"/>
            <w:gridSpan w:val="3"/>
            <w:vMerge w:val="continue"/>
            <w:vAlign w:val="center"/>
          </w:tcPr>
          <w:p w14:paraId="0E708E63">
            <w:pPr>
              <w:pStyle w:val="49"/>
              <w:bidi w:val="0"/>
            </w:pPr>
          </w:p>
        </w:tc>
      </w:tr>
    </w:tbl>
    <w:p w14:paraId="67D44C88">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17</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2ACCE2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14F63E8">
            <w:pPr>
              <w:pStyle w:val="49"/>
              <w:bidi w:val="0"/>
            </w:pPr>
            <w:r>
              <w:t>植被类型</w:t>
            </w:r>
          </w:p>
        </w:tc>
        <w:tc>
          <w:tcPr>
            <w:tcW w:w="1775" w:type="pct"/>
            <w:gridSpan w:val="2"/>
            <w:vMerge w:val="restart"/>
            <w:vAlign w:val="center"/>
          </w:tcPr>
          <w:p w14:paraId="0B354103">
            <w:pPr>
              <w:pStyle w:val="49"/>
              <w:bidi w:val="0"/>
            </w:pPr>
            <w:r>
              <w:rPr>
                <w:rFonts w:hint="default"/>
                <w:lang w:eastAsia="zh-CN"/>
              </w:rPr>
              <w:t>盐肤木灌丛</w:t>
            </w:r>
          </w:p>
        </w:tc>
        <w:tc>
          <w:tcPr>
            <w:tcW w:w="2609" w:type="pct"/>
            <w:gridSpan w:val="5"/>
            <w:vAlign w:val="center"/>
          </w:tcPr>
          <w:p w14:paraId="3A6FCC86">
            <w:pPr>
              <w:pStyle w:val="49"/>
              <w:bidi w:val="0"/>
            </w:pPr>
            <w:r>
              <w:t>环境特征</w:t>
            </w:r>
          </w:p>
        </w:tc>
      </w:tr>
      <w:tr w14:paraId="73494C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6D9D9F42">
            <w:pPr>
              <w:pStyle w:val="49"/>
              <w:bidi w:val="0"/>
            </w:pPr>
          </w:p>
        </w:tc>
        <w:tc>
          <w:tcPr>
            <w:tcW w:w="1775" w:type="pct"/>
            <w:gridSpan w:val="2"/>
            <w:vMerge w:val="continue"/>
            <w:vAlign w:val="center"/>
          </w:tcPr>
          <w:p w14:paraId="5A468B84">
            <w:pPr>
              <w:pStyle w:val="49"/>
              <w:bidi w:val="0"/>
            </w:pPr>
          </w:p>
        </w:tc>
        <w:tc>
          <w:tcPr>
            <w:tcW w:w="555" w:type="pct"/>
            <w:vAlign w:val="center"/>
          </w:tcPr>
          <w:p w14:paraId="0C6F1541">
            <w:pPr>
              <w:pStyle w:val="49"/>
              <w:bidi w:val="0"/>
            </w:pPr>
            <w:r>
              <w:t>地形</w:t>
            </w:r>
          </w:p>
        </w:tc>
        <w:tc>
          <w:tcPr>
            <w:tcW w:w="631" w:type="pct"/>
            <w:gridSpan w:val="2"/>
            <w:vAlign w:val="center"/>
          </w:tcPr>
          <w:p w14:paraId="59682989">
            <w:pPr>
              <w:pStyle w:val="49"/>
              <w:bidi w:val="0"/>
            </w:pPr>
            <w:r>
              <w:t>海拔（m）</w:t>
            </w:r>
          </w:p>
        </w:tc>
        <w:tc>
          <w:tcPr>
            <w:tcW w:w="631" w:type="pct"/>
            <w:vAlign w:val="center"/>
          </w:tcPr>
          <w:p w14:paraId="7CD8DE97">
            <w:pPr>
              <w:pStyle w:val="49"/>
              <w:bidi w:val="0"/>
            </w:pPr>
            <w:r>
              <w:t>坡向</w:t>
            </w:r>
          </w:p>
        </w:tc>
        <w:tc>
          <w:tcPr>
            <w:tcW w:w="790" w:type="pct"/>
            <w:vAlign w:val="center"/>
          </w:tcPr>
          <w:p w14:paraId="1E2CBD8B">
            <w:pPr>
              <w:pStyle w:val="49"/>
              <w:bidi w:val="0"/>
            </w:pPr>
            <w:r>
              <w:t>坡度（°）</w:t>
            </w:r>
          </w:p>
        </w:tc>
      </w:tr>
      <w:tr w14:paraId="5BE52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072F626">
            <w:pPr>
              <w:pStyle w:val="49"/>
              <w:bidi w:val="0"/>
            </w:pPr>
            <w:r>
              <w:t>地点</w:t>
            </w:r>
          </w:p>
        </w:tc>
        <w:tc>
          <w:tcPr>
            <w:tcW w:w="1775" w:type="pct"/>
            <w:gridSpan w:val="2"/>
            <w:vAlign w:val="center"/>
          </w:tcPr>
          <w:p w14:paraId="58E6B7B6">
            <w:pPr>
              <w:pStyle w:val="49"/>
              <w:bidi w:val="0"/>
              <w:rPr>
                <w:rFonts w:hint="default" w:eastAsia="宋体"/>
                <w:lang w:val="en-US" w:eastAsia="zh-CN"/>
              </w:rPr>
            </w:pPr>
            <w:r>
              <w:rPr>
                <w:rFonts w:hint="eastAsia"/>
                <w:lang w:val="en-US" w:eastAsia="zh-CN"/>
              </w:rPr>
              <w:t>大坝南侧</w:t>
            </w:r>
          </w:p>
        </w:tc>
        <w:tc>
          <w:tcPr>
            <w:tcW w:w="555" w:type="pct"/>
            <w:vAlign w:val="center"/>
          </w:tcPr>
          <w:p w14:paraId="4734C2AC">
            <w:pPr>
              <w:pStyle w:val="49"/>
              <w:bidi w:val="0"/>
              <w:rPr>
                <w:rFonts w:hint="default"/>
                <w:lang w:val="en-US" w:eastAsia="zh-CN"/>
              </w:rPr>
            </w:pPr>
            <w:r>
              <w:rPr>
                <w:rFonts w:hint="eastAsia"/>
                <w:lang w:val="en-US" w:eastAsia="zh-CN"/>
              </w:rPr>
              <w:t>坡地</w:t>
            </w:r>
          </w:p>
        </w:tc>
        <w:tc>
          <w:tcPr>
            <w:tcW w:w="631" w:type="pct"/>
            <w:gridSpan w:val="2"/>
            <w:vAlign w:val="center"/>
          </w:tcPr>
          <w:p w14:paraId="770928BC">
            <w:pPr>
              <w:pStyle w:val="49"/>
              <w:bidi w:val="0"/>
              <w:rPr>
                <w:rFonts w:hint="default" w:eastAsia="宋体"/>
                <w:lang w:val="en-US" w:eastAsia="zh-CN"/>
              </w:rPr>
            </w:pPr>
            <w:r>
              <w:rPr>
                <w:rFonts w:hint="eastAsia"/>
                <w:lang w:val="en-US" w:eastAsia="zh-CN"/>
              </w:rPr>
              <w:t>257</w:t>
            </w:r>
          </w:p>
        </w:tc>
        <w:tc>
          <w:tcPr>
            <w:tcW w:w="631" w:type="pct"/>
            <w:vAlign w:val="center"/>
          </w:tcPr>
          <w:p w14:paraId="3D7F17AE">
            <w:pPr>
              <w:pStyle w:val="49"/>
              <w:bidi w:val="0"/>
              <w:rPr>
                <w:rFonts w:hint="default" w:eastAsia="宋体"/>
                <w:lang w:val="en-US" w:eastAsia="zh-CN"/>
              </w:rPr>
            </w:pPr>
            <w:r>
              <w:rPr>
                <w:rFonts w:hint="eastAsia"/>
                <w:lang w:val="en-US" w:eastAsia="zh-CN"/>
              </w:rPr>
              <w:t>西</w:t>
            </w:r>
          </w:p>
        </w:tc>
        <w:tc>
          <w:tcPr>
            <w:tcW w:w="790" w:type="pct"/>
            <w:vAlign w:val="center"/>
          </w:tcPr>
          <w:p w14:paraId="47C2788A">
            <w:pPr>
              <w:pStyle w:val="49"/>
              <w:bidi w:val="0"/>
              <w:rPr>
                <w:rFonts w:hint="default"/>
                <w:lang w:val="en-US" w:eastAsia="zh-CN"/>
              </w:rPr>
            </w:pPr>
            <w:r>
              <w:rPr>
                <w:rFonts w:hint="eastAsia"/>
                <w:lang w:val="en-US" w:eastAsia="zh-CN"/>
              </w:rPr>
              <w:t>16</w:t>
            </w:r>
          </w:p>
        </w:tc>
      </w:tr>
      <w:tr w14:paraId="27484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0708BCF">
            <w:pPr>
              <w:pStyle w:val="49"/>
              <w:bidi w:val="0"/>
            </w:pPr>
            <w:r>
              <w:t>经纬度</w:t>
            </w:r>
          </w:p>
        </w:tc>
        <w:tc>
          <w:tcPr>
            <w:tcW w:w="4384" w:type="pct"/>
            <w:gridSpan w:val="7"/>
            <w:vAlign w:val="center"/>
          </w:tcPr>
          <w:p w14:paraId="59F334DB">
            <w:pPr>
              <w:pStyle w:val="49"/>
              <w:bidi w:val="0"/>
            </w:pPr>
            <w:r>
              <w:rPr>
                <w:rFonts w:hint="eastAsia"/>
              </w:rPr>
              <w:t>111.594761365,25.676953325</w:t>
            </w:r>
          </w:p>
        </w:tc>
      </w:tr>
      <w:tr w14:paraId="2E2F6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99931BD">
            <w:pPr>
              <w:pStyle w:val="49"/>
              <w:bidi w:val="0"/>
            </w:pPr>
            <w:r>
              <w:t>层次</w:t>
            </w:r>
          </w:p>
        </w:tc>
        <w:tc>
          <w:tcPr>
            <w:tcW w:w="4384" w:type="pct"/>
            <w:gridSpan w:val="7"/>
            <w:vAlign w:val="center"/>
          </w:tcPr>
          <w:p w14:paraId="3B64C00F">
            <w:pPr>
              <w:pStyle w:val="49"/>
              <w:bidi w:val="0"/>
              <w:rPr>
                <w:rFonts w:hint="default" w:eastAsia="宋体"/>
                <w:lang w:val="en-US" w:eastAsia="zh-CN"/>
              </w:rPr>
            </w:pPr>
            <w:r>
              <w:rPr>
                <w:rFonts w:hint="eastAsia"/>
                <w:lang w:val="en-US" w:eastAsia="zh-CN"/>
              </w:rPr>
              <w:t>2层</w:t>
            </w:r>
          </w:p>
        </w:tc>
      </w:tr>
      <w:tr w14:paraId="69B35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F7CB598">
            <w:pPr>
              <w:pStyle w:val="49"/>
              <w:bidi w:val="0"/>
            </w:pPr>
            <w:r>
              <w:t>分层</w:t>
            </w:r>
          </w:p>
        </w:tc>
        <w:tc>
          <w:tcPr>
            <w:tcW w:w="485" w:type="pct"/>
            <w:vAlign w:val="center"/>
          </w:tcPr>
          <w:p w14:paraId="6D326B7E">
            <w:pPr>
              <w:pStyle w:val="49"/>
              <w:bidi w:val="0"/>
            </w:pPr>
            <w:r>
              <w:t>层盖度</w:t>
            </w:r>
          </w:p>
        </w:tc>
        <w:tc>
          <w:tcPr>
            <w:tcW w:w="2022" w:type="pct"/>
            <w:gridSpan w:val="3"/>
            <w:vAlign w:val="center"/>
          </w:tcPr>
          <w:p w14:paraId="7E4A3FD5">
            <w:pPr>
              <w:pStyle w:val="49"/>
              <w:bidi w:val="0"/>
            </w:pPr>
            <w:r>
              <w:t>种类组成与生长状况</w:t>
            </w:r>
          </w:p>
        </w:tc>
        <w:tc>
          <w:tcPr>
            <w:tcW w:w="1876" w:type="pct"/>
            <w:gridSpan w:val="3"/>
            <w:vAlign w:val="center"/>
          </w:tcPr>
          <w:p w14:paraId="443F1C82">
            <w:pPr>
              <w:pStyle w:val="49"/>
              <w:bidi w:val="0"/>
            </w:pPr>
            <w:r>
              <w:t>考察照片</w:t>
            </w:r>
          </w:p>
        </w:tc>
      </w:tr>
      <w:tr w14:paraId="42024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7F0B0BD3">
            <w:pPr>
              <w:pStyle w:val="49"/>
              <w:bidi w:val="0"/>
            </w:pPr>
            <w:r>
              <w:rPr>
                <w:rFonts w:hint="eastAsia"/>
              </w:rPr>
              <w:t>灌木层</w:t>
            </w:r>
          </w:p>
        </w:tc>
        <w:tc>
          <w:tcPr>
            <w:tcW w:w="828" w:type="dxa"/>
            <w:vAlign w:val="top"/>
          </w:tcPr>
          <w:p w14:paraId="02A8B5A4">
            <w:pPr>
              <w:pStyle w:val="49"/>
              <w:bidi w:val="0"/>
            </w:pPr>
            <w:r>
              <w:t>层盖度</w:t>
            </w:r>
          </w:p>
          <w:p w14:paraId="72B7F68A">
            <w:pPr>
              <w:pStyle w:val="49"/>
              <w:bidi w:val="0"/>
            </w:pPr>
            <w:r>
              <w:rPr>
                <w:rFonts w:hint="eastAsia"/>
                <w:lang w:val="en-US" w:eastAsia="zh-CN"/>
              </w:rPr>
              <w:t>5</w:t>
            </w:r>
            <w:r>
              <w:t>5%</w:t>
            </w:r>
          </w:p>
        </w:tc>
        <w:tc>
          <w:tcPr>
            <w:tcW w:w="3452" w:type="dxa"/>
            <w:gridSpan w:val="3"/>
            <w:vAlign w:val="top"/>
          </w:tcPr>
          <w:p w14:paraId="6DE0864D">
            <w:pPr>
              <w:pStyle w:val="49"/>
              <w:bidi w:val="0"/>
            </w:pPr>
            <w:r>
              <w:t>灌木层均高1.5m，优势种为盐肤木，高1~2m，主要伴生种有檵木、黄连木、小叶石楠、大叶白纸扇</w:t>
            </w:r>
          </w:p>
          <w:p w14:paraId="01DF765C">
            <w:pPr>
              <w:pStyle w:val="49"/>
              <w:bidi w:val="0"/>
              <w:rPr>
                <w:rFonts w:hint="eastAsia"/>
              </w:rPr>
            </w:pPr>
            <w:r>
              <w:t>等</w:t>
            </w:r>
          </w:p>
        </w:tc>
        <w:tc>
          <w:tcPr>
            <w:tcW w:w="1876" w:type="pct"/>
            <w:gridSpan w:val="3"/>
            <w:vMerge w:val="restart"/>
            <w:vAlign w:val="center"/>
          </w:tcPr>
          <w:p w14:paraId="7207D5C5">
            <w:pPr>
              <w:pStyle w:val="49"/>
              <w:bidi w:val="0"/>
            </w:pPr>
          </w:p>
          <w:p w14:paraId="25C7988B">
            <w:pPr>
              <w:pStyle w:val="49"/>
              <w:bidi w:val="0"/>
              <w:rPr>
                <w:rFonts w:hint="eastAsia"/>
                <w:lang w:eastAsia="zh-CN"/>
              </w:rPr>
            </w:pPr>
            <w:r>
              <w:drawing>
                <wp:inline distT="0" distB="0" distL="114300" distR="114300">
                  <wp:extent cx="1889760" cy="1671320"/>
                  <wp:effectExtent l="0" t="0" r="15240" b="508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58"/>
                          <a:stretch>
                            <a:fillRect/>
                          </a:stretch>
                        </pic:blipFill>
                        <pic:spPr>
                          <a:xfrm>
                            <a:off x="0" y="0"/>
                            <a:ext cx="1889760" cy="1671320"/>
                          </a:xfrm>
                          <a:prstGeom prst="rect">
                            <a:avLst/>
                          </a:prstGeom>
                          <a:noFill/>
                          <a:ln>
                            <a:noFill/>
                          </a:ln>
                        </pic:spPr>
                      </pic:pic>
                    </a:graphicData>
                  </a:graphic>
                </wp:inline>
              </w:drawing>
            </w:r>
          </w:p>
        </w:tc>
      </w:tr>
      <w:tr w14:paraId="6D30A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5833EAB1">
            <w:pPr>
              <w:pStyle w:val="49"/>
              <w:bidi w:val="0"/>
            </w:pPr>
            <w:r>
              <w:t>草本层</w:t>
            </w:r>
          </w:p>
        </w:tc>
        <w:tc>
          <w:tcPr>
            <w:tcW w:w="828" w:type="dxa"/>
            <w:vAlign w:val="top"/>
          </w:tcPr>
          <w:p w14:paraId="3953C0FE">
            <w:pPr>
              <w:pStyle w:val="49"/>
              <w:bidi w:val="0"/>
            </w:pPr>
            <w:r>
              <w:t>层盖度18%</w:t>
            </w:r>
          </w:p>
        </w:tc>
        <w:tc>
          <w:tcPr>
            <w:tcW w:w="3452" w:type="dxa"/>
            <w:gridSpan w:val="3"/>
            <w:vAlign w:val="top"/>
          </w:tcPr>
          <w:p w14:paraId="491A079F">
            <w:pPr>
              <w:pStyle w:val="49"/>
              <w:bidi w:val="0"/>
              <w:rPr>
                <w:rFonts w:hint="eastAsia"/>
              </w:rPr>
            </w:pPr>
            <w:r>
              <w:t>草本层层均高0.3m，优势种为白茅，高0.2~0.5m，盖度12%，主要伴生种有狗脊、阔鳞鳞毛蕨、悬钩子、棕叶狗尾草、商陆、五节芒等</w:t>
            </w:r>
          </w:p>
        </w:tc>
        <w:tc>
          <w:tcPr>
            <w:tcW w:w="1876" w:type="pct"/>
            <w:gridSpan w:val="3"/>
            <w:vMerge w:val="continue"/>
            <w:vAlign w:val="center"/>
          </w:tcPr>
          <w:p w14:paraId="0D751344">
            <w:pPr>
              <w:pStyle w:val="49"/>
              <w:bidi w:val="0"/>
            </w:pPr>
          </w:p>
        </w:tc>
      </w:tr>
    </w:tbl>
    <w:p w14:paraId="56B3312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18</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2"/>
        <w:gridCol w:w="775"/>
        <w:gridCol w:w="1077"/>
        <w:gridCol w:w="1349"/>
      </w:tblGrid>
      <w:tr w14:paraId="5E4ED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015858A0">
            <w:pPr>
              <w:pStyle w:val="49"/>
              <w:bidi w:val="0"/>
            </w:pPr>
            <w:r>
              <w:t>植被类型</w:t>
            </w:r>
          </w:p>
        </w:tc>
        <w:tc>
          <w:tcPr>
            <w:tcW w:w="1775" w:type="pct"/>
            <w:gridSpan w:val="2"/>
            <w:vMerge w:val="restart"/>
            <w:vAlign w:val="center"/>
          </w:tcPr>
          <w:p w14:paraId="4D1020FC">
            <w:pPr>
              <w:pStyle w:val="49"/>
              <w:bidi w:val="0"/>
            </w:pPr>
            <w:r>
              <w:rPr>
                <w:rFonts w:hint="default"/>
                <w:lang w:eastAsia="zh-CN"/>
              </w:rPr>
              <w:t>盐肤木灌丛</w:t>
            </w:r>
          </w:p>
        </w:tc>
        <w:tc>
          <w:tcPr>
            <w:tcW w:w="2609" w:type="pct"/>
            <w:gridSpan w:val="5"/>
            <w:vAlign w:val="center"/>
          </w:tcPr>
          <w:p w14:paraId="22291629">
            <w:pPr>
              <w:pStyle w:val="49"/>
              <w:bidi w:val="0"/>
            </w:pPr>
            <w:r>
              <w:t>环境特征</w:t>
            </w:r>
          </w:p>
        </w:tc>
      </w:tr>
      <w:tr w14:paraId="7F3B0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327CBBF3">
            <w:pPr>
              <w:pStyle w:val="49"/>
              <w:bidi w:val="0"/>
            </w:pPr>
          </w:p>
        </w:tc>
        <w:tc>
          <w:tcPr>
            <w:tcW w:w="1775" w:type="pct"/>
            <w:gridSpan w:val="2"/>
            <w:vMerge w:val="continue"/>
            <w:vAlign w:val="center"/>
          </w:tcPr>
          <w:p w14:paraId="431D2ACB">
            <w:pPr>
              <w:pStyle w:val="49"/>
              <w:bidi w:val="0"/>
            </w:pPr>
          </w:p>
        </w:tc>
        <w:tc>
          <w:tcPr>
            <w:tcW w:w="555" w:type="pct"/>
            <w:vAlign w:val="center"/>
          </w:tcPr>
          <w:p w14:paraId="38DC5A84">
            <w:pPr>
              <w:pStyle w:val="49"/>
              <w:bidi w:val="0"/>
            </w:pPr>
            <w:r>
              <w:t>地形</w:t>
            </w:r>
          </w:p>
        </w:tc>
        <w:tc>
          <w:tcPr>
            <w:tcW w:w="631" w:type="pct"/>
            <w:gridSpan w:val="2"/>
            <w:vAlign w:val="center"/>
          </w:tcPr>
          <w:p w14:paraId="1A3EFE10">
            <w:pPr>
              <w:pStyle w:val="49"/>
              <w:bidi w:val="0"/>
            </w:pPr>
            <w:r>
              <w:t>海拔（m）</w:t>
            </w:r>
          </w:p>
        </w:tc>
        <w:tc>
          <w:tcPr>
            <w:tcW w:w="631" w:type="pct"/>
            <w:vAlign w:val="center"/>
          </w:tcPr>
          <w:p w14:paraId="051F881B">
            <w:pPr>
              <w:pStyle w:val="49"/>
              <w:bidi w:val="0"/>
            </w:pPr>
            <w:r>
              <w:t>坡向</w:t>
            </w:r>
          </w:p>
        </w:tc>
        <w:tc>
          <w:tcPr>
            <w:tcW w:w="790" w:type="pct"/>
            <w:vAlign w:val="center"/>
          </w:tcPr>
          <w:p w14:paraId="5CA5CA96">
            <w:pPr>
              <w:pStyle w:val="49"/>
              <w:bidi w:val="0"/>
            </w:pPr>
            <w:r>
              <w:t>坡度（°）</w:t>
            </w:r>
          </w:p>
        </w:tc>
      </w:tr>
      <w:tr w14:paraId="47A60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1A71533">
            <w:pPr>
              <w:pStyle w:val="49"/>
              <w:bidi w:val="0"/>
            </w:pPr>
            <w:r>
              <w:t>地点</w:t>
            </w:r>
          </w:p>
        </w:tc>
        <w:tc>
          <w:tcPr>
            <w:tcW w:w="1775" w:type="pct"/>
            <w:gridSpan w:val="2"/>
            <w:vAlign w:val="center"/>
          </w:tcPr>
          <w:p w14:paraId="5C9B304B">
            <w:pPr>
              <w:pStyle w:val="49"/>
              <w:bidi w:val="0"/>
              <w:rPr>
                <w:rFonts w:hint="default" w:eastAsia="宋体"/>
                <w:lang w:val="en-US" w:eastAsia="zh-CN"/>
              </w:rPr>
            </w:pPr>
            <w:r>
              <w:rPr>
                <w:rFonts w:hint="eastAsia"/>
                <w:lang w:val="en-US" w:eastAsia="zh-CN"/>
              </w:rPr>
              <w:t>消力池边</w:t>
            </w:r>
          </w:p>
        </w:tc>
        <w:tc>
          <w:tcPr>
            <w:tcW w:w="555" w:type="pct"/>
            <w:vAlign w:val="center"/>
          </w:tcPr>
          <w:p w14:paraId="60C2AB58">
            <w:pPr>
              <w:pStyle w:val="49"/>
              <w:bidi w:val="0"/>
              <w:rPr>
                <w:rFonts w:hint="default"/>
                <w:lang w:val="en-US" w:eastAsia="zh-CN"/>
              </w:rPr>
            </w:pPr>
            <w:r>
              <w:rPr>
                <w:rFonts w:hint="eastAsia"/>
                <w:lang w:val="en-US" w:eastAsia="zh-CN"/>
              </w:rPr>
              <w:t>平地</w:t>
            </w:r>
          </w:p>
        </w:tc>
        <w:tc>
          <w:tcPr>
            <w:tcW w:w="631" w:type="pct"/>
            <w:gridSpan w:val="2"/>
            <w:vAlign w:val="center"/>
          </w:tcPr>
          <w:p w14:paraId="25F0A73C">
            <w:pPr>
              <w:pStyle w:val="49"/>
              <w:bidi w:val="0"/>
              <w:rPr>
                <w:rFonts w:hint="default" w:eastAsia="宋体"/>
                <w:lang w:val="en-US" w:eastAsia="zh-CN"/>
              </w:rPr>
            </w:pPr>
            <w:r>
              <w:rPr>
                <w:rFonts w:hint="eastAsia"/>
                <w:lang w:val="en-US" w:eastAsia="zh-CN"/>
              </w:rPr>
              <w:t>249</w:t>
            </w:r>
          </w:p>
        </w:tc>
        <w:tc>
          <w:tcPr>
            <w:tcW w:w="631" w:type="pct"/>
            <w:vAlign w:val="center"/>
          </w:tcPr>
          <w:p w14:paraId="44081B89">
            <w:pPr>
              <w:pStyle w:val="49"/>
              <w:bidi w:val="0"/>
              <w:rPr>
                <w:rFonts w:hint="default" w:eastAsia="宋体"/>
                <w:lang w:val="en-US" w:eastAsia="zh-CN"/>
              </w:rPr>
            </w:pPr>
            <w:r>
              <w:rPr>
                <w:rFonts w:hint="eastAsia"/>
                <w:lang w:val="en-US" w:eastAsia="zh-CN"/>
              </w:rPr>
              <w:t>/</w:t>
            </w:r>
          </w:p>
        </w:tc>
        <w:tc>
          <w:tcPr>
            <w:tcW w:w="790" w:type="pct"/>
            <w:vAlign w:val="center"/>
          </w:tcPr>
          <w:p w14:paraId="22DCB3D5">
            <w:pPr>
              <w:pStyle w:val="49"/>
              <w:bidi w:val="0"/>
              <w:rPr>
                <w:rFonts w:hint="default"/>
                <w:lang w:val="en-US" w:eastAsia="zh-CN"/>
              </w:rPr>
            </w:pPr>
            <w:r>
              <w:rPr>
                <w:rFonts w:hint="eastAsia"/>
                <w:lang w:val="en-US" w:eastAsia="zh-CN"/>
              </w:rPr>
              <w:t>/</w:t>
            </w:r>
          </w:p>
        </w:tc>
      </w:tr>
      <w:tr w14:paraId="140AE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7F2517C">
            <w:pPr>
              <w:pStyle w:val="49"/>
              <w:bidi w:val="0"/>
            </w:pPr>
            <w:r>
              <w:t>经纬度</w:t>
            </w:r>
          </w:p>
        </w:tc>
        <w:tc>
          <w:tcPr>
            <w:tcW w:w="4384" w:type="pct"/>
            <w:gridSpan w:val="7"/>
            <w:vAlign w:val="center"/>
          </w:tcPr>
          <w:p w14:paraId="0E793B81">
            <w:pPr>
              <w:pStyle w:val="49"/>
              <w:bidi w:val="0"/>
            </w:pPr>
            <w:r>
              <w:rPr>
                <w:rFonts w:hint="eastAsia"/>
              </w:rPr>
              <w:t>111.596467250,25.676980147</w:t>
            </w:r>
          </w:p>
        </w:tc>
      </w:tr>
      <w:tr w14:paraId="7101A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9ADA962">
            <w:pPr>
              <w:pStyle w:val="49"/>
              <w:bidi w:val="0"/>
            </w:pPr>
            <w:r>
              <w:t>层次</w:t>
            </w:r>
          </w:p>
        </w:tc>
        <w:tc>
          <w:tcPr>
            <w:tcW w:w="4384" w:type="pct"/>
            <w:gridSpan w:val="7"/>
            <w:vAlign w:val="center"/>
          </w:tcPr>
          <w:p w14:paraId="4DF1C7B9">
            <w:pPr>
              <w:pStyle w:val="49"/>
              <w:bidi w:val="0"/>
              <w:rPr>
                <w:rFonts w:hint="default" w:eastAsia="宋体"/>
                <w:lang w:val="en-US" w:eastAsia="zh-CN"/>
              </w:rPr>
            </w:pPr>
            <w:r>
              <w:rPr>
                <w:rFonts w:hint="eastAsia"/>
                <w:lang w:val="en-US" w:eastAsia="zh-CN"/>
              </w:rPr>
              <w:t>2层</w:t>
            </w:r>
          </w:p>
        </w:tc>
      </w:tr>
      <w:tr w14:paraId="70433D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BB53BCD">
            <w:pPr>
              <w:pStyle w:val="49"/>
              <w:bidi w:val="0"/>
            </w:pPr>
            <w:r>
              <w:t>分层</w:t>
            </w:r>
          </w:p>
        </w:tc>
        <w:tc>
          <w:tcPr>
            <w:tcW w:w="485" w:type="pct"/>
            <w:vAlign w:val="center"/>
          </w:tcPr>
          <w:p w14:paraId="417462EE">
            <w:pPr>
              <w:pStyle w:val="49"/>
              <w:bidi w:val="0"/>
            </w:pPr>
            <w:r>
              <w:t>层盖度</w:t>
            </w:r>
          </w:p>
        </w:tc>
        <w:tc>
          <w:tcPr>
            <w:tcW w:w="2022" w:type="pct"/>
            <w:gridSpan w:val="3"/>
            <w:vAlign w:val="center"/>
          </w:tcPr>
          <w:p w14:paraId="55D52DB0">
            <w:pPr>
              <w:pStyle w:val="49"/>
              <w:bidi w:val="0"/>
            </w:pPr>
            <w:r>
              <w:t>种类组成与生长状况</w:t>
            </w:r>
          </w:p>
        </w:tc>
        <w:tc>
          <w:tcPr>
            <w:tcW w:w="1876" w:type="pct"/>
            <w:gridSpan w:val="3"/>
            <w:vAlign w:val="center"/>
          </w:tcPr>
          <w:p w14:paraId="28A6BB02">
            <w:pPr>
              <w:pStyle w:val="49"/>
              <w:bidi w:val="0"/>
            </w:pPr>
            <w:r>
              <w:t>考察照片</w:t>
            </w:r>
          </w:p>
        </w:tc>
      </w:tr>
      <w:tr w14:paraId="3BA88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539705DD">
            <w:pPr>
              <w:pStyle w:val="49"/>
              <w:bidi w:val="0"/>
            </w:pPr>
            <w:r>
              <w:rPr>
                <w:rFonts w:hint="eastAsia"/>
              </w:rPr>
              <w:t>灌木层</w:t>
            </w:r>
          </w:p>
        </w:tc>
        <w:tc>
          <w:tcPr>
            <w:tcW w:w="828" w:type="dxa"/>
            <w:vAlign w:val="top"/>
          </w:tcPr>
          <w:p w14:paraId="1A321BDC">
            <w:pPr>
              <w:pStyle w:val="49"/>
              <w:bidi w:val="0"/>
            </w:pPr>
            <w:r>
              <w:t>层盖度36%</w:t>
            </w:r>
          </w:p>
        </w:tc>
        <w:tc>
          <w:tcPr>
            <w:tcW w:w="3452" w:type="dxa"/>
            <w:gridSpan w:val="3"/>
            <w:vAlign w:val="top"/>
          </w:tcPr>
          <w:p w14:paraId="5F2FEA90">
            <w:pPr>
              <w:pStyle w:val="49"/>
              <w:bidi w:val="0"/>
              <w:rPr>
                <w:rFonts w:hint="eastAsia"/>
              </w:rPr>
            </w:pPr>
            <w:r>
              <w:t>灌木层均高1.2m，优势种为盐肤木，高1~1.8m，盖度30%，主要伴生种有檵木、黄荆等</w:t>
            </w:r>
          </w:p>
        </w:tc>
        <w:tc>
          <w:tcPr>
            <w:tcW w:w="1876" w:type="pct"/>
            <w:gridSpan w:val="3"/>
            <w:vMerge w:val="restart"/>
            <w:vAlign w:val="center"/>
          </w:tcPr>
          <w:p w14:paraId="08A5F903">
            <w:pPr>
              <w:pStyle w:val="49"/>
              <w:bidi w:val="0"/>
              <w:rPr>
                <w:rFonts w:hint="eastAsia"/>
                <w:lang w:eastAsia="zh-CN"/>
              </w:rPr>
            </w:pPr>
            <w:r>
              <w:rPr>
                <w:b/>
                <w:sz w:val="18"/>
                <w:szCs w:val="18"/>
              </w:rPr>
              <w:drawing>
                <wp:inline distT="0" distB="0" distL="0" distR="0">
                  <wp:extent cx="1837055" cy="1656080"/>
                  <wp:effectExtent l="0" t="0" r="10795" b="1270"/>
                  <wp:docPr id="12339152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15241" name="图片 4"/>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t="37830" b="11486"/>
                          <a:stretch>
                            <a:fillRect/>
                          </a:stretch>
                        </pic:blipFill>
                        <pic:spPr>
                          <a:xfrm>
                            <a:off x="0" y="0"/>
                            <a:ext cx="1837055" cy="1656080"/>
                          </a:xfrm>
                          <a:prstGeom prst="rect">
                            <a:avLst/>
                          </a:prstGeom>
                          <a:noFill/>
                          <a:ln>
                            <a:noFill/>
                          </a:ln>
                        </pic:spPr>
                      </pic:pic>
                    </a:graphicData>
                  </a:graphic>
                </wp:inline>
              </w:drawing>
            </w:r>
          </w:p>
        </w:tc>
      </w:tr>
      <w:tr w14:paraId="040DBD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2A45DC47">
            <w:pPr>
              <w:pStyle w:val="49"/>
              <w:bidi w:val="0"/>
            </w:pPr>
            <w:r>
              <w:t>草本层</w:t>
            </w:r>
          </w:p>
        </w:tc>
        <w:tc>
          <w:tcPr>
            <w:tcW w:w="828" w:type="dxa"/>
            <w:vAlign w:val="top"/>
          </w:tcPr>
          <w:p w14:paraId="1D1B3284">
            <w:pPr>
              <w:pStyle w:val="49"/>
              <w:bidi w:val="0"/>
            </w:pPr>
            <w:r>
              <w:t>层盖度20%</w:t>
            </w:r>
          </w:p>
        </w:tc>
        <w:tc>
          <w:tcPr>
            <w:tcW w:w="3452" w:type="dxa"/>
            <w:gridSpan w:val="3"/>
            <w:vAlign w:val="top"/>
          </w:tcPr>
          <w:p w14:paraId="1DB5280A">
            <w:pPr>
              <w:pStyle w:val="49"/>
              <w:bidi w:val="0"/>
              <w:rPr>
                <w:rFonts w:hint="eastAsia"/>
              </w:rPr>
            </w:pPr>
            <w:r>
              <w:t>草本层层均高0.6m，优势种为白茅，高0.2~0.5m，盖度15%，主要伴生种有白茅、蔷薇、商陆、五节芒等</w:t>
            </w:r>
          </w:p>
        </w:tc>
        <w:tc>
          <w:tcPr>
            <w:tcW w:w="1876" w:type="pct"/>
            <w:gridSpan w:val="3"/>
            <w:vMerge w:val="continue"/>
            <w:vAlign w:val="center"/>
          </w:tcPr>
          <w:p w14:paraId="0923A298">
            <w:pPr>
              <w:pStyle w:val="49"/>
              <w:bidi w:val="0"/>
            </w:pPr>
          </w:p>
        </w:tc>
      </w:tr>
    </w:tbl>
    <w:p w14:paraId="37D967EB">
      <w:pPr>
        <w:bidi w:val="0"/>
        <w:rPr>
          <w:rFonts w:hint="default"/>
          <w:lang w:eastAsia="zh-CN"/>
        </w:rPr>
      </w:pPr>
      <w:r>
        <w:rPr>
          <w:rFonts w:hint="eastAsia"/>
          <w:lang w:val="en-US" w:eastAsia="zh-CN"/>
        </w:rPr>
        <w:t>③</w:t>
      </w:r>
      <w:r>
        <w:rPr>
          <w:rFonts w:hint="default"/>
          <w:lang w:eastAsia="zh-CN"/>
        </w:rPr>
        <w:t>芒灌草丛（Form.Miscanthus sinensisAnderss）</w:t>
      </w:r>
    </w:p>
    <w:p w14:paraId="78A5446D">
      <w:pPr>
        <w:bidi w:val="0"/>
        <w:rPr>
          <w:rFonts w:hint="default"/>
          <w:lang w:eastAsia="zh-CN"/>
        </w:rPr>
      </w:pPr>
      <w:r>
        <w:rPr>
          <w:rFonts w:hint="default"/>
          <w:lang w:eastAsia="zh-CN"/>
        </w:rPr>
        <w:t>芒为禾本科粗壮、多年生草本植物，又名茅秆，可造纸，在山野间常见。在评价区芒分布较广，在山顶、山坡及平地均有分布，多为小片生长。</w:t>
      </w:r>
    </w:p>
    <w:p w14:paraId="315C4D0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19</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72FD9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3E5B3D9B">
            <w:pPr>
              <w:pStyle w:val="49"/>
              <w:bidi w:val="0"/>
            </w:pPr>
            <w:r>
              <w:t>植被类型</w:t>
            </w:r>
          </w:p>
        </w:tc>
        <w:tc>
          <w:tcPr>
            <w:tcW w:w="1775" w:type="pct"/>
            <w:gridSpan w:val="2"/>
            <w:vMerge w:val="restart"/>
            <w:vAlign w:val="center"/>
          </w:tcPr>
          <w:p w14:paraId="6D3B3AAC">
            <w:pPr>
              <w:pStyle w:val="49"/>
              <w:bidi w:val="0"/>
            </w:pPr>
            <w:r>
              <w:rPr>
                <w:rFonts w:hint="eastAsia"/>
              </w:rPr>
              <w:t>芒灌草丛（Form.Miscanthus sinensis Anderss）</w:t>
            </w:r>
          </w:p>
        </w:tc>
        <w:tc>
          <w:tcPr>
            <w:tcW w:w="2609" w:type="pct"/>
            <w:gridSpan w:val="5"/>
            <w:vAlign w:val="center"/>
          </w:tcPr>
          <w:p w14:paraId="0B3418D5">
            <w:pPr>
              <w:pStyle w:val="49"/>
              <w:bidi w:val="0"/>
            </w:pPr>
            <w:r>
              <w:t>环境特征</w:t>
            </w:r>
          </w:p>
        </w:tc>
      </w:tr>
      <w:tr w14:paraId="04F2A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11CCAAA8">
            <w:pPr>
              <w:pStyle w:val="49"/>
              <w:bidi w:val="0"/>
            </w:pPr>
          </w:p>
        </w:tc>
        <w:tc>
          <w:tcPr>
            <w:tcW w:w="1775" w:type="pct"/>
            <w:gridSpan w:val="2"/>
            <w:vMerge w:val="continue"/>
            <w:vAlign w:val="center"/>
          </w:tcPr>
          <w:p w14:paraId="7D854EFF">
            <w:pPr>
              <w:pStyle w:val="49"/>
              <w:bidi w:val="0"/>
            </w:pPr>
          </w:p>
        </w:tc>
        <w:tc>
          <w:tcPr>
            <w:tcW w:w="555" w:type="pct"/>
            <w:vAlign w:val="center"/>
          </w:tcPr>
          <w:p w14:paraId="427F3F6D">
            <w:pPr>
              <w:pStyle w:val="49"/>
              <w:bidi w:val="0"/>
            </w:pPr>
            <w:r>
              <w:t>地形</w:t>
            </w:r>
          </w:p>
        </w:tc>
        <w:tc>
          <w:tcPr>
            <w:tcW w:w="631" w:type="pct"/>
            <w:gridSpan w:val="2"/>
            <w:vAlign w:val="center"/>
          </w:tcPr>
          <w:p w14:paraId="55EB1B25">
            <w:pPr>
              <w:pStyle w:val="49"/>
              <w:bidi w:val="0"/>
            </w:pPr>
            <w:r>
              <w:t>海拔（m）</w:t>
            </w:r>
          </w:p>
        </w:tc>
        <w:tc>
          <w:tcPr>
            <w:tcW w:w="631" w:type="pct"/>
            <w:vAlign w:val="center"/>
          </w:tcPr>
          <w:p w14:paraId="41380E33">
            <w:pPr>
              <w:pStyle w:val="49"/>
              <w:bidi w:val="0"/>
            </w:pPr>
            <w:r>
              <w:t>坡向</w:t>
            </w:r>
          </w:p>
        </w:tc>
        <w:tc>
          <w:tcPr>
            <w:tcW w:w="790" w:type="pct"/>
            <w:vAlign w:val="center"/>
          </w:tcPr>
          <w:p w14:paraId="65BE9592">
            <w:pPr>
              <w:pStyle w:val="49"/>
              <w:bidi w:val="0"/>
            </w:pPr>
            <w:r>
              <w:t>坡度（°）</w:t>
            </w:r>
          </w:p>
        </w:tc>
      </w:tr>
      <w:tr w14:paraId="663DCA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664EF25">
            <w:pPr>
              <w:pStyle w:val="49"/>
              <w:bidi w:val="0"/>
            </w:pPr>
            <w:r>
              <w:t>地点</w:t>
            </w:r>
          </w:p>
        </w:tc>
        <w:tc>
          <w:tcPr>
            <w:tcW w:w="3030" w:type="dxa"/>
            <w:gridSpan w:val="2"/>
            <w:vAlign w:val="center"/>
          </w:tcPr>
          <w:p w14:paraId="62A7C571">
            <w:pPr>
              <w:pStyle w:val="49"/>
              <w:bidi w:val="0"/>
              <w:ind w:left="0" w:leftChars="0" w:firstLine="0" w:firstLineChars="0"/>
            </w:pPr>
            <w:r>
              <w:rPr>
                <w:rFonts w:hint="eastAsia"/>
                <w:lang w:val="en-US" w:eastAsia="zh-CN"/>
              </w:rPr>
              <w:t>消力池边</w:t>
            </w:r>
          </w:p>
        </w:tc>
        <w:tc>
          <w:tcPr>
            <w:tcW w:w="948" w:type="dxa"/>
            <w:vAlign w:val="center"/>
          </w:tcPr>
          <w:p w14:paraId="35F0D9B7">
            <w:pPr>
              <w:pStyle w:val="49"/>
              <w:bidi w:val="0"/>
              <w:ind w:left="0" w:leftChars="0" w:firstLine="0" w:firstLineChars="0"/>
              <w:rPr>
                <w:rFonts w:hint="eastAsia"/>
                <w:lang w:eastAsia="zh-CN"/>
              </w:rPr>
            </w:pPr>
            <w:r>
              <w:rPr>
                <w:rFonts w:hint="eastAsia"/>
                <w:lang w:val="en-US" w:eastAsia="zh-CN"/>
              </w:rPr>
              <w:t>平地</w:t>
            </w:r>
          </w:p>
        </w:tc>
        <w:tc>
          <w:tcPr>
            <w:tcW w:w="1077" w:type="dxa"/>
            <w:gridSpan w:val="2"/>
            <w:vAlign w:val="center"/>
          </w:tcPr>
          <w:p w14:paraId="63711249">
            <w:pPr>
              <w:pStyle w:val="49"/>
              <w:bidi w:val="0"/>
              <w:ind w:left="0" w:leftChars="0" w:firstLine="0" w:firstLineChars="0"/>
              <w:rPr>
                <w:rFonts w:hint="default"/>
                <w:lang w:val="en-US"/>
              </w:rPr>
            </w:pPr>
            <w:r>
              <w:rPr>
                <w:rFonts w:hint="eastAsia"/>
                <w:lang w:val="en-US" w:eastAsia="zh-CN"/>
              </w:rPr>
              <w:t>249</w:t>
            </w:r>
          </w:p>
        </w:tc>
        <w:tc>
          <w:tcPr>
            <w:tcW w:w="1077" w:type="dxa"/>
            <w:vAlign w:val="center"/>
          </w:tcPr>
          <w:p w14:paraId="2756039D">
            <w:pPr>
              <w:pStyle w:val="49"/>
              <w:bidi w:val="0"/>
              <w:ind w:left="0" w:leftChars="0" w:firstLine="0" w:firstLineChars="0"/>
              <w:rPr>
                <w:rFonts w:hint="default"/>
                <w:lang w:val="en-US"/>
              </w:rPr>
            </w:pPr>
            <w:r>
              <w:rPr>
                <w:rFonts w:hint="eastAsia"/>
                <w:lang w:val="en-US" w:eastAsia="zh-CN"/>
              </w:rPr>
              <w:t>/</w:t>
            </w:r>
          </w:p>
        </w:tc>
        <w:tc>
          <w:tcPr>
            <w:tcW w:w="1349" w:type="dxa"/>
            <w:vAlign w:val="center"/>
          </w:tcPr>
          <w:p w14:paraId="08F0809B">
            <w:pPr>
              <w:pStyle w:val="49"/>
              <w:bidi w:val="0"/>
              <w:ind w:left="0" w:leftChars="0" w:firstLine="0" w:firstLineChars="0"/>
              <w:rPr>
                <w:rFonts w:hint="default"/>
                <w:lang w:val="en-US" w:eastAsia="zh-CN"/>
              </w:rPr>
            </w:pPr>
            <w:r>
              <w:rPr>
                <w:rFonts w:hint="eastAsia"/>
                <w:lang w:val="en-US" w:eastAsia="zh-CN"/>
              </w:rPr>
              <w:t>/</w:t>
            </w:r>
          </w:p>
        </w:tc>
      </w:tr>
      <w:tr w14:paraId="0B6D2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2C355FA">
            <w:pPr>
              <w:pStyle w:val="49"/>
              <w:bidi w:val="0"/>
            </w:pPr>
            <w:r>
              <w:t>经纬度</w:t>
            </w:r>
          </w:p>
        </w:tc>
        <w:tc>
          <w:tcPr>
            <w:tcW w:w="7481" w:type="dxa"/>
            <w:gridSpan w:val="7"/>
            <w:vAlign w:val="center"/>
          </w:tcPr>
          <w:p w14:paraId="606B5FF7">
            <w:pPr>
              <w:pStyle w:val="49"/>
              <w:bidi w:val="0"/>
              <w:ind w:left="0" w:leftChars="0" w:firstLine="0" w:firstLineChars="0"/>
            </w:pPr>
            <w:r>
              <w:rPr>
                <w:rFonts w:hint="eastAsia"/>
              </w:rPr>
              <w:t>111.596545034,25.676905045</w:t>
            </w:r>
          </w:p>
        </w:tc>
      </w:tr>
      <w:tr w14:paraId="64B7C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D467DD1">
            <w:pPr>
              <w:pStyle w:val="49"/>
              <w:bidi w:val="0"/>
            </w:pPr>
            <w:r>
              <w:t>层次</w:t>
            </w:r>
          </w:p>
        </w:tc>
        <w:tc>
          <w:tcPr>
            <w:tcW w:w="4384" w:type="pct"/>
            <w:gridSpan w:val="7"/>
            <w:vAlign w:val="center"/>
          </w:tcPr>
          <w:p w14:paraId="34127BCB">
            <w:pPr>
              <w:pStyle w:val="49"/>
              <w:bidi w:val="0"/>
            </w:pPr>
            <w:r>
              <w:rPr>
                <w:rFonts w:hint="eastAsia"/>
                <w:lang w:val="en-US" w:eastAsia="zh-CN"/>
              </w:rPr>
              <w:t>一</w:t>
            </w:r>
            <w:r>
              <w:t>层</w:t>
            </w:r>
          </w:p>
        </w:tc>
      </w:tr>
      <w:tr w14:paraId="29801F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17F7036">
            <w:pPr>
              <w:pStyle w:val="49"/>
              <w:bidi w:val="0"/>
            </w:pPr>
            <w:r>
              <w:t>分层</w:t>
            </w:r>
          </w:p>
        </w:tc>
        <w:tc>
          <w:tcPr>
            <w:tcW w:w="485" w:type="pct"/>
            <w:vAlign w:val="center"/>
          </w:tcPr>
          <w:p w14:paraId="6F4DD032">
            <w:pPr>
              <w:pStyle w:val="49"/>
              <w:bidi w:val="0"/>
            </w:pPr>
            <w:r>
              <w:t>层盖度</w:t>
            </w:r>
          </w:p>
        </w:tc>
        <w:tc>
          <w:tcPr>
            <w:tcW w:w="2022" w:type="pct"/>
            <w:gridSpan w:val="3"/>
            <w:vAlign w:val="center"/>
          </w:tcPr>
          <w:p w14:paraId="40288346">
            <w:pPr>
              <w:pStyle w:val="49"/>
              <w:bidi w:val="0"/>
            </w:pPr>
            <w:r>
              <w:t>种类组成与生长状况</w:t>
            </w:r>
          </w:p>
        </w:tc>
        <w:tc>
          <w:tcPr>
            <w:tcW w:w="1876" w:type="pct"/>
            <w:gridSpan w:val="3"/>
            <w:vAlign w:val="center"/>
          </w:tcPr>
          <w:p w14:paraId="04D08150">
            <w:pPr>
              <w:pStyle w:val="49"/>
              <w:bidi w:val="0"/>
            </w:pPr>
            <w:r>
              <w:t>考察照片</w:t>
            </w:r>
          </w:p>
        </w:tc>
      </w:tr>
      <w:tr w14:paraId="3A89D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70A6E5D">
            <w:pPr>
              <w:pStyle w:val="49"/>
              <w:bidi w:val="0"/>
            </w:pPr>
            <w:r>
              <w:t>草本层</w:t>
            </w:r>
          </w:p>
        </w:tc>
        <w:tc>
          <w:tcPr>
            <w:tcW w:w="485" w:type="pct"/>
            <w:vAlign w:val="center"/>
          </w:tcPr>
          <w:p w14:paraId="4D4DEE5F">
            <w:pPr>
              <w:pStyle w:val="49"/>
              <w:bidi w:val="0"/>
            </w:pPr>
            <w:r>
              <w:t>层盖度</w:t>
            </w:r>
            <w:r>
              <w:rPr>
                <w:rFonts w:hint="eastAsia"/>
                <w:lang w:val="en-US" w:eastAsia="zh-CN"/>
              </w:rPr>
              <w:t>60</w:t>
            </w:r>
            <w:r>
              <w:t>%</w:t>
            </w:r>
          </w:p>
        </w:tc>
        <w:tc>
          <w:tcPr>
            <w:tcW w:w="2022" w:type="pct"/>
            <w:gridSpan w:val="3"/>
            <w:vAlign w:val="center"/>
          </w:tcPr>
          <w:p w14:paraId="2CDEDB33">
            <w:pPr>
              <w:pStyle w:val="49"/>
              <w:bidi w:val="0"/>
              <w:rPr>
                <w:rFonts w:hint="eastAsia"/>
              </w:rPr>
            </w:pPr>
            <w:r>
              <w:rPr>
                <w:rFonts w:hint="eastAsia"/>
              </w:rPr>
              <w:t>层均高0.5-1m，优势种为芒（Miscanthus sinensis），高0.5~1.0m，盖度</w:t>
            </w:r>
            <w:r>
              <w:rPr>
                <w:rFonts w:hint="eastAsia"/>
                <w:lang w:val="en-US" w:eastAsia="zh-CN"/>
              </w:rPr>
              <w:t>6</w:t>
            </w:r>
            <w:r>
              <w:rPr>
                <w:rFonts w:hint="eastAsia"/>
              </w:rPr>
              <w:t>0%主要伴生种为</w:t>
            </w:r>
            <w:r>
              <w:rPr>
                <w:rFonts w:hint="eastAsia"/>
                <w:lang w:val="en-US" w:eastAsia="zh-CN"/>
              </w:rPr>
              <w:t>蕨（Pteridiumaquilinum(L.)Kuhnvar.latiusculum(Desv.)Underw.ex Heller）</w:t>
            </w:r>
            <w:r>
              <w:rPr>
                <w:rFonts w:hint="eastAsia"/>
              </w:rPr>
              <w:t>。</w:t>
            </w:r>
          </w:p>
        </w:tc>
        <w:tc>
          <w:tcPr>
            <w:tcW w:w="1876" w:type="pct"/>
            <w:gridSpan w:val="3"/>
            <w:vAlign w:val="center"/>
          </w:tcPr>
          <w:p w14:paraId="36E6F1DB">
            <w:pPr>
              <w:pStyle w:val="49"/>
              <w:bidi w:val="0"/>
              <w:rPr>
                <w:rFonts w:hint="eastAsia"/>
                <w:lang w:eastAsia="zh-CN"/>
              </w:rPr>
            </w:pPr>
            <w:r>
              <w:rPr>
                <w:rFonts w:hint="default"/>
                <w:lang w:eastAsia="zh-CN"/>
              </w:rPr>
              <w:drawing>
                <wp:inline distT="0" distB="0" distL="114300" distR="114300">
                  <wp:extent cx="1918335" cy="2264410"/>
                  <wp:effectExtent l="0" t="0" r="0" b="0"/>
                  <wp:docPr id="61" name="图片 61" descr="IMG_20250328_14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50328_145758"/>
                          <pic:cNvPicPr>
                            <a:picLocks noChangeAspect="1"/>
                          </pic:cNvPicPr>
                        </pic:nvPicPr>
                        <pic:blipFill>
                          <a:blip r:embed="rId61"/>
                          <a:srcRect t="6442" b="5203"/>
                          <a:stretch>
                            <a:fillRect/>
                          </a:stretch>
                        </pic:blipFill>
                        <pic:spPr>
                          <a:xfrm>
                            <a:off x="0" y="0"/>
                            <a:ext cx="1918335" cy="2264410"/>
                          </a:xfrm>
                          <a:prstGeom prst="rect">
                            <a:avLst/>
                          </a:prstGeom>
                        </pic:spPr>
                      </pic:pic>
                    </a:graphicData>
                  </a:graphic>
                </wp:inline>
              </w:drawing>
            </w:r>
          </w:p>
        </w:tc>
      </w:tr>
    </w:tbl>
    <w:p w14:paraId="20E630B7">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20</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0DAD9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7B313A7A">
            <w:pPr>
              <w:pStyle w:val="49"/>
              <w:bidi w:val="0"/>
            </w:pPr>
            <w:r>
              <w:t>植被类型</w:t>
            </w:r>
          </w:p>
        </w:tc>
        <w:tc>
          <w:tcPr>
            <w:tcW w:w="1775" w:type="pct"/>
            <w:gridSpan w:val="2"/>
            <w:vMerge w:val="restart"/>
            <w:vAlign w:val="center"/>
          </w:tcPr>
          <w:p w14:paraId="7358D118">
            <w:pPr>
              <w:pStyle w:val="49"/>
              <w:bidi w:val="0"/>
            </w:pPr>
            <w:r>
              <w:rPr>
                <w:rFonts w:hint="eastAsia"/>
              </w:rPr>
              <w:t>芒灌草丛（Form.Miscanthus sinensis Anderss）</w:t>
            </w:r>
          </w:p>
        </w:tc>
        <w:tc>
          <w:tcPr>
            <w:tcW w:w="2609" w:type="pct"/>
            <w:gridSpan w:val="5"/>
            <w:vAlign w:val="center"/>
          </w:tcPr>
          <w:p w14:paraId="6971B857">
            <w:pPr>
              <w:pStyle w:val="49"/>
              <w:bidi w:val="0"/>
            </w:pPr>
            <w:r>
              <w:t>环境特征</w:t>
            </w:r>
          </w:p>
        </w:tc>
      </w:tr>
      <w:tr w14:paraId="6F77E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0C582569">
            <w:pPr>
              <w:pStyle w:val="49"/>
              <w:bidi w:val="0"/>
            </w:pPr>
          </w:p>
        </w:tc>
        <w:tc>
          <w:tcPr>
            <w:tcW w:w="1775" w:type="pct"/>
            <w:gridSpan w:val="2"/>
            <w:vMerge w:val="continue"/>
            <w:vAlign w:val="center"/>
          </w:tcPr>
          <w:p w14:paraId="57607963">
            <w:pPr>
              <w:pStyle w:val="49"/>
              <w:bidi w:val="0"/>
            </w:pPr>
          </w:p>
        </w:tc>
        <w:tc>
          <w:tcPr>
            <w:tcW w:w="555" w:type="pct"/>
            <w:vAlign w:val="center"/>
          </w:tcPr>
          <w:p w14:paraId="77D7E260">
            <w:pPr>
              <w:pStyle w:val="49"/>
              <w:bidi w:val="0"/>
            </w:pPr>
            <w:r>
              <w:t>地形</w:t>
            </w:r>
          </w:p>
        </w:tc>
        <w:tc>
          <w:tcPr>
            <w:tcW w:w="631" w:type="pct"/>
            <w:gridSpan w:val="2"/>
            <w:vAlign w:val="center"/>
          </w:tcPr>
          <w:p w14:paraId="1F1E5A71">
            <w:pPr>
              <w:pStyle w:val="49"/>
              <w:bidi w:val="0"/>
            </w:pPr>
            <w:r>
              <w:t>海拔（m）</w:t>
            </w:r>
          </w:p>
        </w:tc>
        <w:tc>
          <w:tcPr>
            <w:tcW w:w="631" w:type="pct"/>
            <w:vAlign w:val="center"/>
          </w:tcPr>
          <w:p w14:paraId="4364B01E">
            <w:pPr>
              <w:pStyle w:val="49"/>
              <w:bidi w:val="0"/>
            </w:pPr>
            <w:r>
              <w:t>坡向</w:t>
            </w:r>
          </w:p>
        </w:tc>
        <w:tc>
          <w:tcPr>
            <w:tcW w:w="790" w:type="pct"/>
            <w:vAlign w:val="center"/>
          </w:tcPr>
          <w:p w14:paraId="49C328D3">
            <w:pPr>
              <w:pStyle w:val="49"/>
              <w:bidi w:val="0"/>
            </w:pPr>
            <w:r>
              <w:t>坡度（°）</w:t>
            </w:r>
          </w:p>
        </w:tc>
      </w:tr>
      <w:tr w14:paraId="30712D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43D799F4">
            <w:pPr>
              <w:pStyle w:val="49"/>
              <w:bidi w:val="0"/>
            </w:pPr>
            <w:r>
              <w:t>地点</w:t>
            </w:r>
          </w:p>
        </w:tc>
        <w:tc>
          <w:tcPr>
            <w:tcW w:w="3030" w:type="dxa"/>
            <w:gridSpan w:val="2"/>
            <w:vAlign w:val="center"/>
          </w:tcPr>
          <w:p w14:paraId="4CA9D37B">
            <w:pPr>
              <w:pStyle w:val="49"/>
              <w:bidi w:val="0"/>
              <w:ind w:left="0" w:leftChars="0" w:firstLine="0" w:firstLineChars="0"/>
              <w:rPr>
                <w:rFonts w:hint="default" w:eastAsia="宋体"/>
                <w:lang w:val="en-US" w:eastAsia="zh-CN"/>
              </w:rPr>
            </w:pPr>
            <w:r>
              <w:rPr>
                <w:rFonts w:hint="eastAsia"/>
                <w:lang w:val="en-US" w:eastAsia="zh-CN"/>
              </w:rPr>
              <w:t>进水库道路旁</w:t>
            </w:r>
          </w:p>
        </w:tc>
        <w:tc>
          <w:tcPr>
            <w:tcW w:w="948" w:type="dxa"/>
            <w:vAlign w:val="center"/>
          </w:tcPr>
          <w:p w14:paraId="0931E80B">
            <w:pPr>
              <w:pStyle w:val="49"/>
              <w:bidi w:val="0"/>
              <w:ind w:left="0" w:leftChars="0" w:firstLine="0" w:firstLineChars="0"/>
              <w:rPr>
                <w:rFonts w:hint="eastAsia"/>
                <w:lang w:eastAsia="zh-CN"/>
              </w:rPr>
            </w:pPr>
            <w:r>
              <w:rPr>
                <w:rFonts w:hint="eastAsia"/>
                <w:lang w:val="en-US" w:eastAsia="zh-CN"/>
              </w:rPr>
              <w:t>平地</w:t>
            </w:r>
          </w:p>
        </w:tc>
        <w:tc>
          <w:tcPr>
            <w:tcW w:w="1077" w:type="dxa"/>
            <w:gridSpan w:val="2"/>
            <w:vAlign w:val="center"/>
          </w:tcPr>
          <w:p w14:paraId="17E7DBB3">
            <w:pPr>
              <w:pStyle w:val="49"/>
              <w:bidi w:val="0"/>
              <w:ind w:left="0" w:leftChars="0" w:firstLine="0" w:firstLineChars="0"/>
              <w:rPr>
                <w:rFonts w:hint="default" w:eastAsia="宋体"/>
                <w:lang w:val="en-US" w:eastAsia="zh-CN"/>
              </w:rPr>
            </w:pPr>
            <w:r>
              <w:rPr>
                <w:rFonts w:hint="eastAsia"/>
                <w:lang w:val="en-US" w:eastAsia="zh-CN"/>
              </w:rPr>
              <w:t>257</w:t>
            </w:r>
          </w:p>
        </w:tc>
        <w:tc>
          <w:tcPr>
            <w:tcW w:w="1077" w:type="dxa"/>
            <w:vAlign w:val="center"/>
          </w:tcPr>
          <w:p w14:paraId="14FF6B8C">
            <w:pPr>
              <w:pStyle w:val="49"/>
              <w:bidi w:val="0"/>
              <w:ind w:left="0" w:leftChars="0" w:firstLine="0" w:firstLineChars="0"/>
              <w:rPr>
                <w:rFonts w:hint="default"/>
                <w:lang w:val="en-US"/>
              </w:rPr>
            </w:pPr>
            <w:r>
              <w:rPr>
                <w:rFonts w:hint="eastAsia"/>
                <w:lang w:val="en-US" w:eastAsia="zh-CN"/>
              </w:rPr>
              <w:t>/</w:t>
            </w:r>
          </w:p>
        </w:tc>
        <w:tc>
          <w:tcPr>
            <w:tcW w:w="1349" w:type="dxa"/>
            <w:vAlign w:val="center"/>
          </w:tcPr>
          <w:p w14:paraId="39E47E25">
            <w:pPr>
              <w:pStyle w:val="49"/>
              <w:bidi w:val="0"/>
              <w:ind w:left="0" w:leftChars="0" w:firstLine="0" w:firstLineChars="0"/>
              <w:rPr>
                <w:rFonts w:hint="default"/>
                <w:lang w:val="en-US" w:eastAsia="zh-CN"/>
              </w:rPr>
            </w:pPr>
            <w:r>
              <w:rPr>
                <w:rFonts w:hint="eastAsia"/>
                <w:lang w:val="en-US" w:eastAsia="zh-CN"/>
              </w:rPr>
              <w:t>/</w:t>
            </w:r>
          </w:p>
        </w:tc>
      </w:tr>
      <w:tr w14:paraId="4254E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771A35E">
            <w:pPr>
              <w:pStyle w:val="49"/>
              <w:bidi w:val="0"/>
            </w:pPr>
            <w:r>
              <w:t>经纬度</w:t>
            </w:r>
          </w:p>
        </w:tc>
        <w:tc>
          <w:tcPr>
            <w:tcW w:w="7481" w:type="dxa"/>
            <w:gridSpan w:val="7"/>
            <w:vAlign w:val="center"/>
          </w:tcPr>
          <w:p w14:paraId="5EEF5BD3">
            <w:pPr>
              <w:pStyle w:val="49"/>
              <w:bidi w:val="0"/>
              <w:rPr>
                <w:b/>
                <w:bCs/>
              </w:rPr>
            </w:pPr>
            <w:r>
              <w:rPr>
                <w:rFonts w:hint="eastAsia"/>
              </w:rPr>
              <w:t>111.596016639,25.676052102</w:t>
            </w:r>
          </w:p>
        </w:tc>
      </w:tr>
      <w:tr w14:paraId="14B00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33F63D7">
            <w:pPr>
              <w:pStyle w:val="49"/>
              <w:bidi w:val="0"/>
            </w:pPr>
            <w:r>
              <w:t>层次</w:t>
            </w:r>
          </w:p>
        </w:tc>
        <w:tc>
          <w:tcPr>
            <w:tcW w:w="4384" w:type="pct"/>
            <w:gridSpan w:val="7"/>
            <w:vAlign w:val="center"/>
          </w:tcPr>
          <w:p w14:paraId="1B7DF5FB">
            <w:pPr>
              <w:pStyle w:val="49"/>
              <w:bidi w:val="0"/>
            </w:pPr>
            <w:r>
              <w:rPr>
                <w:rFonts w:hint="eastAsia"/>
                <w:lang w:val="en-US" w:eastAsia="zh-CN"/>
              </w:rPr>
              <w:t>一</w:t>
            </w:r>
            <w:r>
              <w:t>层</w:t>
            </w:r>
          </w:p>
        </w:tc>
      </w:tr>
      <w:tr w14:paraId="5321E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D7B0810">
            <w:pPr>
              <w:pStyle w:val="49"/>
              <w:bidi w:val="0"/>
            </w:pPr>
            <w:r>
              <w:t>分层</w:t>
            </w:r>
          </w:p>
        </w:tc>
        <w:tc>
          <w:tcPr>
            <w:tcW w:w="485" w:type="pct"/>
            <w:vAlign w:val="center"/>
          </w:tcPr>
          <w:p w14:paraId="2E8F879F">
            <w:pPr>
              <w:pStyle w:val="49"/>
              <w:bidi w:val="0"/>
            </w:pPr>
            <w:r>
              <w:t>层盖度</w:t>
            </w:r>
          </w:p>
        </w:tc>
        <w:tc>
          <w:tcPr>
            <w:tcW w:w="2022" w:type="pct"/>
            <w:gridSpan w:val="3"/>
            <w:vAlign w:val="center"/>
          </w:tcPr>
          <w:p w14:paraId="46941DE4">
            <w:pPr>
              <w:pStyle w:val="49"/>
              <w:bidi w:val="0"/>
            </w:pPr>
            <w:r>
              <w:t>种类组成与生长状况</w:t>
            </w:r>
          </w:p>
        </w:tc>
        <w:tc>
          <w:tcPr>
            <w:tcW w:w="1876" w:type="pct"/>
            <w:gridSpan w:val="3"/>
            <w:vAlign w:val="center"/>
          </w:tcPr>
          <w:p w14:paraId="2A75AA5A">
            <w:pPr>
              <w:pStyle w:val="49"/>
              <w:bidi w:val="0"/>
            </w:pPr>
            <w:r>
              <w:t>考察照片</w:t>
            </w:r>
          </w:p>
        </w:tc>
      </w:tr>
      <w:tr w14:paraId="19610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0062B6F6">
            <w:pPr>
              <w:pStyle w:val="49"/>
              <w:bidi w:val="0"/>
            </w:pPr>
            <w:r>
              <w:t>草本层</w:t>
            </w:r>
          </w:p>
        </w:tc>
        <w:tc>
          <w:tcPr>
            <w:tcW w:w="828" w:type="dxa"/>
            <w:vAlign w:val="center"/>
          </w:tcPr>
          <w:p w14:paraId="4B3975C5">
            <w:pPr>
              <w:pStyle w:val="49"/>
              <w:bidi w:val="0"/>
              <w:ind w:left="0" w:leftChars="0" w:firstLine="0" w:firstLineChars="0"/>
            </w:pPr>
            <w:r>
              <w:t>层盖度</w:t>
            </w:r>
            <w:r>
              <w:rPr>
                <w:rFonts w:hint="eastAsia"/>
                <w:lang w:val="en-US" w:eastAsia="zh-CN"/>
              </w:rPr>
              <w:t>50</w:t>
            </w:r>
            <w:r>
              <w:t>%</w:t>
            </w:r>
          </w:p>
        </w:tc>
        <w:tc>
          <w:tcPr>
            <w:tcW w:w="3451" w:type="dxa"/>
            <w:gridSpan w:val="3"/>
            <w:vAlign w:val="center"/>
          </w:tcPr>
          <w:p w14:paraId="224F4AC2">
            <w:pPr>
              <w:pStyle w:val="49"/>
              <w:bidi w:val="0"/>
              <w:ind w:left="0" w:leftChars="0" w:firstLine="0" w:firstLineChars="0"/>
              <w:rPr>
                <w:rFonts w:hint="eastAsia"/>
              </w:rPr>
            </w:pPr>
            <w:r>
              <w:rPr>
                <w:rFonts w:hint="eastAsia"/>
              </w:rPr>
              <w:t>层均高0.</w:t>
            </w:r>
            <w:r>
              <w:rPr>
                <w:rFonts w:hint="eastAsia"/>
                <w:lang w:val="en-US" w:eastAsia="zh-CN"/>
              </w:rPr>
              <w:t>3</w:t>
            </w:r>
            <w:r>
              <w:rPr>
                <w:rFonts w:hint="eastAsia"/>
              </w:rPr>
              <w:t>-</w:t>
            </w:r>
            <w:r>
              <w:rPr>
                <w:rFonts w:hint="eastAsia"/>
                <w:lang w:val="en-US" w:eastAsia="zh-CN"/>
              </w:rPr>
              <w:t>0.8</w:t>
            </w:r>
            <w:r>
              <w:rPr>
                <w:rFonts w:hint="eastAsia"/>
              </w:rPr>
              <w:t>m，优势种为芒（Miscanthus sinensis），盖度</w:t>
            </w:r>
            <w:r>
              <w:rPr>
                <w:rFonts w:hint="eastAsia"/>
                <w:lang w:val="en-US" w:eastAsia="zh-CN"/>
              </w:rPr>
              <w:t>5</w:t>
            </w:r>
            <w:r>
              <w:rPr>
                <w:rFonts w:hint="eastAsia"/>
              </w:rPr>
              <w:t>0%主要伴生种为</w:t>
            </w:r>
            <w:r>
              <w:rPr>
                <w:rFonts w:hint="eastAsia"/>
                <w:lang w:val="en-US" w:eastAsia="zh-CN"/>
              </w:rPr>
              <w:t>狗尾巴草、蔷薇</w:t>
            </w:r>
            <w:r>
              <w:rPr>
                <w:rFonts w:hint="eastAsia"/>
              </w:rPr>
              <w:t>。</w:t>
            </w:r>
          </w:p>
        </w:tc>
        <w:tc>
          <w:tcPr>
            <w:tcW w:w="1876" w:type="pct"/>
            <w:gridSpan w:val="3"/>
            <w:vAlign w:val="center"/>
          </w:tcPr>
          <w:p w14:paraId="4F5753A3">
            <w:pPr>
              <w:pStyle w:val="49"/>
              <w:bidi w:val="0"/>
              <w:rPr>
                <w:rFonts w:hint="eastAsia"/>
                <w:lang w:eastAsia="zh-CN"/>
              </w:rPr>
            </w:pPr>
            <w:r>
              <w:rPr>
                <w:rFonts w:hint="eastAsia"/>
                <w:lang w:eastAsia="zh-CN"/>
              </w:rPr>
              <w:drawing>
                <wp:inline distT="0" distB="0" distL="114300" distR="114300">
                  <wp:extent cx="1876425" cy="2209800"/>
                  <wp:effectExtent l="0" t="0" r="9525" b="0"/>
                  <wp:docPr id="65" name="图片 65" descr="IMG_20250328_14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50328_145753"/>
                          <pic:cNvPicPr>
                            <a:picLocks noChangeAspect="1"/>
                          </pic:cNvPicPr>
                        </pic:nvPicPr>
                        <pic:blipFill>
                          <a:blip r:embed="rId62"/>
                          <a:stretch>
                            <a:fillRect/>
                          </a:stretch>
                        </pic:blipFill>
                        <pic:spPr>
                          <a:xfrm>
                            <a:off x="0" y="0"/>
                            <a:ext cx="1876425" cy="2209800"/>
                          </a:xfrm>
                          <a:prstGeom prst="rect">
                            <a:avLst/>
                          </a:prstGeom>
                        </pic:spPr>
                      </pic:pic>
                    </a:graphicData>
                  </a:graphic>
                </wp:inline>
              </w:drawing>
            </w:r>
          </w:p>
        </w:tc>
      </w:tr>
    </w:tbl>
    <w:p w14:paraId="0C786B99">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21</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1A837E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98D3A59">
            <w:pPr>
              <w:pStyle w:val="49"/>
              <w:bidi w:val="0"/>
            </w:pPr>
            <w:r>
              <w:t>植被类型</w:t>
            </w:r>
          </w:p>
        </w:tc>
        <w:tc>
          <w:tcPr>
            <w:tcW w:w="1775" w:type="pct"/>
            <w:gridSpan w:val="2"/>
            <w:vMerge w:val="restart"/>
            <w:vAlign w:val="center"/>
          </w:tcPr>
          <w:p w14:paraId="1D951802">
            <w:pPr>
              <w:pStyle w:val="49"/>
              <w:bidi w:val="0"/>
            </w:pPr>
            <w:r>
              <w:rPr>
                <w:rFonts w:hint="eastAsia"/>
              </w:rPr>
              <w:t>芒灌草丛（Form.MiscanthussinensisAnderss）</w:t>
            </w:r>
          </w:p>
        </w:tc>
        <w:tc>
          <w:tcPr>
            <w:tcW w:w="2609" w:type="pct"/>
            <w:gridSpan w:val="5"/>
            <w:vAlign w:val="center"/>
          </w:tcPr>
          <w:p w14:paraId="385E92F9">
            <w:pPr>
              <w:pStyle w:val="49"/>
              <w:bidi w:val="0"/>
            </w:pPr>
            <w:r>
              <w:t>环境特征</w:t>
            </w:r>
          </w:p>
        </w:tc>
      </w:tr>
      <w:tr w14:paraId="48F76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1157187C">
            <w:pPr>
              <w:pStyle w:val="49"/>
              <w:bidi w:val="0"/>
            </w:pPr>
          </w:p>
        </w:tc>
        <w:tc>
          <w:tcPr>
            <w:tcW w:w="1775" w:type="pct"/>
            <w:gridSpan w:val="2"/>
            <w:vMerge w:val="continue"/>
            <w:vAlign w:val="center"/>
          </w:tcPr>
          <w:p w14:paraId="047F1740">
            <w:pPr>
              <w:pStyle w:val="49"/>
              <w:bidi w:val="0"/>
            </w:pPr>
          </w:p>
        </w:tc>
        <w:tc>
          <w:tcPr>
            <w:tcW w:w="555" w:type="pct"/>
            <w:vAlign w:val="center"/>
          </w:tcPr>
          <w:p w14:paraId="45C4E272">
            <w:pPr>
              <w:pStyle w:val="49"/>
              <w:bidi w:val="0"/>
            </w:pPr>
            <w:r>
              <w:t>地形</w:t>
            </w:r>
          </w:p>
        </w:tc>
        <w:tc>
          <w:tcPr>
            <w:tcW w:w="631" w:type="pct"/>
            <w:gridSpan w:val="2"/>
            <w:vAlign w:val="center"/>
          </w:tcPr>
          <w:p w14:paraId="4F144F12">
            <w:pPr>
              <w:pStyle w:val="49"/>
              <w:bidi w:val="0"/>
            </w:pPr>
            <w:r>
              <w:t>海拔（m）</w:t>
            </w:r>
          </w:p>
        </w:tc>
        <w:tc>
          <w:tcPr>
            <w:tcW w:w="631" w:type="pct"/>
            <w:vAlign w:val="center"/>
          </w:tcPr>
          <w:p w14:paraId="647F0C27">
            <w:pPr>
              <w:pStyle w:val="49"/>
              <w:bidi w:val="0"/>
            </w:pPr>
            <w:r>
              <w:t>坡向</w:t>
            </w:r>
          </w:p>
        </w:tc>
        <w:tc>
          <w:tcPr>
            <w:tcW w:w="790" w:type="pct"/>
            <w:vAlign w:val="center"/>
          </w:tcPr>
          <w:p w14:paraId="2E96E0AB">
            <w:pPr>
              <w:pStyle w:val="49"/>
              <w:bidi w:val="0"/>
            </w:pPr>
            <w:r>
              <w:t>坡度（°）</w:t>
            </w:r>
          </w:p>
        </w:tc>
      </w:tr>
      <w:tr w14:paraId="00C40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0CADC8D">
            <w:pPr>
              <w:pStyle w:val="49"/>
              <w:bidi w:val="0"/>
            </w:pPr>
            <w:r>
              <w:t>地点</w:t>
            </w:r>
          </w:p>
        </w:tc>
        <w:tc>
          <w:tcPr>
            <w:tcW w:w="3030" w:type="dxa"/>
            <w:gridSpan w:val="2"/>
            <w:vAlign w:val="center"/>
          </w:tcPr>
          <w:p w14:paraId="57D6FA91">
            <w:pPr>
              <w:pStyle w:val="49"/>
              <w:bidi w:val="0"/>
              <w:ind w:left="0" w:leftChars="0" w:firstLine="0" w:firstLineChars="0"/>
              <w:rPr>
                <w:rFonts w:hint="default" w:eastAsia="宋体"/>
                <w:lang w:val="en-US" w:eastAsia="zh-CN"/>
              </w:rPr>
            </w:pPr>
            <w:r>
              <w:rPr>
                <w:rFonts w:hint="eastAsia"/>
                <w:lang w:val="en-US" w:eastAsia="zh-CN"/>
              </w:rPr>
              <w:t>库尾西侧</w:t>
            </w:r>
          </w:p>
        </w:tc>
        <w:tc>
          <w:tcPr>
            <w:tcW w:w="948" w:type="dxa"/>
            <w:vAlign w:val="center"/>
          </w:tcPr>
          <w:p w14:paraId="5E00CB51">
            <w:pPr>
              <w:pStyle w:val="49"/>
              <w:bidi w:val="0"/>
              <w:ind w:left="0" w:leftChars="0" w:firstLine="0" w:firstLineChars="0"/>
              <w:rPr>
                <w:rFonts w:hint="eastAsia"/>
                <w:lang w:eastAsia="zh-CN"/>
              </w:rPr>
            </w:pPr>
            <w:r>
              <w:rPr>
                <w:rFonts w:hint="eastAsia"/>
                <w:lang w:val="en-US" w:eastAsia="zh-CN"/>
              </w:rPr>
              <w:t>坡地</w:t>
            </w:r>
          </w:p>
        </w:tc>
        <w:tc>
          <w:tcPr>
            <w:tcW w:w="1077" w:type="dxa"/>
            <w:gridSpan w:val="2"/>
            <w:vAlign w:val="center"/>
          </w:tcPr>
          <w:p w14:paraId="6352C0D1">
            <w:pPr>
              <w:pStyle w:val="49"/>
              <w:bidi w:val="0"/>
              <w:ind w:left="0" w:leftChars="0" w:firstLine="0" w:firstLineChars="0"/>
              <w:rPr>
                <w:rFonts w:hint="default" w:eastAsia="宋体"/>
                <w:lang w:val="en-US" w:eastAsia="zh-CN"/>
              </w:rPr>
            </w:pPr>
            <w:r>
              <w:rPr>
                <w:rFonts w:hint="eastAsia"/>
                <w:lang w:val="en-US" w:eastAsia="zh-CN"/>
              </w:rPr>
              <w:t>286</w:t>
            </w:r>
          </w:p>
        </w:tc>
        <w:tc>
          <w:tcPr>
            <w:tcW w:w="1077" w:type="dxa"/>
            <w:vAlign w:val="center"/>
          </w:tcPr>
          <w:p w14:paraId="78107DCB">
            <w:pPr>
              <w:pStyle w:val="49"/>
              <w:bidi w:val="0"/>
              <w:ind w:left="0" w:leftChars="0" w:firstLine="0" w:firstLineChars="0"/>
              <w:rPr>
                <w:rFonts w:hint="default"/>
                <w:lang w:val="en-US"/>
              </w:rPr>
            </w:pPr>
            <w:r>
              <w:rPr>
                <w:rFonts w:hint="eastAsia"/>
                <w:lang w:val="en-US" w:eastAsia="zh-CN"/>
              </w:rPr>
              <w:t>西</w:t>
            </w:r>
          </w:p>
        </w:tc>
        <w:tc>
          <w:tcPr>
            <w:tcW w:w="1349" w:type="dxa"/>
            <w:vAlign w:val="center"/>
          </w:tcPr>
          <w:p w14:paraId="4E497847">
            <w:pPr>
              <w:pStyle w:val="49"/>
              <w:bidi w:val="0"/>
              <w:ind w:left="0" w:leftChars="0" w:firstLine="0" w:firstLineChars="0"/>
              <w:rPr>
                <w:rFonts w:hint="default"/>
                <w:lang w:val="en-US" w:eastAsia="zh-CN"/>
              </w:rPr>
            </w:pPr>
            <w:r>
              <w:rPr>
                <w:rFonts w:hint="eastAsia"/>
                <w:lang w:val="en-US" w:eastAsia="zh-CN"/>
              </w:rPr>
              <w:t>10</w:t>
            </w:r>
          </w:p>
        </w:tc>
      </w:tr>
      <w:tr w14:paraId="6E348F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935DCB0">
            <w:pPr>
              <w:pStyle w:val="49"/>
              <w:bidi w:val="0"/>
            </w:pPr>
            <w:r>
              <w:t>经纬度</w:t>
            </w:r>
          </w:p>
        </w:tc>
        <w:tc>
          <w:tcPr>
            <w:tcW w:w="7481" w:type="dxa"/>
            <w:gridSpan w:val="7"/>
            <w:vAlign w:val="center"/>
          </w:tcPr>
          <w:p w14:paraId="6F0E5638">
            <w:pPr>
              <w:pStyle w:val="49"/>
              <w:bidi w:val="0"/>
              <w:ind w:left="0" w:leftChars="0" w:firstLine="0" w:firstLineChars="0"/>
            </w:pPr>
            <w:r>
              <w:rPr>
                <w:rFonts w:hint="eastAsia"/>
              </w:rPr>
              <w:t>111.595442646,25.687776038</w:t>
            </w:r>
          </w:p>
        </w:tc>
      </w:tr>
      <w:tr w14:paraId="42250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9B13F8C">
            <w:pPr>
              <w:pStyle w:val="49"/>
              <w:bidi w:val="0"/>
            </w:pPr>
            <w:r>
              <w:t>层次</w:t>
            </w:r>
          </w:p>
        </w:tc>
        <w:tc>
          <w:tcPr>
            <w:tcW w:w="4384" w:type="pct"/>
            <w:gridSpan w:val="7"/>
            <w:vAlign w:val="center"/>
          </w:tcPr>
          <w:p w14:paraId="5EA0F5FE">
            <w:pPr>
              <w:pStyle w:val="49"/>
              <w:bidi w:val="0"/>
            </w:pPr>
            <w:r>
              <w:rPr>
                <w:rFonts w:hint="eastAsia"/>
                <w:lang w:val="en-US" w:eastAsia="zh-CN"/>
              </w:rPr>
              <w:t>一</w:t>
            </w:r>
            <w:r>
              <w:t>层</w:t>
            </w:r>
          </w:p>
        </w:tc>
      </w:tr>
      <w:tr w14:paraId="3843F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3E09AE2">
            <w:pPr>
              <w:pStyle w:val="49"/>
              <w:bidi w:val="0"/>
            </w:pPr>
            <w:r>
              <w:t>分层</w:t>
            </w:r>
          </w:p>
        </w:tc>
        <w:tc>
          <w:tcPr>
            <w:tcW w:w="485" w:type="pct"/>
            <w:vAlign w:val="center"/>
          </w:tcPr>
          <w:p w14:paraId="443A185D">
            <w:pPr>
              <w:pStyle w:val="49"/>
              <w:bidi w:val="0"/>
            </w:pPr>
            <w:r>
              <w:t>层盖度</w:t>
            </w:r>
          </w:p>
        </w:tc>
        <w:tc>
          <w:tcPr>
            <w:tcW w:w="2022" w:type="pct"/>
            <w:gridSpan w:val="3"/>
            <w:vAlign w:val="center"/>
          </w:tcPr>
          <w:p w14:paraId="6E59CDD6">
            <w:pPr>
              <w:pStyle w:val="49"/>
              <w:bidi w:val="0"/>
            </w:pPr>
            <w:r>
              <w:t>种类组成与生长状况</w:t>
            </w:r>
          </w:p>
        </w:tc>
        <w:tc>
          <w:tcPr>
            <w:tcW w:w="1876" w:type="pct"/>
            <w:gridSpan w:val="3"/>
            <w:vAlign w:val="center"/>
          </w:tcPr>
          <w:p w14:paraId="51E81D8D">
            <w:pPr>
              <w:pStyle w:val="49"/>
              <w:bidi w:val="0"/>
            </w:pPr>
            <w:r>
              <w:t>考察照片</w:t>
            </w:r>
          </w:p>
        </w:tc>
      </w:tr>
      <w:tr w14:paraId="65DEDA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5F6F31EB">
            <w:pPr>
              <w:pStyle w:val="49"/>
              <w:bidi w:val="0"/>
            </w:pPr>
            <w:r>
              <w:t>草本层</w:t>
            </w:r>
          </w:p>
        </w:tc>
        <w:tc>
          <w:tcPr>
            <w:tcW w:w="828" w:type="dxa"/>
            <w:vAlign w:val="top"/>
          </w:tcPr>
          <w:p w14:paraId="5ED4AF6F">
            <w:pPr>
              <w:pStyle w:val="49"/>
              <w:bidi w:val="0"/>
            </w:pPr>
            <w:r>
              <w:t>层盖度45%</w:t>
            </w:r>
          </w:p>
        </w:tc>
        <w:tc>
          <w:tcPr>
            <w:tcW w:w="3451" w:type="dxa"/>
            <w:gridSpan w:val="3"/>
            <w:vAlign w:val="top"/>
          </w:tcPr>
          <w:p w14:paraId="6A0095BC">
            <w:pPr>
              <w:pStyle w:val="49"/>
              <w:bidi w:val="0"/>
              <w:rPr>
                <w:rFonts w:hint="eastAsia"/>
              </w:rPr>
            </w:pPr>
            <w:r>
              <w:t>层均高0.8m，优势种为白茅，高0.2~1.0m，盖度45%，主要伴生种有五节芒、龙芽草、蒲公英、野茼蒿、车前草等</w:t>
            </w:r>
          </w:p>
        </w:tc>
        <w:tc>
          <w:tcPr>
            <w:tcW w:w="3202" w:type="dxa"/>
            <w:gridSpan w:val="3"/>
            <w:vAlign w:val="top"/>
          </w:tcPr>
          <w:p w14:paraId="6038A44D">
            <w:pPr>
              <w:pStyle w:val="49"/>
              <w:bidi w:val="0"/>
              <w:rPr>
                <w:rFonts w:hint="eastAsia"/>
                <w:lang w:eastAsia="zh-CN"/>
              </w:rPr>
            </w:pPr>
            <w:r>
              <w:drawing>
                <wp:inline distT="0" distB="0" distL="0" distR="0">
                  <wp:extent cx="1946910" cy="1458595"/>
                  <wp:effectExtent l="0" t="0" r="15240" b="8255"/>
                  <wp:docPr id="66" name="IM 342"/>
                  <wp:cNvGraphicFramePr/>
                  <a:graphic xmlns:a="http://schemas.openxmlformats.org/drawingml/2006/main">
                    <a:graphicData uri="http://schemas.openxmlformats.org/drawingml/2006/picture">
                      <pic:pic xmlns:pic="http://schemas.openxmlformats.org/drawingml/2006/picture">
                        <pic:nvPicPr>
                          <pic:cNvPr id="66" name="IM 342"/>
                          <pic:cNvPicPr/>
                        </pic:nvPicPr>
                        <pic:blipFill>
                          <a:blip r:embed="rId63"/>
                          <a:stretch>
                            <a:fillRect/>
                          </a:stretch>
                        </pic:blipFill>
                        <pic:spPr>
                          <a:xfrm>
                            <a:off x="0" y="0"/>
                            <a:ext cx="1946910" cy="1458595"/>
                          </a:xfrm>
                          <a:prstGeom prst="rect">
                            <a:avLst/>
                          </a:prstGeom>
                        </pic:spPr>
                      </pic:pic>
                    </a:graphicData>
                  </a:graphic>
                </wp:inline>
              </w:drawing>
            </w:r>
          </w:p>
        </w:tc>
      </w:tr>
    </w:tbl>
    <w:p w14:paraId="7EED640B">
      <w:pPr>
        <w:bidi w:val="0"/>
        <w:rPr>
          <w:rFonts w:hint="eastAsia"/>
          <w:lang w:val="en-US" w:eastAsia="zh-CN"/>
        </w:rPr>
      </w:pPr>
      <w:r>
        <w:rPr>
          <w:rFonts w:hint="eastAsia"/>
          <w:lang w:val="en-US" w:eastAsia="zh-CN"/>
        </w:rPr>
        <w:t>④白茅灌草丛(Form. Imperata cylindrica)</w:t>
      </w:r>
    </w:p>
    <w:p w14:paraId="1E1540F0">
      <w:pPr>
        <w:bidi w:val="0"/>
        <w:rPr>
          <w:rFonts w:hint="default"/>
          <w:lang w:val="en-US" w:eastAsia="zh-CN"/>
        </w:rPr>
      </w:pPr>
      <w:r>
        <w:rPr>
          <w:rFonts w:hint="eastAsia"/>
          <w:lang w:val="en-US" w:eastAsia="zh-CN"/>
        </w:rPr>
        <w:t>白茅适应性强，抗逆性强，繁殖力强，具有强的竞争力，为评价区最为常见的草本植物之一，常呈片状分布于低山丘陵区，群落外貌黄绿色，群落下土壤为黄壤，群落结构及种类组成较简单。</w:t>
      </w:r>
    </w:p>
    <w:p w14:paraId="35A84D50">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22</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6FA626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62D69741">
            <w:pPr>
              <w:pStyle w:val="49"/>
              <w:bidi w:val="0"/>
            </w:pPr>
            <w:r>
              <w:t>植被类型</w:t>
            </w:r>
          </w:p>
        </w:tc>
        <w:tc>
          <w:tcPr>
            <w:tcW w:w="1775" w:type="pct"/>
            <w:gridSpan w:val="2"/>
            <w:vMerge w:val="restart"/>
            <w:vAlign w:val="center"/>
          </w:tcPr>
          <w:p w14:paraId="04B9B1B6">
            <w:pPr>
              <w:pStyle w:val="49"/>
              <w:bidi w:val="0"/>
            </w:pPr>
            <w:r>
              <w:rPr>
                <w:rFonts w:hint="eastAsia"/>
              </w:rPr>
              <w:t>白茅灌草丛（Form.Imperatacylindrical）</w:t>
            </w:r>
          </w:p>
        </w:tc>
        <w:tc>
          <w:tcPr>
            <w:tcW w:w="2609" w:type="pct"/>
            <w:gridSpan w:val="5"/>
            <w:vAlign w:val="center"/>
          </w:tcPr>
          <w:p w14:paraId="3AB1CAFD">
            <w:pPr>
              <w:pStyle w:val="49"/>
              <w:bidi w:val="0"/>
            </w:pPr>
            <w:r>
              <w:t>环境特征</w:t>
            </w:r>
          </w:p>
        </w:tc>
      </w:tr>
      <w:tr w14:paraId="5CECA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27BB031C">
            <w:pPr>
              <w:pStyle w:val="49"/>
              <w:bidi w:val="0"/>
            </w:pPr>
          </w:p>
        </w:tc>
        <w:tc>
          <w:tcPr>
            <w:tcW w:w="1775" w:type="pct"/>
            <w:gridSpan w:val="2"/>
            <w:vMerge w:val="continue"/>
            <w:vAlign w:val="center"/>
          </w:tcPr>
          <w:p w14:paraId="38916CD6">
            <w:pPr>
              <w:pStyle w:val="49"/>
              <w:bidi w:val="0"/>
            </w:pPr>
          </w:p>
        </w:tc>
        <w:tc>
          <w:tcPr>
            <w:tcW w:w="555" w:type="pct"/>
            <w:vAlign w:val="center"/>
          </w:tcPr>
          <w:p w14:paraId="259F4098">
            <w:pPr>
              <w:pStyle w:val="49"/>
              <w:bidi w:val="0"/>
            </w:pPr>
            <w:r>
              <w:t>地形</w:t>
            </w:r>
          </w:p>
        </w:tc>
        <w:tc>
          <w:tcPr>
            <w:tcW w:w="631" w:type="pct"/>
            <w:gridSpan w:val="2"/>
            <w:vAlign w:val="center"/>
          </w:tcPr>
          <w:p w14:paraId="3C0B5636">
            <w:pPr>
              <w:pStyle w:val="49"/>
              <w:bidi w:val="0"/>
            </w:pPr>
            <w:r>
              <w:t>海拔（m）</w:t>
            </w:r>
          </w:p>
        </w:tc>
        <w:tc>
          <w:tcPr>
            <w:tcW w:w="631" w:type="pct"/>
            <w:vAlign w:val="center"/>
          </w:tcPr>
          <w:p w14:paraId="25E73C23">
            <w:pPr>
              <w:pStyle w:val="49"/>
              <w:bidi w:val="0"/>
            </w:pPr>
            <w:r>
              <w:t>坡向</w:t>
            </w:r>
          </w:p>
        </w:tc>
        <w:tc>
          <w:tcPr>
            <w:tcW w:w="790" w:type="pct"/>
            <w:vAlign w:val="center"/>
          </w:tcPr>
          <w:p w14:paraId="5DEA2E52">
            <w:pPr>
              <w:pStyle w:val="49"/>
              <w:bidi w:val="0"/>
            </w:pPr>
            <w:r>
              <w:t>坡度（°）</w:t>
            </w:r>
          </w:p>
        </w:tc>
      </w:tr>
      <w:tr w14:paraId="4E187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A5EE29E">
            <w:pPr>
              <w:pStyle w:val="49"/>
              <w:bidi w:val="0"/>
            </w:pPr>
            <w:r>
              <w:t>地点</w:t>
            </w:r>
          </w:p>
        </w:tc>
        <w:tc>
          <w:tcPr>
            <w:tcW w:w="3030" w:type="dxa"/>
            <w:gridSpan w:val="2"/>
            <w:vAlign w:val="center"/>
          </w:tcPr>
          <w:p w14:paraId="250D3665">
            <w:pPr>
              <w:pStyle w:val="49"/>
              <w:bidi w:val="0"/>
              <w:ind w:left="0" w:leftChars="0" w:firstLine="0" w:firstLineChars="0"/>
              <w:rPr>
                <w:rFonts w:hint="default" w:eastAsia="宋体"/>
                <w:lang w:val="en-US" w:eastAsia="zh-CN"/>
              </w:rPr>
            </w:pPr>
            <w:r>
              <w:rPr>
                <w:rFonts w:hint="eastAsia"/>
                <w:lang w:val="en-US" w:eastAsia="zh-CN"/>
              </w:rPr>
              <w:t>进库道路</w:t>
            </w:r>
          </w:p>
        </w:tc>
        <w:tc>
          <w:tcPr>
            <w:tcW w:w="948" w:type="dxa"/>
            <w:vAlign w:val="center"/>
          </w:tcPr>
          <w:p w14:paraId="0393131C">
            <w:pPr>
              <w:pStyle w:val="49"/>
              <w:bidi w:val="0"/>
              <w:ind w:left="0" w:leftChars="0" w:firstLine="0" w:firstLineChars="0"/>
              <w:rPr>
                <w:rFonts w:hint="default"/>
                <w:lang w:val="en-US" w:eastAsia="zh-CN"/>
              </w:rPr>
            </w:pPr>
            <w:r>
              <w:rPr>
                <w:rFonts w:hint="eastAsia"/>
                <w:lang w:val="en-US" w:eastAsia="zh-CN"/>
              </w:rPr>
              <w:t>平地</w:t>
            </w:r>
          </w:p>
        </w:tc>
        <w:tc>
          <w:tcPr>
            <w:tcW w:w="1077" w:type="dxa"/>
            <w:gridSpan w:val="2"/>
            <w:vAlign w:val="center"/>
          </w:tcPr>
          <w:p w14:paraId="73AD8C3F">
            <w:pPr>
              <w:pStyle w:val="49"/>
              <w:bidi w:val="0"/>
              <w:ind w:left="0" w:leftChars="0" w:firstLine="0" w:firstLineChars="0"/>
              <w:rPr>
                <w:rFonts w:hint="default" w:eastAsia="宋体"/>
                <w:lang w:val="en-US" w:eastAsia="zh-CN"/>
              </w:rPr>
            </w:pPr>
            <w:r>
              <w:rPr>
                <w:rFonts w:hint="eastAsia"/>
                <w:lang w:val="en-US" w:eastAsia="zh-CN"/>
              </w:rPr>
              <w:t>259</w:t>
            </w:r>
          </w:p>
        </w:tc>
        <w:tc>
          <w:tcPr>
            <w:tcW w:w="1077" w:type="dxa"/>
            <w:vAlign w:val="center"/>
          </w:tcPr>
          <w:p w14:paraId="54B14A7C">
            <w:pPr>
              <w:pStyle w:val="49"/>
              <w:bidi w:val="0"/>
              <w:ind w:left="0" w:leftChars="0" w:firstLine="0" w:firstLineChars="0"/>
              <w:rPr>
                <w:rFonts w:hint="eastAsia" w:eastAsia="宋体"/>
                <w:lang w:val="en-US" w:eastAsia="zh-CN"/>
              </w:rPr>
            </w:pPr>
            <w:r>
              <w:rPr>
                <w:rFonts w:hint="eastAsia"/>
                <w:lang w:val="en-US" w:eastAsia="zh-CN"/>
              </w:rPr>
              <w:t>/</w:t>
            </w:r>
          </w:p>
        </w:tc>
        <w:tc>
          <w:tcPr>
            <w:tcW w:w="1349" w:type="dxa"/>
            <w:vAlign w:val="center"/>
          </w:tcPr>
          <w:p w14:paraId="316DC159">
            <w:pPr>
              <w:pStyle w:val="49"/>
              <w:bidi w:val="0"/>
              <w:ind w:left="0" w:leftChars="0" w:firstLine="0" w:firstLineChars="0"/>
              <w:rPr>
                <w:rFonts w:hint="default"/>
                <w:lang w:val="en-US" w:eastAsia="zh-CN"/>
              </w:rPr>
            </w:pPr>
            <w:r>
              <w:rPr>
                <w:rFonts w:hint="eastAsia"/>
                <w:lang w:val="en-US" w:eastAsia="zh-CN"/>
              </w:rPr>
              <w:t>/</w:t>
            </w:r>
          </w:p>
        </w:tc>
      </w:tr>
      <w:tr w14:paraId="022AF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3293F1ED">
            <w:pPr>
              <w:pStyle w:val="49"/>
              <w:bidi w:val="0"/>
            </w:pPr>
            <w:r>
              <w:t>经纬度</w:t>
            </w:r>
          </w:p>
        </w:tc>
        <w:tc>
          <w:tcPr>
            <w:tcW w:w="7481" w:type="dxa"/>
            <w:gridSpan w:val="7"/>
            <w:vAlign w:val="center"/>
          </w:tcPr>
          <w:p w14:paraId="20C3D20F">
            <w:pPr>
              <w:pStyle w:val="49"/>
              <w:bidi w:val="0"/>
              <w:ind w:left="0" w:leftChars="0" w:firstLine="0" w:firstLineChars="0"/>
            </w:pPr>
            <w:r>
              <w:rPr>
                <w:rFonts w:hint="eastAsia"/>
              </w:rPr>
              <w:t>111.593940610,25.674670764</w:t>
            </w:r>
          </w:p>
        </w:tc>
      </w:tr>
      <w:tr w14:paraId="5A7F8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3DD5CBE">
            <w:pPr>
              <w:pStyle w:val="49"/>
              <w:bidi w:val="0"/>
            </w:pPr>
            <w:r>
              <w:t>层次</w:t>
            </w:r>
          </w:p>
        </w:tc>
        <w:tc>
          <w:tcPr>
            <w:tcW w:w="4384" w:type="pct"/>
            <w:gridSpan w:val="7"/>
            <w:vAlign w:val="center"/>
          </w:tcPr>
          <w:p w14:paraId="66A59021">
            <w:pPr>
              <w:pStyle w:val="49"/>
              <w:bidi w:val="0"/>
            </w:pPr>
            <w:r>
              <w:rPr>
                <w:rFonts w:hint="eastAsia"/>
                <w:lang w:val="en-US" w:eastAsia="zh-CN"/>
              </w:rPr>
              <w:t>一</w:t>
            </w:r>
            <w:r>
              <w:t>层</w:t>
            </w:r>
          </w:p>
        </w:tc>
      </w:tr>
      <w:tr w14:paraId="65838B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66A1F94A">
            <w:pPr>
              <w:pStyle w:val="49"/>
              <w:bidi w:val="0"/>
            </w:pPr>
            <w:r>
              <w:t>分层</w:t>
            </w:r>
          </w:p>
        </w:tc>
        <w:tc>
          <w:tcPr>
            <w:tcW w:w="485" w:type="pct"/>
            <w:vAlign w:val="center"/>
          </w:tcPr>
          <w:p w14:paraId="12BD0EE0">
            <w:pPr>
              <w:pStyle w:val="49"/>
              <w:bidi w:val="0"/>
            </w:pPr>
            <w:r>
              <w:t>层盖度</w:t>
            </w:r>
          </w:p>
        </w:tc>
        <w:tc>
          <w:tcPr>
            <w:tcW w:w="2022" w:type="pct"/>
            <w:gridSpan w:val="3"/>
            <w:vAlign w:val="center"/>
          </w:tcPr>
          <w:p w14:paraId="3BBDDC8E">
            <w:pPr>
              <w:pStyle w:val="49"/>
              <w:bidi w:val="0"/>
            </w:pPr>
            <w:r>
              <w:t>种类组成与生长状况</w:t>
            </w:r>
          </w:p>
        </w:tc>
        <w:tc>
          <w:tcPr>
            <w:tcW w:w="1876" w:type="pct"/>
            <w:gridSpan w:val="3"/>
            <w:vAlign w:val="center"/>
          </w:tcPr>
          <w:p w14:paraId="393BE32D">
            <w:pPr>
              <w:pStyle w:val="49"/>
              <w:bidi w:val="0"/>
            </w:pPr>
            <w:r>
              <w:t>考察照片</w:t>
            </w:r>
          </w:p>
        </w:tc>
      </w:tr>
      <w:tr w14:paraId="1A7B4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5C7A0249">
            <w:pPr>
              <w:pStyle w:val="49"/>
              <w:bidi w:val="0"/>
            </w:pPr>
            <w:r>
              <w:t>草本层</w:t>
            </w:r>
          </w:p>
        </w:tc>
        <w:tc>
          <w:tcPr>
            <w:tcW w:w="828" w:type="dxa"/>
            <w:vAlign w:val="top"/>
          </w:tcPr>
          <w:p w14:paraId="0A3A69EF">
            <w:pPr>
              <w:pStyle w:val="49"/>
              <w:bidi w:val="0"/>
            </w:pPr>
            <w:r>
              <w:t>层盖度45%</w:t>
            </w:r>
          </w:p>
        </w:tc>
        <w:tc>
          <w:tcPr>
            <w:tcW w:w="3451" w:type="dxa"/>
            <w:gridSpan w:val="3"/>
            <w:vAlign w:val="top"/>
          </w:tcPr>
          <w:p w14:paraId="48BEED13">
            <w:pPr>
              <w:pStyle w:val="49"/>
              <w:bidi w:val="0"/>
            </w:pPr>
            <w:r>
              <w:t>层均高0.8m，优势种为白茅，高0.2~1.0m，盖度45%，主要伴生种有五节芒、龙芽草、蒲公英、野茼蒿、车前草</w:t>
            </w:r>
          </w:p>
          <w:p w14:paraId="4F79DBEF">
            <w:pPr>
              <w:pStyle w:val="49"/>
              <w:bidi w:val="0"/>
              <w:rPr>
                <w:rFonts w:hint="eastAsia"/>
              </w:rPr>
            </w:pPr>
            <w:r>
              <w:t>等</w:t>
            </w:r>
          </w:p>
        </w:tc>
        <w:tc>
          <w:tcPr>
            <w:tcW w:w="3202" w:type="dxa"/>
            <w:gridSpan w:val="3"/>
            <w:vAlign w:val="top"/>
          </w:tcPr>
          <w:p w14:paraId="4D8FAD5C">
            <w:pPr>
              <w:pStyle w:val="49"/>
              <w:bidi w:val="0"/>
              <w:rPr>
                <w:rFonts w:hint="eastAsia"/>
                <w:lang w:eastAsia="zh-CN"/>
              </w:rPr>
            </w:pPr>
            <w:r>
              <w:rPr>
                <w:rFonts w:hint="eastAsia"/>
                <w:lang w:eastAsia="zh-CN"/>
              </w:rPr>
              <w:drawing>
                <wp:inline distT="0" distB="0" distL="114300" distR="114300">
                  <wp:extent cx="2033270" cy="1534160"/>
                  <wp:effectExtent l="0" t="0" r="5080" b="8890"/>
                  <wp:docPr id="68" name="图片 68" descr="IMG_20250328_14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50328_145649"/>
                          <pic:cNvPicPr>
                            <a:picLocks noChangeAspect="1"/>
                          </pic:cNvPicPr>
                        </pic:nvPicPr>
                        <pic:blipFill>
                          <a:blip r:embed="rId64"/>
                          <a:srcRect l="9938" t="29374" r="19842"/>
                          <a:stretch>
                            <a:fillRect/>
                          </a:stretch>
                        </pic:blipFill>
                        <pic:spPr>
                          <a:xfrm>
                            <a:off x="0" y="0"/>
                            <a:ext cx="2033270" cy="1534160"/>
                          </a:xfrm>
                          <a:prstGeom prst="rect">
                            <a:avLst/>
                          </a:prstGeom>
                        </pic:spPr>
                      </pic:pic>
                    </a:graphicData>
                  </a:graphic>
                </wp:inline>
              </w:drawing>
            </w:r>
          </w:p>
        </w:tc>
      </w:tr>
    </w:tbl>
    <w:p w14:paraId="4787CF2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23</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63037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7C29233F">
            <w:pPr>
              <w:pStyle w:val="49"/>
              <w:bidi w:val="0"/>
            </w:pPr>
            <w:r>
              <w:t>植被类型</w:t>
            </w:r>
          </w:p>
        </w:tc>
        <w:tc>
          <w:tcPr>
            <w:tcW w:w="1775" w:type="pct"/>
            <w:gridSpan w:val="2"/>
            <w:vMerge w:val="restart"/>
            <w:vAlign w:val="center"/>
          </w:tcPr>
          <w:p w14:paraId="0375D4C8">
            <w:pPr>
              <w:pStyle w:val="49"/>
              <w:bidi w:val="0"/>
            </w:pPr>
            <w:r>
              <w:rPr>
                <w:rFonts w:hint="eastAsia"/>
              </w:rPr>
              <w:t>白茅灌草丛（Form.Imperatacylindrical）</w:t>
            </w:r>
          </w:p>
        </w:tc>
        <w:tc>
          <w:tcPr>
            <w:tcW w:w="2609" w:type="pct"/>
            <w:gridSpan w:val="5"/>
            <w:vAlign w:val="center"/>
          </w:tcPr>
          <w:p w14:paraId="4D1B0B00">
            <w:pPr>
              <w:pStyle w:val="49"/>
              <w:bidi w:val="0"/>
            </w:pPr>
            <w:r>
              <w:t>环境特征</w:t>
            </w:r>
          </w:p>
        </w:tc>
      </w:tr>
      <w:tr w14:paraId="14564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55697084">
            <w:pPr>
              <w:pStyle w:val="49"/>
              <w:bidi w:val="0"/>
            </w:pPr>
          </w:p>
        </w:tc>
        <w:tc>
          <w:tcPr>
            <w:tcW w:w="1775" w:type="pct"/>
            <w:gridSpan w:val="2"/>
            <w:vMerge w:val="continue"/>
            <w:vAlign w:val="center"/>
          </w:tcPr>
          <w:p w14:paraId="638EA2B0">
            <w:pPr>
              <w:pStyle w:val="49"/>
              <w:bidi w:val="0"/>
            </w:pPr>
          </w:p>
        </w:tc>
        <w:tc>
          <w:tcPr>
            <w:tcW w:w="555" w:type="pct"/>
            <w:vAlign w:val="center"/>
          </w:tcPr>
          <w:p w14:paraId="1F5CEE51">
            <w:pPr>
              <w:pStyle w:val="49"/>
              <w:bidi w:val="0"/>
            </w:pPr>
            <w:r>
              <w:t>地形</w:t>
            </w:r>
          </w:p>
        </w:tc>
        <w:tc>
          <w:tcPr>
            <w:tcW w:w="631" w:type="pct"/>
            <w:gridSpan w:val="2"/>
            <w:vAlign w:val="center"/>
          </w:tcPr>
          <w:p w14:paraId="49119DFE">
            <w:pPr>
              <w:pStyle w:val="49"/>
              <w:bidi w:val="0"/>
            </w:pPr>
            <w:r>
              <w:t>海拔（m）</w:t>
            </w:r>
          </w:p>
        </w:tc>
        <w:tc>
          <w:tcPr>
            <w:tcW w:w="631" w:type="pct"/>
            <w:vAlign w:val="center"/>
          </w:tcPr>
          <w:p w14:paraId="3E65493C">
            <w:pPr>
              <w:pStyle w:val="49"/>
              <w:bidi w:val="0"/>
            </w:pPr>
            <w:r>
              <w:t>坡向</w:t>
            </w:r>
          </w:p>
        </w:tc>
        <w:tc>
          <w:tcPr>
            <w:tcW w:w="790" w:type="pct"/>
            <w:vAlign w:val="center"/>
          </w:tcPr>
          <w:p w14:paraId="353E45FC">
            <w:pPr>
              <w:pStyle w:val="49"/>
              <w:bidi w:val="0"/>
            </w:pPr>
            <w:r>
              <w:t>坡度（°）</w:t>
            </w:r>
          </w:p>
        </w:tc>
      </w:tr>
      <w:tr w14:paraId="617C9F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2D98B8E">
            <w:pPr>
              <w:pStyle w:val="49"/>
              <w:bidi w:val="0"/>
            </w:pPr>
            <w:r>
              <w:t>地点</w:t>
            </w:r>
          </w:p>
        </w:tc>
        <w:tc>
          <w:tcPr>
            <w:tcW w:w="3030" w:type="dxa"/>
            <w:gridSpan w:val="2"/>
            <w:vAlign w:val="center"/>
          </w:tcPr>
          <w:p w14:paraId="1C4B5232">
            <w:pPr>
              <w:pStyle w:val="49"/>
              <w:bidi w:val="0"/>
              <w:ind w:left="0" w:leftChars="0" w:firstLine="0" w:firstLineChars="0"/>
              <w:rPr>
                <w:rFonts w:hint="default" w:eastAsia="宋体"/>
                <w:lang w:val="en-US" w:eastAsia="zh-CN"/>
              </w:rPr>
            </w:pPr>
            <w:r>
              <w:rPr>
                <w:rFonts w:hint="eastAsia"/>
                <w:lang w:val="en-US" w:eastAsia="zh-CN"/>
              </w:rPr>
              <w:t>大坝下游西侧</w:t>
            </w:r>
          </w:p>
        </w:tc>
        <w:tc>
          <w:tcPr>
            <w:tcW w:w="948" w:type="dxa"/>
            <w:vAlign w:val="center"/>
          </w:tcPr>
          <w:p w14:paraId="287FEAB8">
            <w:pPr>
              <w:pStyle w:val="49"/>
              <w:bidi w:val="0"/>
              <w:ind w:left="0" w:leftChars="0" w:firstLine="0" w:firstLineChars="0"/>
              <w:rPr>
                <w:rFonts w:hint="default"/>
                <w:lang w:val="en-US" w:eastAsia="zh-CN"/>
              </w:rPr>
            </w:pPr>
            <w:r>
              <w:rPr>
                <w:rFonts w:hint="eastAsia"/>
                <w:lang w:val="en-US" w:eastAsia="zh-CN"/>
              </w:rPr>
              <w:t>平地</w:t>
            </w:r>
          </w:p>
        </w:tc>
        <w:tc>
          <w:tcPr>
            <w:tcW w:w="1077" w:type="dxa"/>
            <w:gridSpan w:val="2"/>
            <w:vAlign w:val="center"/>
          </w:tcPr>
          <w:p w14:paraId="2AD5FAA7">
            <w:pPr>
              <w:pStyle w:val="49"/>
              <w:bidi w:val="0"/>
              <w:ind w:left="0" w:leftChars="0" w:firstLine="0" w:firstLineChars="0"/>
              <w:rPr>
                <w:rFonts w:hint="default" w:eastAsia="宋体"/>
                <w:lang w:val="en-US" w:eastAsia="zh-CN"/>
              </w:rPr>
            </w:pPr>
            <w:r>
              <w:rPr>
                <w:rFonts w:hint="eastAsia"/>
                <w:lang w:val="en-US" w:eastAsia="zh-CN"/>
              </w:rPr>
              <w:t>249</w:t>
            </w:r>
          </w:p>
        </w:tc>
        <w:tc>
          <w:tcPr>
            <w:tcW w:w="1077" w:type="dxa"/>
            <w:vAlign w:val="center"/>
          </w:tcPr>
          <w:p w14:paraId="1F86DBA8">
            <w:pPr>
              <w:pStyle w:val="49"/>
              <w:bidi w:val="0"/>
              <w:ind w:left="0" w:leftChars="0" w:firstLine="0" w:firstLineChars="0"/>
              <w:rPr>
                <w:rFonts w:hint="default" w:eastAsia="宋体"/>
                <w:lang w:val="en-US" w:eastAsia="zh-CN"/>
              </w:rPr>
            </w:pPr>
            <w:r>
              <w:rPr>
                <w:rFonts w:hint="eastAsia"/>
                <w:lang w:val="en-US" w:eastAsia="zh-CN"/>
              </w:rPr>
              <w:t>/</w:t>
            </w:r>
          </w:p>
        </w:tc>
        <w:tc>
          <w:tcPr>
            <w:tcW w:w="1349" w:type="dxa"/>
            <w:vAlign w:val="center"/>
          </w:tcPr>
          <w:p w14:paraId="268BC4D2">
            <w:pPr>
              <w:pStyle w:val="49"/>
              <w:bidi w:val="0"/>
              <w:ind w:left="0" w:leftChars="0" w:firstLine="0" w:firstLineChars="0"/>
              <w:rPr>
                <w:rFonts w:hint="default"/>
                <w:lang w:val="en-US" w:eastAsia="zh-CN"/>
              </w:rPr>
            </w:pPr>
            <w:r>
              <w:rPr>
                <w:rFonts w:hint="eastAsia"/>
                <w:lang w:val="en-US" w:eastAsia="zh-CN"/>
              </w:rPr>
              <w:t>/</w:t>
            </w:r>
          </w:p>
        </w:tc>
      </w:tr>
      <w:tr w14:paraId="3C49F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1CE25082">
            <w:pPr>
              <w:pStyle w:val="49"/>
              <w:bidi w:val="0"/>
            </w:pPr>
            <w:r>
              <w:t>经纬度</w:t>
            </w:r>
          </w:p>
        </w:tc>
        <w:tc>
          <w:tcPr>
            <w:tcW w:w="7481" w:type="dxa"/>
            <w:gridSpan w:val="7"/>
            <w:vAlign w:val="center"/>
          </w:tcPr>
          <w:p w14:paraId="79CDD1CB">
            <w:pPr>
              <w:pStyle w:val="49"/>
              <w:bidi w:val="0"/>
              <w:ind w:left="0" w:leftChars="0" w:firstLine="0" w:firstLineChars="0"/>
            </w:pPr>
            <w:r>
              <w:rPr>
                <w:rFonts w:hint="eastAsia"/>
              </w:rPr>
              <w:t>111.598334067,25.676505396</w:t>
            </w:r>
          </w:p>
        </w:tc>
      </w:tr>
      <w:tr w14:paraId="3B480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5DE5122">
            <w:pPr>
              <w:pStyle w:val="49"/>
              <w:bidi w:val="0"/>
            </w:pPr>
            <w:r>
              <w:t>层次</w:t>
            </w:r>
          </w:p>
        </w:tc>
        <w:tc>
          <w:tcPr>
            <w:tcW w:w="4384" w:type="pct"/>
            <w:gridSpan w:val="7"/>
            <w:vAlign w:val="center"/>
          </w:tcPr>
          <w:p w14:paraId="5AEDDA53">
            <w:pPr>
              <w:pStyle w:val="49"/>
              <w:bidi w:val="0"/>
            </w:pPr>
            <w:r>
              <w:rPr>
                <w:rFonts w:hint="eastAsia"/>
                <w:lang w:val="en-US" w:eastAsia="zh-CN"/>
              </w:rPr>
              <w:t>一</w:t>
            </w:r>
            <w:r>
              <w:t>层</w:t>
            </w:r>
          </w:p>
        </w:tc>
      </w:tr>
      <w:tr w14:paraId="3E78E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493892BF">
            <w:pPr>
              <w:pStyle w:val="49"/>
              <w:bidi w:val="0"/>
            </w:pPr>
            <w:r>
              <w:t>分层</w:t>
            </w:r>
          </w:p>
        </w:tc>
        <w:tc>
          <w:tcPr>
            <w:tcW w:w="485" w:type="pct"/>
            <w:vAlign w:val="center"/>
          </w:tcPr>
          <w:p w14:paraId="42C6AB35">
            <w:pPr>
              <w:pStyle w:val="49"/>
              <w:bidi w:val="0"/>
            </w:pPr>
            <w:r>
              <w:t>层盖度</w:t>
            </w:r>
          </w:p>
        </w:tc>
        <w:tc>
          <w:tcPr>
            <w:tcW w:w="2022" w:type="pct"/>
            <w:gridSpan w:val="3"/>
            <w:vAlign w:val="center"/>
          </w:tcPr>
          <w:p w14:paraId="32FB6A3F">
            <w:pPr>
              <w:pStyle w:val="49"/>
              <w:bidi w:val="0"/>
            </w:pPr>
            <w:r>
              <w:t>种类组成与生长状况</w:t>
            </w:r>
          </w:p>
        </w:tc>
        <w:tc>
          <w:tcPr>
            <w:tcW w:w="1876" w:type="pct"/>
            <w:gridSpan w:val="3"/>
            <w:vAlign w:val="center"/>
          </w:tcPr>
          <w:p w14:paraId="42954835">
            <w:pPr>
              <w:pStyle w:val="49"/>
              <w:bidi w:val="0"/>
            </w:pPr>
            <w:r>
              <w:t>考察照片</w:t>
            </w:r>
          </w:p>
        </w:tc>
      </w:tr>
      <w:tr w14:paraId="6EF19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top"/>
          </w:tcPr>
          <w:p w14:paraId="1B51686E">
            <w:pPr>
              <w:pStyle w:val="49"/>
              <w:bidi w:val="0"/>
            </w:pPr>
            <w:r>
              <w:t>草本层</w:t>
            </w:r>
          </w:p>
        </w:tc>
        <w:tc>
          <w:tcPr>
            <w:tcW w:w="828" w:type="dxa"/>
            <w:vAlign w:val="top"/>
          </w:tcPr>
          <w:p w14:paraId="7B3F666C">
            <w:pPr>
              <w:pStyle w:val="49"/>
              <w:bidi w:val="0"/>
            </w:pPr>
            <w:r>
              <w:t>层盖度70%</w:t>
            </w:r>
          </w:p>
        </w:tc>
        <w:tc>
          <w:tcPr>
            <w:tcW w:w="3451" w:type="dxa"/>
            <w:gridSpan w:val="3"/>
            <w:vAlign w:val="top"/>
          </w:tcPr>
          <w:p w14:paraId="17B09B87">
            <w:pPr>
              <w:pStyle w:val="49"/>
              <w:bidi w:val="0"/>
              <w:rPr>
                <w:rFonts w:hint="eastAsia"/>
              </w:rPr>
            </w:pPr>
            <w:r>
              <w:t>层均高0.5m，优势种为白茅，高0.2~1.0m，盖度70%，主要伴生种有龙芽草、一把伞南星(Arisaemaerubescens)、荩草、狗尾草、蔷薇等</w:t>
            </w:r>
          </w:p>
        </w:tc>
        <w:tc>
          <w:tcPr>
            <w:tcW w:w="3202" w:type="dxa"/>
            <w:gridSpan w:val="3"/>
            <w:vAlign w:val="top"/>
          </w:tcPr>
          <w:p w14:paraId="7D965349">
            <w:pPr>
              <w:pStyle w:val="49"/>
              <w:bidi w:val="0"/>
              <w:rPr>
                <w:rFonts w:hint="eastAsia"/>
                <w:lang w:eastAsia="zh-CN"/>
              </w:rPr>
            </w:pPr>
            <w:r>
              <w:drawing>
                <wp:inline distT="0" distB="0" distL="114300" distR="114300">
                  <wp:extent cx="1894205" cy="1435100"/>
                  <wp:effectExtent l="0" t="0" r="10795" b="12700"/>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65"/>
                          <a:stretch>
                            <a:fillRect/>
                          </a:stretch>
                        </pic:blipFill>
                        <pic:spPr>
                          <a:xfrm>
                            <a:off x="0" y="0"/>
                            <a:ext cx="1894205" cy="1435100"/>
                          </a:xfrm>
                          <a:prstGeom prst="rect">
                            <a:avLst/>
                          </a:prstGeom>
                          <a:noFill/>
                          <a:ln>
                            <a:noFill/>
                          </a:ln>
                        </pic:spPr>
                      </pic:pic>
                    </a:graphicData>
                  </a:graphic>
                </wp:inline>
              </w:drawing>
            </w:r>
          </w:p>
        </w:tc>
      </w:tr>
    </w:tbl>
    <w:p w14:paraId="7D66108B">
      <w:pPr>
        <w:pStyle w:val="4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24</w:t>
      </w:r>
      <w:r>
        <w:rPr>
          <w:rFonts w:hint="default"/>
          <w:lang w:eastAsia="zh-CN"/>
        </w:rPr>
        <w:t xml:space="preserve">  样方调查表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828"/>
        <w:gridCol w:w="2202"/>
        <w:gridCol w:w="948"/>
        <w:gridCol w:w="301"/>
        <w:gridCol w:w="776"/>
        <w:gridCol w:w="1077"/>
        <w:gridCol w:w="1349"/>
      </w:tblGrid>
      <w:tr w14:paraId="1D0E7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restart"/>
            <w:vAlign w:val="center"/>
          </w:tcPr>
          <w:p w14:paraId="54497DF9">
            <w:pPr>
              <w:pStyle w:val="49"/>
              <w:bidi w:val="0"/>
              <w:jc w:val="center"/>
            </w:pPr>
            <w:r>
              <w:t>植被类型</w:t>
            </w:r>
          </w:p>
        </w:tc>
        <w:tc>
          <w:tcPr>
            <w:tcW w:w="1775" w:type="pct"/>
            <w:gridSpan w:val="2"/>
            <w:vMerge w:val="restart"/>
            <w:vAlign w:val="center"/>
          </w:tcPr>
          <w:p w14:paraId="1D870597">
            <w:pPr>
              <w:pStyle w:val="49"/>
              <w:bidi w:val="0"/>
              <w:jc w:val="center"/>
            </w:pPr>
            <w:r>
              <w:rPr>
                <w:rFonts w:hint="eastAsia"/>
              </w:rPr>
              <w:t>白茅灌草丛（Form.Imperatacylindrical）</w:t>
            </w:r>
          </w:p>
        </w:tc>
        <w:tc>
          <w:tcPr>
            <w:tcW w:w="2609" w:type="pct"/>
            <w:gridSpan w:val="5"/>
            <w:vAlign w:val="center"/>
          </w:tcPr>
          <w:p w14:paraId="66160F59">
            <w:pPr>
              <w:pStyle w:val="49"/>
              <w:bidi w:val="0"/>
              <w:jc w:val="center"/>
            </w:pPr>
            <w:r>
              <w:t>环境特征</w:t>
            </w:r>
          </w:p>
        </w:tc>
      </w:tr>
      <w:tr w14:paraId="337DC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Merge w:val="continue"/>
            <w:vAlign w:val="center"/>
          </w:tcPr>
          <w:p w14:paraId="565CAF78">
            <w:pPr>
              <w:pStyle w:val="49"/>
              <w:bidi w:val="0"/>
              <w:jc w:val="center"/>
            </w:pPr>
          </w:p>
        </w:tc>
        <w:tc>
          <w:tcPr>
            <w:tcW w:w="1775" w:type="pct"/>
            <w:gridSpan w:val="2"/>
            <w:vMerge w:val="continue"/>
            <w:vAlign w:val="center"/>
          </w:tcPr>
          <w:p w14:paraId="101A0DC0">
            <w:pPr>
              <w:pStyle w:val="49"/>
              <w:bidi w:val="0"/>
              <w:jc w:val="center"/>
            </w:pPr>
          </w:p>
        </w:tc>
        <w:tc>
          <w:tcPr>
            <w:tcW w:w="555" w:type="pct"/>
            <w:vAlign w:val="center"/>
          </w:tcPr>
          <w:p w14:paraId="0648EFF2">
            <w:pPr>
              <w:pStyle w:val="49"/>
              <w:bidi w:val="0"/>
              <w:jc w:val="center"/>
            </w:pPr>
            <w:r>
              <w:t>地形</w:t>
            </w:r>
          </w:p>
        </w:tc>
        <w:tc>
          <w:tcPr>
            <w:tcW w:w="631" w:type="pct"/>
            <w:gridSpan w:val="2"/>
            <w:vAlign w:val="center"/>
          </w:tcPr>
          <w:p w14:paraId="162D7305">
            <w:pPr>
              <w:pStyle w:val="49"/>
              <w:bidi w:val="0"/>
              <w:jc w:val="center"/>
            </w:pPr>
            <w:r>
              <w:t>海拔（m）</w:t>
            </w:r>
          </w:p>
        </w:tc>
        <w:tc>
          <w:tcPr>
            <w:tcW w:w="631" w:type="pct"/>
            <w:vAlign w:val="center"/>
          </w:tcPr>
          <w:p w14:paraId="3B060C0A">
            <w:pPr>
              <w:pStyle w:val="49"/>
              <w:bidi w:val="0"/>
              <w:jc w:val="center"/>
            </w:pPr>
            <w:r>
              <w:t>坡向</w:t>
            </w:r>
          </w:p>
        </w:tc>
        <w:tc>
          <w:tcPr>
            <w:tcW w:w="790" w:type="pct"/>
            <w:vAlign w:val="center"/>
          </w:tcPr>
          <w:p w14:paraId="7B326240">
            <w:pPr>
              <w:pStyle w:val="49"/>
              <w:bidi w:val="0"/>
              <w:jc w:val="center"/>
            </w:pPr>
            <w:r>
              <w:t>坡度（°）</w:t>
            </w:r>
          </w:p>
        </w:tc>
      </w:tr>
      <w:tr w14:paraId="5590C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726D0AF8">
            <w:pPr>
              <w:pStyle w:val="49"/>
              <w:bidi w:val="0"/>
              <w:jc w:val="center"/>
            </w:pPr>
            <w:r>
              <w:t>地点</w:t>
            </w:r>
          </w:p>
        </w:tc>
        <w:tc>
          <w:tcPr>
            <w:tcW w:w="3030" w:type="dxa"/>
            <w:gridSpan w:val="2"/>
            <w:vAlign w:val="center"/>
          </w:tcPr>
          <w:p w14:paraId="2FC929C3">
            <w:pPr>
              <w:pStyle w:val="49"/>
              <w:bidi w:val="0"/>
              <w:ind w:left="0" w:leftChars="0" w:firstLine="0" w:firstLineChars="0"/>
              <w:jc w:val="center"/>
              <w:rPr>
                <w:rFonts w:hint="default" w:eastAsia="宋体"/>
                <w:lang w:val="en-US" w:eastAsia="zh-CN"/>
              </w:rPr>
            </w:pPr>
            <w:r>
              <w:rPr>
                <w:rFonts w:hint="eastAsia"/>
                <w:lang w:val="en-US" w:eastAsia="zh-CN"/>
              </w:rPr>
              <w:t>大坝东北侧400m</w:t>
            </w:r>
          </w:p>
        </w:tc>
        <w:tc>
          <w:tcPr>
            <w:tcW w:w="948" w:type="dxa"/>
            <w:vAlign w:val="center"/>
          </w:tcPr>
          <w:p w14:paraId="25338D93">
            <w:pPr>
              <w:pStyle w:val="49"/>
              <w:bidi w:val="0"/>
              <w:ind w:left="0" w:leftChars="0" w:firstLine="0" w:firstLineChars="0"/>
              <w:jc w:val="center"/>
              <w:rPr>
                <w:rFonts w:hint="default"/>
                <w:lang w:val="en-US" w:eastAsia="zh-CN"/>
              </w:rPr>
            </w:pPr>
            <w:r>
              <w:rPr>
                <w:rFonts w:hint="eastAsia"/>
                <w:lang w:val="en-US" w:eastAsia="zh-CN"/>
              </w:rPr>
              <w:t>坡地</w:t>
            </w:r>
          </w:p>
        </w:tc>
        <w:tc>
          <w:tcPr>
            <w:tcW w:w="1077" w:type="dxa"/>
            <w:gridSpan w:val="2"/>
            <w:vAlign w:val="center"/>
          </w:tcPr>
          <w:p w14:paraId="1CE58BFB">
            <w:pPr>
              <w:pStyle w:val="49"/>
              <w:bidi w:val="0"/>
              <w:ind w:left="0" w:leftChars="0" w:firstLine="0" w:firstLineChars="0"/>
              <w:jc w:val="center"/>
              <w:rPr>
                <w:rFonts w:hint="default" w:eastAsia="宋体"/>
                <w:lang w:val="en-US" w:eastAsia="zh-CN"/>
              </w:rPr>
            </w:pPr>
            <w:r>
              <w:rPr>
                <w:rFonts w:hint="eastAsia"/>
                <w:lang w:val="en-US" w:eastAsia="zh-CN"/>
              </w:rPr>
              <w:t>285</w:t>
            </w:r>
          </w:p>
        </w:tc>
        <w:tc>
          <w:tcPr>
            <w:tcW w:w="1077" w:type="dxa"/>
            <w:vAlign w:val="center"/>
          </w:tcPr>
          <w:p w14:paraId="044D75BC">
            <w:pPr>
              <w:pStyle w:val="49"/>
              <w:bidi w:val="0"/>
              <w:ind w:left="0" w:leftChars="0" w:firstLine="0" w:firstLineChars="0"/>
              <w:jc w:val="center"/>
              <w:rPr>
                <w:rFonts w:hint="default" w:eastAsia="宋体"/>
                <w:lang w:val="en-US" w:eastAsia="zh-CN"/>
              </w:rPr>
            </w:pPr>
            <w:r>
              <w:rPr>
                <w:rFonts w:hint="eastAsia"/>
                <w:lang w:val="en-US" w:eastAsia="zh-CN"/>
              </w:rPr>
              <w:t>东</w:t>
            </w:r>
          </w:p>
        </w:tc>
        <w:tc>
          <w:tcPr>
            <w:tcW w:w="1349" w:type="dxa"/>
            <w:vAlign w:val="center"/>
          </w:tcPr>
          <w:p w14:paraId="0EBCA2D6">
            <w:pPr>
              <w:pStyle w:val="49"/>
              <w:bidi w:val="0"/>
              <w:ind w:left="0" w:leftChars="0" w:firstLine="0" w:firstLineChars="0"/>
              <w:jc w:val="center"/>
              <w:rPr>
                <w:rFonts w:hint="default"/>
                <w:lang w:val="en-US" w:eastAsia="zh-CN"/>
              </w:rPr>
            </w:pPr>
            <w:r>
              <w:rPr>
                <w:rFonts w:hint="eastAsia"/>
                <w:lang w:val="en-US" w:eastAsia="zh-CN"/>
              </w:rPr>
              <w:t>14</w:t>
            </w:r>
          </w:p>
        </w:tc>
      </w:tr>
      <w:tr w14:paraId="759B2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7D2EB61">
            <w:pPr>
              <w:pStyle w:val="49"/>
              <w:bidi w:val="0"/>
              <w:jc w:val="center"/>
            </w:pPr>
            <w:r>
              <w:t>经纬度</w:t>
            </w:r>
          </w:p>
        </w:tc>
        <w:tc>
          <w:tcPr>
            <w:tcW w:w="7481" w:type="dxa"/>
            <w:gridSpan w:val="7"/>
            <w:vAlign w:val="center"/>
          </w:tcPr>
          <w:p w14:paraId="6D296E91">
            <w:pPr>
              <w:pStyle w:val="49"/>
              <w:bidi w:val="0"/>
              <w:ind w:left="0" w:leftChars="0" w:firstLine="0" w:firstLineChars="0"/>
              <w:jc w:val="center"/>
            </w:pPr>
            <w:r>
              <w:rPr>
                <w:rFonts w:hint="eastAsia"/>
              </w:rPr>
              <w:t>111.598376983,25.681633779</w:t>
            </w:r>
          </w:p>
        </w:tc>
      </w:tr>
      <w:tr w14:paraId="6C45A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2C35E4D4">
            <w:pPr>
              <w:pStyle w:val="49"/>
              <w:bidi w:val="0"/>
              <w:jc w:val="center"/>
            </w:pPr>
            <w:r>
              <w:t>层次</w:t>
            </w:r>
          </w:p>
        </w:tc>
        <w:tc>
          <w:tcPr>
            <w:tcW w:w="4384" w:type="pct"/>
            <w:gridSpan w:val="7"/>
            <w:vAlign w:val="center"/>
          </w:tcPr>
          <w:p w14:paraId="0C11007F">
            <w:pPr>
              <w:pStyle w:val="49"/>
              <w:bidi w:val="0"/>
              <w:jc w:val="center"/>
            </w:pPr>
            <w:r>
              <w:rPr>
                <w:rFonts w:hint="eastAsia"/>
                <w:lang w:val="en-US" w:eastAsia="zh-CN"/>
              </w:rPr>
              <w:t>一</w:t>
            </w:r>
            <w:r>
              <w:t>层</w:t>
            </w:r>
          </w:p>
        </w:tc>
      </w:tr>
      <w:tr w14:paraId="27D584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pct"/>
            <w:vAlign w:val="center"/>
          </w:tcPr>
          <w:p w14:paraId="579A095D">
            <w:pPr>
              <w:pStyle w:val="49"/>
              <w:bidi w:val="0"/>
              <w:jc w:val="center"/>
            </w:pPr>
            <w:r>
              <w:t>分层</w:t>
            </w:r>
          </w:p>
        </w:tc>
        <w:tc>
          <w:tcPr>
            <w:tcW w:w="485" w:type="pct"/>
            <w:vAlign w:val="center"/>
          </w:tcPr>
          <w:p w14:paraId="581BC063">
            <w:pPr>
              <w:pStyle w:val="49"/>
              <w:bidi w:val="0"/>
              <w:jc w:val="center"/>
            </w:pPr>
            <w:r>
              <w:t>层盖度</w:t>
            </w:r>
          </w:p>
        </w:tc>
        <w:tc>
          <w:tcPr>
            <w:tcW w:w="2022" w:type="pct"/>
            <w:gridSpan w:val="3"/>
            <w:vAlign w:val="center"/>
          </w:tcPr>
          <w:p w14:paraId="5573BF2F">
            <w:pPr>
              <w:pStyle w:val="49"/>
              <w:bidi w:val="0"/>
              <w:jc w:val="center"/>
            </w:pPr>
            <w:r>
              <w:t>种类组成与生长状况</w:t>
            </w:r>
          </w:p>
        </w:tc>
        <w:tc>
          <w:tcPr>
            <w:tcW w:w="1876" w:type="pct"/>
            <w:gridSpan w:val="3"/>
            <w:vAlign w:val="center"/>
          </w:tcPr>
          <w:p w14:paraId="0BC88BB5">
            <w:pPr>
              <w:pStyle w:val="49"/>
              <w:bidi w:val="0"/>
              <w:jc w:val="center"/>
            </w:pPr>
            <w:r>
              <w:t>考察照片</w:t>
            </w:r>
          </w:p>
        </w:tc>
      </w:tr>
      <w:tr w14:paraId="39A17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9" w:type="dxa"/>
            <w:vAlign w:val="center"/>
          </w:tcPr>
          <w:p w14:paraId="7ADA5D4F">
            <w:pPr>
              <w:pStyle w:val="49"/>
              <w:bidi w:val="0"/>
              <w:jc w:val="center"/>
            </w:pPr>
            <w:r>
              <w:t>草本层</w:t>
            </w:r>
          </w:p>
        </w:tc>
        <w:tc>
          <w:tcPr>
            <w:tcW w:w="828" w:type="dxa"/>
            <w:vAlign w:val="center"/>
          </w:tcPr>
          <w:p w14:paraId="40464039">
            <w:pPr>
              <w:pStyle w:val="49"/>
              <w:bidi w:val="0"/>
              <w:jc w:val="center"/>
            </w:pPr>
            <w:r>
              <w:t>层盖度</w:t>
            </w:r>
            <w:r>
              <w:rPr>
                <w:rFonts w:hint="eastAsia"/>
                <w:lang w:val="en-US" w:eastAsia="zh-CN"/>
              </w:rPr>
              <w:t>80</w:t>
            </w:r>
            <w:r>
              <w:t>%</w:t>
            </w:r>
          </w:p>
        </w:tc>
        <w:tc>
          <w:tcPr>
            <w:tcW w:w="3451" w:type="dxa"/>
            <w:gridSpan w:val="3"/>
            <w:vAlign w:val="center"/>
          </w:tcPr>
          <w:p w14:paraId="27E21438">
            <w:pPr>
              <w:pStyle w:val="49"/>
              <w:bidi w:val="0"/>
              <w:jc w:val="center"/>
              <w:rPr>
                <w:rFonts w:hint="eastAsia"/>
              </w:rPr>
            </w:pPr>
            <w:r>
              <w:rPr>
                <w:rFonts w:hint="eastAsia"/>
              </w:rPr>
              <w:t>层均高0.3m，优势种为白茅（Imperata cylindrica），高0.1~0.4m，盖度约60%，主要伴生种为狗脊（Woodwardia japonica）、黄背草（Themeda japonica）、狗牙根（Cynodon dactylon）、鼠麹草（Gnaphalium affine）、野艾蒿（Artemisia lavandulifolia）等。</w:t>
            </w:r>
          </w:p>
        </w:tc>
        <w:tc>
          <w:tcPr>
            <w:tcW w:w="3202" w:type="dxa"/>
            <w:gridSpan w:val="3"/>
            <w:vAlign w:val="center"/>
          </w:tcPr>
          <w:p w14:paraId="2FF7F9E4">
            <w:pPr>
              <w:pStyle w:val="49"/>
              <w:bidi w:val="0"/>
              <w:jc w:val="center"/>
              <w:rPr>
                <w:rFonts w:hint="eastAsia"/>
                <w:lang w:eastAsia="zh-CN"/>
              </w:rPr>
            </w:pPr>
            <w:r>
              <w:rPr>
                <w:position w:val="-51"/>
              </w:rPr>
              <w:drawing>
                <wp:inline distT="0" distB="0" distL="0" distR="0">
                  <wp:extent cx="1928495" cy="1444625"/>
                  <wp:effectExtent l="0" t="0" r="14605" b="3175"/>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63"/>
                          <a:stretch>
                            <a:fillRect/>
                          </a:stretch>
                        </pic:blipFill>
                        <pic:spPr>
                          <a:xfrm>
                            <a:off x="0" y="0"/>
                            <a:ext cx="1928495" cy="1444625"/>
                          </a:xfrm>
                          <a:prstGeom prst="rect">
                            <a:avLst/>
                          </a:prstGeom>
                        </pic:spPr>
                      </pic:pic>
                    </a:graphicData>
                  </a:graphic>
                </wp:inline>
              </w:drawing>
            </w:r>
          </w:p>
        </w:tc>
      </w:tr>
    </w:tbl>
    <w:p w14:paraId="6F601A8D">
      <w:pPr>
        <w:bidi w:val="0"/>
        <w:rPr>
          <w:rFonts w:hint="default"/>
          <w:lang w:eastAsia="zh-CN"/>
        </w:rPr>
      </w:pPr>
      <w:r>
        <w:rPr>
          <w:rFonts w:hint="default"/>
          <w:lang w:eastAsia="zh-CN"/>
        </w:rPr>
        <w:t>（5）人工林</w:t>
      </w:r>
    </w:p>
    <w:p w14:paraId="0C3F820C">
      <w:pPr>
        <w:bidi w:val="0"/>
        <w:rPr>
          <w:rFonts w:hint="default"/>
          <w:lang w:eastAsia="zh-CN"/>
        </w:rPr>
      </w:pPr>
      <w:r>
        <w:rPr>
          <w:rFonts w:hint="default"/>
          <w:lang w:eastAsia="zh-CN"/>
        </w:rPr>
        <w:t>评价区人工林主要有经济果木林、用材林，主要的经济树种有油茶、茶、李、柑橘等，主要的用材树种有杉木、马尾松等。</w:t>
      </w:r>
    </w:p>
    <w:p w14:paraId="1F268F09">
      <w:pPr>
        <w:bidi w:val="0"/>
        <w:rPr>
          <w:rFonts w:hint="default"/>
          <w:lang w:eastAsia="zh-CN"/>
        </w:rPr>
      </w:pPr>
      <w:r>
        <w:rPr>
          <w:rFonts w:hint="default"/>
          <w:lang w:eastAsia="zh-CN"/>
        </w:rPr>
        <w:t>（6）农田植被</w:t>
      </w:r>
    </w:p>
    <w:p w14:paraId="7C095243">
      <w:pPr>
        <w:bidi w:val="0"/>
        <w:rPr>
          <w:rFonts w:hint="default"/>
          <w:lang w:eastAsia="zh-CN"/>
        </w:rPr>
      </w:pPr>
      <w:r>
        <w:rPr>
          <w:rFonts w:hint="default"/>
          <w:lang w:eastAsia="zh-CN"/>
        </w:rPr>
        <w:t>在本项目评价区域内，沿线广泛分布旱地、水田等土地类型。形成的农田植被类型主要有以水稻为主的一年两熟作物组合（水田植被）以及部分蔬菜地（旱地植被）、山茶，农作物种类繁多，是当地粮食、油料、蔬菜生产的重要基地。</w:t>
      </w:r>
    </w:p>
    <w:p w14:paraId="325C15B5">
      <w:pPr>
        <w:pStyle w:val="5"/>
        <w:bidi w:val="0"/>
        <w:rPr>
          <w:rFonts w:hint="default"/>
          <w:lang w:eastAsia="zh-CN"/>
        </w:rPr>
      </w:pPr>
      <w:r>
        <w:rPr>
          <w:rFonts w:hint="default"/>
          <w:lang w:eastAsia="zh-CN"/>
        </w:rPr>
        <w:t>重点保护植物和古树名木</w:t>
      </w:r>
    </w:p>
    <w:p w14:paraId="3479C600">
      <w:pPr>
        <w:pStyle w:val="30"/>
        <w:rPr>
          <w:rFonts w:hint="default"/>
          <w:lang w:eastAsia="zh-CN"/>
        </w:rPr>
      </w:pPr>
      <w:r>
        <w:rPr>
          <w:rFonts w:hint="default"/>
          <w:lang w:eastAsia="zh-CN"/>
        </w:rPr>
        <w:t>（1）国家重点保护野生植物</w:t>
      </w:r>
    </w:p>
    <w:p w14:paraId="40DB73FF">
      <w:pPr>
        <w:pStyle w:val="30"/>
        <w:rPr>
          <w:rFonts w:hint="default"/>
          <w:lang w:eastAsia="zh-CN"/>
        </w:rPr>
      </w:pPr>
      <w:r>
        <w:rPr>
          <w:rFonts w:hint="default"/>
          <w:lang w:eastAsia="zh-CN"/>
        </w:rPr>
        <w:t>评价区国家重点保护野生植物根据《国家重点保护野生植物名录》（第一批）（国务院，1999年8月）确定。参考《湖南省国家级珍稀濒危植物分布特征及区系探讨》（刘德良，2001年）、《湖南珍稀濒危保护植物的地理分布及其区系特征》（杨一光，1987年）、《湖南省林木种源普查资料汇编》（湖南省林业厅，1985年）、《湖南植物名录》（祁承经，1987年）、《湖南珍稀濒危植物优先护存分级指标的研究》（颜立红等，1997）、《湖南珍稀濒危植物迁地仿生护存的初步研究》（颜立红等，1997）及本工程所在行政区内关于国家重点保护野生植物的相关资料，结合现场调查，评价区内未发现国家或湖南省级重点保护野生植物。</w:t>
      </w:r>
    </w:p>
    <w:p w14:paraId="7358B93E">
      <w:pPr>
        <w:pStyle w:val="30"/>
        <w:rPr>
          <w:rFonts w:hint="default"/>
          <w:lang w:eastAsia="zh-CN"/>
        </w:rPr>
      </w:pPr>
      <w:r>
        <w:rPr>
          <w:rFonts w:hint="default"/>
          <w:lang w:eastAsia="zh-CN"/>
        </w:rPr>
        <w:t>（2）古树名木</w:t>
      </w:r>
    </w:p>
    <w:p w14:paraId="177BD389">
      <w:pPr>
        <w:pStyle w:val="30"/>
        <w:rPr>
          <w:rFonts w:hint="default"/>
          <w:lang w:eastAsia="zh-CN"/>
        </w:rPr>
      </w:pPr>
      <w:r>
        <w:rPr>
          <w:rFonts w:hint="default"/>
          <w:lang w:eastAsia="zh-CN"/>
        </w:rPr>
        <w:t>评价区古树名木根据《湖南省人民政府关于修订湖南省地方重点保护野生植物名录的通知（湘政函，[2002]172号）、《湖南省林业条例》（湖南省人大常委会2012年修订）、（全绿委关于开展古树名木普查建档工作的通知）（全国绿化委员会、国家林业局，全绿字[2001]15号）确定。参考《湖南古树名木》（邓三龙等，2011年）及本工程所在行政区内关于古树名木及其分布资料，同时对项目所在区域的林业局、附近村民进行访问调查及现场实地调查，在评价区未发现古树名木分布。</w:t>
      </w:r>
    </w:p>
    <w:p w14:paraId="37E11181">
      <w:pPr>
        <w:pStyle w:val="4"/>
        <w:bidi w:val="0"/>
        <w:rPr>
          <w:rFonts w:hint="default"/>
          <w:lang w:eastAsia="zh-CN"/>
        </w:rPr>
      </w:pPr>
      <w:r>
        <w:rPr>
          <w:rFonts w:hint="default"/>
          <w:lang w:eastAsia="zh-CN"/>
        </w:rPr>
        <w:t>陆生动物现状</w:t>
      </w:r>
    </w:p>
    <w:p w14:paraId="6456BBA2">
      <w:pPr>
        <w:rPr>
          <w:rFonts w:hint="default"/>
          <w:lang w:eastAsia="zh-CN"/>
        </w:rPr>
      </w:pPr>
      <w:r>
        <w:rPr>
          <w:rFonts w:hint="default"/>
          <w:lang w:eastAsia="zh-CN"/>
        </w:rPr>
        <w:t>根据工程特点，选择典型生境，采用样线法对评价区内陆生野生动物进行了外业调查，并在沿线村庄进行了座谈访问，在此基础上查阅并参考《湖南省的爬行动物区系》（梁启燊等人，1988年）、《中国脊椎动物红色名录》（蒋志刚等人，2016年）、《中国爬行动物图鉴》（中国野生动物保护协会，2002年）、《中国鸟类分类与分布名录（第三版）》（郑光美，2017年）、《中国兽类野外手册》（湖南教育出版社，2009年）等著作以及关于本地区脊椎动物类的相关文献资料《湖南省两栖动物调查及区系分析》（沈猷慧，1983年）、《湖南省野生动物资源概况》（张启湘，易伐桂，1996年）、《湖南爬行动物区系与地理区划》（邓学建，叶贻云，1998年）、《湖南鸟类初步调查非雀形目》</w:t>
      </w:r>
    </w:p>
    <w:p w14:paraId="30568F60">
      <w:pPr>
        <w:rPr>
          <w:rFonts w:hint="default"/>
          <w:lang w:eastAsia="zh-CN"/>
        </w:rPr>
      </w:pPr>
      <w:r>
        <w:rPr>
          <w:rFonts w:hint="default"/>
          <w:lang w:eastAsia="zh-CN"/>
        </w:rPr>
        <w:t>（郑作新，钱燕文等，1960年）、《湖南鸟类初步调查雀形目》（郑作新，冼耀华等，1961年）等，对评价区的野生动物资源现状得出综合结论。</w:t>
      </w:r>
    </w:p>
    <w:p w14:paraId="52708CD2">
      <w:pPr>
        <w:pStyle w:val="5"/>
        <w:bidi w:val="0"/>
        <w:rPr>
          <w:rFonts w:hint="default"/>
          <w:lang w:eastAsia="zh-CN"/>
        </w:rPr>
      </w:pPr>
      <w:r>
        <w:rPr>
          <w:rFonts w:hint="default"/>
          <w:lang w:eastAsia="zh-CN"/>
        </w:rPr>
        <w:t>评价区动物地理区划</w:t>
      </w:r>
    </w:p>
    <w:p w14:paraId="472CA67C">
      <w:pPr>
        <w:rPr>
          <w:rFonts w:hint="default"/>
          <w:lang w:eastAsia="zh-CN"/>
        </w:rPr>
      </w:pPr>
      <w:r>
        <w:rPr>
          <w:rFonts w:hint="default"/>
          <w:lang w:eastAsia="zh-CN"/>
        </w:rPr>
        <w:t>根据《中国动物地理》（科学出版社，2011），我国动物地理区划分属于世界动物地理分区的古北界与东洋界。我国动物区系根据陆栖脊椎动物，特别是哺乳类和鸟类的分布情况，可以分为东北区、华北区、蒙新区、青藏区、西南区、华中区及华南区7个区。其中前4个区属于古北界；后3个区属于东洋界。本工程评价区动物区划属于东洋界—华中区—东部丘陵平原亚区—江南丘陵省—亚热带林灌农田动物群。</w:t>
      </w:r>
    </w:p>
    <w:p w14:paraId="69CB3279">
      <w:pPr>
        <w:pStyle w:val="5"/>
        <w:bidi w:val="0"/>
        <w:rPr>
          <w:rFonts w:hint="default"/>
          <w:lang w:eastAsia="zh-CN"/>
        </w:rPr>
      </w:pPr>
      <w:r>
        <w:rPr>
          <w:rFonts w:hint="default"/>
          <w:lang w:eastAsia="zh-CN"/>
        </w:rPr>
        <w:t>评价区陆生动物多样性</w:t>
      </w:r>
    </w:p>
    <w:p w14:paraId="35071D58">
      <w:pPr>
        <w:rPr>
          <w:rFonts w:hint="default"/>
          <w:lang w:eastAsia="zh-CN"/>
        </w:rPr>
      </w:pPr>
      <w:r>
        <w:rPr>
          <w:rFonts w:hint="default"/>
          <w:lang w:eastAsia="zh-CN"/>
        </w:rPr>
        <w:t>根据收集相关资料综合分析，评价区范围内共有陆生野生脊椎动物4纲</w:t>
      </w:r>
      <w:r>
        <w:rPr>
          <w:rFonts w:hint="eastAsia"/>
          <w:lang w:val="en-US" w:eastAsia="zh-CN"/>
        </w:rPr>
        <w:t>19</w:t>
      </w:r>
      <w:r>
        <w:rPr>
          <w:rFonts w:hint="default"/>
          <w:lang w:eastAsia="zh-CN"/>
        </w:rPr>
        <w:t>目</w:t>
      </w:r>
      <w:r>
        <w:rPr>
          <w:rFonts w:hint="eastAsia"/>
          <w:lang w:val="en-US" w:eastAsia="zh-CN"/>
        </w:rPr>
        <w:t>58</w:t>
      </w:r>
      <w:r>
        <w:rPr>
          <w:rFonts w:hint="default"/>
          <w:lang w:eastAsia="zh-CN"/>
        </w:rPr>
        <w:t>科1</w:t>
      </w:r>
      <w:r>
        <w:rPr>
          <w:rFonts w:hint="eastAsia"/>
          <w:lang w:val="en-US" w:eastAsia="zh-CN"/>
        </w:rPr>
        <w:t>10</w:t>
      </w:r>
      <w:r>
        <w:rPr>
          <w:rFonts w:hint="default"/>
          <w:lang w:eastAsia="zh-CN"/>
        </w:rPr>
        <w:t>种。评价区内无国家Ⅰ级重点保护野生动物，有国家Ⅱ级重点保护野生动物8种，有湖南省级重点保护野生动物75种。评价区两栖类、爬行类、鸟类、兽类各纲的种类组成、区系、保护等级参见下表。</w:t>
      </w:r>
    </w:p>
    <w:p w14:paraId="4084528F">
      <w:pPr>
        <w:pStyle w:val="48"/>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表5</w:t>
      </w:r>
      <w:r>
        <w:rPr>
          <w:rFonts w:hint="eastAsia"/>
          <w:color w:val="000000" w:themeColor="text1"/>
          <w:highlight w:val="none"/>
          <w:lang w:val="en-US" w:eastAsia="zh-CN"/>
          <w14:textFill>
            <w14:solidFill>
              <w14:schemeClr w14:val="tx1"/>
            </w14:solidFill>
          </w14:textFill>
        </w:rPr>
        <w:t>.3-25评</w:t>
      </w:r>
      <w:r>
        <w:rPr>
          <w:rFonts w:hint="eastAsia"/>
          <w:color w:val="000000" w:themeColor="text1"/>
          <w:highlight w:val="none"/>
          <w14:textFill>
            <w14:solidFill>
              <w14:schemeClr w14:val="tx1"/>
            </w14:solidFill>
          </w14:textFill>
        </w:rPr>
        <w:t>价区脊椎动物数量统计表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132"/>
        <w:gridCol w:w="2132"/>
        <w:gridCol w:w="2132"/>
        <w:gridCol w:w="2137"/>
      </w:tblGrid>
      <w:tr w14:paraId="3659EE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tcBorders>
              <w:tl2br w:val="nil"/>
              <w:tr2bl w:val="nil"/>
            </w:tcBorders>
            <w:noWrap/>
            <w:vAlign w:val="center"/>
          </w:tcPr>
          <w:p w14:paraId="6F487DB9">
            <w:pPr>
              <w:pStyle w:val="5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类别</w:t>
            </w:r>
          </w:p>
        </w:tc>
        <w:tc>
          <w:tcPr>
            <w:tcW w:w="1249" w:type="pct"/>
            <w:tcBorders>
              <w:tl2br w:val="nil"/>
              <w:tr2bl w:val="nil"/>
            </w:tcBorders>
            <w:noWrap w:val="0"/>
            <w:vAlign w:val="top"/>
          </w:tcPr>
          <w:p w14:paraId="5DBBB6BA">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目</w:t>
            </w:r>
          </w:p>
        </w:tc>
        <w:tc>
          <w:tcPr>
            <w:tcW w:w="1249" w:type="pct"/>
            <w:tcBorders>
              <w:tl2br w:val="nil"/>
              <w:tr2bl w:val="nil"/>
            </w:tcBorders>
            <w:noWrap w:val="0"/>
            <w:vAlign w:val="top"/>
          </w:tcPr>
          <w:p w14:paraId="1A7BCE16">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科</w:t>
            </w:r>
          </w:p>
        </w:tc>
        <w:tc>
          <w:tcPr>
            <w:tcW w:w="1251" w:type="pct"/>
            <w:tcBorders>
              <w:tl2br w:val="nil"/>
              <w:tr2bl w:val="nil"/>
            </w:tcBorders>
            <w:noWrap w:val="0"/>
            <w:vAlign w:val="top"/>
          </w:tcPr>
          <w:p w14:paraId="367906DC">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种</w:t>
            </w:r>
          </w:p>
        </w:tc>
      </w:tr>
      <w:tr w14:paraId="76B58C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07A16BD4">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两栖类</w:t>
            </w:r>
          </w:p>
        </w:tc>
        <w:tc>
          <w:tcPr>
            <w:tcW w:w="1249" w:type="pct"/>
            <w:tcBorders>
              <w:tl2br w:val="nil"/>
              <w:tr2bl w:val="nil"/>
            </w:tcBorders>
            <w:noWrap w:val="0"/>
            <w:vAlign w:val="top"/>
          </w:tcPr>
          <w:p w14:paraId="797FEABD">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249" w:type="pct"/>
            <w:tcBorders>
              <w:tl2br w:val="nil"/>
              <w:tr2bl w:val="nil"/>
            </w:tcBorders>
            <w:noWrap w:val="0"/>
            <w:vAlign w:val="top"/>
          </w:tcPr>
          <w:p w14:paraId="392726CB">
            <w:pPr>
              <w:pStyle w:val="5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1251" w:type="pct"/>
            <w:tcBorders>
              <w:tl2br w:val="nil"/>
              <w:tr2bl w:val="nil"/>
            </w:tcBorders>
            <w:noWrap w:val="0"/>
            <w:vAlign w:val="top"/>
          </w:tcPr>
          <w:p w14:paraId="6F597B96">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r>
      <w:tr w14:paraId="1F3FCF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3E6846C3">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爬行类</w:t>
            </w:r>
          </w:p>
        </w:tc>
        <w:tc>
          <w:tcPr>
            <w:tcW w:w="1249" w:type="pct"/>
            <w:tcBorders>
              <w:tl2br w:val="nil"/>
              <w:tr2bl w:val="nil"/>
            </w:tcBorders>
            <w:noWrap w:val="0"/>
            <w:vAlign w:val="top"/>
          </w:tcPr>
          <w:p w14:paraId="51DEBCCA">
            <w:pPr>
              <w:pStyle w:val="54"/>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1249" w:type="pct"/>
            <w:tcBorders>
              <w:tl2br w:val="nil"/>
              <w:tr2bl w:val="nil"/>
            </w:tcBorders>
            <w:noWrap w:val="0"/>
            <w:vAlign w:val="top"/>
          </w:tcPr>
          <w:p w14:paraId="14EA2064">
            <w:pPr>
              <w:pStyle w:val="54"/>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p>
        </w:tc>
        <w:tc>
          <w:tcPr>
            <w:tcW w:w="1251" w:type="pct"/>
            <w:tcBorders>
              <w:tl2br w:val="nil"/>
              <w:tr2bl w:val="nil"/>
            </w:tcBorders>
            <w:noWrap w:val="0"/>
            <w:vAlign w:val="top"/>
          </w:tcPr>
          <w:p w14:paraId="3E21712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r>
      <w:tr w14:paraId="34D718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0FB29B2E">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鸟类</w:t>
            </w:r>
          </w:p>
        </w:tc>
        <w:tc>
          <w:tcPr>
            <w:tcW w:w="1249" w:type="pct"/>
            <w:tcBorders>
              <w:tl2br w:val="nil"/>
              <w:tr2bl w:val="nil"/>
            </w:tcBorders>
            <w:noWrap w:val="0"/>
            <w:vAlign w:val="top"/>
          </w:tcPr>
          <w:p w14:paraId="63699F79">
            <w:pPr>
              <w:pStyle w:val="54"/>
              <w:bidi w:val="0"/>
              <w:rPr>
                <w:rFonts w:hint="eastAsia"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0</w:t>
            </w:r>
          </w:p>
        </w:tc>
        <w:tc>
          <w:tcPr>
            <w:tcW w:w="1249" w:type="pct"/>
            <w:tcBorders>
              <w:tl2br w:val="nil"/>
              <w:tr2bl w:val="nil"/>
            </w:tcBorders>
            <w:noWrap w:val="0"/>
            <w:vAlign w:val="top"/>
          </w:tcPr>
          <w:p w14:paraId="5B18A0E6">
            <w:pPr>
              <w:pStyle w:val="54"/>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4</w:t>
            </w:r>
          </w:p>
        </w:tc>
        <w:tc>
          <w:tcPr>
            <w:tcW w:w="1251" w:type="pct"/>
            <w:tcBorders>
              <w:tl2br w:val="nil"/>
              <w:tr2bl w:val="nil"/>
            </w:tcBorders>
            <w:noWrap w:val="0"/>
            <w:vAlign w:val="top"/>
          </w:tcPr>
          <w:p w14:paraId="7EC475B7">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r>
      <w:tr w14:paraId="22A267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6A9F1E3F">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哺乳类</w:t>
            </w:r>
          </w:p>
        </w:tc>
        <w:tc>
          <w:tcPr>
            <w:tcW w:w="1249" w:type="pct"/>
            <w:tcBorders>
              <w:tl2br w:val="nil"/>
              <w:tr2bl w:val="nil"/>
            </w:tcBorders>
            <w:noWrap w:val="0"/>
            <w:vAlign w:val="top"/>
          </w:tcPr>
          <w:p w14:paraId="50F093E8">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249" w:type="pct"/>
            <w:tcBorders>
              <w:tl2br w:val="nil"/>
              <w:tr2bl w:val="nil"/>
            </w:tcBorders>
            <w:noWrap w:val="0"/>
            <w:vAlign w:val="top"/>
          </w:tcPr>
          <w:p w14:paraId="20881DE4">
            <w:pPr>
              <w:pStyle w:val="54"/>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w:t>
            </w:r>
          </w:p>
        </w:tc>
        <w:tc>
          <w:tcPr>
            <w:tcW w:w="1251" w:type="pct"/>
            <w:tcBorders>
              <w:tl2br w:val="nil"/>
              <w:tr2bl w:val="nil"/>
            </w:tcBorders>
            <w:noWrap w:val="0"/>
            <w:vAlign w:val="top"/>
          </w:tcPr>
          <w:p w14:paraId="39634B17">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21</w:t>
            </w:r>
          </w:p>
        </w:tc>
      </w:tr>
      <w:tr w14:paraId="5A2FC4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249" w:type="pct"/>
            <w:tcBorders>
              <w:tl2br w:val="nil"/>
              <w:tr2bl w:val="nil"/>
            </w:tcBorders>
            <w:noWrap w:val="0"/>
            <w:vAlign w:val="top"/>
          </w:tcPr>
          <w:p w14:paraId="780CDE21">
            <w:pPr>
              <w:pStyle w:val="54"/>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合计</w:t>
            </w:r>
          </w:p>
        </w:tc>
        <w:tc>
          <w:tcPr>
            <w:tcW w:w="1249" w:type="pct"/>
            <w:tcBorders>
              <w:tl2br w:val="nil"/>
              <w:tr2bl w:val="nil"/>
            </w:tcBorders>
            <w:noWrap w:val="0"/>
            <w:vAlign w:val="top"/>
          </w:tcPr>
          <w:p w14:paraId="042D2D9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19</w:t>
            </w:r>
          </w:p>
        </w:tc>
        <w:tc>
          <w:tcPr>
            <w:tcW w:w="1249" w:type="pct"/>
            <w:tcBorders>
              <w:tl2br w:val="nil"/>
              <w:tr2bl w:val="nil"/>
            </w:tcBorders>
            <w:noWrap w:val="0"/>
            <w:vAlign w:val="top"/>
          </w:tcPr>
          <w:p w14:paraId="050AB59C">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58</w:t>
            </w:r>
          </w:p>
        </w:tc>
        <w:tc>
          <w:tcPr>
            <w:tcW w:w="1251" w:type="pct"/>
            <w:tcBorders>
              <w:tl2br w:val="nil"/>
              <w:tr2bl w:val="nil"/>
            </w:tcBorders>
            <w:noWrap w:val="0"/>
            <w:vAlign w:val="top"/>
          </w:tcPr>
          <w:p w14:paraId="2A5284CA">
            <w:pPr>
              <w:pStyle w:val="54"/>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110</w:t>
            </w:r>
          </w:p>
        </w:tc>
      </w:tr>
    </w:tbl>
    <w:p w14:paraId="51DAF3AE">
      <w:pPr>
        <w:pStyle w:val="5"/>
        <w:bidi w:val="0"/>
        <w:rPr>
          <w:rFonts w:hint="default"/>
          <w:lang w:eastAsia="zh-CN"/>
        </w:rPr>
      </w:pPr>
      <w:r>
        <w:rPr>
          <w:rFonts w:hint="default"/>
          <w:lang w:eastAsia="zh-CN"/>
        </w:rPr>
        <w:t>动物多样性</w:t>
      </w:r>
    </w:p>
    <w:p w14:paraId="4B2BFBE8">
      <w:pPr>
        <w:pStyle w:val="30"/>
        <w:rPr>
          <w:rFonts w:hint="default"/>
          <w:lang w:eastAsia="zh-CN"/>
        </w:rPr>
      </w:pPr>
      <w:r>
        <w:rPr>
          <w:rFonts w:hint="default"/>
          <w:lang w:eastAsia="zh-CN"/>
        </w:rPr>
        <w:t>(1)两栖类动物资源</w:t>
      </w:r>
    </w:p>
    <w:p w14:paraId="785113F0">
      <w:pPr>
        <w:pStyle w:val="30"/>
        <w:rPr>
          <w:rFonts w:hint="default"/>
          <w:lang w:eastAsia="zh-CN"/>
        </w:rPr>
      </w:pPr>
      <w:r>
        <w:rPr>
          <w:rFonts w:hint="default"/>
          <w:lang w:eastAsia="zh-CN"/>
        </w:rPr>
        <w:t>在项目评价区内野生两栖动物种类有1目6科12种(名录详见附录2-1 两栖类名录)。其中蛙科种类最多，有4种，占评价区野生两栖类总数的33.33%，评价区内未发现国家级重点保护野生两栖类分布，有湖南省级重点保护野生两栖类8种。中华蟾蜍、黑眶蟾蜍、泽陆蛙等适应能力强，分布广，为评价范围常见种。</w:t>
      </w:r>
    </w:p>
    <w:p w14:paraId="00842142">
      <w:pPr>
        <w:pStyle w:val="30"/>
        <w:rPr>
          <w:rFonts w:hint="default"/>
          <w:lang w:eastAsia="zh-CN"/>
        </w:rPr>
      </w:pPr>
      <w:r>
        <w:rPr>
          <w:rFonts w:hint="default"/>
          <w:lang w:eastAsia="zh-CN"/>
        </w:rPr>
        <w:t>1)生态类型</w:t>
      </w:r>
    </w:p>
    <w:p w14:paraId="5BBFEE36">
      <w:pPr>
        <w:pStyle w:val="30"/>
        <w:rPr>
          <w:rFonts w:hint="default"/>
          <w:lang w:eastAsia="zh-CN"/>
        </w:rPr>
      </w:pPr>
      <w:r>
        <w:rPr>
          <w:rFonts w:hint="default"/>
          <w:lang w:eastAsia="zh-CN"/>
        </w:rPr>
        <w:t>根据两栖动物生活习性的不同，将评价区内的 12 种野生两栖动物分为以下 4 种生态类型：</w:t>
      </w:r>
    </w:p>
    <w:p w14:paraId="75B7E225">
      <w:pPr>
        <w:pStyle w:val="30"/>
        <w:rPr>
          <w:rFonts w:hint="default"/>
          <w:lang w:eastAsia="zh-CN"/>
        </w:rPr>
      </w:pPr>
      <w:r>
        <w:rPr>
          <w:rFonts w:hint="default"/>
          <w:lang w:eastAsia="zh-CN"/>
        </w:rPr>
        <w:t>静水型(在静水或缓流中觅食)：有黑斑侧褶蛙(PelopHylax nigromaculatus)和沼蛙(Boulengerana guentheri)2种。主要在评价区内水流较缓的水域和水田中生活。</w:t>
      </w:r>
    </w:p>
    <w:p w14:paraId="79FBECF3">
      <w:pPr>
        <w:pStyle w:val="30"/>
        <w:rPr>
          <w:rFonts w:hint="default"/>
          <w:lang w:eastAsia="zh-CN"/>
        </w:rPr>
      </w:pPr>
      <w:r>
        <w:rPr>
          <w:rFonts w:hint="default"/>
          <w:lang w:eastAsia="zh-CN"/>
        </w:rPr>
        <w:t>溪流型(在流水中活动觅食)：有花臭蛙(Odorrana schmackeri)、华南湍蛙(Amolopsricketti)和棘腹蛙(Quasipaa boulengeri)3 种。主要分布在评价范围内的沟渠河流中。</w:t>
      </w:r>
    </w:p>
    <w:p w14:paraId="4E0E9896">
      <w:pPr>
        <w:pStyle w:val="30"/>
        <w:rPr>
          <w:rFonts w:hint="default"/>
          <w:lang w:eastAsia="zh-CN"/>
        </w:rPr>
      </w:pPr>
      <w:r>
        <w:rPr>
          <w:rFonts w:hint="default"/>
          <w:lang w:eastAsia="zh-CN"/>
        </w:rPr>
        <w:t>陆栖型(在陆地上活动觅食)：有中华蟾蜍(Bufo gargarizans)、黑眶蟾蜍(Bufomelanostictus)、泽陆蛙(Fejervarya multistriata)和饰纹姬蛙(Microhyla ornate)共4种。它们主要是在评价区内离水源不远处或较潮湿的陆地上活动，分布较广泛。</w:t>
      </w:r>
    </w:p>
    <w:p w14:paraId="41724459">
      <w:pPr>
        <w:pStyle w:val="30"/>
        <w:rPr>
          <w:rFonts w:hint="default"/>
          <w:lang w:eastAsia="zh-CN"/>
        </w:rPr>
      </w:pPr>
      <w:r>
        <w:rPr>
          <w:rFonts w:hint="default"/>
          <w:lang w:eastAsia="zh-CN"/>
        </w:rPr>
        <w:t>树栖型(在树上活动觅食，离水源较近的林子)：包括中国雨蛙(Hyla chinensis)、斑腿泛树蛙(Polypedates megacepHalus)和大树蛙(Zhangixalus dennysi)3种，主要分布于评价范围内离水源不远的林地中。</w:t>
      </w:r>
    </w:p>
    <w:p w14:paraId="18B55953">
      <w:pPr>
        <w:pStyle w:val="30"/>
        <w:rPr>
          <w:rFonts w:hint="default"/>
          <w:lang w:eastAsia="zh-CN"/>
        </w:rPr>
      </w:pPr>
      <w:r>
        <w:rPr>
          <w:rFonts w:hint="default"/>
          <w:lang w:eastAsia="zh-CN"/>
        </w:rPr>
        <w:t>2)区系类型</w:t>
      </w:r>
    </w:p>
    <w:p w14:paraId="2837A126">
      <w:pPr>
        <w:pStyle w:val="30"/>
        <w:rPr>
          <w:rFonts w:hint="default"/>
          <w:lang w:eastAsia="zh-CN"/>
        </w:rPr>
      </w:pPr>
      <w:r>
        <w:rPr>
          <w:rFonts w:hint="default"/>
          <w:lang w:eastAsia="zh-CN"/>
        </w:rPr>
        <w:t>按区系类型分，以上两栖类可分为东洋种和广布种，其中东洋种8种，占评价区内两栖类总数的66.67%；广布种4种，占评价区内两栖类总数的33.33%。可见，评价区内东洋界成分占绝对优势，这与评价区域处于东洋界相符，两栖类的迁移能力不强，因此古北界成分难以跨越地理阻障而向东洋界渗透。。</w:t>
      </w:r>
    </w:p>
    <w:p w14:paraId="7943A7F4">
      <w:pPr>
        <w:pStyle w:val="30"/>
        <w:rPr>
          <w:rFonts w:hint="default"/>
          <w:lang w:eastAsia="zh-CN"/>
        </w:rPr>
      </w:pPr>
      <w:r>
        <w:rPr>
          <w:rFonts w:hint="default"/>
          <w:lang w:eastAsia="zh-CN"/>
        </w:rPr>
        <w:t>(2)爬行动物资源</w:t>
      </w:r>
    </w:p>
    <w:p w14:paraId="68316991">
      <w:pPr>
        <w:pStyle w:val="30"/>
        <w:rPr>
          <w:rFonts w:hint="default"/>
          <w:lang w:eastAsia="zh-CN"/>
        </w:rPr>
      </w:pPr>
      <w:r>
        <w:rPr>
          <w:rFonts w:hint="default"/>
          <w:lang w:eastAsia="zh-CN"/>
        </w:rPr>
        <w:t>项目区内主要通过调查访问和查阅已发表的在评价区及附近的相关的文献资料，得出评价区野生爬行类种类、数量及分布现状如下：</w:t>
      </w:r>
    </w:p>
    <w:p w14:paraId="1B0A1036">
      <w:pPr>
        <w:pStyle w:val="30"/>
        <w:rPr>
          <w:rFonts w:hint="default"/>
          <w:lang w:eastAsia="zh-CN"/>
        </w:rPr>
      </w:pPr>
      <w:r>
        <w:rPr>
          <w:rFonts w:hint="default"/>
          <w:lang w:eastAsia="zh-CN"/>
        </w:rPr>
        <w:t>1)种类、数量及分布</w:t>
      </w:r>
    </w:p>
    <w:p w14:paraId="0DE6CA89">
      <w:pPr>
        <w:pStyle w:val="30"/>
        <w:rPr>
          <w:rFonts w:hint="default"/>
          <w:lang w:eastAsia="zh-CN"/>
        </w:rPr>
      </w:pPr>
      <w:r>
        <w:rPr>
          <w:rFonts w:hint="default"/>
          <w:lang w:eastAsia="zh-CN"/>
        </w:rPr>
        <w:t>评价区内野生爬行类共有2目6科12种(名录见附录2-2爬行类名录)。其中游蛇科的种类最多，有4种，占评价区内野生爬行类总数的33.33%。评价区内未发现国家一级重点保护野生爬行类分布，有国家二级重点保护野生爬行类1种，为乌龟(Mauremysreevesii)，除蓝尾石龙子(Plestiodonelegans)外，其余10种均为湖南省级重点保护野生动物爬行类。评价区内中国石龙子(Plestiodonchinensis)、翠青蛇(CyclopHiopsmajor)、赤链蛇(Dinodonrufozonatum)和王锦蛇(ElapHecarinata)等种类在评价区内种群数量相对丰富。</w:t>
      </w:r>
    </w:p>
    <w:p w14:paraId="377B2389">
      <w:pPr>
        <w:pStyle w:val="30"/>
        <w:rPr>
          <w:rFonts w:hint="default"/>
          <w:lang w:eastAsia="zh-CN"/>
        </w:rPr>
      </w:pPr>
      <w:r>
        <w:rPr>
          <w:rFonts w:hint="eastAsia"/>
          <w:lang w:val="en-US" w:eastAsia="zh-CN"/>
        </w:rPr>
        <w:t>2</w:t>
      </w:r>
      <w:r>
        <w:rPr>
          <w:rFonts w:hint="default"/>
          <w:lang w:eastAsia="zh-CN"/>
        </w:rPr>
        <w:t>)生态类型</w:t>
      </w:r>
    </w:p>
    <w:p w14:paraId="259E4762">
      <w:pPr>
        <w:pStyle w:val="30"/>
        <w:rPr>
          <w:rFonts w:hint="default"/>
          <w:lang w:eastAsia="zh-CN"/>
        </w:rPr>
      </w:pPr>
      <w:r>
        <w:rPr>
          <w:rFonts w:hint="default"/>
          <w:lang w:eastAsia="zh-CN"/>
        </w:rPr>
        <w:t>根据爬行动物生活习性的不同，将评价区内的12种野生爬行动物分为以下3种生态类型：</w:t>
      </w:r>
    </w:p>
    <w:p w14:paraId="50DD9447">
      <w:pPr>
        <w:pStyle w:val="30"/>
        <w:rPr>
          <w:rFonts w:hint="default"/>
          <w:lang w:eastAsia="zh-CN"/>
        </w:rPr>
      </w:pPr>
      <w:r>
        <w:rPr>
          <w:rFonts w:hint="default"/>
          <w:lang w:eastAsia="zh-CN"/>
        </w:rPr>
        <w:t>水栖型(在水中生活、觅食)：共2种，即乌龟和中华鳖。主要在评价区内河流中活动。</w:t>
      </w:r>
    </w:p>
    <w:p w14:paraId="5BE5265E">
      <w:pPr>
        <w:pStyle w:val="30"/>
        <w:rPr>
          <w:rFonts w:hint="default"/>
          <w:lang w:eastAsia="zh-CN"/>
        </w:rPr>
      </w:pPr>
      <w:r>
        <w:rPr>
          <w:rFonts w:hint="default"/>
          <w:lang w:eastAsia="zh-CN"/>
        </w:rPr>
        <w:t>灌丛石隙型(经常活动在灌丛下面，路边石缝中的爬行类)：包括铜蜓蜥(SpHenomorpHusindicus)、蓝尾石龙子(Plestiodonelegans)、中国石龙子(Plestiodonchinensis)、北草蜥(Takydromusseptentrionalis)、舟山眼镜蛇(Najaatra)和黑眉晨蛇(OrthriopHistaeniurus)，共6种，在评价范围内分布较为广泛，主要活动于评价区林地，灌丛和路旁边坡中。评价区中灌丛石隙型爬行类种类数量均最多，此种生态类型构成了评价区爬行类的主体。</w:t>
      </w:r>
    </w:p>
    <w:p w14:paraId="6A823911">
      <w:pPr>
        <w:pStyle w:val="30"/>
        <w:rPr>
          <w:rFonts w:hint="default"/>
          <w:lang w:eastAsia="zh-CN"/>
        </w:rPr>
      </w:pPr>
      <w:r>
        <w:rPr>
          <w:rFonts w:hint="default"/>
          <w:lang w:eastAsia="zh-CN"/>
        </w:rPr>
        <w:t>林栖傍水型(在山谷间有溪流的山坡上活动)：有翠青蛇(CyclopHiopsmajor)、赤链蛇(Dinodonrufozonatum)、王锦蛇(ElapHecarinata)和虎斑颈槽蛇(RhabdopHistigrinus)共4种蛇类，它们主要在评价区内水域附近的山间林地活动。</w:t>
      </w:r>
    </w:p>
    <w:p w14:paraId="4C3AB37E">
      <w:pPr>
        <w:pStyle w:val="30"/>
        <w:rPr>
          <w:rFonts w:hint="default"/>
          <w:lang w:eastAsia="zh-CN"/>
        </w:rPr>
      </w:pPr>
      <w:r>
        <w:rPr>
          <w:rFonts w:hint="eastAsia"/>
          <w:lang w:val="en-US" w:eastAsia="zh-CN"/>
        </w:rPr>
        <w:t>3</w:t>
      </w:r>
      <w:r>
        <w:rPr>
          <w:rFonts w:hint="default"/>
          <w:lang w:eastAsia="zh-CN"/>
        </w:rPr>
        <w:t>)区系类型</w:t>
      </w:r>
    </w:p>
    <w:p w14:paraId="621BE0D9">
      <w:pPr>
        <w:pStyle w:val="30"/>
        <w:rPr>
          <w:rFonts w:hint="default"/>
          <w:lang w:eastAsia="zh-CN"/>
        </w:rPr>
      </w:pPr>
      <w:r>
        <w:rPr>
          <w:rFonts w:hint="default"/>
          <w:lang w:eastAsia="zh-CN"/>
        </w:rPr>
        <w:t>按照区系类型分，将评价区内的12种野生爬行类分为2种区系类型：东洋种8种，占评价区内野生爬行类总种数的66.67%；广布种4种，占评价区内野生爬行类总种数的33.33%。与两栖类类似，东洋界物种依然占绝对优势，由于爬行类动物迁移能力也不强，因此古北界动物难以跨越地理阻障而向东洋界渗透。</w:t>
      </w:r>
    </w:p>
    <w:p w14:paraId="079C64E6">
      <w:pPr>
        <w:pStyle w:val="30"/>
        <w:rPr>
          <w:rFonts w:hint="default"/>
          <w:lang w:eastAsia="zh-CN"/>
        </w:rPr>
      </w:pPr>
      <w:r>
        <w:rPr>
          <w:rFonts w:hint="default"/>
          <w:lang w:eastAsia="zh-CN"/>
        </w:rPr>
        <w:t>(3)鸟类资源</w:t>
      </w:r>
    </w:p>
    <w:p w14:paraId="284BFD9E">
      <w:pPr>
        <w:pStyle w:val="30"/>
        <w:rPr>
          <w:rFonts w:hint="default"/>
          <w:lang w:eastAsia="zh-CN"/>
        </w:rPr>
      </w:pPr>
      <w:r>
        <w:rPr>
          <w:rFonts w:hint="default"/>
          <w:lang w:eastAsia="zh-CN"/>
        </w:rPr>
        <w:t>项目评价范围区通过实地调查，并查阅相关文献与访问，进行综合分析，得出评价区内野生鸟类种类、数量及分布现状如下：</w:t>
      </w:r>
    </w:p>
    <w:p w14:paraId="684A1BB2">
      <w:pPr>
        <w:pStyle w:val="30"/>
        <w:rPr>
          <w:rFonts w:hint="default"/>
          <w:lang w:eastAsia="zh-CN"/>
        </w:rPr>
      </w:pPr>
      <w:r>
        <w:rPr>
          <w:rFonts w:hint="default"/>
          <w:lang w:eastAsia="zh-CN"/>
        </w:rPr>
        <w:t>1)种类、数量及分布</w:t>
      </w:r>
    </w:p>
    <w:p w14:paraId="51016BD9">
      <w:pPr>
        <w:pStyle w:val="30"/>
        <w:rPr>
          <w:rFonts w:hint="default"/>
          <w:lang w:eastAsia="zh-CN"/>
        </w:rPr>
      </w:pPr>
      <w:r>
        <w:rPr>
          <w:rFonts w:hint="default"/>
          <w:lang w:eastAsia="zh-CN"/>
        </w:rPr>
        <w:t>评价区内共分布有野生鸟类65种，隶属于10目34科(名录见附录2-3鸟类名录)。其中，以雀形目鸟类最多，共48种，占评价区内野生鸟类总数的73.85%。评价区内有国家二级重点保护野生鸟类5种，为松雀鹰(Accipitervirgatus)、普通鵟(Buteojaponicus)、蓝喉蜂虎(Meropsviridis)、画眉(Garrulaxcanorus)和红嘴相思鸟(Leiothrixlutea)；有湖南省级重点保护野生鸟类37种，为灰胸竹鸡、环颈雉、小䴙䴘、山斑鸠、珠颈斑鸠(Streptopeliachinensis)、小白腰雨燕、四声杜鹃、大杜鹃、夜鹭、池鹭、牛背鹭、白鹭、普通翠鸟(Alcedoatthis)、斑姬啄木鸟(Picumnusinnominatus)、黑卷尾、红尾伯劳(Laniuscristatus)、棕背伯劳(Laniusschach)、松鸦(Garrulusglandarius)、喜鹊(Picapica)、红嘴蓝鹊、大嘴乌鸦、大山雀(Paruscinereus)、家燕、金腰燕、黄臀鹎(Pycnonotusxanthorrhous)、白头鹎(Pycnonotussinensis)、黑短脚鹎(HypsipetesleucocepHalus)、红头长尾山雀、棕头鸦雀、暗绿绣眼鸟(Zosteropsjaponicus)、黑脸噪鹛(Garrulaxperspicillatus)、八哥、乌鸫、叉尾太阳鸟(Aethopygachristinae)、麻雀(Passermontanus)、黑尾蜡嘴雀和金翅雀(Chlorissinica)。</w:t>
      </w:r>
    </w:p>
    <w:p w14:paraId="6FEC232F">
      <w:pPr>
        <w:pStyle w:val="30"/>
        <w:rPr>
          <w:rFonts w:hint="default"/>
          <w:lang w:eastAsia="zh-CN"/>
        </w:rPr>
      </w:pPr>
      <w:r>
        <w:rPr>
          <w:rFonts w:hint="default"/>
          <w:lang w:eastAsia="zh-CN"/>
        </w:rPr>
        <w:t>2)生态类型</w:t>
      </w:r>
    </w:p>
    <w:p w14:paraId="6F63AA89">
      <w:pPr>
        <w:pStyle w:val="30"/>
        <w:rPr>
          <w:rFonts w:hint="default"/>
          <w:lang w:eastAsia="zh-CN"/>
        </w:rPr>
      </w:pPr>
      <w:r>
        <w:rPr>
          <w:rFonts w:hint="default"/>
          <w:lang w:eastAsia="zh-CN"/>
        </w:rPr>
        <w:t>根据鸟类生活习性的不同，将评价区内的65种野生鸟类分为以下6种生态类型：</w:t>
      </w:r>
    </w:p>
    <w:p w14:paraId="5FEAB1C7">
      <w:pPr>
        <w:pStyle w:val="30"/>
        <w:rPr>
          <w:rFonts w:hint="default"/>
          <w:lang w:eastAsia="zh-CN"/>
        </w:rPr>
      </w:pPr>
      <w:r>
        <w:rPr>
          <w:rFonts w:hint="default"/>
          <w:lang w:eastAsia="zh-CN"/>
        </w:rPr>
        <w:t>游禽(脚向后伸，趾间有蹼，有扁阔的或尖嘴，善于游泳、潜水和在水中掏取食物)：评价区内仅有䴙䴘目的1种，为小䴙䴘，主要分布于评价区周边的水库、池塘和湘江内。</w:t>
      </w:r>
    </w:p>
    <w:p w14:paraId="2A0058DD">
      <w:pPr>
        <w:pStyle w:val="30"/>
        <w:rPr>
          <w:rFonts w:hint="default"/>
          <w:lang w:eastAsia="zh-CN"/>
        </w:rPr>
      </w:pPr>
      <w:r>
        <w:rPr>
          <w:rFonts w:hint="default"/>
          <w:lang w:eastAsia="zh-CN"/>
        </w:rPr>
        <w:t>涉禽(嘴，颈和脚都比较长，脚趾也很长，适于涉水行进，不会游泳，常用长嘴插入水底或地面取食)：评价区包括鹈形目的夜鹭、池鹭、牛背鹭和白鹭4种，它们在评价区内主要分布于河流、水库岸边的滩涂，以及池塘、水田等处。</w:t>
      </w:r>
    </w:p>
    <w:p w14:paraId="6B120321">
      <w:pPr>
        <w:pStyle w:val="30"/>
        <w:rPr>
          <w:rFonts w:hint="default"/>
          <w:lang w:eastAsia="zh-CN"/>
        </w:rPr>
      </w:pPr>
      <w:r>
        <w:rPr>
          <w:rFonts w:hint="default"/>
          <w:lang w:eastAsia="zh-CN"/>
        </w:rPr>
        <w:t>陆禽(体格结实，嘴坚硬，脚强而有力，适于挖土，多在地面活动觅食)：评价区包括鸡形目、鸽形目的灰胸竹鸡、环颈雉、山斑鸠和珠颈斑共4种，它们在评价区内主要分布于道路两侧的林地及林缘地带或农田及居民点区域。</w:t>
      </w:r>
    </w:p>
    <w:p w14:paraId="4A5118A8">
      <w:pPr>
        <w:pStyle w:val="30"/>
        <w:rPr>
          <w:rFonts w:hint="default"/>
          <w:lang w:eastAsia="zh-CN"/>
        </w:rPr>
      </w:pPr>
      <w:r>
        <w:rPr>
          <w:rFonts w:hint="default"/>
          <w:lang w:eastAsia="zh-CN"/>
        </w:rPr>
        <w:t>猛禽(具有弯曲如钩的锐利嘴和爪，翅膀强大有力，能在天空翱翔或滑翔，捕食空中或地下活的猎物)：评价区包括鹰形目的松雀鹰和普通鵟2种，它们主要分布于针叶林或阔叶林。评价区内针叶林和阔叶林广茂，适合猛禽生存。猛禽处于食物链顶端，在生态系统中占有重要地位，它们在控制啮齿类动物的数量，维持环境健康和生态平衡方面具有不可替代的作用。由于猛禽数量稀少，我国将所有猛禽都列为国家重点保护鸟类。</w:t>
      </w:r>
    </w:p>
    <w:p w14:paraId="6E78B558">
      <w:pPr>
        <w:pStyle w:val="30"/>
        <w:rPr>
          <w:rFonts w:hint="default"/>
          <w:lang w:eastAsia="zh-CN"/>
        </w:rPr>
      </w:pPr>
      <w:r>
        <w:rPr>
          <w:rFonts w:hint="default"/>
          <w:lang w:eastAsia="zh-CN"/>
        </w:rPr>
        <w:t>攀禽(嘴、脚和尾的构造都很特殊，善于在树上攀缘)：评价区包括夜鹰目、鹃形目、佛法僧目和啄木鸟目的小白腰雨燕、四声杜鹃、大杜鹃、蓝喉蜂虎、普通翠鸟和斑姬啄木鸟，共6种，在评价区内除了佛法僧目翠鸟科的种类主要分布于水域附近外，其他种类主要分布于各种树林中，有部分也在林缘村庄内活动。</w:t>
      </w:r>
    </w:p>
    <w:p w14:paraId="4CF24301">
      <w:pPr>
        <w:pStyle w:val="30"/>
        <w:rPr>
          <w:rFonts w:hint="default"/>
          <w:lang w:eastAsia="zh-CN"/>
        </w:rPr>
      </w:pPr>
      <w:r>
        <w:rPr>
          <w:rFonts w:hint="default"/>
          <w:lang w:eastAsia="zh-CN"/>
        </w:rPr>
        <w:t>鸣禽(鸣管和鸣肌特别发达。一般体形较小，体态轻捷，活泼灵巧，善于鸣叫和歌唱，且巧于筑巢)：雀形目的所有鸟类都为鸣禽，共48种，为典型的森林鸟类。它们在评价区内广泛分布，主要生境为森林、灌丛、农田、居住地等，不论是种类还是数量，鸣禽都占绝对优势。野外实地调查中，目击到的种类中，大多数为雀形目种类，如黑卷尾、棕背伯劳、红嘴蓝鹊、金腰燕、白头鹎、麻雀、八哥、乌鸫、金翅雀等。</w:t>
      </w:r>
    </w:p>
    <w:p w14:paraId="195E989D">
      <w:pPr>
        <w:pStyle w:val="30"/>
        <w:rPr>
          <w:rFonts w:hint="default"/>
          <w:lang w:eastAsia="zh-CN"/>
        </w:rPr>
      </w:pPr>
      <w:r>
        <w:rPr>
          <w:rFonts w:hint="default"/>
          <w:lang w:eastAsia="zh-CN"/>
        </w:rPr>
        <w:t>3)区系类型</w:t>
      </w:r>
    </w:p>
    <w:p w14:paraId="404F48C3">
      <w:pPr>
        <w:pStyle w:val="30"/>
        <w:rPr>
          <w:rFonts w:hint="default"/>
          <w:lang w:eastAsia="zh-CN"/>
        </w:rPr>
      </w:pPr>
      <w:r>
        <w:rPr>
          <w:rFonts w:hint="default"/>
          <w:lang w:eastAsia="zh-CN"/>
        </w:rPr>
        <w:t>按照区系类型分，将评价区内的鸟类分为3种区系类型：东洋种35种，占评价区鸟类总数的53.85%；广布种25种，占评价区鸟类总数的38.46%；古北种有5种，占评价区鸟类总数的7.69%。评价区东洋种居多，广布种次之，古北种最少，评价区内以东洋种为优势种，但也有古北种渗透。</w:t>
      </w:r>
    </w:p>
    <w:p w14:paraId="6B62EB0A">
      <w:pPr>
        <w:pStyle w:val="30"/>
        <w:rPr>
          <w:rFonts w:hint="default"/>
          <w:lang w:eastAsia="zh-CN"/>
        </w:rPr>
      </w:pPr>
      <w:r>
        <w:rPr>
          <w:rFonts w:hint="eastAsia"/>
          <w:lang w:val="en-US" w:eastAsia="zh-CN"/>
        </w:rPr>
        <w:t>①</w:t>
      </w:r>
      <w:r>
        <w:rPr>
          <w:rFonts w:hint="default"/>
          <w:lang w:eastAsia="zh-CN"/>
        </w:rPr>
        <w:t>居留型</w:t>
      </w:r>
    </w:p>
    <w:p w14:paraId="4579AA13">
      <w:pPr>
        <w:pStyle w:val="30"/>
        <w:rPr>
          <w:rFonts w:hint="default"/>
          <w:lang w:eastAsia="zh-CN"/>
        </w:rPr>
      </w:pPr>
      <w:r>
        <w:rPr>
          <w:rFonts w:hint="default"/>
          <w:lang w:eastAsia="zh-CN"/>
        </w:rPr>
        <w:t>鸟类迁徙是鸟类随着季节变化进行的，方向确定的，有规律的和长距离的迁居活动。根据鸟类迁徙的行为，可将评价区的鸟类分成以下3种居留型。</w:t>
      </w:r>
    </w:p>
    <w:p w14:paraId="6A90460F">
      <w:pPr>
        <w:pStyle w:val="30"/>
        <w:rPr>
          <w:rFonts w:hint="default"/>
          <w:lang w:eastAsia="zh-CN"/>
        </w:rPr>
      </w:pPr>
      <w:r>
        <w:rPr>
          <w:rFonts w:hint="default"/>
          <w:lang w:eastAsia="zh-CN"/>
        </w:rPr>
        <w:t>留鸟(长期栖居在生殖地域，不作周期性迁徙的鸟类)：共41种，占评价区所有鸟类种数的63.08%，在评价区内占的比例最大，主要包括鹎科、鹡鸰科、鸠鸽科、椋鸟科、雀科、山雀科、绣眼鸟科、莺鹛科、鸦科、噪鹛科等鸟类，其中以鸦科种类鸟类居多。</w:t>
      </w:r>
    </w:p>
    <w:p w14:paraId="4E097BAD">
      <w:pPr>
        <w:pStyle w:val="30"/>
        <w:rPr>
          <w:rFonts w:hint="default"/>
          <w:lang w:eastAsia="zh-CN"/>
        </w:rPr>
      </w:pPr>
      <w:r>
        <w:rPr>
          <w:rFonts w:hint="default"/>
          <w:lang w:eastAsia="zh-CN"/>
        </w:rPr>
        <w:t>冬候鸟(冬季在某个地区生活，春季飞到较远而且较冷的地区繁殖，秋季又飞回原地区的鸟)：共8种，占评价区所有鸟类的12.31%，种类较少，有普通鵟、黄腰柳莺(pHylloscopusproregulus)、黄眉柳莺(pHylloscopusinornatus)、北红尾鸲(pHoenicurusauroreus)、灰鹡鸰、树鹨、黑尾蜡嘴雀和小鹀。</w:t>
      </w:r>
    </w:p>
    <w:p w14:paraId="392E6208">
      <w:pPr>
        <w:pStyle w:val="30"/>
        <w:rPr>
          <w:rFonts w:hint="default"/>
          <w:lang w:eastAsia="zh-CN"/>
        </w:rPr>
      </w:pPr>
      <w:r>
        <w:rPr>
          <w:rFonts w:hint="default"/>
          <w:lang w:eastAsia="zh-CN"/>
        </w:rPr>
        <w:t>夏候鸟(夏候鸟是指春季或夏季在某个地区繁殖、秋季飞到较暖的地区去过冬、第二年春季再飞回原地区的鸟)：共16种，占评价区所有鸟类的24.62%，包括小白腰雨燕、四声杜鹃、大杜鹃、夜鹭、池鹭、牛背鹭、白鹭、蓝喉蜂虎、黑卷尾、红尾伯劳、东方大苇莺(AcrocepHalusorientali)、家燕、金腰燕、黑短脚鹎、灰椋鸟和黑喉石鵖(Saxicolatorquatus)。</w:t>
      </w:r>
    </w:p>
    <w:p w14:paraId="134DA7FE">
      <w:pPr>
        <w:pStyle w:val="30"/>
        <w:rPr>
          <w:rFonts w:hint="default"/>
          <w:lang w:eastAsia="zh-CN"/>
        </w:rPr>
      </w:pPr>
      <w:r>
        <w:rPr>
          <w:rFonts w:hint="default"/>
          <w:lang w:eastAsia="zh-CN"/>
        </w:rPr>
        <w:t>综上所述，评价区迁徙鸟类(冬候鸟和夏候鸟)共23种，占评价区鸟类总数的35.38%，迁徙鸟类占的比重较小。迁徙鸟类中，以雀形目鸟类居多，可见评价区的迁徙鸟类是以鸣禽为主。繁殖鸟(包括留鸟和夏候鸟)占的比例很大，共57种，占评价区鸟类总数的87.69%。即评价区的鸟类中，多数种类在评价区内繁殖。</w:t>
      </w:r>
    </w:p>
    <w:p w14:paraId="083D5EFB">
      <w:pPr>
        <w:pStyle w:val="30"/>
        <w:rPr>
          <w:rFonts w:hint="default"/>
          <w:lang w:eastAsia="zh-CN"/>
        </w:rPr>
      </w:pPr>
      <w:r>
        <w:rPr>
          <w:rFonts w:hint="default"/>
          <w:lang w:eastAsia="zh-CN"/>
        </w:rPr>
        <w:t>(4)哺乳动物资源</w:t>
      </w:r>
    </w:p>
    <w:p w14:paraId="38E60A1F">
      <w:pPr>
        <w:pStyle w:val="30"/>
        <w:rPr>
          <w:rFonts w:hint="default"/>
          <w:lang w:eastAsia="zh-CN"/>
        </w:rPr>
      </w:pPr>
      <w:r>
        <w:rPr>
          <w:rFonts w:hint="default"/>
          <w:lang w:eastAsia="zh-CN"/>
        </w:rPr>
        <w:t>1)种类、数量及分布</w:t>
      </w:r>
    </w:p>
    <w:p w14:paraId="5A5FD76E">
      <w:pPr>
        <w:pStyle w:val="30"/>
        <w:rPr>
          <w:rFonts w:hint="default"/>
          <w:lang w:eastAsia="zh-CN"/>
        </w:rPr>
      </w:pPr>
      <w:r>
        <w:rPr>
          <w:rFonts w:hint="default"/>
          <w:lang w:eastAsia="zh-CN"/>
        </w:rPr>
        <w:t>项目评价范围区已发现哺乳纲动物21种，隶属6目12科。其中食虫目2科3种、翼手目1科1种、兔形目1科1种、啮齿目4科10种、食肉目2科5种和偶蹄目1科1种。以啮齿目10种最多，食肉目5种次之。项目区21种兽类中，以东洋界种类明显占优势，共有14种，占21种兽类总种数的66.67%；古北界种数仅有刺猬(Erinaceuseuropaeus)、青鼬、鼬獾(Melogalemoschata)3种，占哺乳类种数的14.28%。两界广布种有中普通伏翼(Pipistrellusabramus)、小家鼠、猪獾(Arctonyxcollaris)、野猪等4种，约占哺乳类种数的19.05%。兽类中在该区较为常见的物种为华南兔(Lepuss.sinensis)、褐家鼠(Rattusnorvegicus)和黄鼬(Mustelasibirica)、鼬獾(Melogalemoschata)、果子狸，食肉目和啮齿目的种类占优势。</w:t>
      </w:r>
    </w:p>
    <w:p w14:paraId="477F47E3">
      <w:pPr>
        <w:pStyle w:val="30"/>
        <w:rPr>
          <w:rFonts w:hint="default"/>
          <w:lang w:eastAsia="zh-CN"/>
        </w:rPr>
      </w:pPr>
      <w:r>
        <w:rPr>
          <w:rFonts w:hint="default"/>
          <w:lang w:eastAsia="zh-CN"/>
        </w:rPr>
        <w:t>2)生态类型</w:t>
      </w:r>
    </w:p>
    <w:p w14:paraId="30892E1B">
      <w:pPr>
        <w:pStyle w:val="30"/>
        <w:rPr>
          <w:rFonts w:hint="default"/>
          <w:lang w:eastAsia="zh-CN"/>
        </w:rPr>
      </w:pPr>
      <w:r>
        <w:rPr>
          <w:rFonts w:hint="default"/>
          <w:lang w:eastAsia="zh-CN"/>
        </w:rPr>
        <w:t>半穴居型：包括东北刺猬（Erinaceus amurensis）、华南兔（Lepus sinensis）、黑家鼠（Rattus rattus）、银星竹鼠（Rhizomys pruinosus）等11种。主要分布在评价区竹林、针阔混交林，也在居民居住点附近的林地和灌草丛中活动。</w:t>
      </w:r>
    </w:p>
    <w:p w14:paraId="4E91AB33">
      <w:pPr>
        <w:pStyle w:val="30"/>
        <w:rPr>
          <w:rFonts w:hint="default"/>
          <w:lang w:eastAsia="zh-CN"/>
        </w:rPr>
      </w:pPr>
      <w:r>
        <w:rPr>
          <w:rFonts w:hint="default"/>
          <w:lang w:eastAsia="zh-CN"/>
        </w:rPr>
        <w:t>穴居型：包括普氏蹄蝠（Hipposideros pratti）、东方蝙蝠（Vespertilio sinensis）、中蹄蝠（Hipposideros larvatus(Horsfield, 1823,)）3种。主要分布在影响评价区森林洞穴中。</w:t>
      </w:r>
    </w:p>
    <w:p w14:paraId="000A9C9A">
      <w:pPr>
        <w:pStyle w:val="30"/>
        <w:rPr>
          <w:rFonts w:hint="default"/>
          <w:lang w:eastAsia="zh-CN"/>
        </w:rPr>
      </w:pPr>
      <w:r>
        <w:rPr>
          <w:rFonts w:hint="default"/>
          <w:lang w:eastAsia="zh-CN"/>
        </w:rPr>
        <w:t>半树栖型：包括隐纹花松鼠（Tamiops swinhoei）、红腹松鼠（Callosciurus erythraeus）、红颊长吻松鼠（Dremomys rufigenis）、果子狸（Paguma larvata）4种。主要分布在评价区针叶林、林缘等地带。</w:t>
      </w:r>
    </w:p>
    <w:p w14:paraId="4E8E3B9B">
      <w:pPr>
        <w:pStyle w:val="30"/>
        <w:rPr>
          <w:rFonts w:hint="default"/>
          <w:lang w:eastAsia="zh-CN"/>
        </w:rPr>
      </w:pPr>
      <w:r>
        <w:rPr>
          <w:rFonts w:hint="default"/>
          <w:lang w:eastAsia="zh-CN"/>
        </w:rPr>
        <w:t>地栖型：包括小麂（Muntiacus reevesi）1种。分布在评价区小丘陵、小山的低谷或森林边缘的灌丛、杂草丛中。</w:t>
      </w:r>
    </w:p>
    <w:p w14:paraId="6462396E">
      <w:pPr>
        <w:pStyle w:val="5"/>
        <w:bidi w:val="0"/>
        <w:rPr>
          <w:rFonts w:hint="default"/>
          <w:lang w:eastAsia="zh-CN"/>
        </w:rPr>
      </w:pPr>
      <w:r>
        <w:rPr>
          <w:rFonts w:hint="default"/>
          <w:lang w:eastAsia="zh-CN"/>
        </w:rPr>
        <w:t>陆生动物调查</w:t>
      </w:r>
    </w:p>
    <w:p w14:paraId="52BA0E63">
      <w:pPr>
        <w:rPr>
          <w:rFonts w:hint="default"/>
          <w:lang w:eastAsia="zh-CN"/>
        </w:rPr>
      </w:pPr>
      <w:r>
        <w:rPr>
          <w:rFonts w:hint="default"/>
          <w:lang w:eastAsia="zh-CN"/>
        </w:rPr>
        <w:t>根据本工程特点，调查人员于202</w:t>
      </w:r>
      <w:r>
        <w:rPr>
          <w:rFonts w:hint="eastAsia"/>
          <w:lang w:val="en-US" w:eastAsia="zh-CN"/>
        </w:rPr>
        <w:t>5</w:t>
      </w:r>
      <w:r>
        <w:rPr>
          <w:rFonts w:hint="default"/>
          <w:lang w:eastAsia="zh-CN"/>
        </w:rPr>
        <w:t>年</w:t>
      </w:r>
      <w:r>
        <w:rPr>
          <w:rFonts w:hint="eastAsia"/>
          <w:lang w:val="en-US" w:eastAsia="zh-CN"/>
        </w:rPr>
        <w:t>5</w:t>
      </w:r>
      <w:r>
        <w:rPr>
          <w:rFonts w:hint="default"/>
          <w:lang w:eastAsia="zh-CN"/>
        </w:rPr>
        <w:t>月，在评价区域选择典型生境，对评价区陆生动物进行实地样线调查，辅以和周边居民访谈的方法进行。陆生动物实地调查采用样线调查法，样线法是沿着预先设计的一定路线，观测者沿着固定的线路行走，通过辨识声音或见到实体等方式，记录沿途所辨识到的所有动物。</w:t>
      </w:r>
    </w:p>
    <w:p w14:paraId="142BD721">
      <w:pPr>
        <w:pStyle w:val="118"/>
        <w:bidi w:val="0"/>
        <w:rPr>
          <w:rFonts w:hint="default"/>
          <w:lang w:eastAsia="zh-CN"/>
        </w:rPr>
      </w:pPr>
      <w:r>
        <w:rPr>
          <w:rFonts w:hint="default"/>
          <w:lang w:eastAsia="zh-CN"/>
        </w:rPr>
        <w:t>表5.</w:t>
      </w:r>
      <w:r>
        <w:rPr>
          <w:rFonts w:hint="eastAsia"/>
          <w:lang w:val="en-US" w:eastAsia="zh-CN"/>
        </w:rPr>
        <w:t>3</w:t>
      </w:r>
      <w:r>
        <w:rPr>
          <w:rFonts w:hint="default"/>
          <w:lang w:eastAsia="zh-CN"/>
        </w:rPr>
        <w:t>-</w:t>
      </w:r>
      <w:r>
        <w:rPr>
          <w:rFonts w:hint="eastAsia"/>
          <w:lang w:val="en-US" w:eastAsia="zh-CN"/>
        </w:rPr>
        <w:t>26</w:t>
      </w:r>
      <w:r>
        <w:rPr>
          <w:rFonts w:hint="default"/>
          <w:lang w:eastAsia="zh-CN"/>
        </w:rPr>
        <w:t xml:space="preserve">  陆生动物样线调查记录表 1</w:t>
      </w:r>
    </w:p>
    <w:tbl>
      <w:tblPr>
        <w:tblStyle w:val="162"/>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54"/>
        <w:gridCol w:w="3301"/>
        <w:gridCol w:w="1217"/>
        <w:gridCol w:w="1352"/>
        <w:gridCol w:w="899"/>
      </w:tblGrid>
      <w:tr w14:paraId="3CDF17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5000" w:type="pct"/>
            <w:gridSpan w:val="5"/>
            <w:vAlign w:val="top"/>
          </w:tcPr>
          <w:p w14:paraId="4814ADEB">
            <w:pPr>
              <w:pStyle w:val="49"/>
              <w:bidi w:val="0"/>
            </w:pPr>
            <w:r>
              <w:t>样线地点：水库大坝</w:t>
            </w:r>
            <w:r>
              <w:rPr>
                <w:rFonts w:hint="eastAsia"/>
                <w:lang w:val="en-US" w:eastAsia="zh-CN"/>
              </w:rPr>
              <w:t>西侧</w:t>
            </w:r>
            <w:r>
              <w:t>向</w:t>
            </w:r>
            <w:r>
              <w:rPr>
                <w:rFonts w:hint="eastAsia"/>
                <w:lang w:val="en-US" w:eastAsia="zh-CN"/>
              </w:rPr>
              <w:t>南</w:t>
            </w:r>
            <w:r>
              <w:t>方向    样线编号：01         天气：晴</w:t>
            </w:r>
          </w:p>
        </w:tc>
      </w:tr>
      <w:tr w14:paraId="2401F5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7393968B">
            <w:pPr>
              <w:pStyle w:val="49"/>
              <w:bidi w:val="0"/>
            </w:pPr>
            <w:r>
              <w:t>样线长度：</w:t>
            </w:r>
            <w:r>
              <w:rPr>
                <w:rFonts w:hint="eastAsia"/>
                <w:lang w:val="en-US" w:eastAsia="zh-CN"/>
              </w:rPr>
              <w:t>210</w:t>
            </w:r>
            <w:r>
              <w:t>m ，海拔区间：</w:t>
            </w:r>
            <w:r>
              <w:rPr>
                <w:rFonts w:hint="eastAsia"/>
                <w:lang w:val="en-US" w:eastAsia="zh-CN"/>
              </w:rPr>
              <w:t>288</w:t>
            </w:r>
            <w:r>
              <w:t>m～</w:t>
            </w:r>
            <w:r>
              <w:rPr>
                <w:rFonts w:hint="eastAsia"/>
                <w:lang w:val="en-US" w:eastAsia="zh-CN"/>
              </w:rPr>
              <w:t>323</w:t>
            </w:r>
            <w:r>
              <w:t>m ，生境类型：林地</w:t>
            </w:r>
          </w:p>
        </w:tc>
      </w:tr>
      <w:tr w14:paraId="6C18D7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773F452E">
            <w:pPr>
              <w:pStyle w:val="49"/>
              <w:bidi w:val="0"/>
            </w:pPr>
            <w:r>
              <w:t>坐标：起：N</w:t>
            </w:r>
            <w:r>
              <w:rPr>
                <w:rFonts w:hint="eastAsia"/>
              </w:rPr>
              <w:t>111.592862361,</w:t>
            </w:r>
            <w:r>
              <w:t>E</w:t>
            </w:r>
            <w:r>
              <w:rPr>
                <w:rFonts w:hint="eastAsia"/>
              </w:rPr>
              <w:t>25.677481720</w:t>
            </w:r>
            <w:r>
              <w:t xml:space="preserve"> ；止：</w:t>
            </w:r>
            <w:r>
              <w:rPr>
                <w:rFonts w:hint="eastAsia"/>
                <w:lang w:val="en-US" w:eastAsia="zh-CN"/>
              </w:rPr>
              <w:t>N</w:t>
            </w:r>
            <w:r>
              <w:rPr>
                <w:rFonts w:hint="eastAsia"/>
              </w:rPr>
              <w:t>111.593095713,</w:t>
            </w:r>
            <w:r>
              <w:rPr>
                <w:rFonts w:hint="eastAsia"/>
                <w:lang w:val="en-US" w:eastAsia="zh-CN"/>
              </w:rPr>
              <w:t>E</w:t>
            </w:r>
            <w:r>
              <w:rPr>
                <w:rFonts w:hint="eastAsia"/>
              </w:rPr>
              <w:t>25.675590762</w:t>
            </w:r>
          </w:p>
        </w:tc>
      </w:tr>
      <w:tr w14:paraId="7E8078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000" w:type="pct"/>
            <w:gridSpan w:val="5"/>
            <w:vAlign w:val="top"/>
          </w:tcPr>
          <w:p w14:paraId="0C8A06E7">
            <w:pPr>
              <w:pStyle w:val="49"/>
              <w:bidi w:val="0"/>
            </w:pPr>
            <w:r>
              <w:t>人为干扰因素：偶有村民  人为干扰强度：低</w:t>
            </w:r>
          </w:p>
        </w:tc>
      </w:tr>
      <w:tr w14:paraId="023707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934" w:type="pct"/>
            <w:vAlign w:val="top"/>
          </w:tcPr>
          <w:p w14:paraId="2616C606">
            <w:pPr>
              <w:pStyle w:val="49"/>
              <w:bidi w:val="0"/>
            </w:pPr>
            <w:r>
              <w:t>物种名称</w:t>
            </w:r>
          </w:p>
        </w:tc>
        <w:tc>
          <w:tcPr>
            <w:tcW w:w="1983" w:type="pct"/>
            <w:vAlign w:val="top"/>
          </w:tcPr>
          <w:p w14:paraId="3D0EE7A8">
            <w:pPr>
              <w:pStyle w:val="49"/>
              <w:bidi w:val="0"/>
            </w:pPr>
            <w:r>
              <w:t>拉丁名</w:t>
            </w:r>
          </w:p>
        </w:tc>
        <w:tc>
          <w:tcPr>
            <w:tcW w:w="731" w:type="pct"/>
            <w:vAlign w:val="top"/>
          </w:tcPr>
          <w:p w14:paraId="17D4DB2F">
            <w:pPr>
              <w:pStyle w:val="49"/>
              <w:bidi w:val="0"/>
            </w:pPr>
            <w:r>
              <w:t>实体数量</w:t>
            </w:r>
          </w:p>
        </w:tc>
        <w:tc>
          <w:tcPr>
            <w:tcW w:w="812" w:type="pct"/>
            <w:vAlign w:val="top"/>
          </w:tcPr>
          <w:p w14:paraId="72458421">
            <w:pPr>
              <w:pStyle w:val="49"/>
              <w:bidi w:val="0"/>
            </w:pPr>
            <w:r>
              <w:t>痕迹及数量</w:t>
            </w:r>
          </w:p>
        </w:tc>
        <w:tc>
          <w:tcPr>
            <w:tcW w:w="538" w:type="pct"/>
            <w:vAlign w:val="top"/>
          </w:tcPr>
          <w:p w14:paraId="7F979C5D">
            <w:pPr>
              <w:pStyle w:val="49"/>
              <w:bidi w:val="0"/>
            </w:pPr>
            <w:r>
              <w:t>备注</w:t>
            </w:r>
          </w:p>
        </w:tc>
      </w:tr>
      <w:tr w14:paraId="7C4C9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934" w:type="pct"/>
            <w:vAlign w:val="top"/>
          </w:tcPr>
          <w:p w14:paraId="1BF1B5D7">
            <w:pPr>
              <w:pStyle w:val="49"/>
              <w:bidi w:val="0"/>
            </w:pPr>
            <w:r>
              <w:t>褐家鼠</w:t>
            </w:r>
          </w:p>
        </w:tc>
        <w:tc>
          <w:tcPr>
            <w:tcW w:w="1983" w:type="pct"/>
            <w:vAlign w:val="top"/>
          </w:tcPr>
          <w:p w14:paraId="4813F0EC">
            <w:pPr>
              <w:pStyle w:val="49"/>
              <w:bidi w:val="0"/>
            </w:pPr>
            <w:r>
              <w:t>Rattus norvegicus</w:t>
            </w:r>
          </w:p>
        </w:tc>
        <w:tc>
          <w:tcPr>
            <w:tcW w:w="731" w:type="pct"/>
            <w:vAlign w:val="top"/>
          </w:tcPr>
          <w:p w14:paraId="733BA33B">
            <w:pPr>
              <w:pStyle w:val="49"/>
              <w:bidi w:val="0"/>
            </w:pPr>
            <w:r>
              <w:t>2</w:t>
            </w:r>
          </w:p>
        </w:tc>
        <w:tc>
          <w:tcPr>
            <w:tcW w:w="812" w:type="pct"/>
            <w:vAlign w:val="top"/>
          </w:tcPr>
          <w:p w14:paraId="3301A195">
            <w:pPr>
              <w:pStyle w:val="49"/>
              <w:bidi w:val="0"/>
            </w:pPr>
          </w:p>
        </w:tc>
        <w:tc>
          <w:tcPr>
            <w:tcW w:w="538" w:type="pct"/>
            <w:vAlign w:val="top"/>
          </w:tcPr>
          <w:p w14:paraId="3276051B">
            <w:pPr>
              <w:pStyle w:val="49"/>
              <w:bidi w:val="0"/>
            </w:pPr>
          </w:p>
        </w:tc>
      </w:tr>
      <w:tr w14:paraId="6AEEB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934" w:type="pct"/>
            <w:vAlign w:val="top"/>
          </w:tcPr>
          <w:p w14:paraId="3E7ABF21">
            <w:pPr>
              <w:pStyle w:val="49"/>
              <w:bidi w:val="0"/>
            </w:pPr>
            <w:r>
              <w:t>山斑鸠</w:t>
            </w:r>
          </w:p>
        </w:tc>
        <w:tc>
          <w:tcPr>
            <w:tcW w:w="1983" w:type="pct"/>
            <w:vAlign w:val="top"/>
          </w:tcPr>
          <w:p w14:paraId="51D87D36">
            <w:pPr>
              <w:pStyle w:val="49"/>
              <w:bidi w:val="0"/>
            </w:pPr>
            <w:r>
              <w:t>Streptopelia orientalis</w:t>
            </w:r>
          </w:p>
        </w:tc>
        <w:tc>
          <w:tcPr>
            <w:tcW w:w="731" w:type="pct"/>
            <w:vAlign w:val="top"/>
          </w:tcPr>
          <w:p w14:paraId="1D95344B">
            <w:pPr>
              <w:pStyle w:val="49"/>
              <w:bidi w:val="0"/>
            </w:pPr>
            <w:r>
              <w:t>3</w:t>
            </w:r>
          </w:p>
        </w:tc>
        <w:tc>
          <w:tcPr>
            <w:tcW w:w="812" w:type="pct"/>
            <w:vAlign w:val="top"/>
          </w:tcPr>
          <w:p w14:paraId="2AFE0E1C">
            <w:pPr>
              <w:pStyle w:val="49"/>
              <w:bidi w:val="0"/>
            </w:pPr>
          </w:p>
        </w:tc>
        <w:tc>
          <w:tcPr>
            <w:tcW w:w="538" w:type="pct"/>
            <w:vAlign w:val="top"/>
          </w:tcPr>
          <w:p w14:paraId="56A9C0D9">
            <w:pPr>
              <w:pStyle w:val="49"/>
              <w:bidi w:val="0"/>
            </w:pPr>
          </w:p>
        </w:tc>
      </w:tr>
      <w:tr w14:paraId="7C7DED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934" w:type="pct"/>
            <w:vAlign w:val="top"/>
          </w:tcPr>
          <w:p w14:paraId="5D58C949">
            <w:pPr>
              <w:pStyle w:val="49"/>
              <w:bidi w:val="0"/>
            </w:pPr>
            <w:r>
              <w:t>赤链蛇</w:t>
            </w:r>
          </w:p>
        </w:tc>
        <w:tc>
          <w:tcPr>
            <w:tcW w:w="1983" w:type="pct"/>
            <w:vAlign w:val="top"/>
          </w:tcPr>
          <w:p w14:paraId="23B3A741">
            <w:pPr>
              <w:pStyle w:val="49"/>
              <w:bidi w:val="0"/>
            </w:pPr>
            <w:r>
              <w:t>Dinodon rufozonatum</w:t>
            </w:r>
          </w:p>
        </w:tc>
        <w:tc>
          <w:tcPr>
            <w:tcW w:w="731" w:type="pct"/>
            <w:vAlign w:val="top"/>
          </w:tcPr>
          <w:p w14:paraId="063F1E94">
            <w:pPr>
              <w:pStyle w:val="49"/>
              <w:bidi w:val="0"/>
            </w:pPr>
            <w:r>
              <w:t>1</w:t>
            </w:r>
          </w:p>
        </w:tc>
        <w:tc>
          <w:tcPr>
            <w:tcW w:w="812" w:type="pct"/>
            <w:vAlign w:val="top"/>
          </w:tcPr>
          <w:p w14:paraId="0C6CD7F8">
            <w:pPr>
              <w:pStyle w:val="49"/>
              <w:bidi w:val="0"/>
            </w:pPr>
          </w:p>
        </w:tc>
        <w:tc>
          <w:tcPr>
            <w:tcW w:w="538" w:type="pct"/>
            <w:vAlign w:val="top"/>
          </w:tcPr>
          <w:p w14:paraId="5350D339">
            <w:pPr>
              <w:pStyle w:val="49"/>
              <w:bidi w:val="0"/>
            </w:pPr>
          </w:p>
        </w:tc>
      </w:tr>
      <w:tr w14:paraId="06C8D2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1554" w:type="dxa"/>
            <w:vAlign w:val="center"/>
          </w:tcPr>
          <w:p w14:paraId="263C4FA5">
            <w:pPr>
              <w:pStyle w:val="53"/>
              <w:tabs>
                <w:tab w:val="left" w:pos="1315"/>
                <w:tab w:val="left" w:pos="2565"/>
              </w:tabs>
              <w:bidi w:val="0"/>
              <w:ind w:left="0" w:leftChars="0" w:firstLine="0" w:firstLineChars="0"/>
              <w:jc w:val="center"/>
            </w:pPr>
            <w:r>
              <w:rPr>
                <w:rFonts w:hint="eastAsia"/>
                <w:color w:val="000000" w:themeColor="text1"/>
                <w:highlight w:val="none"/>
                <w14:textFill>
                  <w14:solidFill>
                    <w14:schemeClr w14:val="tx1"/>
                  </w14:solidFill>
                </w14:textFill>
              </w:rPr>
              <w:t>喜鹊</w:t>
            </w:r>
          </w:p>
        </w:tc>
        <w:tc>
          <w:tcPr>
            <w:tcW w:w="3301" w:type="dxa"/>
            <w:vAlign w:val="center"/>
          </w:tcPr>
          <w:p w14:paraId="5A82B234">
            <w:pPr>
              <w:pStyle w:val="53"/>
              <w:tabs>
                <w:tab w:val="left" w:pos="1315"/>
                <w:tab w:val="left" w:pos="2565"/>
              </w:tabs>
              <w:bidi w:val="0"/>
              <w:ind w:left="0" w:leftChars="0" w:firstLine="0" w:firstLineChars="0"/>
              <w:jc w:val="center"/>
            </w:pPr>
            <w:r>
              <w:rPr>
                <w:color w:val="000000" w:themeColor="text1"/>
                <w:highlight w:val="none"/>
                <w14:textFill>
                  <w14:solidFill>
                    <w14:schemeClr w14:val="tx1"/>
                  </w14:solidFill>
                </w14:textFill>
              </w:rPr>
              <w:t>Pica pica</w:t>
            </w:r>
          </w:p>
        </w:tc>
        <w:tc>
          <w:tcPr>
            <w:tcW w:w="731" w:type="pct"/>
            <w:vAlign w:val="top"/>
          </w:tcPr>
          <w:p w14:paraId="7C186C25">
            <w:pPr>
              <w:pStyle w:val="49"/>
              <w:bidi w:val="0"/>
            </w:pPr>
            <w:r>
              <w:t>1</w:t>
            </w:r>
          </w:p>
        </w:tc>
        <w:tc>
          <w:tcPr>
            <w:tcW w:w="812" w:type="pct"/>
            <w:vAlign w:val="top"/>
          </w:tcPr>
          <w:p w14:paraId="2011B4C0">
            <w:pPr>
              <w:pStyle w:val="49"/>
              <w:bidi w:val="0"/>
            </w:pPr>
          </w:p>
        </w:tc>
        <w:tc>
          <w:tcPr>
            <w:tcW w:w="538" w:type="pct"/>
            <w:vAlign w:val="top"/>
          </w:tcPr>
          <w:p w14:paraId="2AD92ADA">
            <w:pPr>
              <w:pStyle w:val="49"/>
              <w:bidi w:val="0"/>
            </w:pPr>
          </w:p>
        </w:tc>
      </w:tr>
    </w:tbl>
    <w:p w14:paraId="34F4428D">
      <w:pPr>
        <w:pStyle w:val="118"/>
        <w:bidi w:val="0"/>
        <w:rPr>
          <w:rFonts w:hint="eastAsia" w:eastAsia="宋体"/>
          <w:lang w:val="en-US" w:eastAsia="zh-CN"/>
        </w:rPr>
      </w:pPr>
      <w:r>
        <w:t>表 5.</w:t>
      </w:r>
      <w:r>
        <w:rPr>
          <w:rFonts w:hint="eastAsia"/>
          <w:lang w:val="en-US" w:eastAsia="zh-CN"/>
        </w:rPr>
        <w:t>3</w:t>
      </w:r>
      <w:r>
        <w:t>-</w:t>
      </w:r>
      <w:r>
        <w:rPr>
          <w:rFonts w:hint="eastAsia"/>
          <w:lang w:val="en-US" w:eastAsia="zh-CN"/>
        </w:rPr>
        <w:t>27</w:t>
      </w:r>
      <w:r>
        <w:t xml:space="preserve">   陆生动物样线调查记录表 </w:t>
      </w:r>
      <w:r>
        <w:rPr>
          <w:rFonts w:hint="eastAsia"/>
          <w:lang w:val="en-US" w:eastAsia="zh-CN"/>
        </w:rPr>
        <w:t>2</w:t>
      </w:r>
    </w:p>
    <w:tbl>
      <w:tblPr>
        <w:tblStyle w:val="162"/>
        <w:tblW w:w="853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5"/>
        <w:gridCol w:w="3385"/>
        <w:gridCol w:w="1248"/>
        <w:gridCol w:w="1388"/>
        <w:gridCol w:w="917"/>
      </w:tblGrid>
      <w:tr w14:paraId="18F3F5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8533" w:type="dxa"/>
            <w:gridSpan w:val="5"/>
            <w:vAlign w:val="top"/>
          </w:tcPr>
          <w:p w14:paraId="363B6956">
            <w:pPr>
              <w:pStyle w:val="49"/>
              <w:bidi w:val="0"/>
            </w:pPr>
            <w:r>
              <w:t>样线地点：水库大坝东侧向东方向    样线编号：0</w:t>
            </w:r>
            <w:r>
              <w:rPr>
                <w:rFonts w:hint="eastAsia"/>
                <w:lang w:val="en-US" w:eastAsia="zh-CN"/>
              </w:rPr>
              <w:t>2</w:t>
            </w:r>
            <w:r>
              <w:t xml:space="preserve">       天气：晴</w:t>
            </w:r>
          </w:p>
        </w:tc>
      </w:tr>
      <w:tr w14:paraId="6BF281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79C4D0E3">
            <w:pPr>
              <w:pStyle w:val="49"/>
              <w:bidi w:val="0"/>
            </w:pPr>
            <w:r>
              <w:t>样线长度：2</w:t>
            </w:r>
            <w:r>
              <w:rPr>
                <w:rFonts w:hint="eastAsia"/>
                <w:lang w:val="en-US" w:eastAsia="zh-CN"/>
              </w:rPr>
              <w:t>60</w:t>
            </w:r>
            <w:r>
              <w:t>m ，海拔区间：</w:t>
            </w:r>
            <w:r>
              <w:rPr>
                <w:rFonts w:hint="eastAsia"/>
                <w:lang w:val="en-US" w:eastAsia="zh-CN"/>
              </w:rPr>
              <w:t>257</w:t>
            </w:r>
            <w:r>
              <w:t>m～</w:t>
            </w:r>
            <w:r>
              <w:rPr>
                <w:rFonts w:hint="eastAsia"/>
                <w:lang w:val="en-US" w:eastAsia="zh-CN"/>
              </w:rPr>
              <w:t>244</w:t>
            </w:r>
            <w:r>
              <w:t>m ，生境类型：林地、农田</w:t>
            </w:r>
          </w:p>
        </w:tc>
      </w:tr>
      <w:tr w14:paraId="1EC752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155D8481">
            <w:pPr>
              <w:pStyle w:val="49"/>
              <w:bidi w:val="0"/>
            </w:pPr>
            <w:r>
              <w:t xml:space="preserve">坐标：起：N </w:t>
            </w:r>
            <w:r>
              <w:rPr>
                <w:rFonts w:hint="eastAsia"/>
              </w:rPr>
              <w:t>111.594951802</w:t>
            </w:r>
            <w:r>
              <w:t>° , E</w:t>
            </w:r>
            <w:r>
              <w:rPr>
                <w:rFonts w:hint="eastAsia"/>
              </w:rPr>
              <w:t>25.675609538</w:t>
            </w:r>
            <w:r>
              <w:t xml:space="preserve">° ；止：N </w:t>
            </w:r>
            <w:r>
              <w:rPr>
                <w:rFonts w:hint="eastAsia"/>
              </w:rPr>
              <w:t>111.597532087</w:t>
            </w:r>
            <w:r>
              <w:t>° , E</w:t>
            </w:r>
            <w:r>
              <w:rPr>
                <w:rFonts w:hint="eastAsia"/>
              </w:rPr>
              <w:t>25.675512978</w:t>
            </w:r>
            <w:r>
              <w:t>°</w:t>
            </w:r>
          </w:p>
        </w:tc>
      </w:tr>
      <w:tr w14:paraId="6E6561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6D03B31D">
            <w:pPr>
              <w:pStyle w:val="49"/>
              <w:bidi w:val="0"/>
            </w:pPr>
            <w:r>
              <w:t>人为干扰因素：</w:t>
            </w:r>
            <w:r>
              <w:rPr>
                <w:rFonts w:hint="eastAsia"/>
              </w:rPr>
              <w:t>偶有村民和车辆经过</w:t>
            </w:r>
            <w:r>
              <w:t xml:space="preserve">  人为干扰强度：低</w:t>
            </w:r>
          </w:p>
        </w:tc>
      </w:tr>
      <w:tr w14:paraId="1B2A0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5" w:type="dxa"/>
            <w:vAlign w:val="top"/>
          </w:tcPr>
          <w:p w14:paraId="105011AB">
            <w:pPr>
              <w:pStyle w:val="49"/>
              <w:bidi w:val="0"/>
            </w:pPr>
            <w:r>
              <w:t>物种名称</w:t>
            </w:r>
          </w:p>
        </w:tc>
        <w:tc>
          <w:tcPr>
            <w:tcW w:w="3385" w:type="dxa"/>
            <w:vAlign w:val="top"/>
          </w:tcPr>
          <w:p w14:paraId="33668886">
            <w:pPr>
              <w:pStyle w:val="49"/>
              <w:bidi w:val="0"/>
            </w:pPr>
            <w:r>
              <w:t>拉丁名</w:t>
            </w:r>
          </w:p>
        </w:tc>
        <w:tc>
          <w:tcPr>
            <w:tcW w:w="1248" w:type="dxa"/>
            <w:vAlign w:val="top"/>
          </w:tcPr>
          <w:p w14:paraId="524C5B22">
            <w:pPr>
              <w:pStyle w:val="49"/>
              <w:bidi w:val="0"/>
            </w:pPr>
            <w:r>
              <w:t>实体数量</w:t>
            </w:r>
          </w:p>
        </w:tc>
        <w:tc>
          <w:tcPr>
            <w:tcW w:w="1388" w:type="dxa"/>
            <w:vAlign w:val="top"/>
          </w:tcPr>
          <w:p w14:paraId="4B0BAAB3">
            <w:pPr>
              <w:pStyle w:val="49"/>
              <w:bidi w:val="0"/>
            </w:pPr>
            <w:r>
              <w:t>痕迹及数量</w:t>
            </w:r>
          </w:p>
        </w:tc>
        <w:tc>
          <w:tcPr>
            <w:tcW w:w="917" w:type="dxa"/>
            <w:vAlign w:val="top"/>
          </w:tcPr>
          <w:p w14:paraId="26A7DA22">
            <w:pPr>
              <w:pStyle w:val="49"/>
              <w:bidi w:val="0"/>
            </w:pPr>
            <w:r>
              <w:t>备注</w:t>
            </w:r>
          </w:p>
        </w:tc>
      </w:tr>
      <w:tr w14:paraId="099922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5" w:type="dxa"/>
            <w:vAlign w:val="top"/>
          </w:tcPr>
          <w:p w14:paraId="76876C45">
            <w:pPr>
              <w:pStyle w:val="49"/>
              <w:bidi w:val="0"/>
            </w:pPr>
            <w:r>
              <w:t>白鹭</w:t>
            </w:r>
          </w:p>
        </w:tc>
        <w:tc>
          <w:tcPr>
            <w:tcW w:w="3385" w:type="dxa"/>
            <w:vAlign w:val="top"/>
          </w:tcPr>
          <w:p w14:paraId="3DAA27C1">
            <w:pPr>
              <w:pStyle w:val="49"/>
              <w:bidi w:val="0"/>
            </w:pPr>
            <w:r>
              <w:t>Egretta garzetta (Linnaeus)</w:t>
            </w:r>
          </w:p>
        </w:tc>
        <w:tc>
          <w:tcPr>
            <w:tcW w:w="1248" w:type="dxa"/>
            <w:vAlign w:val="top"/>
          </w:tcPr>
          <w:p w14:paraId="6CA8C7CA">
            <w:pPr>
              <w:pStyle w:val="49"/>
              <w:bidi w:val="0"/>
            </w:pPr>
            <w:r>
              <w:t>1</w:t>
            </w:r>
          </w:p>
        </w:tc>
        <w:tc>
          <w:tcPr>
            <w:tcW w:w="1388" w:type="dxa"/>
            <w:vAlign w:val="top"/>
          </w:tcPr>
          <w:p w14:paraId="22E987F2">
            <w:pPr>
              <w:pStyle w:val="49"/>
              <w:bidi w:val="0"/>
            </w:pPr>
          </w:p>
        </w:tc>
        <w:tc>
          <w:tcPr>
            <w:tcW w:w="917" w:type="dxa"/>
            <w:vAlign w:val="top"/>
          </w:tcPr>
          <w:p w14:paraId="5D2F98BC">
            <w:pPr>
              <w:pStyle w:val="49"/>
              <w:bidi w:val="0"/>
            </w:pPr>
          </w:p>
        </w:tc>
      </w:tr>
      <w:tr w14:paraId="466731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595" w:type="dxa"/>
            <w:vAlign w:val="top"/>
          </w:tcPr>
          <w:p w14:paraId="1F094988">
            <w:pPr>
              <w:pStyle w:val="49"/>
              <w:bidi w:val="0"/>
            </w:pPr>
            <w:r>
              <w:t>山麻雀</w:t>
            </w:r>
          </w:p>
        </w:tc>
        <w:tc>
          <w:tcPr>
            <w:tcW w:w="3385" w:type="dxa"/>
            <w:vAlign w:val="top"/>
          </w:tcPr>
          <w:p w14:paraId="5D22AF76">
            <w:pPr>
              <w:pStyle w:val="49"/>
              <w:bidi w:val="0"/>
            </w:pPr>
            <w:r>
              <w:t>Passer rutilans</w:t>
            </w:r>
          </w:p>
        </w:tc>
        <w:tc>
          <w:tcPr>
            <w:tcW w:w="1248" w:type="dxa"/>
            <w:vAlign w:val="top"/>
          </w:tcPr>
          <w:p w14:paraId="784A4E3B">
            <w:pPr>
              <w:pStyle w:val="49"/>
              <w:bidi w:val="0"/>
            </w:pPr>
            <w:r>
              <w:t>3</w:t>
            </w:r>
          </w:p>
        </w:tc>
        <w:tc>
          <w:tcPr>
            <w:tcW w:w="1388" w:type="dxa"/>
            <w:vAlign w:val="top"/>
          </w:tcPr>
          <w:p w14:paraId="44D910A1">
            <w:pPr>
              <w:pStyle w:val="49"/>
              <w:bidi w:val="0"/>
            </w:pPr>
          </w:p>
        </w:tc>
        <w:tc>
          <w:tcPr>
            <w:tcW w:w="917" w:type="dxa"/>
            <w:vAlign w:val="top"/>
          </w:tcPr>
          <w:p w14:paraId="182AEB52">
            <w:pPr>
              <w:pStyle w:val="49"/>
              <w:bidi w:val="0"/>
            </w:pPr>
          </w:p>
        </w:tc>
      </w:tr>
      <w:tr w14:paraId="7C3CA1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1595" w:type="dxa"/>
            <w:vAlign w:val="top"/>
          </w:tcPr>
          <w:p w14:paraId="11D0DDD3">
            <w:pPr>
              <w:pStyle w:val="49"/>
              <w:bidi w:val="0"/>
            </w:pPr>
            <w:r>
              <w:t>白头鹎</w:t>
            </w:r>
          </w:p>
        </w:tc>
        <w:tc>
          <w:tcPr>
            <w:tcW w:w="3385" w:type="dxa"/>
            <w:vAlign w:val="top"/>
          </w:tcPr>
          <w:p w14:paraId="1F68CC0A">
            <w:pPr>
              <w:pStyle w:val="49"/>
              <w:bidi w:val="0"/>
            </w:pPr>
            <w:r>
              <w:t>Pycnonotus sinensis</w:t>
            </w:r>
          </w:p>
        </w:tc>
        <w:tc>
          <w:tcPr>
            <w:tcW w:w="1248" w:type="dxa"/>
            <w:vAlign w:val="top"/>
          </w:tcPr>
          <w:p w14:paraId="2FB8A415">
            <w:pPr>
              <w:pStyle w:val="49"/>
              <w:bidi w:val="0"/>
            </w:pPr>
            <w:r>
              <w:t>1</w:t>
            </w:r>
          </w:p>
        </w:tc>
        <w:tc>
          <w:tcPr>
            <w:tcW w:w="1388" w:type="dxa"/>
            <w:vAlign w:val="top"/>
          </w:tcPr>
          <w:p w14:paraId="62D61E4D">
            <w:pPr>
              <w:pStyle w:val="49"/>
              <w:bidi w:val="0"/>
            </w:pPr>
          </w:p>
        </w:tc>
        <w:tc>
          <w:tcPr>
            <w:tcW w:w="917" w:type="dxa"/>
            <w:vAlign w:val="top"/>
          </w:tcPr>
          <w:p w14:paraId="02B255CE">
            <w:pPr>
              <w:pStyle w:val="49"/>
              <w:bidi w:val="0"/>
            </w:pPr>
          </w:p>
        </w:tc>
      </w:tr>
    </w:tbl>
    <w:p w14:paraId="0F75DE87">
      <w:pPr>
        <w:pStyle w:val="118"/>
        <w:bidi w:val="0"/>
        <w:rPr>
          <w:rFonts w:hint="eastAsia"/>
          <w:lang w:val="en-US" w:eastAsia="zh-CN"/>
        </w:rPr>
      </w:pPr>
      <w:r>
        <w:t>表 5.</w:t>
      </w:r>
      <w:r>
        <w:rPr>
          <w:rFonts w:hint="eastAsia"/>
          <w:lang w:val="en-US" w:eastAsia="zh-CN"/>
        </w:rPr>
        <w:t>3</w:t>
      </w:r>
      <w:r>
        <w:t>-</w:t>
      </w:r>
      <w:r>
        <w:rPr>
          <w:rFonts w:hint="eastAsia"/>
          <w:lang w:val="en-US" w:eastAsia="zh-CN"/>
        </w:rPr>
        <w:t>28</w:t>
      </w:r>
      <w:r>
        <w:t xml:space="preserve">  陆生动物样线调查记录表</w:t>
      </w:r>
      <w:r>
        <w:rPr>
          <w:rFonts w:hint="eastAsia"/>
          <w:lang w:val="en-US" w:eastAsia="zh-CN"/>
        </w:rPr>
        <w:t>3</w:t>
      </w:r>
    </w:p>
    <w:tbl>
      <w:tblPr>
        <w:tblStyle w:val="162"/>
        <w:tblW w:w="853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6"/>
        <w:gridCol w:w="3386"/>
        <w:gridCol w:w="1248"/>
        <w:gridCol w:w="1388"/>
        <w:gridCol w:w="915"/>
      </w:tblGrid>
      <w:tr w14:paraId="15B6D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8533" w:type="dxa"/>
            <w:gridSpan w:val="5"/>
            <w:vAlign w:val="top"/>
          </w:tcPr>
          <w:p w14:paraId="2D667C6B">
            <w:pPr>
              <w:pStyle w:val="49"/>
              <w:bidi w:val="0"/>
            </w:pPr>
            <w:r>
              <w:t>样线地点：大坝北侧向</w:t>
            </w:r>
            <w:r>
              <w:rPr>
                <w:rFonts w:hint="eastAsia"/>
                <w:lang w:val="en-US" w:eastAsia="zh-CN"/>
              </w:rPr>
              <w:t>东</w:t>
            </w:r>
            <w:r>
              <w:t>方向    样线编号：0</w:t>
            </w:r>
            <w:r>
              <w:rPr>
                <w:rFonts w:hint="eastAsia"/>
                <w:lang w:val="en-US" w:eastAsia="zh-CN"/>
              </w:rPr>
              <w:t>3</w:t>
            </w:r>
            <w:r>
              <w:t xml:space="preserve">       天气：晴</w:t>
            </w:r>
          </w:p>
        </w:tc>
      </w:tr>
      <w:tr w14:paraId="0E4FAF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533" w:type="dxa"/>
            <w:gridSpan w:val="5"/>
            <w:vAlign w:val="top"/>
          </w:tcPr>
          <w:p w14:paraId="1C9E146C">
            <w:pPr>
              <w:pStyle w:val="49"/>
              <w:bidi w:val="0"/>
            </w:pPr>
            <w:r>
              <w:t>样线长度：</w:t>
            </w:r>
            <w:r>
              <w:rPr>
                <w:rFonts w:hint="eastAsia"/>
                <w:lang w:val="en-US" w:eastAsia="zh-CN"/>
              </w:rPr>
              <w:t>260</w:t>
            </w:r>
            <w:r>
              <w:t>m，海拔区间：</w:t>
            </w:r>
            <w:r>
              <w:rPr>
                <w:rFonts w:hint="eastAsia"/>
                <w:lang w:val="en-US" w:eastAsia="zh-CN"/>
              </w:rPr>
              <w:t>292</w:t>
            </w:r>
            <w:r>
              <w:t>m～</w:t>
            </w:r>
            <w:r>
              <w:rPr>
                <w:rFonts w:hint="eastAsia"/>
                <w:lang w:val="en-US" w:eastAsia="zh-CN"/>
              </w:rPr>
              <w:t>312</w:t>
            </w:r>
            <w:r>
              <w:t>m，生境类型：林地</w:t>
            </w:r>
          </w:p>
        </w:tc>
      </w:tr>
      <w:tr w14:paraId="4156E0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20FF1A35">
            <w:pPr>
              <w:pStyle w:val="49"/>
              <w:bidi w:val="0"/>
            </w:pPr>
            <w:r>
              <w:t xml:space="preserve">坐标：起：N </w:t>
            </w:r>
            <w:r>
              <w:rPr>
                <w:rFonts w:hint="eastAsia"/>
              </w:rPr>
              <w:t>111.594469004</w:t>
            </w:r>
            <w:r>
              <w:t>° , E</w:t>
            </w:r>
            <w:r>
              <w:rPr>
                <w:rFonts w:hint="eastAsia"/>
              </w:rPr>
              <w:t>25.681869814</w:t>
            </w:r>
            <w:r>
              <w:t xml:space="preserve">° ；止：N </w:t>
            </w:r>
            <w:r>
              <w:rPr>
                <w:rFonts w:hint="eastAsia"/>
              </w:rPr>
              <w:t>111.596566492</w:t>
            </w:r>
            <w:r>
              <w:t>,° , E</w:t>
            </w:r>
            <w:r>
              <w:rPr>
                <w:rFonts w:hint="eastAsia"/>
              </w:rPr>
              <w:t>25.680512616</w:t>
            </w:r>
            <w:r>
              <w:t>°</w:t>
            </w:r>
          </w:p>
        </w:tc>
      </w:tr>
      <w:tr w14:paraId="33251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533" w:type="dxa"/>
            <w:gridSpan w:val="5"/>
            <w:vAlign w:val="top"/>
          </w:tcPr>
          <w:p w14:paraId="698BE3F7">
            <w:pPr>
              <w:pStyle w:val="49"/>
              <w:bidi w:val="0"/>
            </w:pPr>
            <w:r>
              <w:t>人为干扰因素：基本无人为活动  人为干扰强度：低</w:t>
            </w:r>
          </w:p>
        </w:tc>
      </w:tr>
      <w:tr w14:paraId="6B1BB7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596" w:type="dxa"/>
            <w:vAlign w:val="top"/>
          </w:tcPr>
          <w:p w14:paraId="63DB3D54">
            <w:pPr>
              <w:pStyle w:val="49"/>
              <w:bidi w:val="0"/>
            </w:pPr>
            <w:r>
              <w:t>物种名称</w:t>
            </w:r>
          </w:p>
        </w:tc>
        <w:tc>
          <w:tcPr>
            <w:tcW w:w="3386" w:type="dxa"/>
            <w:vAlign w:val="top"/>
          </w:tcPr>
          <w:p w14:paraId="52ECD646">
            <w:pPr>
              <w:pStyle w:val="49"/>
              <w:bidi w:val="0"/>
            </w:pPr>
            <w:r>
              <w:t>拉丁名</w:t>
            </w:r>
          </w:p>
        </w:tc>
        <w:tc>
          <w:tcPr>
            <w:tcW w:w="1248" w:type="dxa"/>
            <w:vAlign w:val="top"/>
          </w:tcPr>
          <w:p w14:paraId="61791E53">
            <w:pPr>
              <w:pStyle w:val="49"/>
              <w:bidi w:val="0"/>
            </w:pPr>
            <w:r>
              <w:t>实体数量</w:t>
            </w:r>
          </w:p>
        </w:tc>
        <w:tc>
          <w:tcPr>
            <w:tcW w:w="1388" w:type="dxa"/>
            <w:vAlign w:val="top"/>
          </w:tcPr>
          <w:p w14:paraId="48F46420">
            <w:pPr>
              <w:pStyle w:val="49"/>
              <w:bidi w:val="0"/>
            </w:pPr>
            <w:r>
              <w:t>痕迹及数量</w:t>
            </w:r>
          </w:p>
        </w:tc>
        <w:tc>
          <w:tcPr>
            <w:tcW w:w="915" w:type="dxa"/>
            <w:vAlign w:val="top"/>
          </w:tcPr>
          <w:p w14:paraId="4FEF74C9">
            <w:pPr>
              <w:pStyle w:val="49"/>
              <w:bidi w:val="0"/>
            </w:pPr>
            <w:r>
              <w:t>备注</w:t>
            </w:r>
          </w:p>
        </w:tc>
      </w:tr>
      <w:tr w14:paraId="7BF2C4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596" w:type="dxa"/>
            <w:vAlign w:val="top"/>
          </w:tcPr>
          <w:p w14:paraId="3EC24562">
            <w:pPr>
              <w:pStyle w:val="49"/>
              <w:bidi w:val="0"/>
            </w:pPr>
            <w:r>
              <w:t>家燕</w:t>
            </w:r>
          </w:p>
        </w:tc>
        <w:tc>
          <w:tcPr>
            <w:tcW w:w="3386" w:type="dxa"/>
            <w:vAlign w:val="top"/>
          </w:tcPr>
          <w:p w14:paraId="2B83B18E">
            <w:pPr>
              <w:pStyle w:val="49"/>
              <w:bidi w:val="0"/>
            </w:pPr>
            <w:r>
              <w:t>Hirundo rustica</w:t>
            </w:r>
          </w:p>
        </w:tc>
        <w:tc>
          <w:tcPr>
            <w:tcW w:w="1248" w:type="dxa"/>
            <w:vAlign w:val="top"/>
          </w:tcPr>
          <w:p w14:paraId="3A38A947">
            <w:pPr>
              <w:pStyle w:val="49"/>
              <w:bidi w:val="0"/>
            </w:pPr>
            <w:r>
              <w:t>1</w:t>
            </w:r>
          </w:p>
        </w:tc>
        <w:tc>
          <w:tcPr>
            <w:tcW w:w="1388" w:type="dxa"/>
            <w:vAlign w:val="top"/>
          </w:tcPr>
          <w:p w14:paraId="4B42E752">
            <w:pPr>
              <w:pStyle w:val="49"/>
              <w:bidi w:val="0"/>
            </w:pPr>
          </w:p>
        </w:tc>
        <w:tc>
          <w:tcPr>
            <w:tcW w:w="915" w:type="dxa"/>
            <w:vAlign w:val="top"/>
          </w:tcPr>
          <w:p w14:paraId="7C238C8C">
            <w:pPr>
              <w:pStyle w:val="49"/>
              <w:bidi w:val="0"/>
            </w:pPr>
          </w:p>
        </w:tc>
      </w:tr>
      <w:tr w14:paraId="6BABBA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596" w:type="dxa"/>
            <w:vAlign w:val="top"/>
          </w:tcPr>
          <w:p w14:paraId="1E50A071">
            <w:pPr>
              <w:pStyle w:val="49"/>
              <w:bidi w:val="0"/>
            </w:pPr>
            <w:r>
              <w:rPr>
                <w:rFonts w:hint="default"/>
                <w:lang w:eastAsia="zh-CN"/>
              </w:rPr>
              <w:t>大树蛙</w:t>
            </w:r>
          </w:p>
        </w:tc>
        <w:tc>
          <w:tcPr>
            <w:tcW w:w="3386" w:type="dxa"/>
            <w:vAlign w:val="top"/>
          </w:tcPr>
          <w:p w14:paraId="55F19257">
            <w:pPr>
              <w:pStyle w:val="49"/>
              <w:bidi w:val="0"/>
            </w:pPr>
            <w:r>
              <w:rPr>
                <w:rFonts w:hint="default"/>
                <w:lang w:eastAsia="zh-CN"/>
              </w:rPr>
              <w:t>Zhangixalus dennysi</w:t>
            </w:r>
          </w:p>
        </w:tc>
        <w:tc>
          <w:tcPr>
            <w:tcW w:w="1248" w:type="dxa"/>
            <w:vAlign w:val="top"/>
          </w:tcPr>
          <w:p w14:paraId="59AAB316">
            <w:pPr>
              <w:pStyle w:val="49"/>
              <w:bidi w:val="0"/>
            </w:pPr>
            <w:r>
              <w:t>2</w:t>
            </w:r>
          </w:p>
        </w:tc>
        <w:tc>
          <w:tcPr>
            <w:tcW w:w="1388" w:type="dxa"/>
            <w:vAlign w:val="top"/>
          </w:tcPr>
          <w:p w14:paraId="7B9D5987">
            <w:pPr>
              <w:pStyle w:val="49"/>
              <w:bidi w:val="0"/>
            </w:pPr>
          </w:p>
        </w:tc>
        <w:tc>
          <w:tcPr>
            <w:tcW w:w="915" w:type="dxa"/>
            <w:vAlign w:val="top"/>
          </w:tcPr>
          <w:p w14:paraId="492150E1">
            <w:pPr>
              <w:pStyle w:val="49"/>
              <w:bidi w:val="0"/>
            </w:pPr>
          </w:p>
        </w:tc>
      </w:tr>
      <w:tr w14:paraId="4D91F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596" w:type="dxa"/>
            <w:vAlign w:val="top"/>
          </w:tcPr>
          <w:p w14:paraId="253A5B7C">
            <w:pPr>
              <w:pStyle w:val="49"/>
              <w:bidi w:val="0"/>
            </w:pPr>
            <w:r>
              <w:t>白头鹎</w:t>
            </w:r>
          </w:p>
        </w:tc>
        <w:tc>
          <w:tcPr>
            <w:tcW w:w="3386" w:type="dxa"/>
            <w:vAlign w:val="top"/>
          </w:tcPr>
          <w:p w14:paraId="5C66CDA7">
            <w:pPr>
              <w:pStyle w:val="49"/>
              <w:bidi w:val="0"/>
            </w:pPr>
            <w:r>
              <w:t>Pycnonotus sinensis</w:t>
            </w:r>
          </w:p>
        </w:tc>
        <w:tc>
          <w:tcPr>
            <w:tcW w:w="1248" w:type="dxa"/>
            <w:vAlign w:val="top"/>
          </w:tcPr>
          <w:p w14:paraId="66FC3A0C">
            <w:pPr>
              <w:pStyle w:val="49"/>
              <w:bidi w:val="0"/>
            </w:pPr>
            <w:r>
              <w:t>3</w:t>
            </w:r>
          </w:p>
        </w:tc>
        <w:tc>
          <w:tcPr>
            <w:tcW w:w="1388" w:type="dxa"/>
            <w:vAlign w:val="top"/>
          </w:tcPr>
          <w:p w14:paraId="10EBA4F2">
            <w:pPr>
              <w:pStyle w:val="49"/>
              <w:bidi w:val="0"/>
            </w:pPr>
          </w:p>
        </w:tc>
        <w:tc>
          <w:tcPr>
            <w:tcW w:w="915" w:type="dxa"/>
            <w:vAlign w:val="top"/>
          </w:tcPr>
          <w:p w14:paraId="5C58C53C">
            <w:pPr>
              <w:pStyle w:val="49"/>
              <w:bidi w:val="0"/>
            </w:pPr>
          </w:p>
        </w:tc>
      </w:tr>
      <w:tr w14:paraId="3FC5DF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1596" w:type="dxa"/>
            <w:vAlign w:val="top"/>
          </w:tcPr>
          <w:p w14:paraId="6299EC62">
            <w:pPr>
              <w:pStyle w:val="49"/>
              <w:bidi w:val="0"/>
            </w:pPr>
            <w:r>
              <w:t>褐家鼠</w:t>
            </w:r>
          </w:p>
        </w:tc>
        <w:tc>
          <w:tcPr>
            <w:tcW w:w="3386" w:type="dxa"/>
            <w:vAlign w:val="top"/>
          </w:tcPr>
          <w:p w14:paraId="69F3B353">
            <w:pPr>
              <w:pStyle w:val="49"/>
              <w:bidi w:val="0"/>
            </w:pPr>
            <w:r>
              <w:t>Rattus norvegicus</w:t>
            </w:r>
          </w:p>
        </w:tc>
        <w:tc>
          <w:tcPr>
            <w:tcW w:w="1248" w:type="dxa"/>
            <w:vAlign w:val="top"/>
          </w:tcPr>
          <w:p w14:paraId="027D4D74">
            <w:pPr>
              <w:pStyle w:val="49"/>
              <w:bidi w:val="0"/>
            </w:pPr>
            <w:r>
              <w:t>4</w:t>
            </w:r>
          </w:p>
        </w:tc>
        <w:tc>
          <w:tcPr>
            <w:tcW w:w="1388" w:type="dxa"/>
            <w:vAlign w:val="top"/>
          </w:tcPr>
          <w:p w14:paraId="6BA83F65">
            <w:pPr>
              <w:pStyle w:val="49"/>
              <w:bidi w:val="0"/>
            </w:pPr>
          </w:p>
        </w:tc>
        <w:tc>
          <w:tcPr>
            <w:tcW w:w="915" w:type="dxa"/>
            <w:vAlign w:val="top"/>
          </w:tcPr>
          <w:p w14:paraId="6F700749">
            <w:pPr>
              <w:pStyle w:val="49"/>
              <w:bidi w:val="0"/>
            </w:pPr>
          </w:p>
        </w:tc>
      </w:tr>
      <w:tr w14:paraId="11AB5E7C">
        <w:tblPrEx>
          <w:tblCellMar>
            <w:top w:w="0" w:type="dxa"/>
            <w:left w:w="0" w:type="dxa"/>
            <w:bottom w:w="0" w:type="dxa"/>
            <w:right w:w="0" w:type="dxa"/>
          </w:tblCellMar>
        </w:tblPrEx>
        <w:trPr>
          <w:trHeight w:val="339" w:hRule="atLeast"/>
        </w:trPr>
        <w:tc>
          <w:tcPr>
            <w:tcW w:w="1596" w:type="dxa"/>
            <w:vAlign w:val="top"/>
          </w:tcPr>
          <w:p w14:paraId="381A85D8">
            <w:pPr>
              <w:pStyle w:val="49"/>
              <w:bidi w:val="0"/>
            </w:pPr>
            <w:r>
              <w:t>树麻雀</w:t>
            </w:r>
          </w:p>
        </w:tc>
        <w:tc>
          <w:tcPr>
            <w:tcW w:w="3386" w:type="dxa"/>
            <w:vAlign w:val="top"/>
          </w:tcPr>
          <w:p w14:paraId="655F6FA9">
            <w:pPr>
              <w:pStyle w:val="49"/>
              <w:bidi w:val="0"/>
            </w:pPr>
            <w:r>
              <w:t>Passer montanus</w:t>
            </w:r>
          </w:p>
        </w:tc>
        <w:tc>
          <w:tcPr>
            <w:tcW w:w="1248" w:type="dxa"/>
            <w:vAlign w:val="top"/>
          </w:tcPr>
          <w:p w14:paraId="25D52D3D">
            <w:pPr>
              <w:pStyle w:val="49"/>
              <w:bidi w:val="0"/>
            </w:pPr>
            <w:r>
              <w:t>2</w:t>
            </w:r>
          </w:p>
        </w:tc>
        <w:tc>
          <w:tcPr>
            <w:tcW w:w="1388" w:type="dxa"/>
            <w:vAlign w:val="top"/>
          </w:tcPr>
          <w:p w14:paraId="50CC87EC">
            <w:pPr>
              <w:pStyle w:val="49"/>
              <w:bidi w:val="0"/>
            </w:pPr>
          </w:p>
        </w:tc>
        <w:tc>
          <w:tcPr>
            <w:tcW w:w="915" w:type="dxa"/>
            <w:vAlign w:val="top"/>
          </w:tcPr>
          <w:p w14:paraId="42B1556F">
            <w:pPr>
              <w:pStyle w:val="49"/>
              <w:bidi w:val="0"/>
            </w:pPr>
          </w:p>
        </w:tc>
      </w:tr>
      <w:tr w14:paraId="0D71EC10">
        <w:tblPrEx>
          <w:tblCellMar>
            <w:top w:w="0" w:type="dxa"/>
            <w:left w:w="0" w:type="dxa"/>
            <w:bottom w:w="0" w:type="dxa"/>
            <w:right w:w="0" w:type="dxa"/>
          </w:tblCellMar>
        </w:tblPrEx>
        <w:trPr>
          <w:trHeight w:val="354" w:hRule="atLeast"/>
        </w:trPr>
        <w:tc>
          <w:tcPr>
            <w:tcW w:w="1596" w:type="dxa"/>
            <w:vAlign w:val="top"/>
          </w:tcPr>
          <w:p w14:paraId="691A65EA">
            <w:pPr>
              <w:pStyle w:val="49"/>
              <w:bidi w:val="0"/>
            </w:pPr>
            <w:r>
              <w:t>中华蟾蜍</w:t>
            </w:r>
          </w:p>
        </w:tc>
        <w:tc>
          <w:tcPr>
            <w:tcW w:w="3386" w:type="dxa"/>
            <w:vAlign w:val="top"/>
          </w:tcPr>
          <w:p w14:paraId="548A5091">
            <w:pPr>
              <w:pStyle w:val="49"/>
              <w:bidi w:val="0"/>
            </w:pPr>
            <w:r>
              <w:t>bufo gargarizans</w:t>
            </w:r>
          </w:p>
        </w:tc>
        <w:tc>
          <w:tcPr>
            <w:tcW w:w="1248" w:type="dxa"/>
            <w:vAlign w:val="top"/>
          </w:tcPr>
          <w:p w14:paraId="68F32862">
            <w:pPr>
              <w:pStyle w:val="49"/>
              <w:bidi w:val="0"/>
            </w:pPr>
            <w:r>
              <w:t>1</w:t>
            </w:r>
          </w:p>
        </w:tc>
        <w:tc>
          <w:tcPr>
            <w:tcW w:w="1388" w:type="dxa"/>
            <w:vAlign w:val="top"/>
          </w:tcPr>
          <w:p w14:paraId="38015C36">
            <w:pPr>
              <w:pStyle w:val="49"/>
              <w:bidi w:val="0"/>
            </w:pPr>
          </w:p>
        </w:tc>
        <w:tc>
          <w:tcPr>
            <w:tcW w:w="915" w:type="dxa"/>
            <w:vAlign w:val="top"/>
          </w:tcPr>
          <w:p w14:paraId="0FB6139B">
            <w:pPr>
              <w:pStyle w:val="49"/>
              <w:bidi w:val="0"/>
            </w:pPr>
          </w:p>
        </w:tc>
      </w:tr>
      <w:tr w14:paraId="016D2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596" w:type="dxa"/>
            <w:vAlign w:val="top"/>
          </w:tcPr>
          <w:p w14:paraId="0BAB81AD">
            <w:pPr>
              <w:pStyle w:val="49"/>
              <w:bidi w:val="0"/>
            </w:pPr>
            <w:r>
              <w:rPr>
                <w:rFonts w:hint="default"/>
                <w:lang w:eastAsia="zh-CN"/>
              </w:rPr>
              <w:t>翠青蛇</w:t>
            </w:r>
          </w:p>
        </w:tc>
        <w:tc>
          <w:tcPr>
            <w:tcW w:w="3386" w:type="dxa"/>
            <w:vAlign w:val="top"/>
          </w:tcPr>
          <w:p w14:paraId="15C11518">
            <w:pPr>
              <w:pStyle w:val="49"/>
              <w:bidi w:val="0"/>
            </w:pPr>
            <w:r>
              <w:rPr>
                <w:rFonts w:hint="default"/>
                <w:lang w:eastAsia="zh-CN"/>
              </w:rPr>
              <w:t>CyclopHiopsmajor</w:t>
            </w:r>
          </w:p>
        </w:tc>
        <w:tc>
          <w:tcPr>
            <w:tcW w:w="1248" w:type="dxa"/>
            <w:vAlign w:val="top"/>
          </w:tcPr>
          <w:p w14:paraId="4FCD9F06">
            <w:pPr>
              <w:pStyle w:val="49"/>
              <w:bidi w:val="0"/>
              <w:rPr>
                <w:rFonts w:hint="eastAsia" w:eastAsia="宋体"/>
                <w:lang w:val="en-US" w:eastAsia="zh-CN"/>
              </w:rPr>
            </w:pPr>
            <w:r>
              <w:rPr>
                <w:rFonts w:hint="eastAsia"/>
                <w:lang w:val="en-US" w:eastAsia="zh-CN"/>
              </w:rPr>
              <w:t>1</w:t>
            </w:r>
          </w:p>
        </w:tc>
        <w:tc>
          <w:tcPr>
            <w:tcW w:w="1388" w:type="dxa"/>
            <w:vAlign w:val="top"/>
          </w:tcPr>
          <w:p w14:paraId="35224E01">
            <w:pPr>
              <w:pStyle w:val="49"/>
              <w:bidi w:val="0"/>
            </w:pPr>
          </w:p>
        </w:tc>
        <w:tc>
          <w:tcPr>
            <w:tcW w:w="915" w:type="dxa"/>
            <w:vAlign w:val="top"/>
          </w:tcPr>
          <w:p w14:paraId="195F057D">
            <w:pPr>
              <w:pStyle w:val="49"/>
              <w:bidi w:val="0"/>
            </w:pPr>
          </w:p>
        </w:tc>
      </w:tr>
    </w:tbl>
    <w:p w14:paraId="55FFF017">
      <w:pPr>
        <w:pStyle w:val="5"/>
        <w:bidi w:val="0"/>
        <w:rPr>
          <w:rFonts w:hint="default"/>
          <w:lang w:eastAsia="zh-CN"/>
        </w:rPr>
      </w:pPr>
      <w:r>
        <w:rPr>
          <w:rFonts w:hint="default"/>
          <w:lang w:eastAsia="zh-CN"/>
        </w:rPr>
        <w:t>重点保护野生动物</w:t>
      </w:r>
    </w:p>
    <w:p w14:paraId="17A42D50">
      <w:pPr>
        <w:pStyle w:val="30"/>
        <w:rPr>
          <w:rFonts w:hint="default"/>
          <w:lang w:eastAsia="zh-CN"/>
        </w:rPr>
      </w:pPr>
      <w:r>
        <w:rPr>
          <w:rFonts w:hint="eastAsia"/>
          <w:lang w:val="en-US" w:eastAsia="zh-CN"/>
        </w:rPr>
        <w:t>1</w:t>
      </w:r>
      <w:r>
        <w:rPr>
          <w:rFonts w:hint="default"/>
          <w:lang w:eastAsia="zh-CN"/>
        </w:rPr>
        <w:t>、国家保护野生动物</w:t>
      </w:r>
    </w:p>
    <w:p w14:paraId="30517582">
      <w:pPr>
        <w:pStyle w:val="30"/>
        <w:rPr>
          <w:rFonts w:hint="default"/>
          <w:lang w:eastAsia="zh-CN"/>
        </w:rPr>
      </w:pPr>
      <w:r>
        <w:rPr>
          <w:rFonts w:hint="default"/>
          <w:lang w:eastAsia="zh-CN"/>
        </w:rPr>
        <w:t>项目评价区域周边海拔较低，属丘陵地形类型，200m以下区域均有公路相通，国家重点保护野生动物种类和数量较少。国家Ⅱ级重点保护野生动物有普通鵟(Buteobuteo)、虎纹蛙(Ranarugulosa)、红隼(Falcotinnunculus)、斑头鸺鹠(Glaucidiumcuculoides)、草鸮(Tytocapensis)的实体。通过查阅资料并经过访问调查，本地区可能栖息的其他国家重点保护野生动物有6种，其中国家Ⅱ级重点保护野生动物5种，分别为赤腹鹰(Accipitersoloensis)、松雀鹰(A.virgatus)、领角鸮(Otusbakkamoena)、红角鸮(O.scops)、短耳鸮(Asioflammeus)，国家Ⅰ级重点保护野生动物1种，为小灵猫(Viverriculaindica)。</w:t>
      </w:r>
    </w:p>
    <w:p w14:paraId="6894A602">
      <w:pPr>
        <w:pStyle w:val="30"/>
        <w:rPr>
          <w:rFonts w:hint="default"/>
          <w:lang w:eastAsia="zh-CN"/>
        </w:rPr>
      </w:pPr>
      <w:r>
        <w:rPr>
          <w:rFonts w:hint="default"/>
          <w:lang w:eastAsia="zh-CN"/>
        </w:rPr>
        <w:t>(1)虎纹蛙Hoplobatrachusrugulosa(Ⅱ级)两栖纲、无尾目、蛙科</w:t>
      </w:r>
    </w:p>
    <w:p w14:paraId="51A380E5">
      <w:pPr>
        <w:pStyle w:val="30"/>
        <w:rPr>
          <w:rFonts w:hint="default"/>
          <w:lang w:eastAsia="zh-CN"/>
        </w:rPr>
      </w:pPr>
      <w:r>
        <w:rPr>
          <w:rFonts w:hint="default"/>
          <w:lang w:eastAsia="zh-CN"/>
        </w:rPr>
        <w:t>鉴别特征:体形大；皮肤粗糙，背部有长短不一、排列不规则的肤棱，一般断续成纵行排列；趾间全蹼。</w:t>
      </w:r>
    </w:p>
    <w:p w14:paraId="621018E0">
      <w:pPr>
        <w:pStyle w:val="30"/>
        <w:rPr>
          <w:rFonts w:hint="default"/>
          <w:lang w:eastAsia="zh-CN"/>
        </w:rPr>
      </w:pPr>
      <w:r>
        <w:rPr>
          <w:rFonts w:hint="default"/>
          <w:lang w:eastAsia="zh-CN"/>
        </w:rPr>
        <w:t>俗称泥蛙、田鸡。一般栖息于丘陵地带山脚下的旷野地带或水田、鱼塘、水坑内，主要生活在稻田区，晚上活动，白天藏匿于泥穴或杂草、石隙中。著名的食用蛙，能捕食农田害虫，具有显著的生态价值。</w:t>
      </w:r>
    </w:p>
    <w:p w14:paraId="1F42A27A">
      <w:pPr>
        <w:pStyle w:val="30"/>
        <w:rPr>
          <w:rFonts w:hint="default"/>
          <w:lang w:eastAsia="zh-CN"/>
        </w:rPr>
      </w:pPr>
      <w:r>
        <w:rPr>
          <w:rFonts w:hint="default"/>
          <w:lang w:eastAsia="zh-CN"/>
        </w:rPr>
        <w:t>(2)赤腹鹰Accipitersoloensis(Ⅱ级)隼形目、鹰科</w:t>
      </w:r>
    </w:p>
    <w:p w14:paraId="6BC7FA0A">
      <w:pPr>
        <w:pStyle w:val="30"/>
        <w:rPr>
          <w:rFonts w:hint="default"/>
          <w:lang w:eastAsia="zh-CN"/>
        </w:rPr>
      </w:pPr>
      <w:r>
        <w:rPr>
          <w:rFonts w:hint="default"/>
          <w:lang w:eastAsia="zh-CN"/>
        </w:rPr>
        <w:t>鉴别特征:小型猛禽。雄鸟头和背蓝灰，翼和尾灰褐，外侧尾羽有4~5道横纹。刻喉乳白，胸和两胁淡红褐。腹中央白色。雌鸟体色较深。飞翔翼下白色与黑色外侧飞羽形成明显对照。</w:t>
      </w:r>
    </w:p>
    <w:p w14:paraId="5BC62BE1">
      <w:pPr>
        <w:pStyle w:val="30"/>
        <w:rPr>
          <w:rFonts w:hint="default"/>
          <w:lang w:eastAsia="zh-CN"/>
        </w:rPr>
      </w:pPr>
      <w:r>
        <w:rPr>
          <w:rFonts w:hint="default"/>
          <w:lang w:eastAsia="zh-CN"/>
        </w:rPr>
        <w:t>多栖息于山林缘，常在山地和村落之间活动。取食小型鸟类、蜥蜴和鞘翅目昆虫等。巢建于森林中的树枝上。在项目区为留鸟。</w:t>
      </w:r>
    </w:p>
    <w:p w14:paraId="49F5294A">
      <w:pPr>
        <w:pStyle w:val="30"/>
        <w:rPr>
          <w:rFonts w:hint="default"/>
          <w:lang w:eastAsia="zh-CN"/>
        </w:rPr>
      </w:pPr>
      <w:r>
        <w:rPr>
          <w:rFonts w:hint="default"/>
          <w:lang w:eastAsia="zh-CN"/>
        </w:rPr>
        <w:t>(3)松雀鹰Accipitervigatusaffinis(Ⅱ级)隼形目、鹰科</w:t>
      </w:r>
    </w:p>
    <w:p w14:paraId="41620A80">
      <w:pPr>
        <w:pStyle w:val="30"/>
        <w:rPr>
          <w:rFonts w:hint="default"/>
          <w:lang w:eastAsia="zh-CN"/>
        </w:rPr>
      </w:pPr>
      <w:r>
        <w:rPr>
          <w:rFonts w:hint="default"/>
          <w:lang w:eastAsia="zh-CN"/>
        </w:rPr>
        <w:t>鉴别特征:上体淡褐，尾具4条褐色横斑。下体白色，喉部中央具一暗褐色宽阔纵纹，胸亦有较多的同色纵纹；胸腹部灰白色，有棕色横斑，尾下覆羽白色。</w:t>
      </w:r>
    </w:p>
    <w:p w14:paraId="768F13DF">
      <w:pPr>
        <w:pStyle w:val="30"/>
        <w:rPr>
          <w:rFonts w:hint="default"/>
          <w:lang w:eastAsia="zh-CN"/>
        </w:rPr>
      </w:pPr>
      <w:r>
        <w:rPr>
          <w:rFonts w:hint="default"/>
          <w:lang w:eastAsia="zh-CN"/>
        </w:rPr>
        <w:t>常单个活动于山间林地，以小鸟及昆虫等为食。在林中高树上营巢，巢小而坚实。项目区内为繁殖留鸟。</w:t>
      </w:r>
    </w:p>
    <w:p w14:paraId="1C56472B">
      <w:pPr>
        <w:pStyle w:val="30"/>
        <w:rPr>
          <w:rFonts w:hint="default"/>
          <w:lang w:eastAsia="zh-CN"/>
        </w:rPr>
      </w:pPr>
      <w:r>
        <w:rPr>
          <w:rFonts w:hint="default"/>
          <w:lang w:eastAsia="zh-CN"/>
        </w:rPr>
        <w:t>(4)普通鵟Buteobuteoburmanicus(Ⅱ级)隼形目、鹰科</w:t>
      </w:r>
    </w:p>
    <w:p w14:paraId="6DE789B8">
      <w:pPr>
        <w:pStyle w:val="30"/>
        <w:rPr>
          <w:rFonts w:hint="default"/>
          <w:lang w:eastAsia="zh-CN"/>
        </w:rPr>
      </w:pPr>
      <w:r>
        <w:rPr>
          <w:rFonts w:hint="default"/>
          <w:lang w:eastAsia="zh-CN"/>
        </w:rPr>
        <w:t>鉴别特征:中型猛禽。上体暗褐，下体亦暗褐而具纵纹。尾具多道横纹。飞翔时两翼宽阔，翼下具白斑，翼外缘黑色。翱翔时两翅上举浅V字形。</w:t>
      </w:r>
    </w:p>
    <w:p w14:paraId="6B9E9053">
      <w:pPr>
        <w:pStyle w:val="30"/>
        <w:rPr>
          <w:rFonts w:hint="default"/>
          <w:lang w:eastAsia="zh-CN"/>
        </w:rPr>
      </w:pPr>
      <w:r>
        <w:rPr>
          <w:rFonts w:hint="default"/>
          <w:lang w:eastAsia="zh-CN"/>
        </w:rPr>
        <w:t>体长500~600mm，嘴强健，黑色。足强壮，黄色；爪强锐，钩状，黑色。上体主要为暗褐色，下体暗褐而具深色横斑和纵纹。尾淡灰褐色，具多道暗色横斑。翼下白色，飞翔时初级飞羽其部有明显的白斑，仅翼尖、翼角和飞羽外缘黑色或黑褐色。尾散开呈扇状。体色变化较大。胸和胁具大型棕褐色粗斑。腹部乳黄，具细纹。尾下覆羽乳黄色。</w:t>
      </w:r>
    </w:p>
    <w:p w14:paraId="57A0075B">
      <w:pPr>
        <w:pStyle w:val="30"/>
        <w:rPr>
          <w:rFonts w:hint="default"/>
          <w:lang w:eastAsia="zh-CN"/>
        </w:rPr>
      </w:pPr>
      <w:r>
        <w:rPr>
          <w:rFonts w:hint="default"/>
          <w:lang w:eastAsia="zh-CN"/>
        </w:rPr>
        <w:t>生活在开阔地带，善盘旋翱翔，多单独活动。以啮齿动物为食，也吃蛙、蜥蜴和蛇类。5~7月繁殖，雌雄轮流孵化，共同育雏。10月南迁越冬，3~4月返回。我国有两个亚种，普通亚种在东北、内蒙繁殖，在长江以南越冬。在项目区为冬候鸟。</w:t>
      </w:r>
    </w:p>
    <w:p w14:paraId="6F1DB285">
      <w:pPr>
        <w:pStyle w:val="30"/>
        <w:rPr>
          <w:rFonts w:hint="default"/>
          <w:lang w:eastAsia="zh-CN"/>
        </w:rPr>
      </w:pPr>
      <w:r>
        <w:rPr>
          <w:rFonts w:hint="default"/>
          <w:lang w:eastAsia="zh-CN"/>
        </w:rPr>
        <w:t>(5)红隼Falcotinnunculus(Ⅱ级)隼形目、鹰科</w:t>
      </w:r>
    </w:p>
    <w:p w14:paraId="06EF999D">
      <w:pPr>
        <w:pStyle w:val="30"/>
        <w:rPr>
          <w:rFonts w:hint="default"/>
          <w:lang w:eastAsia="zh-CN"/>
        </w:rPr>
      </w:pPr>
      <w:r>
        <w:rPr>
          <w:rFonts w:hint="default"/>
          <w:lang w:eastAsia="zh-CN"/>
        </w:rPr>
        <w:t>鉴别特征:小型猛禽。翅狭长而尖，尾亦较长。雄鸟头蓝灰色，背和翅上覆羽砖红色，具三角形黑斑；腰羽尾上覆羽和尾羽蓝灰色；尾具宽阔的黑色次端斑和白色端斑。雌体上体从头至尾棕红色，具黑褐色纵纹和横斑，下体乳黄色。</w:t>
      </w:r>
    </w:p>
    <w:p w14:paraId="64B232C6">
      <w:pPr>
        <w:pStyle w:val="30"/>
        <w:rPr>
          <w:rFonts w:hint="default"/>
          <w:lang w:eastAsia="zh-CN"/>
        </w:rPr>
      </w:pPr>
      <w:r>
        <w:rPr>
          <w:rFonts w:hint="default"/>
          <w:lang w:eastAsia="zh-CN"/>
        </w:rPr>
        <w:t>栖息于多种生境，多栖于村落附近、稀树草坡、开阔山麓及林缘等处。飞时常停于空中，见有猎物，即直下掠之而去。项目区内为留鸟。</w:t>
      </w:r>
    </w:p>
    <w:p w14:paraId="4A2FB9D3">
      <w:pPr>
        <w:pStyle w:val="30"/>
        <w:rPr>
          <w:rFonts w:hint="default"/>
          <w:lang w:eastAsia="zh-CN"/>
        </w:rPr>
      </w:pPr>
      <w:r>
        <w:rPr>
          <w:rFonts w:hint="default"/>
          <w:lang w:eastAsia="zh-CN"/>
        </w:rPr>
        <w:t>(6)草鸮Tytocapensischinensis(Ⅱ级)鸮形目、草鸮科</w:t>
      </w:r>
    </w:p>
    <w:p w14:paraId="77415A0D">
      <w:pPr>
        <w:pStyle w:val="30"/>
        <w:rPr>
          <w:rFonts w:hint="default"/>
          <w:lang w:eastAsia="zh-CN"/>
        </w:rPr>
      </w:pPr>
      <w:r>
        <w:rPr>
          <w:rFonts w:hint="default"/>
          <w:lang w:eastAsia="zh-CN"/>
        </w:rPr>
        <w:t>鉴别特征:中型猛禽。面盘明显，呈心形辉棕色。上体栗褐至黑褐，具橙黄色斑纹。尾较淡，有4道横纹。</w:t>
      </w:r>
    </w:p>
    <w:p w14:paraId="0D55402E">
      <w:pPr>
        <w:pStyle w:val="30"/>
        <w:rPr>
          <w:rFonts w:hint="default"/>
          <w:lang w:eastAsia="zh-CN"/>
        </w:rPr>
      </w:pPr>
      <w:r>
        <w:rPr>
          <w:rFonts w:hint="default"/>
          <w:lang w:eastAsia="zh-CN"/>
        </w:rPr>
        <w:t>俗称猴面鹰。栖息于山地耕作区附近的森林中。昼伏夜出，肉食性，以捕食鼠类为主。项目区为繁殖留鸟。</w:t>
      </w:r>
    </w:p>
    <w:p w14:paraId="7795E27B">
      <w:pPr>
        <w:pStyle w:val="30"/>
        <w:rPr>
          <w:rFonts w:hint="default"/>
          <w:lang w:eastAsia="zh-CN"/>
        </w:rPr>
      </w:pPr>
      <w:r>
        <w:rPr>
          <w:rFonts w:hint="default"/>
          <w:lang w:eastAsia="zh-CN"/>
        </w:rPr>
        <w:t>(7)斑头鸺鹠Glaucidiumcuculoides(Ⅱ级)鸮形目、鸱鸮科</w:t>
      </w:r>
    </w:p>
    <w:p w14:paraId="16407CD5">
      <w:pPr>
        <w:pStyle w:val="30"/>
        <w:rPr>
          <w:rFonts w:hint="default"/>
          <w:lang w:eastAsia="zh-CN"/>
        </w:rPr>
      </w:pPr>
      <w:r>
        <w:rPr>
          <w:rFonts w:hint="default"/>
          <w:lang w:eastAsia="zh-CN"/>
        </w:rPr>
        <w:t>鉴别特征:小型鸮类。面盘不明显，无耳羽簇。体羽褐色，头和上、下体羽均具细的白色横斑；腹白色，下腹和肛周具宽阔的褐色纵纹，喉具一显著白色斑。</w:t>
      </w:r>
    </w:p>
    <w:p w14:paraId="6041CF12">
      <w:pPr>
        <w:pStyle w:val="30"/>
        <w:rPr>
          <w:rFonts w:hint="default"/>
          <w:lang w:eastAsia="zh-CN"/>
        </w:rPr>
      </w:pPr>
      <w:r>
        <w:rPr>
          <w:rFonts w:hint="default"/>
          <w:lang w:eastAsia="zh-CN"/>
        </w:rPr>
        <w:t>俗称猫头鹰。生活在丘陵及山地的阔叶林中，昼夜均活动，能像鹰那样在空中捕</w:t>
      </w:r>
    </w:p>
    <w:p w14:paraId="2C6B70CB">
      <w:pPr>
        <w:pStyle w:val="30"/>
        <w:rPr>
          <w:rFonts w:hint="default"/>
          <w:lang w:eastAsia="zh-CN"/>
        </w:rPr>
      </w:pPr>
      <w:r>
        <w:rPr>
          <w:rFonts w:hint="default"/>
          <w:lang w:eastAsia="zh-CN"/>
        </w:rPr>
        <w:t>捉小鸟和大型昆虫，主食昆虫，亦食鼠类。保护区内为留鸟。</w:t>
      </w:r>
    </w:p>
    <w:p w14:paraId="57757844">
      <w:pPr>
        <w:pStyle w:val="30"/>
        <w:rPr>
          <w:rFonts w:hint="default"/>
          <w:lang w:eastAsia="zh-CN"/>
        </w:rPr>
      </w:pPr>
      <w:r>
        <w:rPr>
          <w:rFonts w:hint="default"/>
          <w:lang w:eastAsia="zh-CN"/>
        </w:rPr>
        <w:t>(8)领角鸮Otusbakkamoenaerythrocampe(Ⅱ级)鸮形目、鸱鸮科</w:t>
      </w:r>
    </w:p>
    <w:p w14:paraId="5EFED97F">
      <w:pPr>
        <w:pStyle w:val="30"/>
        <w:rPr>
          <w:rFonts w:hint="default"/>
          <w:lang w:eastAsia="zh-CN"/>
        </w:rPr>
      </w:pPr>
      <w:r>
        <w:rPr>
          <w:rFonts w:hint="default"/>
          <w:lang w:eastAsia="zh-CN"/>
        </w:rPr>
        <w:t>鉴别特征:小型鸮类。外形和红角鸮非常相似，但它后颈基部有一显著的翎领。上体通常为灰褐色，并杂有暗色虫囊状斑和黑色羽干纹；下体白色到淡土黄褐色，各羽大多具褐色轴纹和虫囊状细斑。肛周及尾下覆羽白色。</w:t>
      </w:r>
    </w:p>
    <w:p w14:paraId="511D2E8A">
      <w:pPr>
        <w:pStyle w:val="30"/>
        <w:rPr>
          <w:rFonts w:hint="default"/>
          <w:lang w:eastAsia="zh-CN"/>
        </w:rPr>
      </w:pPr>
      <w:r>
        <w:rPr>
          <w:rFonts w:hint="default"/>
          <w:lang w:eastAsia="zh-CN"/>
        </w:rPr>
        <w:t>多见于山地林缘，昼伏夜出。巢营于树洞中，以鼠类和小鸟为主食，飞行迅速无声，叫声单调低沉。项目区内为留鸟。</w:t>
      </w:r>
    </w:p>
    <w:p w14:paraId="056F702B">
      <w:pPr>
        <w:pStyle w:val="30"/>
        <w:rPr>
          <w:rFonts w:hint="default"/>
          <w:lang w:eastAsia="zh-CN"/>
        </w:rPr>
      </w:pPr>
      <w:r>
        <w:rPr>
          <w:rFonts w:hint="default"/>
          <w:lang w:eastAsia="zh-CN"/>
        </w:rPr>
        <w:t>(9)红角鸮Otusscopsmalayanus(Ⅱ级)鸮形目、鸱鸮科</w:t>
      </w:r>
    </w:p>
    <w:p w14:paraId="26FE008B">
      <w:pPr>
        <w:pStyle w:val="30"/>
        <w:rPr>
          <w:rFonts w:hint="default"/>
          <w:lang w:eastAsia="zh-CN"/>
        </w:rPr>
      </w:pPr>
      <w:r>
        <w:rPr>
          <w:rFonts w:hint="default"/>
          <w:lang w:eastAsia="zh-CN"/>
        </w:rPr>
        <w:t>鉴别特征:小型鸮类。面盘呈灰褐色，四周围以棕褐色和黑色皱领，耳簇羽显著。上体黑色，密布虫蠹状黑色细纹；颏棕白色；下体余部灰白色，黑褐色羽干纹显著。</w:t>
      </w:r>
    </w:p>
    <w:p w14:paraId="74D454B2">
      <w:pPr>
        <w:pStyle w:val="30"/>
        <w:rPr>
          <w:rFonts w:hint="default"/>
          <w:lang w:eastAsia="zh-CN"/>
        </w:rPr>
      </w:pPr>
      <w:r>
        <w:rPr>
          <w:rFonts w:hint="default"/>
          <w:lang w:eastAsia="zh-CN"/>
        </w:rPr>
        <w:t>昼伏密林，多藏于浓密枝叶之下，静缩不动，亦不鸣叫。入夜即飞出觅食。项目区内为繁殖留鸟。</w:t>
      </w:r>
    </w:p>
    <w:p w14:paraId="3FD1E40F">
      <w:pPr>
        <w:pStyle w:val="30"/>
        <w:rPr>
          <w:rFonts w:hint="default"/>
          <w:lang w:eastAsia="zh-CN"/>
        </w:rPr>
      </w:pPr>
      <w:r>
        <w:rPr>
          <w:rFonts w:hint="default"/>
          <w:lang w:eastAsia="zh-CN"/>
        </w:rPr>
        <w:t>(10)短耳鸮Asioflammeus(Ⅱ级)鸮形目、鸱鸮科</w:t>
      </w:r>
    </w:p>
    <w:p w14:paraId="1368BBB7">
      <w:pPr>
        <w:pStyle w:val="30"/>
        <w:rPr>
          <w:rFonts w:hint="default"/>
          <w:lang w:eastAsia="zh-CN"/>
        </w:rPr>
      </w:pPr>
      <w:r>
        <w:rPr>
          <w:rFonts w:hint="default"/>
          <w:lang w:eastAsia="zh-CN"/>
        </w:rPr>
        <w:t>鉴别特征:中等体型(38cm)，黄褐色鸮鸟。翼长，面庞显著，短小的耳羽簇于野外不可见，眼为光艳的黄色，眼圈暗色。上体黄褐，满布黑色和皮黄色纵纹；下体皮黄色，具深褐色纵纹。飞行时黑色的腕斑显而易见。</w:t>
      </w:r>
    </w:p>
    <w:p w14:paraId="6FFC45A7">
      <w:pPr>
        <w:pStyle w:val="30"/>
        <w:rPr>
          <w:rFonts w:hint="default"/>
          <w:lang w:eastAsia="zh-CN"/>
        </w:rPr>
      </w:pPr>
      <w:r>
        <w:rPr>
          <w:rFonts w:hint="default"/>
          <w:lang w:eastAsia="zh-CN"/>
        </w:rPr>
        <w:t>2、湖南省地方重点野生保护动物</w:t>
      </w:r>
    </w:p>
    <w:p w14:paraId="6A23DF18">
      <w:pPr>
        <w:pStyle w:val="30"/>
        <w:rPr>
          <w:rFonts w:hint="default"/>
          <w:lang w:eastAsia="zh-CN"/>
        </w:rPr>
      </w:pPr>
      <w:r>
        <w:rPr>
          <w:rFonts w:hint="default"/>
          <w:lang w:eastAsia="zh-CN"/>
        </w:rPr>
        <w:t>评价区范围内有湖南省级保护野生动物65种，其中两栖类8种，爬行类10种，鸟类37种，哺乳类10种。主要包括中华蟾蜍、黑眶蟾蜍、沼蛙、花臭蛙、华南湍蛙、棘腹蛙、饰纹姬蛙、斑腿泛树蛙、中华鳖、铜蜓蜥、中国石龙子、北草蜥、舟山眼镜蛇、翠青蛇、赤链蛇、黑眉晨蛇、王锦蛇、虎斑颈槽蛇、灰胸竹鸡、环颈雉、山斑鸠、珠颈斑鸠、四声杜鹃、大杜鹃、池鹭、斑姬啄木鸟、白头鹎、松鸦、金腰燕、叉尾太阳鸟、黑尾蜡嘴雀、东北刺猬、黄腹鼬、黄鼬、鼬獾、果子狸、野猪、隐纹花松鼠、华南兔等。其中两栖类主要分布在海拔较低的山沟、溪流、池塘、水田附近的草甸等区域。爬行类主要分布在影响范围内水源附近的林地、灌丛、灌草丛中。鸟类中的环颈雉、珠颈斑鸠等主要分布在评价区的林缘、农田等区域；大杜鹃、四声杜鹃和大山雀等在评价区高大的乔木林中有分布，小白腰雨燕、红尾伯劳、大山雀等主要分布在评价区的阔叶林、针叶林、灌丛和灌草丛中；小䴙䴘、夜鹭、普通翠鸟主要分布在评价区水库、池塘、河流和水田等区域。兽类中黄鼬、鼬獾等主要分布在评价区荒地、灌丛、灌草丛等区域；果子狸、野猪、隐纹花松鼠等主要分布于评价区植被生长良好的林地和林缘地区，黄鼬、华南兔在评价区较常见。</w:t>
      </w:r>
    </w:p>
    <w:p w14:paraId="04B9D217">
      <w:pPr>
        <w:pStyle w:val="30"/>
        <w:rPr>
          <w:rFonts w:hint="default"/>
          <w:lang w:eastAsia="zh-CN"/>
        </w:rPr>
      </w:pPr>
      <w:r>
        <w:rPr>
          <w:rFonts w:hint="default"/>
          <w:lang w:eastAsia="zh-CN"/>
        </w:rPr>
        <w:t>3、施工场地区域动物资源概况</w:t>
      </w:r>
    </w:p>
    <w:p w14:paraId="2D2B3B51">
      <w:pPr>
        <w:pStyle w:val="30"/>
        <w:rPr>
          <w:rFonts w:hint="default"/>
          <w:lang w:eastAsia="zh-CN"/>
        </w:rPr>
      </w:pPr>
      <w:r>
        <w:rPr>
          <w:rFonts w:hint="default"/>
          <w:lang w:eastAsia="zh-CN"/>
        </w:rPr>
        <w:t>a)坝址区域动物概况</w:t>
      </w:r>
    </w:p>
    <w:p w14:paraId="5706F4D1">
      <w:pPr>
        <w:pStyle w:val="30"/>
        <w:rPr>
          <w:rFonts w:hint="default"/>
          <w:lang w:eastAsia="zh-CN"/>
        </w:rPr>
      </w:pPr>
      <w:r>
        <w:rPr>
          <w:rFonts w:hint="default"/>
          <w:lang w:eastAsia="zh-CN"/>
        </w:rPr>
        <w:t>坝址区域的动物主要两栖类有中华蟾蜍、泽陆蛙、黑斑侧褶蛙和饰纹姬蛙。爬行类动物有铜蜓蜥、铅色水蛇(Enhydrisplunbea)、灰鼠蛇、王锦蛇(ElapHecarinata)、黑眉锦蛇和乌梢蛇等，鸟类主要有普通翠鸟、白鹡鸰、白鹭、池鹭、白眉鸭(Anasquerquedula)等鸟类以及能够适应人类环境的鸟类，家燕、白鹡鸰、白头鹎、领雀嘴鹎、棕背伯劳、八哥、乌鸫、黑卷尾(Dicrurusmacrocercus)、鹊鸲(Copsychussaularis)、大山雀、树麻雀、珠颈斑鸠、白腰文鸟等；以常见小型鸟类为主。哺乳类主要为小型种类，以鼠类为主，主要有黄胸鼠(Rattusflavipectus)、褐家鼠和小家鼠等种类，优势种为褐家鼠。略大型的哺乳类由于人类活动频繁，一般都踪迹难觅。</w:t>
      </w:r>
    </w:p>
    <w:p w14:paraId="0785E9C4">
      <w:pPr>
        <w:pStyle w:val="30"/>
        <w:rPr>
          <w:rFonts w:hint="default"/>
          <w:lang w:eastAsia="zh-CN"/>
        </w:rPr>
      </w:pPr>
      <w:r>
        <w:rPr>
          <w:rFonts w:hint="default"/>
          <w:lang w:eastAsia="zh-CN"/>
        </w:rPr>
        <w:t>以上施工区域未见国家重点陆生保护野生动物踪迹。</w:t>
      </w:r>
    </w:p>
    <w:p w14:paraId="1F23245D">
      <w:pPr>
        <w:pStyle w:val="30"/>
        <w:rPr>
          <w:rFonts w:hint="default"/>
          <w:lang w:eastAsia="zh-CN"/>
        </w:rPr>
      </w:pPr>
      <w:r>
        <w:rPr>
          <w:rFonts w:hint="default"/>
          <w:lang w:eastAsia="zh-CN"/>
        </w:rPr>
        <w:t>b)弃渣场动物概况</w:t>
      </w:r>
    </w:p>
    <w:p w14:paraId="33BE10FB">
      <w:pPr>
        <w:pStyle w:val="30"/>
        <w:rPr>
          <w:rFonts w:hint="default"/>
          <w:lang w:eastAsia="zh-CN"/>
        </w:rPr>
      </w:pPr>
      <w:r>
        <w:rPr>
          <w:rFonts w:hint="default"/>
          <w:lang w:eastAsia="zh-CN"/>
        </w:rPr>
        <w:t>弃渣场区域动物资源主要以两栖类、鼠型啮齿类和食谷、食虫篱园形鸟居多，林栖大型兽类较少。陆栖脊椎动物多为小弧斑姬蛙、泽蛙、沼蛙、北草蜥、翠青蛇、黄鼬、野兔、獾、啄木鸟、麻雀等以及鼠类等中、小型野生动物。人工饲养动物为一些常见的家畜家禽，如猪、牛、羊、狗、鸡、鸭、鹅等。</w:t>
      </w:r>
    </w:p>
    <w:p w14:paraId="4CEF70DD">
      <w:pPr>
        <w:pStyle w:val="5"/>
        <w:bidi w:val="0"/>
        <w:rPr>
          <w:rFonts w:hint="default"/>
          <w:lang w:eastAsia="zh-CN"/>
        </w:rPr>
      </w:pPr>
      <w:r>
        <w:rPr>
          <w:rFonts w:hint="default"/>
          <w:lang w:eastAsia="zh-CN"/>
        </w:rPr>
        <w:t>.珍稀濒危野生保护植物</w:t>
      </w:r>
    </w:p>
    <w:p w14:paraId="485FD97C">
      <w:pPr>
        <w:pStyle w:val="30"/>
        <w:rPr>
          <w:rFonts w:hint="default"/>
          <w:lang w:eastAsia="zh-CN"/>
        </w:rPr>
      </w:pPr>
      <w:r>
        <w:rPr>
          <w:rFonts w:hint="default"/>
          <w:lang w:eastAsia="zh-CN"/>
        </w:rPr>
        <w:t>施工用地范围内未发现任何珍稀濒危野生保护动植物，无重点保护野生动物栖息地、重点保护野生植物生长繁殖地。</w:t>
      </w:r>
    </w:p>
    <w:p w14:paraId="01BD87D0">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r>
        <w:rPr>
          <w:rFonts w:hint="default" w:ascii="Times New Roman" w:hAnsi="Times New Roman" w:cs="Times New Roman"/>
          <w:color w:val="auto"/>
          <w:u w:val="none" w:color="auto"/>
          <w:lang w:val="en-US" w:eastAsia="zh-CN"/>
        </w:rPr>
        <w:t>现状</w:t>
      </w:r>
      <w:r>
        <w:rPr>
          <w:rFonts w:hint="default" w:ascii="Times New Roman" w:hAnsi="Times New Roman" w:cs="Times New Roman"/>
          <w:color w:val="auto"/>
          <w:u w:val="none" w:color="auto"/>
        </w:rPr>
        <w:t>调查</w:t>
      </w:r>
    </w:p>
    <w:p w14:paraId="788C7C52">
      <w:pPr>
        <w:pStyle w:val="16"/>
        <w:rPr>
          <w:rFonts w:hint="default"/>
          <w:lang w:eastAsia="zh-CN"/>
        </w:rPr>
      </w:pPr>
      <w:r>
        <w:rPr>
          <w:rFonts w:hint="default"/>
          <w:lang w:eastAsia="zh-CN"/>
        </w:rPr>
        <w:t>本次环评通过资料收集、实地调查访问等资料的分析，对水生植物及浮游生物、底栖生物现状进行了调查研究。</w:t>
      </w:r>
    </w:p>
    <w:p w14:paraId="0117DBC4">
      <w:pPr>
        <w:pStyle w:val="16"/>
        <w:rPr>
          <w:rFonts w:hint="default"/>
          <w:lang w:eastAsia="zh-CN"/>
        </w:rPr>
      </w:pPr>
      <w:r>
        <w:rPr>
          <w:rFonts w:hint="default"/>
          <w:lang w:eastAsia="zh-CN"/>
        </w:rPr>
        <w:t>根据前文章节，本项目为水生生态二级评价，调查时间：202</w:t>
      </w:r>
      <w:r>
        <w:rPr>
          <w:rFonts w:hint="eastAsia"/>
          <w:lang w:val="en-US" w:eastAsia="zh-CN"/>
        </w:rPr>
        <w:t>5</w:t>
      </w:r>
      <w:r>
        <w:rPr>
          <w:rFonts w:hint="default"/>
          <w:lang w:eastAsia="zh-CN"/>
        </w:rPr>
        <w:t>年</w:t>
      </w:r>
      <w:r>
        <w:rPr>
          <w:rFonts w:hint="eastAsia"/>
          <w:lang w:val="en-US" w:eastAsia="zh-CN"/>
        </w:rPr>
        <w:t>5</w:t>
      </w:r>
      <w:r>
        <w:rPr>
          <w:rFonts w:hint="default"/>
          <w:lang w:eastAsia="zh-CN"/>
        </w:rPr>
        <w:t>月；</w:t>
      </w:r>
    </w:p>
    <w:p w14:paraId="0D6D020D">
      <w:pPr>
        <w:pStyle w:val="16"/>
        <w:rPr>
          <w:rFonts w:hint="default"/>
          <w:lang w:eastAsia="zh-CN"/>
        </w:rPr>
      </w:pPr>
      <w:r>
        <w:rPr>
          <w:rFonts w:hint="default"/>
          <w:lang w:eastAsia="zh-CN"/>
        </w:rPr>
        <w:t>调查地点：水库大坝处、库尾处各设置一个水生生态监测点，各点位基本信息详见下表。</w:t>
      </w:r>
    </w:p>
    <w:p w14:paraId="23EEB168">
      <w:pPr>
        <w:pStyle w:val="118"/>
        <w:bidi w:val="0"/>
      </w:pPr>
      <w:r>
        <w:t>表 5.</w:t>
      </w:r>
      <w:r>
        <w:rPr>
          <w:rFonts w:hint="eastAsia"/>
          <w:lang w:val="en-US" w:eastAsia="zh-CN"/>
        </w:rPr>
        <w:t>3</w:t>
      </w:r>
      <w:r>
        <w:t>-</w:t>
      </w:r>
      <w:r>
        <w:rPr>
          <w:rFonts w:hint="eastAsia"/>
          <w:lang w:val="en-US" w:eastAsia="zh-CN"/>
        </w:rPr>
        <w:t>29</w:t>
      </w:r>
      <w:r>
        <w:t xml:space="preserve">   水生生态监测点位基本信息</w:t>
      </w:r>
    </w:p>
    <w:tbl>
      <w:tblPr>
        <w:tblStyle w:val="162"/>
        <w:tblW w:w="853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18"/>
        <w:gridCol w:w="1745"/>
        <w:gridCol w:w="879"/>
        <w:gridCol w:w="3490"/>
      </w:tblGrid>
      <w:tr w14:paraId="282F7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418" w:type="dxa"/>
            <w:vMerge w:val="restart"/>
            <w:tcBorders>
              <w:bottom w:val="nil"/>
            </w:tcBorders>
            <w:vAlign w:val="top"/>
          </w:tcPr>
          <w:p w14:paraId="25825557">
            <w:pPr>
              <w:pStyle w:val="49"/>
              <w:bidi w:val="0"/>
            </w:pPr>
            <w:r>
              <w:t>点位编号</w:t>
            </w:r>
          </w:p>
        </w:tc>
        <w:tc>
          <w:tcPr>
            <w:tcW w:w="6114" w:type="dxa"/>
            <w:gridSpan w:val="3"/>
            <w:vAlign w:val="top"/>
          </w:tcPr>
          <w:p w14:paraId="3D66B8CA">
            <w:pPr>
              <w:pStyle w:val="49"/>
              <w:bidi w:val="0"/>
            </w:pPr>
            <w:r>
              <w:t>地理坐标</w:t>
            </w:r>
          </w:p>
        </w:tc>
      </w:tr>
      <w:tr w14:paraId="57C284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418" w:type="dxa"/>
            <w:vMerge w:val="continue"/>
            <w:tcBorders>
              <w:top w:val="nil"/>
            </w:tcBorders>
            <w:vAlign w:val="top"/>
          </w:tcPr>
          <w:p w14:paraId="7C9A9F9E">
            <w:pPr>
              <w:pStyle w:val="49"/>
              <w:bidi w:val="0"/>
            </w:pPr>
          </w:p>
        </w:tc>
        <w:tc>
          <w:tcPr>
            <w:tcW w:w="2624" w:type="dxa"/>
            <w:gridSpan w:val="2"/>
            <w:vAlign w:val="top"/>
          </w:tcPr>
          <w:p w14:paraId="172AC07A">
            <w:pPr>
              <w:pStyle w:val="49"/>
              <w:bidi w:val="0"/>
            </w:pPr>
            <w:r>
              <w:t>东经 E</w:t>
            </w:r>
          </w:p>
        </w:tc>
        <w:tc>
          <w:tcPr>
            <w:tcW w:w="3490" w:type="dxa"/>
            <w:vAlign w:val="top"/>
          </w:tcPr>
          <w:p w14:paraId="63E78A4E">
            <w:pPr>
              <w:pStyle w:val="49"/>
              <w:bidi w:val="0"/>
            </w:pPr>
            <w:r>
              <w:t>北纬 N</w:t>
            </w:r>
          </w:p>
        </w:tc>
      </w:tr>
      <w:tr w14:paraId="0DE3E3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418" w:type="dxa"/>
            <w:vAlign w:val="top"/>
          </w:tcPr>
          <w:p w14:paraId="020D45FA">
            <w:pPr>
              <w:pStyle w:val="49"/>
              <w:bidi w:val="0"/>
            </w:pPr>
            <w:r>
              <w:t>1</w:t>
            </w:r>
          </w:p>
        </w:tc>
        <w:tc>
          <w:tcPr>
            <w:tcW w:w="2624" w:type="dxa"/>
            <w:gridSpan w:val="2"/>
            <w:vAlign w:val="top"/>
          </w:tcPr>
          <w:p w14:paraId="2A70D3BF">
            <w:pPr>
              <w:pStyle w:val="49"/>
              <w:bidi w:val="0"/>
            </w:pPr>
            <w:r>
              <w:rPr>
                <w:rFonts w:hint="eastAsia"/>
              </w:rPr>
              <w:t>111.594877300</w:t>
            </w:r>
          </w:p>
        </w:tc>
        <w:tc>
          <w:tcPr>
            <w:tcW w:w="3490" w:type="dxa"/>
            <w:vAlign w:val="top"/>
          </w:tcPr>
          <w:p w14:paraId="25ADB596">
            <w:pPr>
              <w:pStyle w:val="49"/>
              <w:bidi w:val="0"/>
            </w:pPr>
            <w:r>
              <w:rPr>
                <w:rFonts w:hint="eastAsia"/>
              </w:rPr>
              <w:t>25.679729843</w:t>
            </w:r>
          </w:p>
        </w:tc>
      </w:tr>
      <w:tr w14:paraId="679931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418" w:type="dxa"/>
            <w:vAlign w:val="top"/>
          </w:tcPr>
          <w:p w14:paraId="79C0CF3B">
            <w:pPr>
              <w:pStyle w:val="49"/>
              <w:bidi w:val="0"/>
            </w:pPr>
            <w:r>
              <w:t>2</w:t>
            </w:r>
          </w:p>
        </w:tc>
        <w:tc>
          <w:tcPr>
            <w:tcW w:w="2624" w:type="dxa"/>
            <w:gridSpan w:val="2"/>
            <w:vAlign w:val="top"/>
          </w:tcPr>
          <w:p w14:paraId="4A1C95B7">
            <w:pPr>
              <w:pStyle w:val="49"/>
              <w:bidi w:val="0"/>
            </w:pPr>
            <w:r>
              <w:rPr>
                <w:rFonts w:hint="eastAsia"/>
              </w:rPr>
              <w:t>111.596351915</w:t>
            </w:r>
          </w:p>
        </w:tc>
        <w:tc>
          <w:tcPr>
            <w:tcW w:w="3490" w:type="dxa"/>
            <w:vAlign w:val="top"/>
          </w:tcPr>
          <w:p w14:paraId="196EDBF4">
            <w:pPr>
              <w:pStyle w:val="49"/>
              <w:bidi w:val="0"/>
            </w:pPr>
            <w:r>
              <w:rPr>
                <w:rFonts w:hint="eastAsia"/>
              </w:rPr>
              <w:t>25.687877962</w:t>
            </w:r>
          </w:p>
        </w:tc>
      </w:tr>
      <w:tr w14:paraId="134321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6" w:hRule="atLeast"/>
        </w:trPr>
        <w:tc>
          <w:tcPr>
            <w:tcW w:w="4163" w:type="dxa"/>
            <w:gridSpan w:val="2"/>
            <w:tcBorders>
              <w:bottom w:val="nil"/>
            </w:tcBorders>
            <w:vAlign w:val="top"/>
          </w:tcPr>
          <w:p w14:paraId="4122E813">
            <w:pPr>
              <w:pStyle w:val="49"/>
              <w:bidi w:val="0"/>
            </w:pPr>
            <w:r>
              <w:rPr>
                <w:rFonts w:hint="default" w:ascii="Times New Roman" w:hAnsi="Times New Roman" w:eastAsia="宋体" w:cs="Times New Roman"/>
                <w:color w:val="auto"/>
                <w:u w:val="none" w:color="auto"/>
                <w:lang w:eastAsia="zh-CN"/>
              </w:rPr>
              <w:drawing>
                <wp:inline distT="0" distB="0" distL="114300" distR="114300">
                  <wp:extent cx="2590800" cy="1943100"/>
                  <wp:effectExtent l="0" t="0" r="0" b="0"/>
                  <wp:docPr id="47" name="图片 47" descr="IMG2024082712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20240827122133"/>
                          <pic:cNvPicPr>
                            <a:picLocks noChangeAspect="1"/>
                          </pic:cNvPicPr>
                        </pic:nvPicPr>
                        <pic:blipFill>
                          <a:blip r:embed="rId66"/>
                          <a:stretch>
                            <a:fillRect/>
                          </a:stretch>
                        </pic:blipFill>
                        <pic:spPr>
                          <a:xfrm>
                            <a:off x="0" y="0"/>
                            <a:ext cx="2590800" cy="1943100"/>
                          </a:xfrm>
                          <a:prstGeom prst="rect">
                            <a:avLst/>
                          </a:prstGeom>
                        </pic:spPr>
                      </pic:pic>
                    </a:graphicData>
                  </a:graphic>
                </wp:inline>
              </w:drawing>
            </w:r>
          </w:p>
        </w:tc>
        <w:tc>
          <w:tcPr>
            <w:tcW w:w="4369" w:type="dxa"/>
            <w:gridSpan w:val="2"/>
            <w:vAlign w:val="top"/>
          </w:tcPr>
          <w:p w14:paraId="45F07B0E">
            <w:pPr>
              <w:pStyle w:val="49"/>
              <w:bidi w:val="0"/>
            </w:pPr>
            <w:r>
              <w:rPr>
                <w:rFonts w:hint="default" w:ascii="Times New Roman" w:hAnsi="Times New Roman" w:eastAsia="宋体" w:cs="Times New Roman"/>
                <w:color w:val="auto"/>
                <w:u w:val="none" w:color="auto"/>
                <w:lang w:eastAsia="zh-CN"/>
              </w:rPr>
              <w:drawing>
                <wp:inline distT="0" distB="0" distL="114300" distR="114300">
                  <wp:extent cx="2590800" cy="1943100"/>
                  <wp:effectExtent l="0" t="0" r="0" b="0"/>
                  <wp:docPr id="75" name="图片 75" descr="IMG2024082712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20240827122209"/>
                          <pic:cNvPicPr>
                            <a:picLocks noChangeAspect="1"/>
                          </pic:cNvPicPr>
                        </pic:nvPicPr>
                        <pic:blipFill>
                          <a:blip r:embed="rId67"/>
                          <a:stretch>
                            <a:fillRect/>
                          </a:stretch>
                        </pic:blipFill>
                        <pic:spPr>
                          <a:xfrm>
                            <a:off x="0" y="0"/>
                            <a:ext cx="2590800" cy="1943100"/>
                          </a:xfrm>
                          <a:prstGeom prst="rect">
                            <a:avLst/>
                          </a:prstGeom>
                        </pic:spPr>
                      </pic:pic>
                    </a:graphicData>
                  </a:graphic>
                </wp:inline>
              </w:drawing>
            </w:r>
          </w:p>
        </w:tc>
      </w:tr>
      <w:tr w14:paraId="4DB7AE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8532" w:type="dxa"/>
            <w:gridSpan w:val="4"/>
            <w:vAlign w:val="top"/>
          </w:tcPr>
          <w:p w14:paraId="294875D9">
            <w:pPr>
              <w:pStyle w:val="49"/>
              <w:bidi w:val="0"/>
            </w:pPr>
            <w:r>
              <w:rPr>
                <w:rFonts w:hint="eastAsia"/>
                <w:lang w:val="en-US" w:eastAsia="zh-CN"/>
              </w:rPr>
              <w:t>廊洞</w:t>
            </w:r>
            <w:r>
              <w:t>水库</w:t>
            </w:r>
          </w:p>
        </w:tc>
      </w:tr>
    </w:tbl>
    <w:p w14:paraId="3AB3766F">
      <w:pPr>
        <w:pStyle w:val="16"/>
        <w:rPr>
          <w:rFonts w:hint="default"/>
          <w:lang w:eastAsia="zh-CN"/>
        </w:rPr>
      </w:pPr>
      <w:r>
        <w:rPr>
          <w:rFonts w:hint="eastAsia"/>
          <w:lang w:val="en-US" w:eastAsia="zh-CN"/>
        </w:rPr>
        <w:t>1、</w:t>
      </w:r>
      <w:r>
        <w:rPr>
          <w:rFonts w:hint="default"/>
          <w:lang w:eastAsia="zh-CN"/>
        </w:rPr>
        <w:t>调查方法</w:t>
      </w:r>
    </w:p>
    <w:p w14:paraId="78AA1969">
      <w:pPr>
        <w:pStyle w:val="16"/>
        <w:rPr>
          <w:rFonts w:hint="default"/>
          <w:lang w:eastAsia="zh-CN"/>
        </w:rPr>
      </w:pPr>
      <w:r>
        <w:rPr>
          <w:rFonts w:hint="default"/>
          <w:lang w:eastAsia="zh-CN"/>
        </w:rPr>
        <w:t>1）浮游植物</w:t>
      </w:r>
    </w:p>
    <w:p w14:paraId="5CCAF18B">
      <w:pPr>
        <w:pStyle w:val="16"/>
        <w:rPr>
          <w:rFonts w:hint="default"/>
          <w:lang w:eastAsia="zh-CN"/>
        </w:rPr>
      </w:pPr>
      <w:r>
        <w:rPr>
          <w:rFonts w:hint="default"/>
          <w:lang w:eastAsia="zh-CN"/>
        </w:rPr>
        <w:t>浮游植物的采集包括定性采集和定量采集。定性采集采用25号筛绢制成的浮游生物网在水中拖曳采集。定量采集则采用2500ml采水器取上、中、下层水样，经充分混合后，取2000ml水样（根据江水泥沙含量、浮游植物数量等实际情况决定取样量，并采用泥沙分离的方法），加入鲁哥氏液固定，经过48h静置沉淀，浓缩并定容至约30ml，保存待检。一般同断面的浮游植物与原生动物、轮虫共一份定性、定量样品。</w:t>
      </w:r>
    </w:p>
    <w:p w14:paraId="4585E6CB">
      <w:pPr>
        <w:pStyle w:val="16"/>
        <w:rPr>
          <w:rFonts w:hint="default"/>
          <w:lang w:eastAsia="zh-CN"/>
        </w:rPr>
      </w:pPr>
      <w:r>
        <w:rPr>
          <w:rFonts w:hint="default"/>
          <w:lang w:eastAsia="zh-CN"/>
        </w:rPr>
        <w:t>2）浮游动物</w:t>
      </w:r>
    </w:p>
    <w:p w14:paraId="6F5BD218">
      <w:pPr>
        <w:pStyle w:val="16"/>
        <w:rPr>
          <w:rFonts w:hint="default"/>
          <w:lang w:eastAsia="zh-CN"/>
        </w:rPr>
      </w:pPr>
      <w:r>
        <w:rPr>
          <w:rFonts w:hint="default"/>
          <w:lang w:eastAsia="zh-CN"/>
        </w:rPr>
        <w:t>①、原生动物和轮虫</w:t>
      </w:r>
    </w:p>
    <w:p w14:paraId="2E475ADD">
      <w:pPr>
        <w:pStyle w:val="16"/>
        <w:rPr>
          <w:rFonts w:hint="default"/>
          <w:lang w:eastAsia="zh-CN"/>
        </w:rPr>
      </w:pPr>
      <w:r>
        <w:rPr>
          <w:rFonts w:hint="default"/>
          <w:lang w:eastAsia="zh-CN"/>
        </w:rPr>
        <w:t>原生动物和轮虫的采集包括定性采集和定量采集。定性采集采用25号筛绢制成的浮游生物网在水中拖曳采集，将网头中的样品放入50ml样品瓶中，加福尔马林液2.5ml进行固定。定量采集则采用2500ml采水器不同水层中采集一定量的水样，经充分混合后，取2000ml的水样，然后加入鲁哥氏液固定，经过48h以上的静置沉淀浓缩为标准样。一般同断面的浮游植物与原生动物、轮虫共一份定性、定量样品。</w:t>
      </w:r>
    </w:p>
    <w:p w14:paraId="695A35A6">
      <w:pPr>
        <w:pStyle w:val="16"/>
        <w:rPr>
          <w:rFonts w:hint="default"/>
          <w:lang w:eastAsia="zh-CN"/>
        </w:rPr>
      </w:pPr>
      <w:r>
        <w:rPr>
          <w:rFonts w:hint="default"/>
          <w:lang w:eastAsia="zh-CN"/>
        </w:rPr>
        <w:t>②、枝角类和桡足类</w:t>
      </w:r>
    </w:p>
    <w:p w14:paraId="3D8453B2">
      <w:pPr>
        <w:pStyle w:val="16"/>
        <w:rPr>
          <w:rFonts w:hint="default"/>
          <w:lang w:eastAsia="zh-CN"/>
        </w:rPr>
      </w:pPr>
      <w:r>
        <w:rPr>
          <w:rFonts w:hint="default"/>
          <w:lang w:eastAsia="zh-CN"/>
        </w:rPr>
        <w:t>定性采集采用13号筛绢制成的浮游生物网在水中拖曳采集，将网头中的样品放入50ml样品瓶中，加福尔马林液2.5ml进行固定。定量采集则采用2500ml采水器不同水层中采集一定量的水样，经充分混合后，取10L的水样用25号筛绢制成的浮游生物网过滤后，将网头中的样品放入50ml样品瓶中，加福尔马林液2.5ml进行固定。</w:t>
      </w:r>
    </w:p>
    <w:p w14:paraId="23A27F8E">
      <w:pPr>
        <w:pStyle w:val="16"/>
        <w:rPr>
          <w:rFonts w:hint="default"/>
          <w:lang w:eastAsia="zh-CN"/>
        </w:rPr>
      </w:pPr>
      <w:r>
        <w:rPr>
          <w:rFonts w:hint="default"/>
          <w:lang w:eastAsia="zh-CN"/>
        </w:rPr>
        <w:t>3）底栖动物</w:t>
      </w:r>
    </w:p>
    <w:p w14:paraId="7A6CE962">
      <w:pPr>
        <w:pStyle w:val="16"/>
        <w:rPr>
          <w:rFonts w:hint="default"/>
          <w:lang w:eastAsia="zh-CN"/>
        </w:rPr>
      </w:pPr>
      <w:r>
        <w:rPr>
          <w:rFonts w:hint="default"/>
          <w:lang w:eastAsia="zh-CN"/>
        </w:rPr>
        <w:t>底栖动物分三大类水生昆虫。依据断面长度布设采样点，用Petersen氏底泥采集器采集定量样品，每个采样点采泥样2~3个。水生昆虫定性样品采集同定量样品。砾石底质无法用采泥器挖取的，捞取砾石用60目筛绢网筛洗或直接翻起石块在水流下方用筛绢网捞取。</w:t>
      </w:r>
    </w:p>
    <w:p w14:paraId="5885F03D">
      <w:pPr>
        <w:pStyle w:val="16"/>
        <w:rPr>
          <w:rFonts w:hint="default"/>
          <w:lang w:eastAsia="zh-CN"/>
        </w:rPr>
      </w:pPr>
      <w:r>
        <w:rPr>
          <w:rFonts w:hint="default"/>
          <w:lang w:eastAsia="zh-CN"/>
        </w:rPr>
        <w:t>4）鱼类</w:t>
      </w:r>
    </w:p>
    <w:p w14:paraId="59F04D10">
      <w:pPr>
        <w:pStyle w:val="16"/>
        <w:rPr>
          <w:rFonts w:hint="default"/>
          <w:lang w:eastAsia="zh-CN"/>
        </w:rPr>
      </w:pPr>
      <w:r>
        <w:rPr>
          <w:rFonts w:hint="default"/>
          <w:lang w:eastAsia="zh-CN"/>
        </w:rPr>
        <w:t>①、鱼类种类组成</w:t>
      </w:r>
    </w:p>
    <w:p w14:paraId="683A0CA7">
      <w:pPr>
        <w:pStyle w:val="16"/>
        <w:rPr>
          <w:rFonts w:hint="default"/>
          <w:lang w:eastAsia="zh-CN"/>
        </w:rPr>
      </w:pPr>
      <w:r>
        <w:rPr>
          <w:rFonts w:hint="default"/>
          <w:lang w:eastAsia="zh-CN"/>
        </w:rPr>
        <w:t>根据鱼类种类组成研究方法，在不同河段设置站点，对调查范围内的鱼类资源进行全面调查。采取捕捞、市场调查和走访相结合的方法，采集鱼类标本、收集资料、做好记录，标本用福尔马林固定保存。通过对标本的分类鉴定，资料的分析整理，编制出鱼类种类组成名录。</w:t>
      </w:r>
    </w:p>
    <w:p w14:paraId="020770EF">
      <w:pPr>
        <w:pStyle w:val="16"/>
        <w:rPr>
          <w:rFonts w:hint="default"/>
          <w:lang w:eastAsia="zh-CN"/>
        </w:rPr>
      </w:pPr>
      <w:r>
        <w:rPr>
          <w:rFonts w:hint="default"/>
          <w:lang w:eastAsia="zh-CN"/>
        </w:rPr>
        <w:t>②、鱼类资源现状</w:t>
      </w:r>
    </w:p>
    <w:p w14:paraId="058C66E8">
      <w:pPr>
        <w:pStyle w:val="16"/>
        <w:rPr>
          <w:rFonts w:hint="default"/>
          <w:lang w:eastAsia="zh-CN"/>
        </w:rPr>
      </w:pPr>
      <w:r>
        <w:rPr>
          <w:rFonts w:hint="default"/>
          <w:lang w:eastAsia="zh-CN"/>
        </w:rPr>
        <w:t>鱼类资源量的调查采取社会捕捞渔获物统计分析结合现场调查取样进行。采用访问调查和统计表调查方法，调查资源量和渔获量。向渔业主管部门和渔政管理部门及渔民调查了解渔业资源现状以及鱼类资源管理中存在的问题。对渔获物资料进行整理分析，得出各工作站点主要捕捞对象及其在渔获物中所占比重，不同捕捞渔具渔获物的长度和重量组成，以判断鱼类资源状况。</w:t>
      </w:r>
    </w:p>
    <w:p w14:paraId="32DF45BE">
      <w:pPr>
        <w:pStyle w:val="16"/>
        <w:rPr>
          <w:rFonts w:hint="default"/>
          <w:lang w:eastAsia="zh-CN"/>
        </w:rPr>
      </w:pPr>
      <w:r>
        <w:rPr>
          <w:rFonts w:hint="default"/>
          <w:lang w:eastAsia="zh-CN"/>
        </w:rPr>
        <w:t>③、鱼类“三场”</w:t>
      </w:r>
    </w:p>
    <w:p w14:paraId="373DCE90">
      <w:pPr>
        <w:pStyle w:val="16"/>
        <w:rPr>
          <w:rFonts w:hint="default"/>
          <w:lang w:eastAsia="zh-CN"/>
        </w:rPr>
      </w:pPr>
      <w:r>
        <w:rPr>
          <w:rFonts w:hint="default"/>
          <w:lang w:eastAsia="zh-CN"/>
        </w:rPr>
        <w:t>走访沿江居民和主要捕捞人员，了解不同季节鱼类主要集中地和鱼类种群组成，结合鱼类生物学特性和水文学特征，分析鱼类“三场”分布情况，并通过有经验的捕捞人员进行验证。鱼类调查方法按《内陆水域鱼类资源调查手册》进行。</w:t>
      </w:r>
    </w:p>
    <w:p w14:paraId="59B35718">
      <w:pPr>
        <w:pStyle w:val="5"/>
        <w:bidi w:val="0"/>
        <w:rPr>
          <w:rFonts w:hint="default"/>
          <w:lang w:eastAsia="zh-CN"/>
        </w:rPr>
      </w:pPr>
      <w:r>
        <w:rPr>
          <w:rFonts w:hint="default"/>
          <w:lang w:eastAsia="zh-CN"/>
        </w:rPr>
        <w:t>水生植物</w:t>
      </w:r>
    </w:p>
    <w:p w14:paraId="5227718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1、水生维管束植物</w:t>
      </w:r>
    </w:p>
    <w:p w14:paraId="369E7CB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调查水域共发现水生维管束植物</w:t>
      </w:r>
      <w:r>
        <w:rPr>
          <w:rFonts w:hint="default" w:ascii="Times New Roman" w:hAnsi="Times New Roman" w:cs="Times New Roman"/>
          <w:color w:val="auto"/>
          <w:u w:val="none" w:color="auto"/>
          <w:lang w:val="en-US" w:eastAsia="zh-CN"/>
        </w:rPr>
        <w:t>1</w:t>
      </w:r>
      <w:r>
        <w:rPr>
          <w:rFonts w:hint="eastAsia" w:cs="Times New Roman"/>
          <w:color w:val="auto"/>
          <w:u w:val="none" w:color="auto"/>
          <w:lang w:val="en-US" w:eastAsia="zh-CN"/>
        </w:rPr>
        <w:t>4</w:t>
      </w:r>
      <w:r>
        <w:rPr>
          <w:rFonts w:hint="default" w:ascii="Times New Roman" w:hAnsi="Times New Roman" w:cs="Times New Roman"/>
          <w:color w:val="auto"/>
          <w:u w:val="none" w:color="auto"/>
        </w:rPr>
        <w:t>种。水生植物以沉水植物为主，黑藻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Hydrilla verticillata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和竹叶眼子菜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Potamogeton wrightii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是优势种，亚洲苦草</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Vallisneria asiatica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、穗状狐尾藻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Myrio</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yllum spicatum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、金鱼藻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 xml:space="preserve"> Cerato</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yllum demersum</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等伴生其间</w:t>
      </w:r>
      <w:r>
        <w:rPr>
          <w:rFonts w:hint="eastAsia" w:cs="Times New Roman"/>
          <w:color w:val="auto"/>
          <w:u w:val="none" w:color="auto"/>
          <w:lang w:eastAsia="zh-CN"/>
        </w:rPr>
        <w:t>，</w:t>
      </w:r>
      <w:r>
        <w:rPr>
          <w:rFonts w:hint="default" w:ascii="Times New Roman" w:hAnsi="Times New Roman" w:cs="Times New Roman"/>
          <w:color w:val="auto"/>
          <w:u w:val="none" w:color="auto"/>
        </w:rPr>
        <w:t>岸边及沙洲上生长有水蓼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Polyogum hydropiper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等</w:t>
      </w:r>
      <w:r>
        <w:rPr>
          <w:rFonts w:hint="default" w:ascii="Times New Roman" w:hAnsi="Times New Roman" w:cs="Times New Roman"/>
          <w:color w:val="auto"/>
          <w:u w:val="none" w:color="auto"/>
          <w:lang w:eastAsia="zh-CN"/>
        </w:rPr>
        <w:t>。</w:t>
      </w:r>
    </w:p>
    <w:p w14:paraId="6B1FD2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浮游植物</w:t>
      </w:r>
    </w:p>
    <w:p w14:paraId="119920D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根据收集评价区相关资料，</w:t>
      </w:r>
      <w:r>
        <w:rPr>
          <w:rFonts w:hint="default" w:ascii="Times New Roman" w:hAnsi="Times New Roman" w:cs="Times New Roman"/>
          <w:color w:val="auto"/>
          <w:u w:val="none" w:color="auto"/>
        </w:rPr>
        <w:t>评价区内浮游植物共计4门36属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。其中蓝藻门8种，占总数的22.22%；裸藻门1种，占总数的2.78%；绿藻门15种，占总数的41.67%；硅藻门12种，占总数的33.33%。调查水域浮游植物组成以硅藻、蓝藻、绿藻三种藻类为主。</w:t>
      </w:r>
    </w:p>
    <w:p w14:paraId="3B19C41D">
      <w:pPr>
        <w:pStyle w:val="118"/>
        <w:bidi w:val="0"/>
        <w:rPr>
          <w:rFonts w:hint="default"/>
        </w:rPr>
      </w:pPr>
      <w:r>
        <w:rPr>
          <w:rFonts w:hint="default"/>
        </w:rPr>
        <w:t>表</w:t>
      </w:r>
      <w:r>
        <w:rPr>
          <w:rFonts w:hint="eastAsia"/>
          <w:lang w:val="en-US" w:eastAsia="zh-CN"/>
        </w:rPr>
        <w:t>5</w:t>
      </w:r>
      <w:r>
        <w:rPr>
          <w:rFonts w:hint="eastAsia"/>
          <w:lang w:eastAsia="zh-CN"/>
        </w:rPr>
        <w:t>.3-</w:t>
      </w:r>
      <w:r>
        <w:rPr>
          <w:rFonts w:hint="eastAsia"/>
          <w:lang w:val="en-US" w:eastAsia="zh-CN"/>
        </w:rPr>
        <w:t>30</w:t>
      </w:r>
      <w:r>
        <w:rPr>
          <w:rFonts w:hint="default"/>
        </w:rPr>
        <w:t xml:space="preserve">  评价区浮游植物名录</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555A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8A0A33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54F9079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7B857CA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65C9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4869E35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一、蓝藻门 </w:t>
            </w:r>
            <w:r>
              <w:rPr>
                <w:rFonts w:hint="default" w:ascii="Times New Roman" w:hAnsi="Times New Roman" w:cs="Times New Roman"/>
                <w:i/>
                <w:iCs/>
                <w:color w:val="auto"/>
                <w:kern w:val="0"/>
                <w:u w:val="none" w:color="auto"/>
              </w:rPr>
              <w:t>Cyano</w:t>
            </w:r>
            <w:r>
              <w:rPr>
                <w:rFonts w:hint="default" w:ascii="Times New Roman" w:hAnsi="Times New Roman" w:cs="Times New Roman"/>
                <w:i/>
                <w:iCs/>
                <w:color w:val="auto"/>
                <w:kern w:val="0"/>
                <w:u w:val="none" w:color="auto"/>
                <w:lang w:eastAsia="zh-CN"/>
              </w:rPr>
              <w:t>pH</w:t>
            </w:r>
            <w:r>
              <w:rPr>
                <w:rFonts w:hint="default" w:ascii="Times New Roman" w:hAnsi="Times New Roman" w:cs="Times New Roman"/>
                <w:i/>
                <w:iCs/>
                <w:color w:val="auto"/>
                <w:kern w:val="0"/>
                <w:u w:val="none" w:color="auto"/>
              </w:rPr>
              <w:t>yta</w:t>
            </w:r>
          </w:p>
        </w:tc>
      </w:tr>
      <w:tr w14:paraId="0A65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8DCD1B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843" w:type="dxa"/>
            <w:noWrap w:val="0"/>
            <w:vAlign w:val="center"/>
          </w:tcPr>
          <w:p w14:paraId="1A5C74C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蓝纤维藻</w:t>
            </w:r>
          </w:p>
        </w:tc>
        <w:tc>
          <w:tcPr>
            <w:tcW w:w="2843" w:type="dxa"/>
            <w:noWrap w:val="0"/>
            <w:vAlign w:val="center"/>
          </w:tcPr>
          <w:p w14:paraId="63340F83">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Dactylococcopsis sp.</w:t>
            </w:r>
          </w:p>
        </w:tc>
      </w:tr>
      <w:tr w14:paraId="4CB73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77DB3B5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843" w:type="dxa"/>
            <w:noWrap w:val="0"/>
            <w:vAlign w:val="center"/>
          </w:tcPr>
          <w:p w14:paraId="0E4E091E">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微囊藻</w:t>
            </w:r>
          </w:p>
        </w:tc>
        <w:tc>
          <w:tcPr>
            <w:tcW w:w="2843" w:type="dxa"/>
            <w:noWrap w:val="0"/>
            <w:vAlign w:val="center"/>
          </w:tcPr>
          <w:p w14:paraId="239383A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Microcystis sp.</w:t>
            </w:r>
          </w:p>
        </w:tc>
      </w:tr>
      <w:tr w14:paraId="3015A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0F7B4D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1349A0F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颤藻</w:t>
            </w:r>
          </w:p>
        </w:tc>
        <w:tc>
          <w:tcPr>
            <w:tcW w:w="2843" w:type="dxa"/>
            <w:noWrap w:val="0"/>
            <w:vAlign w:val="center"/>
          </w:tcPr>
          <w:p w14:paraId="3E6C1A4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Oscilla toria sp.</w:t>
            </w:r>
          </w:p>
        </w:tc>
      </w:tr>
      <w:tr w14:paraId="304B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488A9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1AABE33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席藻</w:t>
            </w:r>
          </w:p>
        </w:tc>
        <w:tc>
          <w:tcPr>
            <w:tcW w:w="2843" w:type="dxa"/>
            <w:noWrap w:val="0"/>
            <w:vAlign w:val="center"/>
          </w:tcPr>
          <w:p w14:paraId="2C2BEBA7">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ormidium sp.</w:t>
            </w:r>
          </w:p>
        </w:tc>
      </w:tr>
      <w:tr w14:paraId="092EF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7C37365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48C95F6E">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鱼腥藻</w:t>
            </w:r>
          </w:p>
        </w:tc>
        <w:tc>
          <w:tcPr>
            <w:tcW w:w="2843" w:type="dxa"/>
            <w:noWrap w:val="0"/>
            <w:vAlign w:val="center"/>
          </w:tcPr>
          <w:p w14:paraId="5D6C535B">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Anabaena sp.</w:t>
            </w:r>
          </w:p>
        </w:tc>
      </w:tr>
      <w:tr w14:paraId="0AA16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4669DF4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843" w:type="dxa"/>
            <w:noWrap w:val="0"/>
            <w:vAlign w:val="center"/>
          </w:tcPr>
          <w:p w14:paraId="0E85AA4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尖头藻</w:t>
            </w:r>
          </w:p>
        </w:tc>
        <w:tc>
          <w:tcPr>
            <w:tcW w:w="2843" w:type="dxa"/>
            <w:noWrap w:val="0"/>
            <w:vAlign w:val="center"/>
          </w:tcPr>
          <w:p w14:paraId="2B4DB2C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Ra</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idiopsis sp.</w:t>
            </w:r>
          </w:p>
        </w:tc>
      </w:tr>
      <w:tr w14:paraId="1896F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E42FD1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843" w:type="dxa"/>
            <w:noWrap w:val="0"/>
            <w:vAlign w:val="center"/>
          </w:tcPr>
          <w:p w14:paraId="714D1B1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腔球藻</w:t>
            </w:r>
          </w:p>
        </w:tc>
        <w:tc>
          <w:tcPr>
            <w:tcW w:w="2843" w:type="dxa"/>
            <w:noWrap w:val="0"/>
            <w:vAlign w:val="center"/>
          </w:tcPr>
          <w:p w14:paraId="340B1416">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Coelos</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aerium sp.</w:t>
            </w:r>
          </w:p>
        </w:tc>
      </w:tr>
      <w:tr w14:paraId="1E8DF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7AE5A6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843" w:type="dxa"/>
            <w:noWrap w:val="0"/>
            <w:vAlign w:val="center"/>
          </w:tcPr>
          <w:p w14:paraId="3FCFEB84">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平裂藻</w:t>
            </w:r>
          </w:p>
        </w:tc>
        <w:tc>
          <w:tcPr>
            <w:tcW w:w="2843" w:type="dxa"/>
            <w:noWrap w:val="0"/>
            <w:vAlign w:val="center"/>
          </w:tcPr>
          <w:p w14:paraId="01CC85D7">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Merismopedia sp.</w:t>
            </w:r>
          </w:p>
        </w:tc>
      </w:tr>
      <w:tr w14:paraId="1B235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07842A4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二、</w:t>
            </w:r>
            <w:r>
              <w:rPr>
                <w:rFonts w:hint="default" w:ascii="Times New Roman" w:hAnsi="Times New Roman" w:cs="Times New Roman"/>
                <w:color w:val="auto"/>
                <w:u w:val="none" w:color="auto"/>
              </w:rPr>
              <w:t>裸藻门</w:t>
            </w:r>
            <w:r>
              <w:rPr>
                <w:rFonts w:hint="default" w:ascii="Times New Roman" w:hAnsi="Times New Roman" w:cs="Times New Roman"/>
                <w:i/>
                <w:iCs/>
                <w:color w:val="auto"/>
                <w:u w:val="none" w:color="auto"/>
              </w:rPr>
              <w:t>Engleno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65941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5424B4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843" w:type="dxa"/>
            <w:noWrap w:val="0"/>
            <w:vAlign w:val="center"/>
          </w:tcPr>
          <w:p w14:paraId="0CC4D78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裸藻</w:t>
            </w:r>
          </w:p>
        </w:tc>
        <w:tc>
          <w:tcPr>
            <w:tcW w:w="2843" w:type="dxa"/>
            <w:noWrap w:val="0"/>
            <w:vAlign w:val="center"/>
          </w:tcPr>
          <w:p w14:paraId="5CE331C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Euglena sp.</w:t>
            </w:r>
          </w:p>
        </w:tc>
      </w:tr>
      <w:tr w14:paraId="6B52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5F7CDEF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三、绿藻门</w:t>
            </w:r>
            <w:r>
              <w:rPr>
                <w:rFonts w:hint="default" w:ascii="Times New Roman" w:hAnsi="Times New Roman" w:cs="Times New Roman"/>
                <w:i/>
                <w:iCs/>
                <w:color w:val="auto"/>
                <w:u w:val="none" w:color="auto"/>
              </w:rPr>
              <w:t>Chloro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552D2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84D90B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843" w:type="dxa"/>
            <w:noWrap w:val="0"/>
            <w:vAlign w:val="center"/>
          </w:tcPr>
          <w:p w14:paraId="0F9D0D4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水绵</w:t>
            </w:r>
          </w:p>
        </w:tc>
        <w:tc>
          <w:tcPr>
            <w:tcW w:w="2843" w:type="dxa"/>
            <w:noWrap w:val="0"/>
            <w:vAlign w:val="center"/>
          </w:tcPr>
          <w:p w14:paraId="7E472C0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Spirogvra sp.</w:t>
            </w:r>
          </w:p>
        </w:tc>
      </w:tr>
      <w:tr w14:paraId="63351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F9481E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843" w:type="dxa"/>
            <w:noWrap w:val="0"/>
            <w:vAlign w:val="center"/>
          </w:tcPr>
          <w:p w14:paraId="4A208FD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团藻</w:t>
            </w:r>
          </w:p>
        </w:tc>
        <w:tc>
          <w:tcPr>
            <w:tcW w:w="2843" w:type="dxa"/>
            <w:noWrap w:val="0"/>
            <w:vAlign w:val="center"/>
          </w:tcPr>
          <w:p w14:paraId="2EBC57E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Volvax sp.</w:t>
            </w:r>
          </w:p>
        </w:tc>
      </w:tr>
      <w:tr w14:paraId="5408F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FC8E3C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843" w:type="dxa"/>
            <w:noWrap w:val="0"/>
            <w:vAlign w:val="center"/>
          </w:tcPr>
          <w:p w14:paraId="6D72B8A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栅藻</w:t>
            </w:r>
          </w:p>
        </w:tc>
        <w:tc>
          <w:tcPr>
            <w:tcW w:w="2843" w:type="dxa"/>
            <w:noWrap w:val="0"/>
            <w:vAlign w:val="center"/>
          </w:tcPr>
          <w:p w14:paraId="69D9328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Scenedesmns sp.</w:t>
            </w:r>
          </w:p>
        </w:tc>
      </w:tr>
      <w:tr w14:paraId="56367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4B41DC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843" w:type="dxa"/>
            <w:noWrap w:val="0"/>
            <w:vAlign w:val="center"/>
          </w:tcPr>
          <w:p w14:paraId="6E8BEB4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纤维藻</w:t>
            </w:r>
          </w:p>
        </w:tc>
        <w:tc>
          <w:tcPr>
            <w:tcW w:w="2843" w:type="dxa"/>
            <w:noWrap w:val="0"/>
            <w:vAlign w:val="center"/>
          </w:tcPr>
          <w:p w14:paraId="0595129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Ankistrodesmus sp.</w:t>
            </w:r>
          </w:p>
        </w:tc>
      </w:tr>
      <w:tr w14:paraId="5C1AE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869343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843" w:type="dxa"/>
            <w:noWrap w:val="0"/>
            <w:vAlign w:val="center"/>
          </w:tcPr>
          <w:p w14:paraId="222B0C3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小球藻</w:t>
            </w:r>
          </w:p>
        </w:tc>
        <w:tc>
          <w:tcPr>
            <w:tcW w:w="2843" w:type="dxa"/>
            <w:noWrap w:val="0"/>
            <w:vAlign w:val="center"/>
          </w:tcPr>
          <w:p w14:paraId="786D968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Chlorella sp.</w:t>
            </w:r>
          </w:p>
        </w:tc>
      </w:tr>
      <w:tr w14:paraId="525C0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02291A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843" w:type="dxa"/>
            <w:noWrap w:val="0"/>
            <w:vAlign w:val="center"/>
          </w:tcPr>
          <w:p w14:paraId="232566A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盘星藻</w:t>
            </w:r>
          </w:p>
        </w:tc>
        <w:tc>
          <w:tcPr>
            <w:tcW w:w="2843" w:type="dxa"/>
            <w:noWrap w:val="0"/>
            <w:vAlign w:val="center"/>
          </w:tcPr>
          <w:p w14:paraId="6965195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Pediastrum sp.</w:t>
            </w:r>
          </w:p>
        </w:tc>
      </w:tr>
      <w:tr w14:paraId="6D3A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667B52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843" w:type="dxa"/>
            <w:noWrap w:val="0"/>
            <w:vAlign w:val="center"/>
          </w:tcPr>
          <w:p w14:paraId="21A25B6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丝藻</w:t>
            </w:r>
          </w:p>
        </w:tc>
        <w:tc>
          <w:tcPr>
            <w:tcW w:w="2843" w:type="dxa"/>
            <w:noWrap w:val="0"/>
            <w:vAlign w:val="center"/>
          </w:tcPr>
          <w:p w14:paraId="2E06B86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Ulothrix sp.</w:t>
            </w:r>
          </w:p>
        </w:tc>
      </w:tr>
      <w:tr w14:paraId="58968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7AB62F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843" w:type="dxa"/>
            <w:noWrap w:val="0"/>
            <w:vAlign w:val="center"/>
          </w:tcPr>
          <w:p w14:paraId="34FD7ED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新月藻</w:t>
            </w:r>
          </w:p>
        </w:tc>
        <w:tc>
          <w:tcPr>
            <w:tcW w:w="2843" w:type="dxa"/>
            <w:noWrap w:val="0"/>
            <w:vAlign w:val="center"/>
          </w:tcPr>
          <w:p w14:paraId="39CE8F0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Closterium sp.</w:t>
            </w:r>
          </w:p>
        </w:tc>
      </w:tr>
      <w:tr w14:paraId="10CA4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8F080B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843" w:type="dxa"/>
            <w:noWrap w:val="0"/>
            <w:vAlign w:val="center"/>
          </w:tcPr>
          <w:p w14:paraId="453FA68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胶网藻</w:t>
            </w:r>
          </w:p>
        </w:tc>
        <w:tc>
          <w:tcPr>
            <w:tcW w:w="2843" w:type="dxa"/>
            <w:noWrap w:val="0"/>
            <w:vAlign w:val="center"/>
          </w:tcPr>
          <w:p w14:paraId="13E65DA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Dictyos</w:t>
            </w:r>
            <w:r>
              <w:rPr>
                <w:rFonts w:hint="default" w:ascii="Times New Roman" w:hAnsi="Times New Roman" w:cs="Times New Roman"/>
                <w:color w:val="auto"/>
                <w:kern w:val="0"/>
                <w:szCs w:val="21"/>
                <w:u w:val="none" w:color="auto"/>
                <w:lang w:eastAsia="zh-CN"/>
              </w:rPr>
              <w:t>pH</w:t>
            </w:r>
            <w:r>
              <w:rPr>
                <w:rFonts w:hint="default" w:ascii="Times New Roman" w:hAnsi="Times New Roman" w:cs="Times New Roman"/>
                <w:color w:val="auto"/>
                <w:kern w:val="0"/>
                <w:szCs w:val="21"/>
                <w:u w:val="none" w:color="auto"/>
              </w:rPr>
              <w:t>aerium sp.</w:t>
            </w:r>
          </w:p>
        </w:tc>
      </w:tr>
      <w:tr w14:paraId="2A60C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31CB78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843" w:type="dxa"/>
            <w:noWrap w:val="0"/>
            <w:vAlign w:val="center"/>
          </w:tcPr>
          <w:p w14:paraId="37B8861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微孢藻</w:t>
            </w:r>
          </w:p>
        </w:tc>
        <w:tc>
          <w:tcPr>
            <w:tcW w:w="2843" w:type="dxa"/>
            <w:noWrap w:val="0"/>
            <w:vAlign w:val="center"/>
          </w:tcPr>
          <w:p w14:paraId="04BB1B5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Microspora sp.</w:t>
            </w:r>
          </w:p>
        </w:tc>
      </w:tr>
      <w:tr w14:paraId="7918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1F1742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843" w:type="dxa"/>
            <w:noWrap w:val="0"/>
            <w:vAlign w:val="center"/>
          </w:tcPr>
          <w:p w14:paraId="4B3C5AF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鼓藻</w:t>
            </w:r>
          </w:p>
        </w:tc>
        <w:tc>
          <w:tcPr>
            <w:tcW w:w="2843" w:type="dxa"/>
            <w:noWrap w:val="0"/>
            <w:vAlign w:val="center"/>
          </w:tcPr>
          <w:p w14:paraId="37463D0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Cosmarium sp.</w:t>
            </w:r>
          </w:p>
        </w:tc>
      </w:tr>
      <w:tr w14:paraId="24535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E82D52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843" w:type="dxa"/>
            <w:noWrap w:val="0"/>
            <w:vAlign w:val="center"/>
          </w:tcPr>
          <w:p w14:paraId="07772FB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角顶鼓藻</w:t>
            </w:r>
          </w:p>
        </w:tc>
        <w:tc>
          <w:tcPr>
            <w:tcW w:w="2843" w:type="dxa"/>
            <w:noWrap w:val="0"/>
            <w:vAlign w:val="center"/>
          </w:tcPr>
          <w:p w14:paraId="1C31A4F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Triploceras sp.</w:t>
            </w:r>
          </w:p>
        </w:tc>
      </w:tr>
      <w:tr w14:paraId="3D186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E025CE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843" w:type="dxa"/>
            <w:noWrap w:val="0"/>
            <w:vAlign w:val="center"/>
          </w:tcPr>
          <w:p w14:paraId="2A061D5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宽板藻</w:t>
            </w:r>
          </w:p>
        </w:tc>
        <w:tc>
          <w:tcPr>
            <w:tcW w:w="2843" w:type="dxa"/>
            <w:noWrap w:val="0"/>
            <w:vAlign w:val="center"/>
          </w:tcPr>
          <w:p w14:paraId="5635C97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Pleurotaenium sp.</w:t>
            </w:r>
          </w:p>
        </w:tc>
      </w:tr>
      <w:tr w14:paraId="166E7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0F13496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843" w:type="dxa"/>
            <w:noWrap w:val="0"/>
            <w:vAlign w:val="center"/>
          </w:tcPr>
          <w:p w14:paraId="1AD8DDF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转板藻</w:t>
            </w:r>
          </w:p>
        </w:tc>
        <w:tc>
          <w:tcPr>
            <w:tcW w:w="2843" w:type="dxa"/>
            <w:noWrap w:val="0"/>
            <w:vAlign w:val="center"/>
          </w:tcPr>
          <w:p w14:paraId="6D8690B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Mougeopia sp.</w:t>
            </w:r>
          </w:p>
        </w:tc>
      </w:tr>
      <w:tr w14:paraId="57779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A5BA52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843" w:type="dxa"/>
            <w:noWrap w:val="0"/>
            <w:vAlign w:val="center"/>
          </w:tcPr>
          <w:p w14:paraId="32DEBBC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空球藻</w:t>
            </w:r>
          </w:p>
        </w:tc>
        <w:tc>
          <w:tcPr>
            <w:tcW w:w="2843" w:type="dxa"/>
            <w:noWrap w:val="0"/>
            <w:vAlign w:val="center"/>
          </w:tcPr>
          <w:p w14:paraId="20807DA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Eudorinasp.</w:t>
            </w:r>
          </w:p>
        </w:tc>
      </w:tr>
      <w:tr w14:paraId="3B2E3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3"/>
            <w:noWrap w:val="0"/>
            <w:vAlign w:val="top"/>
          </w:tcPr>
          <w:p w14:paraId="095059B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四、硅藻门</w:t>
            </w:r>
            <w:r>
              <w:rPr>
                <w:rFonts w:hint="default" w:ascii="Times New Roman" w:hAnsi="Times New Roman" w:cs="Times New Roman"/>
                <w:i/>
                <w:iCs/>
                <w:color w:val="auto"/>
                <w:u w:val="none" w:color="auto"/>
              </w:rPr>
              <w:t>Bacillario</w:t>
            </w:r>
            <w:r>
              <w:rPr>
                <w:rFonts w:hint="default" w:ascii="Times New Roman" w:hAnsi="Times New Roman" w:cs="Times New Roman"/>
                <w:i/>
                <w:iCs/>
                <w:color w:val="auto"/>
                <w:u w:val="none" w:color="auto"/>
                <w:lang w:eastAsia="zh-CN"/>
              </w:rPr>
              <w:t>pH</w:t>
            </w:r>
            <w:r>
              <w:rPr>
                <w:rFonts w:hint="default" w:ascii="Times New Roman" w:hAnsi="Times New Roman" w:cs="Times New Roman"/>
                <w:i/>
                <w:iCs/>
                <w:color w:val="auto"/>
                <w:u w:val="none" w:color="auto"/>
              </w:rPr>
              <w:t>yta</w:t>
            </w:r>
          </w:p>
        </w:tc>
      </w:tr>
      <w:tr w14:paraId="29C63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A14A62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843" w:type="dxa"/>
            <w:noWrap w:val="0"/>
            <w:vAlign w:val="center"/>
          </w:tcPr>
          <w:p w14:paraId="7DA0CF7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直链藻</w:t>
            </w:r>
          </w:p>
        </w:tc>
        <w:tc>
          <w:tcPr>
            <w:tcW w:w="2843" w:type="dxa"/>
            <w:noWrap w:val="0"/>
            <w:vAlign w:val="center"/>
          </w:tcPr>
          <w:p w14:paraId="46A1A00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Melosira sp.</w:t>
            </w:r>
          </w:p>
        </w:tc>
      </w:tr>
      <w:tr w14:paraId="4D8B2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36B9BBA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60A3077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小环藻</w:t>
            </w:r>
          </w:p>
        </w:tc>
        <w:tc>
          <w:tcPr>
            <w:tcW w:w="2843" w:type="dxa"/>
            <w:noWrap w:val="0"/>
            <w:vAlign w:val="center"/>
          </w:tcPr>
          <w:p w14:paraId="4EDE89E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Cyclotella sp.</w:t>
            </w:r>
          </w:p>
        </w:tc>
      </w:tr>
      <w:tr w14:paraId="74FC7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34D540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5F90F82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等片藻</w:t>
            </w:r>
          </w:p>
        </w:tc>
        <w:tc>
          <w:tcPr>
            <w:tcW w:w="2843" w:type="dxa"/>
            <w:noWrap w:val="0"/>
            <w:vAlign w:val="center"/>
          </w:tcPr>
          <w:p w14:paraId="4EB8862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Diatoma sp.</w:t>
            </w:r>
          </w:p>
        </w:tc>
      </w:tr>
      <w:tr w14:paraId="0B6B9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7FC993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843" w:type="dxa"/>
            <w:noWrap w:val="0"/>
            <w:vAlign w:val="center"/>
          </w:tcPr>
          <w:p w14:paraId="0C2FADE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针杆藻</w:t>
            </w:r>
          </w:p>
        </w:tc>
        <w:tc>
          <w:tcPr>
            <w:tcW w:w="2843" w:type="dxa"/>
            <w:noWrap w:val="0"/>
            <w:vAlign w:val="center"/>
          </w:tcPr>
          <w:p w14:paraId="2403315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Synedra sp.</w:t>
            </w:r>
          </w:p>
        </w:tc>
      </w:tr>
      <w:tr w14:paraId="50C02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62DA7FA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843" w:type="dxa"/>
            <w:noWrap w:val="0"/>
            <w:vAlign w:val="center"/>
          </w:tcPr>
          <w:p w14:paraId="52AF97B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脆杆藻</w:t>
            </w:r>
          </w:p>
        </w:tc>
        <w:tc>
          <w:tcPr>
            <w:tcW w:w="2843" w:type="dxa"/>
            <w:noWrap w:val="0"/>
            <w:vAlign w:val="center"/>
          </w:tcPr>
          <w:p w14:paraId="5E6EB4C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Fragilaria sp.</w:t>
            </w:r>
          </w:p>
        </w:tc>
      </w:tr>
      <w:tr w14:paraId="428ED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4C8969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2843" w:type="dxa"/>
            <w:noWrap w:val="0"/>
            <w:vAlign w:val="center"/>
          </w:tcPr>
          <w:p w14:paraId="0B303CF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桥弯藻</w:t>
            </w:r>
          </w:p>
        </w:tc>
        <w:tc>
          <w:tcPr>
            <w:tcW w:w="2843" w:type="dxa"/>
            <w:noWrap w:val="0"/>
            <w:vAlign w:val="center"/>
          </w:tcPr>
          <w:p w14:paraId="10ED383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Cymbella sp.</w:t>
            </w:r>
          </w:p>
        </w:tc>
      </w:tr>
      <w:tr w14:paraId="39699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1BB7B4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31</w:t>
            </w:r>
          </w:p>
        </w:tc>
        <w:tc>
          <w:tcPr>
            <w:tcW w:w="2843" w:type="dxa"/>
            <w:noWrap w:val="0"/>
            <w:vAlign w:val="center"/>
          </w:tcPr>
          <w:p w14:paraId="54DE6AB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卵形藻</w:t>
            </w:r>
          </w:p>
        </w:tc>
        <w:tc>
          <w:tcPr>
            <w:tcW w:w="2843" w:type="dxa"/>
            <w:noWrap w:val="0"/>
            <w:vAlign w:val="center"/>
          </w:tcPr>
          <w:p w14:paraId="6EB1F97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Cocooneis sp.</w:t>
            </w:r>
          </w:p>
        </w:tc>
      </w:tr>
      <w:tr w14:paraId="46F28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3CCE04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32</w:t>
            </w:r>
          </w:p>
        </w:tc>
        <w:tc>
          <w:tcPr>
            <w:tcW w:w="2843" w:type="dxa"/>
            <w:noWrap w:val="0"/>
            <w:vAlign w:val="center"/>
          </w:tcPr>
          <w:p w14:paraId="2195056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羽纹藻</w:t>
            </w:r>
          </w:p>
        </w:tc>
        <w:tc>
          <w:tcPr>
            <w:tcW w:w="2843" w:type="dxa"/>
            <w:noWrap w:val="0"/>
            <w:vAlign w:val="center"/>
          </w:tcPr>
          <w:p w14:paraId="4DFA9F8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Pinmularia sp.</w:t>
            </w:r>
          </w:p>
        </w:tc>
      </w:tr>
      <w:tr w14:paraId="67D5A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29B5D8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33</w:t>
            </w:r>
          </w:p>
        </w:tc>
        <w:tc>
          <w:tcPr>
            <w:tcW w:w="2843" w:type="dxa"/>
            <w:noWrap w:val="0"/>
            <w:vAlign w:val="center"/>
          </w:tcPr>
          <w:p w14:paraId="60B95E4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菱形藻</w:t>
            </w:r>
          </w:p>
        </w:tc>
        <w:tc>
          <w:tcPr>
            <w:tcW w:w="2843" w:type="dxa"/>
            <w:noWrap w:val="0"/>
            <w:vAlign w:val="center"/>
          </w:tcPr>
          <w:p w14:paraId="50BCA61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Nitzschia sp.</w:t>
            </w:r>
          </w:p>
        </w:tc>
      </w:tr>
      <w:tr w14:paraId="6F007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5CCDA3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34</w:t>
            </w:r>
          </w:p>
        </w:tc>
        <w:tc>
          <w:tcPr>
            <w:tcW w:w="2843" w:type="dxa"/>
            <w:noWrap w:val="0"/>
            <w:vAlign w:val="center"/>
          </w:tcPr>
          <w:p w14:paraId="54C99B11">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舟形藻</w:t>
            </w:r>
          </w:p>
        </w:tc>
        <w:tc>
          <w:tcPr>
            <w:tcW w:w="2843" w:type="dxa"/>
            <w:noWrap w:val="0"/>
            <w:vAlign w:val="center"/>
          </w:tcPr>
          <w:p w14:paraId="10BDE41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Navicula sp.</w:t>
            </w:r>
          </w:p>
        </w:tc>
      </w:tr>
      <w:tr w14:paraId="4FFB9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143FBCD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35</w:t>
            </w:r>
          </w:p>
        </w:tc>
        <w:tc>
          <w:tcPr>
            <w:tcW w:w="2843" w:type="dxa"/>
            <w:noWrap w:val="0"/>
            <w:vAlign w:val="center"/>
          </w:tcPr>
          <w:p w14:paraId="3EE8198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平板藻</w:t>
            </w:r>
          </w:p>
        </w:tc>
        <w:tc>
          <w:tcPr>
            <w:tcW w:w="2843" w:type="dxa"/>
            <w:noWrap w:val="0"/>
            <w:vAlign w:val="center"/>
          </w:tcPr>
          <w:p w14:paraId="1EBF1C0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Tabellaria sp.</w:t>
            </w:r>
          </w:p>
        </w:tc>
      </w:tr>
      <w:tr w14:paraId="49992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noWrap w:val="0"/>
            <w:vAlign w:val="top"/>
          </w:tcPr>
          <w:p w14:paraId="44608C0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36</w:t>
            </w:r>
          </w:p>
        </w:tc>
        <w:tc>
          <w:tcPr>
            <w:tcW w:w="2843" w:type="dxa"/>
            <w:noWrap w:val="0"/>
            <w:vAlign w:val="center"/>
          </w:tcPr>
          <w:p w14:paraId="5658E0B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曲壳藻</w:t>
            </w:r>
          </w:p>
        </w:tc>
        <w:tc>
          <w:tcPr>
            <w:tcW w:w="2843" w:type="dxa"/>
            <w:noWrap w:val="0"/>
            <w:vAlign w:val="center"/>
          </w:tcPr>
          <w:p w14:paraId="70AACA1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Achnanthes sp.</w:t>
            </w:r>
          </w:p>
        </w:tc>
      </w:tr>
    </w:tbl>
    <w:p w14:paraId="6A59D146">
      <w:pPr>
        <w:pStyle w:val="5"/>
        <w:bidi w:val="0"/>
        <w:rPr>
          <w:rFonts w:hint="default"/>
        </w:rPr>
      </w:pPr>
      <w:r>
        <w:rPr>
          <w:rFonts w:hint="default"/>
        </w:rPr>
        <w:t>浮游动物</w:t>
      </w:r>
    </w:p>
    <w:p w14:paraId="0B383665">
      <w:pPr>
        <w:bidi w:val="0"/>
        <w:rPr>
          <w:rFonts w:hint="default" w:ascii="Times New Roman" w:hAnsi="Times New Roman" w:cs="Times New Roman"/>
          <w:color w:val="auto"/>
          <w:u w:val="none" w:color="auto"/>
        </w:rPr>
      </w:pPr>
      <w:r>
        <w:rPr>
          <w:rFonts w:hint="eastAsia" w:cs="Times New Roman"/>
          <w:color w:val="auto"/>
          <w:highlight w:val="none"/>
          <w:u w:val="none" w:color="auto"/>
          <w:lang w:val="en-US" w:eastAsia="zh-CN"/>
        </w:rPr>
        <w:t>1</w:t>
      </w:r>
      <w:r>
        <w:rPr>
          <w:rFonts w:hint="default" w:ascii="Times New Roman" w:hAnsi="Times New Roman" w:cs="Times New Roman"/>
          <w:color w:val="auto"/>
          <w:u w:val="none" w:color="auto"/>
        </w:rPr>
        <w:t>浮游动物种类</w:t>
      </w:r>
    </w:p>
    <w:p w14:paraId="0D15C34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根据有关资料及调查可知，评价区内浮游动物共4大类33种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属</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，其中原生动物门15种，占总数的45.45%，轮虫门9种，占总数的27.27%，枝角类5种，占总数的15.15%；桡足类4种，占总数的12.12%。浮游动物组成中原生动物、轮虫种类占绝对优势，枝角类、桡足类种类较少。</w:t>
      </w:r>
    </w:p>
    <w:p w14:paraId="13D9DE76">
      <w:pPr>
        <w:pStyle w:val="118"/>
        <w:bidi w:val="0"/>
        <w:rPr>
          <w:rFonts w:hint="default"/>
        </w:rPr>
      </w:pPr>
      <w:r>
        <w:rPr>
          <w:rFonts w:hint="default"/>
        </w:rPr>
        <w:t>表</w:t>
      </w:r>
      <w:r>
        <w:rPr>
          <w:rFonts w:hint="eastAsia"/>
          <w:lang w:val="en-US" w:eastAsia="zh-CN"/>
        </w:rPr>
        <w:t>5</w:t>
      </w:r>
      <w:r>
        <w:rPr>
          <w:rFonts w:hint="default"/>
        </w:rPr>
        <w:t>.3-</w:t>
      </w:r>
      <w:r>
        <w:rPr>
          <w:rFonts w:hint="eastAsia"/>
          <w:lang w:val="en-US" w:eastAsia="zh-CN"/>
        </w:rPr>
        <w:t>31</w:t>
      </w:r>
      <w:r>
        <w:rPr>
          <w:rFonts w:hint="default"/>
        </w:rPr>
        <w:t xml:space="preserve">  评价区浮游动物名录</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2EDD3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top"/>
          </w:tcPr>
          <w:p w14:paraId="4461C33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6A69BC1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351AF3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4B2E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3B0DB11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w:t>
            </w:r>
            <w:r>
              <w:rPr>
                <w:rFonts w:hint="default" w:ascii="Times New Roman" w:hAnsi="Times New Roman" w:cs="Times New Roman"/>
                <w:bCs/>
                <w:color w:val="auto"/>
                <w:kern w:val="0"/>
                <w:szCs w:val="21"/>
                <w:u w:val="none" w:color="auto"/>
              </w:rPr>
              <w:t xml:space="preserve">原生动物门 </w:t>
            </w:r>
            <w:r>
              <w:rPr>
                <w:rFonts w:hint="default" w:ascii="Times New Roman" w:hAnsi="Times New Roman" w:cs="Times New Roman"/>
                <w:i/>
                <w:iCs/>
                <w:color w:val="auto"/>
                <w:kern w:val="0"/>
                <w:szCs w:val="21"/>
                <w:u w:val="none" w:color="auto"/>
              </w:rPr>
              <w:t>Protozoa</w:t>
            </w:r>
          </w:p>
        </w:tc>
      </w:tr>
      <w:tr w14:paraId="4275B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9DB425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2843" w:type="dxa"/>
            <w:noWrap w:val="0"/>
            <w:vAlign w:val="center"/>
          </w:tcPr>
          <w:p w14:paraId="5DF99F0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辐射变形虫</w:t>
            </w:r>
          </w:p>
        </w:tc>
        <w:tc>
          <w:tcPr>
            <w:tcW w:w="2843" w:type="dxa"/>
            <w:noWrap w:val="0"/>
            <w:vAlign w:val="center"/>
          </w:tcPr>
          <w:p w14:paraId="7D20292E">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Amoeba radiosa</w:t>
            </w:r>
          </w:p>
        </w:tc>
      </w:tr>
      <w:tr w14:paraId="357B8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A2236D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2843" w:type="dxa"/>
            <w:noWrap w:val="0"/>
            <w:vAlign w:val="center"/>
          </w:tcPr>
          <w:p w14:paraId="06F974A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泥生变形虫</w:t>
            </w:r>
          </w:p>
        </w:tc>
        <w:tc>
          <w:tcPr>
            <w:tcW w:w="2843" w:type="dxa"/>
            <w:noWrap w:val="0"/>
            <w:vAlign w:val="center"/>
          </w:tcPr>
          <w:p w14:paraId="142D23C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Amoeba limicola</w:t>
            </w:r>
          </w:p>
        </w:tc>
      </w:tr>
      <w:tr w14:paraId="3B3FE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A9C7AD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45B24E8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盘状表壳虫</w:t>
            </w:r>
          </w:p>
        </w:tc>
        <w:tc>
          <w:tcPr>
            <w:tcW w:w="2843" w:type="dxa"/>
            <w:noWrap w:val="0"/>
            <w:vAlign w:val="center"/>
          </w:tcPr>
          <w:p w14:paraId="63F61F31">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discoides</w:t>
            </w:r>
          </w:p>
        </w:tc>
      </w:tr>
      <w:tr w14:paraId="5A28E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9734C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07CA24E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普通表壳虫</w:t>
            </w:r>
          </w:p>
        </w:tc>
        <w:tc>
          <w:tcPr>
            <w:tcW w:w="2843" w:type="dxa"/>
            <w:noWrap w:val="0"/>
            <w:vAlign w:val="center"/>
          </w:tcPr>
          <w:p w14:paraId="0C8FF9A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vulgaris</w:t>
            </w:r>
          </w:p>
        </w:tc>
      </w:tr>
      <w:tr w14:paraId="103C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33E4B6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63E08BE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片口砂壳虫</w:t>
            </w:r>
          </w:p>
        </w:tc>
        <w:tc>
          <w:tcPr>
            <w:tcW w:w="2843" w:type="dxa"/>
            <w:noWrap w:val="0"/>
            <w:vAlign w:val="center"/>
          </w:tcPr>
          <w:p w14:paraId="567C7739">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Arcellahemis</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aerica</w:t>
            </w:r>
          </w:p>
        </w:tc>
      </w:tr>
      <w:tr w14:paraId="71A59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D27604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2843" w:type="dxa"/>
            <w:noWrap w:val="0"/>
            <w:vAlign w:val="center"/>
          </w:tcPr>
          <w:p w14:paraId="044C956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冠砂壳虫</w:t>
            </w:r>
          </w:p>
        </w:tc>
        <w:tc>
          <w:tcPr>
            <w:tcW w:w="2843" w:type="dxa"/>
            <w:noWrap w:val="0"/>
            <w:vAlign w:val="center"/>
          </w:tcPr>
          <w:p w14:paraId="11A3D9B1">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Arcella megastoma</w:t>
            </w:r>
          </w:p>
        </w:tc>
      </w:tr>
      <w:tr w14:paraId="308DB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1AFAB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2843" w:type="dxa"/>
            <w:noWrap w:val="0"/>
            <w:vAlign w:val="center"/>
          </w:tcPr>
          <w:p w14:paraId="5D8EA7D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小旋匣壳虫</w:t>
            </w:r>
          </w:p>
        </w:tc>
        <w:tc>
          <w:tcPr>
            <w:tcW w:w="2843" w:type="dxa"/>
            <w:noWrap w:val="0"/>
            <w:vAlign w:val="center"/>
          </w:tcPr>
          <w:p w14:paraId="417E2387">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Centropyxis aero</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ila</w:t>
            </w:r>
          </w:p>
        </w:tc>
      </w:tr>
      <w:tr w14:paraId="7578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A9C085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2843" w:type="dxa"/>
            <w:noWrap w:val="0"/>
            <w:vAlign w:val="center"/>
          </w:tcPr>
          <w:p w14:paraId="7F002E0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刺匣壳虫</w:t>
            </w:r>
          </w:p>
        </w:tc>
        <w:tc>
          <w:tcPr>
            <w:tcW w:w="2843" w:type="dxa"/>
            <w:noWrap w:val="0"/>
            <w:vAlign w:val="center"/>
          </w:tcPr>
          <w:p w14:paraId="52022EE6">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Centropyxis spinosa</w:t>
            </w:r>
          </w:p>
        </w:tc>
      </w:tr>
      <w:tr w14:paraId="6EF8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7AEA0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2843" w:type="dxa"/>
            <w:noWrap w:val="0"/>
            <w:vAlign w:val="center"/>
          </w:tcPr>
          <w:p w14:paraId="4F5C187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小口钟虫</w:t>
            </w:r>
          </w:p>
        </w:tc>
        <w:tc>
          <w:tcPr>
            <w:tcW w:w="2843" w:type="dxa"/>
            <w:noWrap w:val="0"/>
            <w:vAlign w:val="center"/>
          </w:tcPr>
          <w:p w14:paraId="5BD8F3D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Vorticella microstoma</w:t>
            </w:r>
          </w:p>
        </w:tc>
      </w:tr>
      <w:tr w14:paraId="7D8B7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D1D6EA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2843" w:type="dxa"/>
            <w:noWrap w:val="0"/>
            <w:vAlign w:val="center"/>
          </w:tcPr>
          <w:p w14:paraId="187DEFC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钟形钟虫</w:t>
            </w:r>
          </w:p>
        </w:tc>
        <w:tc>
          <w:tcPr>
            <w:tcW w:w="2843" w:type="dxa"/>
            <w:noWrap w:val="0"/>
            <w:vAlign w:val="center"/>
          </w:tcPr>
          <w:p w14:paraId="30276B7A">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Vorticella campamula</w:t>
            </w:r>
          </w:p>
        </w:tc>
      </w:tr>
      <w:tr w14:paraId="02599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CC5C6D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2843" w:type="dxa"/>
            <w:noWrap w:val="0"/>
            <w:vAlign w:val="center"/>
          </w:tcPr>
          <w:p w14:paraId="7B0E3BB8">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草履虫</w:t>
            </w:r>
          </w:p>
        </w:tc>
        <w:tc>
          <w:tcPr>
            <w:tcW w:w="2843" w:type="dxa"/>
            <w:noWrap w:val="0"/>
            <w:vAlign w:val="center"/>
          </w:tcPr>
          <w:p w14:paraId="0D4F8C65">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Paramecium</w:t>
            </w:r>
          </w:p>
        </w:tc>
      </w:tr>
      <w:tr w14:paraId="41A7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01567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2843" w:type="dxa"/>
            <w:noWrap w:val="0"/>
            <w:vAlign w:val="center"/>
          </w:tcPr>
          <w:p w14:paraId="46B1378E">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尾草履虫</w:t>
            </w:r>
          </w:p>
        </w:tc>
        <w:tc>
          <w:tcPr>
            <w:tcW w:w="2843" w:type="dxa"/>
            <w:noWrap w:val="0"/>
            <w:vAlign w:val="center"/>
          </w:tcPr>
          <w:p w14:paraId="267BE018">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Paramecium caudatum</w:t>
            </w:r>
          </w:p>
        </w:tc>
      </w:tr>
      <w:tr w14:paraId="4927C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D00720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2843" w:type="dxa"/>
            <w:noWrap w:val="0"/>
            <w:vAlign w:val="center"/>
          </w:tcPr>
          <w:p w14:paraId="3951B06C">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多态喇叭虫</w:t>
            </w:r>
          </w:p>
        </w:tc>
        <w:tc>
          <w:tcPr>
            <w:tcW w:w="2843" w:type="dxa"/>
            <w:noWrap w:val="0"/>
            <w:vAlign w:val="center"/>
          </w:tcPr>
          <w:p w14:paraId="490137E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.Stentor polymor</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rus</w:t>
            </w:r>
          </w:p>
        </w:tc>
      </w:tr>
      <w:tr w14:paraId="2569D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73455B9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2843" w:type="dxa"/>
            <w:noWrap w:val="0"/>
            <w:vAlign w:val="center"/>
          </w:tcPr>
          <w:p w14:paraId="65D34C06">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湖累枝虫</w:t>
            </w:r>
          </w:p>
        </w:tc>
        <w:tc>
          <w:tcPr>
            <w:tcW w:w="2843" w:type="dxa"/>
            <w:noWrap w:val="0"/>
            <w:vAlign w:val="center"/>
          </w:tcPr>
          <w:p w14:paraId="3CCA2E84">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Epistylis lacustris</w:t>
            </w:r>
          </w:p>
        </w:tc>
      </w:tr>
      <w:tr w14:paraId="04B12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C45552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2843" w:type="dxa"/>
            <w:noWrap w:val="0"/>
            <w:vAlign w:val="center"/>
          </w:tcPr>
          <w:p w14:paraId="72CCE66B">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浮游累枝虫</w:t>
            </w:r>
          </w:p>
        </w:tc>
        <w:tc>
          <w:tcPr>
            <w:tcW w:w="2843" w:type="dxa"/>
            <w:noWrap w:val="0"/>
            <w:vAlign w:val="center"/>
          </w:tcPr>
          <w:p w14:paraId="02FAA442">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Epistylis rotans</w:t>
            </w:r>
          </w:p>
        </w:tc>
      </w:tr>
      <w:tr w14:paraId="39AAC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0AC0E72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color w:val="auto"/>
                <w:kern w:val="0"/>
                <w:szCs w:val="21"/>
                <w:u w:val="none" w:color="auto"/>
              </w:rPr>
              <w:t>二</w:t>
            </w:r>
            <w:r>
              <w:rPr>
                <w:rFonts w:hint="default" w:ascii="Times New Roman" w:hAnsi="Times New Roman" w:cs="Times New Roman"/>
                <w:i/>
                <w:iCs/>
                <w:color w:val="auto"/>
                <w:kern w:val="0"/>
                <w:szCs w:val="21"/>
                <w:u w:val="none" w:color="auto"/>
              </w:rPr>
              <w:t>、</w:t>
            </w:r>
            <w:r>
              <w:rPr>
                <w:rFonts w:hint="default" w:ascii="Times New Roman" w:hAnsi="Times New Roman" w:cs="Times New Roman"/>
                <w:bCs/>
                <w:color w:val="auto"/>
                <w:kern w:val="0"/>
                <w:szCs w:val="21"/>
                <w:u w:val="none" w:color="auto"/>
              </w:rPr>
              <w:t>轮虫类</w:t>
            </w:r>
            <w:r>
              <w:rPr>
                <w:rFonts w:hint="default" w:ascii="Times New Roman" w:hAnsi="Times New Roman" w:cs="Times New Roman"/>
                <w:bCs/>
                <w:i/>
                <w:iCs/>
                <w:color w:val="auto"/>
                <w:kern w:val="0"/>
                <w:szCs w:val="21"/>
                <w:u w:val="none" w:color="auto"/>
              </w:rPr>
              <w:t>Rotatoria</w:t>
            </w:r>
          </w:p>
        </w:tc>
      </w:tr>
      <w:tr w14:paraId="17B87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45D2E7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2843" w:type="dxa"/>
            <w:noWrap w:val="0"/>
            <w:vAlign w:val="center"/>
          </w:tcPr>
          <w:p w14:paraId="32642B6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暗小异尾轮虫</w:t>
            </w:r>
          </w:p>
        </w:tc>
        <w:tc>
          <w:tcPr>
            <w:tcW w:w="2843" w:type="dxa"/>
            <w:noWrap w:val="0"/>
            <w:vAlign w:val="center"/>
          </w:tcPr>
          <w:p w14:paraId="4105076D">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pusilla</w:t>
            </w:r>
          </w:p>
        </w:tc>
      </w:tr>
      <w:tr w14:paraId="18A9F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EA360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2843" w:type="dxa"/>
            <w:noWrap w:val="0"/>
            <w:vAlign w:val="center"/>
          </w:tcPr>
          <w:p w14:paraId="4311366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圆筒异尾轮虫</w:t>
            </w:r>
          </w:p>
        </w:tc>
        <w:tc>
          <w:tcPr>
            <w:tcW w:w="2843" w:type="dxa"/>
            <w:noWrap w:val="0"/>
            <w:vAlign w:val="center"/>
          </w:tcPr>
          <w:p w14:paraId="6A3EFF5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cylindrica</w:t>
            </w:r>
          </w:p>
        </w:tc>
      </w:tr>
      <w:tr w14:paraId="20675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19662F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2843" w:type="dxa"/>
            <w:noWrap w:val="0"/>
            <w:vAlign w:val="center"/>
          </w:tcPr>
          <w:p w14:paraId="73FEC7F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鼠异尾轮虫</w:t>
            </w:r>
          </w:p>
        </w:tc>
        <w:tc>
          <w:tcPr>
            <w:tcW w:w="2843" w:type="dxa"/>
            <w:noWrap w:val="0"/>
            <w:vAlign w:val="center"/>
          </w:tcPr>
          <w:p w14:paraId="39C8840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Trichocerca rattus</w:t>
            </w:r>
          </w:p>
        </w:tc>
      </w:tr>
      <w:tr w14:paraId="77989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24F1A72">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2843" w:type="dxa"/>
            <w:noWrap w:val="0"/>
            <w:vAlign w:val="center"/>
          </w:tcPr>
          <w:p w14:paraId="03F4A2E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异尾轮虫</w:t>
            </w:r>
          </w:p>
        </w:tc>
        <w:tc>
          <w:tcPr>
            <w:tcW w:w="2843" w:type="dxa"/>
            <w:noWrap w:val="0"/>
            <w:vAlign w:val="center"/>
          </w:tcPr>
          <w:p w14:paraId="4CC16B41">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Trichocera sp.</w:t>
            </w:r>
          </w:p>
        </w:tc>
      </w:tr>
      <w:tr w14:paraId="178AF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E3940F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2843" w:type="dxa"/>
            <w:noWrap w:val="0"/>
            <w:vAlign w:val="center"/>
          </w:tcPr>
          <w:p w14:paraId="2CC7FFF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萼花臂尾轮虫</w:t>
            </w:r>
          </w:p>
        </w:tc>
        <w:tc>
          <w:tcPr>
            <w:tcW w:w="2843" w:type="dxa"/>
            <w:noWrap w:val="0"/>
            <w:vAlign w:val="center"/>
          </w:tcPr>
          <w:p w14:paraId="06C8E19A">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calyciflorus</w:t>
            </w:r>
          </w:p>
        </w:tc>
      </w:tr>
      <w:tr w14:paraId="0BB6A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E869D4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2843" w:type="dxa"/>
            <w:noWrap w:val="0"/>
            <w:vAlign w:val="center"/>
          </w:tcPr>
          <w:p w14:paraId="2A24A8A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尾突臂尾轮虫</w:t>
            </w:r>
          </w:p>
        </w:tc>
        <w:tc>
          <w:tcPr>
            <w:tcW w:w="2843" w:type="dxa"/>
            <w:noWrap w:val="0"/>
            <w:vAlign w:val="center"/>
          </w:tcPr>
          <w:p w14:paraId="59A7243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caudatus</w:t>
            </w:r>
          </w:p>
        </w:tc>
      </w:tr>
      <w:tr w14:paraId="2A92A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96D451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2843" w:type="dxa"/>
            <w:noWrap w:val="0"/>
            <w:vAlign w:val="center"/>
          </w:tcPr>
          <w:p w14:paraId="2A0DF61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壶状臂尾轮虫</w:t>
            </w:r>
          </w:p>
        </w:tc>
        <w:tc>
          <w:tcPr>
            <w:tcW w:w="2843" w:type="dxa"/>
            <w:noWrap w:val="0"/>
            <w:vAlign w:val="center"/>
          </w:tcPr>
          <w:p w14:paraId="5E50E137">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urceus</w:t>
            </w:r>
          </w:p>
        </w:tc>
      </w:tr>
      <w:tr w14:paraId="6B840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72AEBD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2843" w:type="dxa"/>
            <w:noWrap w:val="0"/>
            <w:vAlign w:val="center"/>
          </w:tcPr>
          <w:p w14:paraId="3F854590">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矩形臂尾轮虫</w:t>
            </w:r>
          </w:p>
        </w:tc>
        <w:tc>
          <w:tcPr>
            <w:tcW w:w="2843" w:type="dxa"/>
            <w:noWrap w:val="0"/>
            <w:vAlign w:val="center"/>
          </w:tcPr>
          <w:p w14:paraId="340BCBFC">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leydigi</w:t>
            </w:r>
          </w:p>
        </w:tc>
      </w:tr>
      <w:tr w14:paraId="74497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256F2A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2843" w:type="dxa"/>
            <w:noWrap w:val="0"/>
            <w:vAlign w:val="center"/>
          </w:tcPr>
          <w:p w14:paraId="26B26C5C">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镰形臂尾轮虫</w:t>
            </w:r>
          </w:p>
        </w:tc>
        <w:tc>
          <w:tcPr>
            <w:tcW w:w="2843" w:type="dxa"/>
            <w:noWrap w:val="0"/>
            <w:vAlign w:val="center"/>
          </w:tcPr>
          <w:p w14:paraId="0D48612F">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Brachionus falcatus</w:t>
            </w:r>
          </w:p>
        </w:tc>
      </w:tr>
      <w:tr w14:paraId="4FD0A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44817E5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color w:val="auto"/>
                <w:kern w:val="0"/>
                <w:szCs w:val="21"/>
                <w:u w:val="none" w:color="auto"/>
              </w:rPr>
              <w:t>三、</w:t>
            </w:r>
            <w:r>
              <w:rPr>
                <w:rFonts w:hint="default" w:ascii="Times New Roman" w:hAnsi="Times New Roman" w:cs="Times New Roman"/>
                <w:bCs/>
                <w:color w:val="auto"/>
                <w:kern w:val="0"/>
                <w:szCs w:val="21"/>
                <w:u w:val="none" w:color="auto"/>
              </w:rPr>
              <w:t>枝角类</w:t>
            </w:r>
            <w:r>
              <w:rPr>
                <w:rFonts w:hint="default" w:ascii="Times New Roman" w:hAnsi="Times New Roman" w:cs="Times New Roman"/>
                <w:bCs/>
                <w:i/>
                <w:iCs/>
                <w:color w:val="auto"/>
                <w:kern w:val="0"/>
                <w:szCs w:val="21"/>
                <w:u w:val="none" w:color="auto"/>
              </w:rPr>
              <w:t>Cladocera</w:t>
            </w:r>
          </w:p>
        </w:tc>
      </w:tr>
      <w:tr w14:paraId="76006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92CC66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2843" w:type="dxa"/>
            <w:noWrap w:val="0"/>
            <w:vAlign w:val="center"/>
          </w:tcPr>
          <w:p w14:paraId="330150F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透明溞</w:t>
            </w:r>
          </w:p>
        </w:tc>
        <w:tc>
          <w:tcPr>
            <w:tcW w:w="2843" w:type="dxa"/>
            <w:noWrap w:val="0"/>
            <w:vAlign w:val="center"/>
          </w:tcPr>
          <w:p w14:paraId="5A186EF0">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Da</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nia hyalina</w:t>
            </w:r>
          </w:p>
        </w:tc>
      </w:tr>
      <w:tr w14:paraId="4416C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44E3F3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55EFEB4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僧帽溞</w:t>
            </w:r>
          </w:p>
        </w:tc>
        <w:tc>
          <w:tcPr>
            <w:tcW w:w="2843" w:type="dxa"/>
            <w:noWrap w:val="0"/>
            <w:vAlign w:val="center"/>
          </w:tcPr>
          <w:p w14:paraId="70782FB5">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D.cucullata</w:t>
            </w:r>
          </w:p>
        </w:tc>
      </w:tr>
      <w:tr w14:paraId="792F3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8E6B36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14FF58D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长额象鼻溞</w:t>
            </w:r>
          </w:p>
        </w:tc>
        <w:tc>
          <w:tcPr>
            <w:tcW w:w="2843" w:type="dxa"/>
            <w:noWrap w:val="0"/>
            <w:vAlign w:val="center"/>
          </w:tcPr>
          <w:p w14:paraId="4100117F">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Bosminalongirostris</w:t>
            </w:r>
          </w:p>
        </w:tc>
      </w:tr>
      <w:tr w14:paraId="4182A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1895DE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2843" w:type="dxa"/>
            <w:noWrap w:val="0"/>
            <w:vAlign w:val="center"/>
          </w:tcPr>
          <w:p w14:paraId="745AED3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简弧象鼻溞</w:t>
            </w:r>
          </w:p>
        </w:tc>
        <w:tc>
          <w:tcPr>
            <w:tcW w:w="2843" w:type="dxa"/>
            <w:noWrap w:val="0"/>
            <w:vAlign w:val="center"/>
          </w:tcPr>
          <w:p w14:paraId="7DC58FB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B.coregoni</w:t>
            </w:r>
          </w:p>
        </w:tc>
      </w:tr>
      <w:tr w14:paraId="5977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FAC66B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2843" w:type="dxa"/>
            <w:noWrap w:val="0"/>
            <w:vAlign w:val="center"/>
          </w:tcPr>
          <w:p w14:paraId="49BF3DC7">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柯氏象鼻溞</w:t>
            </w:r>
          </w:p>
        </w:tc>
        <w:tc>
          <w:tcPr>
            <w:tcW w:w="2843" w:type="dxa"/>
            <w:noWrap w:val="0"/>
            <w:vAlign w:val="center"/>
          </w:tcPr>
          <w:p w14:paraId="44AD3A5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Bosmina coregoni</w:t>
            </w:r>
          </w:p>
        </w:tc>
      </w:tr>
      <w:tr w14:paraId="5E629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0FAB9EC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四、</w:t>
            </w:r>
            <w:r>
              <w:rPr>
                <w:rFonts w:hint="default" w:ascii="Times New Roman" w:hAnsi="Times New Roman" w:cs="Times New Roman"/>
                <w:bCs/>
                <w:color w:val="auto"/>
                <w:kern w:val="0"/>
                <w:szCs w:val="21"/>
                <w:u w:val="none" w:color="auto"/>
              </w:rPr>
              <w:t>桡足类</w:t>
            </w:r>
            <w:r>
              <w:rPr>
                <w:rFonts w:hint="default" w:ascii="Times New Roman" w:hAnsi="Times New Roman" w:cs="Times New Roman"/>
                <w:bCs/>
                <w:i/>
                <w:iCs/>
                <w:color w:val="auto"/>
                <w:kern w:val="0"/>
                <w:szCs w:val="21"/>
                <w:u w:val="none" w:color="auto"/>
              </w:rPr>
              <w:t>Copepods</w:t>
            </w:r>
          </w:p>
        </w:tc>
      </w:tr>
      <w:tr w14:paraId="31313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047A46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2843" w:type="dxa"/>
            <w:noWrap w:val="0"/>
            <w:vAlign w:val="center"/>
          </w:tcPr>
          <w:p w14:paraId="75E71E39">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近邻剑水蚤</w:t>
            </w:r>
          </w:p>
        </w:tc>
        <w:tc>
          <w:tcPr>
            <w:tcW w:w="2843" w:type="dxa"/>
            <w:noWrap w:val="0"/>
            <w:vAlign w:val="center"/>
          </w:tcPr>
          <w:p w14:paraId="312F710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Cyclops vicinus</w:t>
            </w:r>
          </w:p>
        </w:tc>
      </w:tr>
      <w:tr w14:paraId="13FD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567197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31</w:t>
            </w:r>
          </w:p>
        </w:tc>
        <w:tc>
          <w:tcPr>
            <w:tcW w:w="2843" w:type="dxa"/>
            <w:noWrap w:val="0"/>
            <w:vAlign w:val="center"/>
          </w:tcPr>
          <w:p w14:paraId="4645EEF8">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锯缘真剑水蚤</w:t>
            </w:r>
          </w:p>
        </w:tc>
        <w:tc>
          <w:tcPr>
            <w:tcW w:w="2843" w:type="dxa"/>
            <w:noWrap w:val="0"/>
            <w:vAlign w:val="center"/>
          </w:tcPr>
          <w:p w14:paraId="27D9C58E">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Eucyclopsserrulatus</w:t>
            </w:r>
          </w:p>
        </w:tc>
      </w:tr>
      <w:tr w14:paraId="48479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4EE1AE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32</w:t>
            </w:r>
          </w:p>
        </w:tc>
        <w:tc>
          <w:tcPr>
            <w:tcW w:w="2843" w:type="dxa"/>
            <w:noWrap w:val="0"/>
            <w:vAlign w:val="center"/>
          </w:tcPr>
          <w:p w14:paraId="4BBD55B4">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如愿真剑水蚤</w:t>
            </w:r>
          </w:p>
        </w:tc>
        <w:tc>
          <w:tcPr>
            <w:tcW w:w="2843" w:type="dxa"/>
            <w:noWrap w:val="0"/>
            <w:vAlign w:val="center"/>
          </w:tcPr>
          <w:p w14:paraId="2092FFF6">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E. speratus</w:t>
            </w:r>
          </w:p>
        </w:tc>
      </w:tr>
      <w:tr w14:paraId="796F1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CE7117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33</w:t>
            </w:r>
          </w:p>
        </w:tc>
        <w:tc>
          <w:tcPr>
            <w:tcW w:w="2843" w:type="dxa"/>
            <w:noWrap w:val="0"/>
            <w:vAlign w:val="center"/>
          </w:tcPr>
          <w:p w14:paraId="2D3CA9F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广布温中剑水蚤</w:t>
            </w:r>
          </w:p>
        </w:tc>
        <w:tc>
          <w:tcPr>
            <w:tcW w:w="2843" w:type="dxa"/>
            <w:noWrap w:val="0"/>
            <w:vAlign w:val="center"/>
          </w:tcPr>
          <w:p w14:paraId="556BE97D">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Mesocyclops leuckarti</w:t>
            </w:r>
          </w:p>
        </w:tc>
      </w:tr>
    </w:tbl>
    <w:p w14:paraId="04D4FA8E">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2</w:t>
      </w:r>
      <w:r>
        <w:rPr>
          <w:rFonts w:hint="default" w:ascii="Times New Roman" w:hAnsi="Times New Roman" w:cs="Times New Roman"/>
          <w:color w:val="auto"/>
          <w:u w:val="none" w:color="auto"/>
        </w:rPr>
        <w:t>、底栖动物</w:t>
      </w:r>
    </w:p>
    <w:p w14:paraId="01AD637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评价区内底栖动物27种，其中节肢动物12种，占总数的44.44%；软体动物13种，占总数的48.15%；环节动物3种，占总数的11.11%。评价区内水体中的底栖生物以节肢动物占优势，软体动物环节动物较少。</w:t>
      </w:r>
      <w:r>
        <w:rPr>
          <w:color w:val="000000" w:themeColor="text1"/>
          <w:highlight w:val="none"/>
          <w:u w:val="none" w:color="auto"/>
          <w14:textFill>
            <w14:solidFill>
              <w14:schemeClr w14:val="tx1"/>
            </w14:solidFill>
          </w14:textFill>
        </w:rPr>
        <w:t>平均密度为</w:t>
      </w:r>
      <w:r>
        <w:rPr>
          <w:rFonts w:hint="eastAsia"/>
          <w:color w:val="000000" w:themeColor="text1"/>
          <w:highlight w:val="none"/>
          <w:u w:val="none" w:color="auto"/>
          <w:lang w:val="en-US" w:eastAsia="zh-CN"/>
          <w14:textFill>
            <w14:solidFill>
              <w14:schemeClr w14:val="tx1"/>
            </w14:solidFill>
          </w14:textFill>
        </w:rPr>
        <w:t>50.25</w:t>
      </w:r>
      <w:r>
        <w:rPr>
          <w:color w:val="000000" w:themeColor="text1"/>
          <w:highlight w:val="none"/>
          <w:u w:val="none" w:color="auto"/>
          <w14:textFill>
            <w14:solidFill>
              <w14:schemeClr w14:val="tx1"/>
            </w14:solidFill>
          </w14:textFill>
        </w:rPr>
        <w:t>ind./</w:t>
      </w:r>
      <w:r>
        <w:rPr>
          <w:rFonts w:hint="eastAsia"/>
          <w:color w:val="000000" w:themeColor="text1"/>
          <w:highlight w:val="none"/>
          <w:u w:val="none" w:color="auto"/>
          <w:lang w:eastAsia="zh-CN"/>
          <w14:textFill>
            <w14:solidFill>
              <w14:schemeClr w14:val="tx1"/>
            </w14:solidFill>
          </w14:textFill>
        </w:rPr>
        <w:t>m</w:t>
      </w:r>
      <w:r>
        <w:rPr>
          <w:rFonts w:hint="eastAsia"/>
          <w:color w:val="000000" w:themeColor="text1"/>
          <w:highlight w:val="none"/>
          <w:u w:val="none" w:color="auto"/>
          <w:vertAlign w:val="superscript"/>
          <w:lang w:eastAsia="zh-CN"/>
          <w14:textFill>
            <w14:solidFill>
              <w14:schemeClr w14:val="tx1"/>
            </w14:solidFill>
          </w14:textFill>
        </w:rPr>
        <w:t>2</w:t>
      </w:r>
      <w:r>
        <w:rPr>
          <w:color w:val="000000" w:themeColor="text1"/>
          <w:highlight w:val="none"/>
          <w:u w:val="none" w:color="auto"/>
          <w14:textFill>
            <w14:solidFill>
              <w14:schemeClr w14:val="tx1"/>
            </w14:solidFill>
          </w14:textFill>
        </w:rPr>
        <w:t>，平均生物量为</w:t>
      </w:r>
      <w:r>
        <w:rPr>
          <w:rFonts w:hint="eastAsia"/>
          <w:color w:val="000000" w:themeColor="text1"/>
          <w:highlight w:val="none"/>
          <w:u w:val="none" w:color="auto"/>
          <w:lang w:val="en-US" w:eastAsia="zh-CN"/>
          <w14:textFill>
            <w14:solidFill>
              <w14:schemeClr w14:val="tx1"/>
            </w14:solidFill>
          </w14:textFill>
        </w:rPr>
        <w:t>6.47</w:t>
      </w:r>
      <w:r>
        <w:rPr>
          <w:color w:val="000000" w:themeColor="text1"/>
          <w:highlight w:val="none"/>
          <w:u w:val="none" w:color="auto"/>
          <w14:textFill>
            <w14:solidFill>
              <w14:schemeClr w14:val="tx1"/>
            </w14:solidFill>
          </w14:textFill>
        </w:rPr>
        <w:t>g/</w:t>
      </w:r>
      <w:r>
        <w:rPr>
          <w:rFonts w:hint="eastAsia"/>
          <w:color w:val="000000" w:themeColor="text1"/>
          <w:highlight w:val="none"/>
          <w:u w:val="none" w:color="auto"/>
          <w:lang w:eastAsia="zh-CN"/>
          <w14:textFill>
            <w14:solidFill>
              <w14:schemeClr w14:val="tx1"/>
            </w14:solidFill>
          </w14:textFill>
        </w:rPr>
        <w:t>m</w:t>
      </w:r>
      <w:r>
        <w:rPr>
          <w:rFonts w:hint="eastAsia"/>
          <w:color w:val="000000" w:themeColor="text1"/>
          <w:highlight w:val="none"/>
          <w:u w:val="none" w:color="auto"/>
          <w:vertAlign w:val="superscript"/>
          <w:lang w:eastAsia="zh-CN"/>
          <w14:textFill>
            <w14:solidFill>
              <w14:schemeClr w14:val="tx1"/>
            </w14:solidFill>
          </w14:textFill>
        </w:rPr>
        <w:t>2</w:t>
      </w:r>
      <w:r>
        <w:rPr>
          <w:color w:val="000000" w:themeColor="text1"/>
          <w:highlight w:val="none"/>
          <w:u w:val="none" w:color="auto"/>
          <w14:textFill>
            <w14:solidFill>
              <w14:schemeClr w14:val="tx1"/>
            </w14:solidFill>
          </w14:textFill>
        </w:rPr>
        <w:t>。</w:t>
      </w:r>
    </w:p>
    <w:p w14:paraId="68998337">
      <w:pPr>
        <w:pStyle w:val="179"/>
        <w:spacing w:line="240" w:lineRule="auto"/>
        <w:ind w:firstLine="422"/>
        <w:rPr>
          <w:rFonts w:hint="default" w:ascii="Times New Roman" w:hAnsi="Times New Roman" w:cs="Times New Roman"/>
          <w:color w:val="auto"/>
          <w:u w:val="none" w:color="auto"/>
        </w:rPr>
      </w:pPr>
      <w:r>
        <w:rPr>
          <w:rFonts w:hint="default" w:ascii="Times New Roman" w:hAnsi="Times New Roman" w:eastAsia="宋体" w:cs="Times New Roman"/>
          <w:b/>
          <w:bCs/>
          <w:color w:val="auto"/>
          <w:sz w:val="21"/>
          <w:szCs w:val="21"/>
          <w:u w:val="none" w:color="auto"/>
          <w:lang w:val="en-US" w:eastAsia="zh-CN"/>
        </w:rPr>
        <w:t>表</w:t>
      </w:r>
      <w:r>
        <w:rPr>
          <w:rFonts w:hint="eastAsia" w:hAnsi="Times New Roman" w:cs="Times New Roman"/>
          <w:b/>
          <w:bCs/>
          <w:color w:val="auto"/>
          <w:sz w:val="21"/>
          <w:szCs w:val="21"/>
          <w:u w:val="none" w:color="auto"/>
          <w:lang w:val="en-US" w:eastAsia="zh-CN"/>
        </w:rPr>
        <w:t>5</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cs="Times New Roman"/>
          <w:b/>
          <w:bCs/>
          <w:color w:val="auto"/>
          <w:sz w:val="21"/>
          <w:szCs w:val="21"/>
          <w:u w:val="none" w:color="auto"/>
          <w:lang w:val="en-US" w:eastAsia="zh-CN"/>
        </w:rPr>
        <w:t>3</w:t>
      </w:r>
      <w:r>
        <w:rPr>
          <w:rFonts w:hint="default" w:ascii="Times New Roman" w:hAnsi="Times New Roman" w:eastAsia="宋体" w:cs="Times New Roman"/>
          <w:b/>
          <w:bCs/>
          <w:color w:val="auto"/>
          <w:sz w:val="21"/>
          <w:szCs w:val="21"/>
          <w:u w:val="none" w:color="auto"/>
          <w:lang w:val="en-US" w:eastAsia="zh-CN"/>
        </w:rPr>
        <w:t>-</w:t>
      </w:r>
      <w:r>
        <w:rPr>
          <w:rFonts w:hint="eastAsia" w:hAnsi="Times New Roman" w:cs="Times New Roman"/>
          <w:b/>
          <w:bCs/>
          <w:color w:val="auto"/>
          <w:sz w:val="21"/>
          <w:szCs w:val="21"/>
          <w:u w:val="none" w:color="auto"/>
          <w:lang w:val="en-US" w:eastAsia="zh-CN"/>
        </w:rPr>
        <w:t>32</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color w:val="auto"/>
          <w:u w:val="none" w:color="auto"/>
        </w:rPr>
        <w:t>评价区底栖动物名录</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843"/>
        <w:gridCol w:w="2843"/>
      </w:tblGrid>
      <w:tr w14:paraId="24B39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top"/>
          </w:tcPr>
          <w:p w14:paraId="5B865D4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序号</w:t>
            </w:r>
          </w:p>
        </w:tc>
        <w:tc>
          <w:tcPr>
            <w:tcW w:w="2843" w:type="dxa"/>
            <w:noWrap w:val="0"/>
            <w:vAlign w:val="top"/>
          </w:tcPr>
          <w:p w14:paraId="0BDA342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种名</w:t>
            </w:r>
          </w:p>
        </w:tc>
        <w:tc>
          <w:tcPr>
            <w:tcW w:w="2843" w:type="dxa"/>
            <w:noWrap w:val="0"/>
            <w:vAlign w:val="top"/>
          </w:tcPr>
          <w:p w14:paraId="5B4524A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拉丁名</w:t>
            </w:r>
          </w:p>
        </w:tc>
      </w:tr>
      <w:tr w14:paraId="4E222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663F63C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w:t>
            </w:r>
            <w:r>
              <w:rPr>
                <w:rFonts w:hint="default" w:ascii="Times New Roman" w:hAnsi="Times New Roman" w:cs="Times New Roman"/>
                <w:bCs/>
                <w:color w:val="auto"/>
                <w:kern w:val="0"/>
                <w:szCs w:val="21"/>
                <w:u w:val="none" w:color="auto"/>
              </w:rPr>
              <w:t>节肢动物门</w:t>
            </w:r>
            <w:r>
              <w:rPr>
                <w:rFonts w:hint="default" w:ascii="Times New Roman" w:hAnsi="Times New Roman" w:cs="Times New Roman"/>
                <w:bCs/>
                <w:i/>
                <w:iCs/>
                <w:color w:val="auto"/>
                <w:kern w:val="0"/>
                <w:szCs w:val="21"/>
                <w:u w:val="none" w:color="auto"/>
              </w:rPr>
              <w:t>Arthropoda</w:t>
            </w:r>
          </w:p>
        </w:tc>
      </w:tr>
      <w:tr w14:paraId="18A8C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696EB48">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w:t>
            </w:r>
          </w:p>
        </w:tc>
        <w:tc>
          <w:tcPr>
            <w:tcW w:w="2843" w:type="dxa"/>
            <w:noWrap w:val="0"/>
            <w:vAlign w:val="center"/>
          </w:tcPr>
          <w:p w14:paraId="0EEBCCC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蚋</w:t>
            </w:r>
          </w:p>
        </w:tc>
        <w:tc>
          <w:tcPr>
            <w:tcW w:w="2843" w:type="dxa"/>
            <w:noWrap w:val="0"/>
            <w:vAlign w:val="center"/>
          </w:tcPr>
          <w:p w14:paraId="5BAE51F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Simuliuem sp.</w:t>
            </w:r>
          </w:p>
        </w:tc>
      </w:tr>
      <w:tr w14:paraId="5FC9F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3" w:type="dxa"/>
            <w:noWrap w:val="0"/>
            <w:vAlign w:val="center"/>
          </w:tcPr>
          <w:p w14:paraId="4DE5ADA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2</w:t>
            </w:r>
          </w:p>
        </w:tc>
        <w:tc>
          <w:tcPr>
            <w:tcW w:w="2843" w:type="dxa"/>
            <w:noWrap w:val="0"/>
            <w:vAlign w:val="center"/>
          </w:tcPr>
          <w:p w14:paraId="5F9D8F2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摇蚊幼虫</w:t>
            </w:r>
          </w:p>
        </w:tc>
        <w:tc>
          <w:tcPr>
            <w:tcW w:w="2843" w:type="dxa"/>
            <w:noWrap w:val="0"/>
            <w:vAlign w:val="center"/>
          </w:tcPr>
          <w:p w14:paraId="6CEFCCE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Tendipes sp.</w:t>
            </w:r>
          </w:p>
        </w:tc>
      </w:tr>
      <w:tr w14:paraId="0D94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B5CA4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2843" w:type="dxa"/>
            <w:noWrap w:val="0"/>
            <w:vAlign w:val="center"/>
          </w:tcPr>
          <w:p w14:paraId="4D7AE05B">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二翼蜉</w:t>
            </w:r>
          </w:p>
        </w:tc>
        <w:tc>
          <w:tcPr>
            <w:tcW w:w="2843" w:type="dxa"/>
            <w:noWrap w:val="0"/>
            <w:vAlign w:val="center"/>
          </w:tcPr>
          <w:p w14:paraId="0F29C027">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Si</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lonurussp.</w:t>
            </w:r>
          </w:p>
        </w:tc>
      </w:tr>
      <w:tr w14:paraId="3ADD3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A199A9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2843" w:type="dxa"/>
            <w:noWrap w:val="0"/>
            <w:vAlign w:val="center"/>
          </w:tcPr>
          <w:p w14:paraId="7DFD5176">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扁蜉</w:t>
            </w:r>
          </w:p>
        </w:tc>
        <w:tc>
          <w:tcPr>
            <w:tcW w:w="2843" w:type="dxa"/>
            <w:noWrap w:val="0"/>
            <w:vAlign w:val="center"/>
          </w:tcPr>
          <w:p w14:paraId="0F409752">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Ecdyuridae sp.</w:t>
            </w:r>
          </w:p>
        </w:tc>
      </w:tr>
      <w:tr w14:paraId="2A18C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140DCB9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2843" w:type="dxa"/>
            <w:noWrap w:val="0"/>
            <w:vAlign w:val="center"/>
          </w:tcPr>
          <w:p w14:paraId="70E7C1F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蜉蝣</w:t>
            </w:r>
          </w:p>
        </w:tc>
        <w:tc>
          <w:tcPr>
            <w:tcW w:w="2843" w:type="dxa"/>
            <w:noWrap w:val="0"/>
            <w:vAlign w:val="center"/>
          </w:tcPr>
          <w:p w14:paraId="1CDB571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E</w:t>
            </w:r>
            <w:r>
              <w:rPr>
                <w:rFonts w:hint="default" w:ascii="Times New Roman" w:hAnsi="Times New Roman" w:cs="Times New Roman"/>
                <w:i/>
                <w:iCs/>
                <w:color w:val="auto"/>
                <w:kern w:val="0"/>
                <w:szCs w:val="21"/>
                <w:u w:val="none" w:color="auto"/>
                <w:lang w:eastAsia="zh-CN"/>
              </w:rPr>
              <w:t>pH</w:t>
            </w:r>
            <w:r>
              <w:rPr>
                <w:rFonts w:hint="default" w:ascii="Times New Roman" w:hAnsi="Times New Roman" w:cs="Times New Roman"/>
                <w:i/>
                <w:iCs/>
                <w:color w:val="auto"/>
                <w:kern w:val="0"/>
                <w:szCs w:val="21"/>
                <w:u w:val="none" w:color="auto"/>
              </w:rPr>
              <w:t>emiridaesp.</w:t>
            </w:r>
          </w:p>
        </w:tc>
      </w:tr>
      <w:tr w14:paraId="70C25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06583A40">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6</w:t>
            </w:r>
          </w:p>
        </w:tc>
        <w:tc>
          <w:tcPr>
            <w:tcW w:w="2843" w:type="dxa"/>
            <w:noWrap w:val="0"/>
            <w:vAlign w:val="center"/>
          </w:tcPr>
          <w:p w14:paraId="10BA147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纹石蛾</w:t>
            </w:r>
          </w:p>
        </w:tc>
        <w:tc>
          <w:tcPr>
            <w:tcW w:w="2843" w:type="dxa"/>
            <w:noWrap w:val="0"/>
            <w:vAlign w:val="center"/>
          </w:tcPr>
          <w:p w14:paraId="0177ED1E">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Hydropsyche sp.</w:t>
            </w:r>
          </w:p>
        </w:tc>
      </w:tr>
      <w:tr w14:paraId="09E0C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5A86B286">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7</w:t>
            </w:r>
          </w:p>
        </w:tc>
        <w:tc>
          <w:tcPr>
            <w:tcW w:w="2843" w:type="dxa"/>
            <w:noWrap w:val="0"/>
            <w:vAlign w:val="center"/>
          </w:tcPr>
          <w:p w14:paraId="66A83AFD">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石蝇</w:t>
            </w:r>
          </w:p>
        </w:tc>
        <w:tc>
          <w:tcPr>
            <w:tcW w:w="2843" w:type="dxa"/>
            <w:noWrap w:val="0"/>
            <w:vAlign w:val="center"/>
          </w:tcPr>
          <w:p w14:paraId="3240CDD3">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Perla sp.</w:t>
            </w:r>
          </w:p>
        </w:tc>
      </w:tr>
      <w:tr w14:paraId="3B0D1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560C09F">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8</w:t>
            </w:r>
          </w:p>
        </w:tc>
        <w:tc>
          <w:tcPr>
            <w:tcW w:w="2843" w:type="dxa"/>
            <w:noWrap w:val="0"/>
            <w:vAlign w:val="center"/>
          </w:tcPr>
          <w:p w14:paraId="42905CA3">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米虾</w:t>
            </w:r>
          </w:p>
        </w:tc>
        <w:tc>
          <w:tcPr>
            <w:tcW w:w="2843" w:type="dxa"/>
            <w:noWrap w:val="0"/>
            <w:vAlign w:val="center"/>
          </w:tcPr>
          <w:p w14:paraId="1A42763F">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Caridina sp.</w:t>
            </w:r>
          </w:p>
        </w:tc>
      </w:tr>
      <w:tr w14:paraId="392FA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F4E37E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9</w:t>
            </w:r>
          </w:p>
        </w:tc>
        <w:tc>
          <w:tcPr>
            <w:tcW w:w="2843" w:type="dxa"/>
            <w:noWrap w:val="0"/>
            <w:vAlign w:val="center"/>
          </w:tcPr>
          <w:p w14:paraId="50327402">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中华新米虾</w:t>
            </w:r>
          </w:p>
        </w:tc>
        <w:tc>
          <w:tcPr>
            <w:tcW w:w="2843" w:type="dxa"/>
            <w:noWrap w:val="0"/>
            <w:vAlign w:val="center"/>
          </w:tcPr>
          <w:p w14:paraId="5A80C10A">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kern w:val="0"/>
                <w:szCs w:val="21"/>
                <w:u w:val="none" w:color="auto"/>
              </w:rPr>
              <w:t>Neocaeidina denticulata</w:t>
            </w:r>
          </w:p>
        </w:tc>
      </w:tr>
      <w:tr w14:paraId="6161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4B6E91B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10</w:t>
            </w:r>
          </w:p>
        </w:tc>
        <w:tc>
          <w:tcPr>
            <w:tcW w:w="2843" w:type="dxa"/>
            <w:noWrap w:val="0"/>
            <w:vAlign w:val="center"/>
          </w:tcPr>
          <w:p w14:paraId="6D4272BF">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罗氏沼虾</w:t>
            </w:r>
          </w:p>
        </w:tc>
        <w:tc>
          <w:tcPr>
            <w:tcW w:w="2843" w:type="dxa"/>
            <w:noWrap w:val="0"/>
            <w:vAlign w:val="center"/>
          </w:tcPr>
          <w:p w14:paraId="547B4009">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spacing w:val="-10"/>
                <w:kern w:val="0"/>
                <w:szCs w:val="21"/>
                <w:u w:val="none" w:color="auto"/>
              </w:rPr>
              <w:t>Macrobrachium rosenbergii</w:t>
            </w:r>
          </w:p>
        </w:tc>
      </w:tr>
      <w:tr w14:paraId="7F3A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E748BF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11</w:t>
            </w:r>
          </w:p>
        </w:tc>
        <w:tc>
          <w:tcPr>
            <w:tcW w:w="2843" w:type="dxa"/>
            <w:noWrap w:val="0"/>
            <w:vAlign w:val="center"/>
          </w:tcPr>
          <w:p w14:paraId="429C822C">
            <w:pPr>
              <w:pStyle w:val="180"/>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rPr>
              <w:t>中华绒毛蟹</w:t>
            </w:r>
          </w:p>
        </w:tc>
        <w:tc>
          <w:tcPr>
            <w:tcW w:w="2843" w:type="dxa"/>
            <w:noWrap w:val="0"/>
            <w:vAlign w:val="center"/>
          </w:tcPr>
          <w:p w14:paraId="2F6E48A6">
            <w:pPr>
              <w:pStyle w:val="180"/>
              <w:rPr>
                <w:rFonts w:hint="default" w:ascii="Times New Roman" w:hAnsi="Times New Roman" w:cs="Times New Roman"/>
                <w:i/>
                <w:iCs/>
                <w:color w:val="auto"/>
                <w:u w:val="none" w:color="auto"/>
              </w:rPr>
            </w:pPr>
            <w:r>
              <w:rPr>
                <w:rFonts w:hint="default" w:ascii="Times New Roman" w:hAnsi="Times New Roman" w:cs="Times New Roman"/>
                <w:i/>
                <w:iCs/>
                <w:color w:val="auto"/>
                <w:spacing w:val="-10"/>
                <w:kern w:val="0"/>
                <w:szCs w:val="21"/>
                <w:u w:val="none" w:color="auto"/>
              </w:rPr>
              <w:t>Sinopotanion denticulatum</w:t>
            </w:r>
          </w:p>
        </w:tc>
      </w:tr>
      <w:tr w14:paraId="3C09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41DC2F8F">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二、软体动物门</w:t>
            </w:r>
            <w:r>
              <w:rPr>
                <w:rFonts w:hint="default" w:ascii="Times New Roman" w:hAnsi="Times New Roman" w:cs="Times New Roman"/>
                <w:i/>
                <w:iCs/>
                <w:color w:val="auto"/>
                <w:kern w:val="0"/>
                <w:szCs w:val="21"/>
                <w:u w:val="none" w:color="auto"/>
              </w:rPr>
              <w:t>Mollusca</w:t>
            </w:r>
          </w:p>
        </w:tc>
      </w:tr>
      <w:tr w14:paraId="3297D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9597E12">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12</w:t>
            </w:r>
          </w:p>
        </w:tc>
        <w:tc>
          <w:tcPr>
            <w:tcW w:w="2843" w:type="dxa"/>
            <w:noWrap w:val="0"/>
            <w:vAlign w:val="center"/>
          </w:tcPr>
          <w:p w14:paraId="544F6CB5">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雕翅摇蚊</w:t>
            </w:r>
          </w:p>
        </w:tc>
        <w:tc>
          <w:tcPr>
            <w:tcW w:w="2843" w:type="dxa"/>
            <w:noWrap w:val="0"/>
            <w:vAlign w:val="center"/>
          </w:tcPr>
          <w:p w14:paraId="4B0EF4B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Glyptotendipes sp.</w:t>
            </w:r>
          </w:p>
        </w:tc>
      </w:tr>
      <w:tr w14:paraId="71DC7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C19BB29">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13</w:t>
            </w:r>
          </w:p>
        </w:tc>
        <w:tc>
          <w:tcPr>
            <w:tcW w:w="2843" w:type="dxa"/>
            <w:noWrap w:val="0"/>
            <w:vAlign w:val="center"/>
          </w:tcPr>
          <w:p w14:paraId="7EFFE64E">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扁蜉</w:t>
            </w:r>
          </w:p>
        </w:tc>
        <w:tc>
          <w:tcPr>
            <w:tcW w:w="2843" w:type="dxa"/>
            <w:noWrap w:val="0"/>
            <w:vAlign w:val="center"/>
          </w:tcPr>
          <w:p w14:paraId="5CDA2A5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Heptageniidae sp.</w:t>
            </w:r>
          </w:p>
        </w:tc>
      </w:tr>
      <w:tr w14:paraId="113D6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27DAE311">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14</w:t>
            </w:r>
          </w:p>
        </w:tc>
        <w:tc>
          <w:tcPr>
            <w:tcW w:w="2843" w:type="dxa"/>
            <w:noWrap w:val="0"/>
            <w:vAlign w:val="center"/>
          </w:tcPr>
          <w:p w14:paraId="11633E73">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锯齿新米虾</w:t>
            </w:r>
          </w:p>
        </w:tc>
        <w:tc>
          <w:tcPr>
            <w:tcW w:w="2843" w:type="dxa"/>
            <w:noWrap w:val="0"/>
            <w:vAlign w:val="center"/>
          </w:tcPr>
          <w:p w14:paraId="31A0CDA4">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Neocaridina denticulate</w:t>
            </w:r>
          </w:p>
        </w:tc>
      </w:tr>
      <w:tr w14:paraId="454C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9" w:type="dxa"/>
            <w:gridSpan w:val="3"/>
            <w:noWrap w:val="0"/>
            <w:vAlign w:val="center"/>
          </w:tcPr>
          <w:p w14:paraId="75F879AA">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三、</w:t>
            </w:r>
            <w:r>
              <w:rPr>
                <w:rFonts w:hint="default" w:ascii="Times New Roman" w:hAnsi="Times New Roman" w:cs="Times New Roman"/>
                <w:bCs/>
                <w:color w:val="auto"/>
                <w:kern w:val="0"/>
                <w:szCs w:val="21"/>
                <w:u w:val="none" w:color="auto"/>
              </w:rPr>
              <w:t>环节动物门</w:t>
            </w:r>
            <w:r>
              <w:rPr>
                <w:rFonts w:hint="default" w:ascii="Times New Roman" w:hAnsi="Times New Roman" w:cs="Times New Roman"/>
                <w:bCs/>
                <w:i/>
                <w:iCs/>
                <w:color w:val="auto"/>
                <w:kern w:val="0"/>
                <w:szCs w:val="21"/>
                <w:u w:val="none" w:color="auto"/>
              </w:rPr>
              <w:t>Annelida</w:t>
            </w:r>
          </w:p>
        </w:tc>
      </w:tr>
      <w:tr w14:paraId="3CFF5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312184AA">
            <w:pPr>
              <w:pStyle w:val="180"/>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25</w:t>
            </w:r>
          </w:p>
        </w:tc>
        <w:tc>
          <w:tcPr>
            <w:tcW w:w="2843" w:type="dxa"/>
            <w:noWrap w:val="0"/>
            <w:vAlign w:val="center"/>
          </w:tcPr>
          <w:p w14:paraId="4D65D2D2">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医蛭</w:t>
            </w:r>
          </w:p>
        </w:tc>
        <w:tc>
          <w:tcPr>
            <w:tcW w:w="2843" w:type="dxa"/>
            <w:noWrap w:val="0"/>
            <w:vAlign w:val="center"/>
          </w:tcPr>
          <w:p w14:paraId="69541EC6">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Hirudo sp.</w:t>
            </w:r>
          </w:p>
        </w:tc>
      </w:tr>
      <w:tr w14:paraId="33D7D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6A1303E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2843" w:type="dxa"/>
            <w:noWrap w:val="0"/>
            <w:vAlign w:val="center"/>
          </w:tcPr>
          <w:p w14:paraId="646E19C2">
            <w:pPr>
              <w:pStyle w:val="180"/>
              <w:rPr>
                <w:rFonts w:hint="default" w:ascii="Times New Roman" w:hAnsi="Times New Roman" w:cs="Times New Roman"/>
                <w:color w:val="auto"/>
                <w:kern w:val="0"/>
                <w:szCs w:val="21"/>
                <w:u w:val="none" w:color="auto"/>
              </w:rPr>
            </w:pPr>
            <w:r>
              <w:rPr>
                <w:rFonts w:hint="default" w:ascii="Times New Roman" w:hAnsi="Times New Roman" w:eastAsia="宋体" w:cs="Times New Roman"/>
                <w:color w:val="auto"/>
                <w:spacing w:val="4"/>
                <w:sz w:val="20"/>
                <w:szCs w:val="20"/>
                <w:u w:val="none" w:color="auto"/>
              </w:rPr>
              <w:t>仙女虫</w:t>
            </w:r>
          </w:p>
        </w:tc>
        <w:tc>
          <w:tcPr>
            <w:tcW w:w="2843" w:type="dxa"/>
            <w:noWrap w:val="0"/>
            <w:vAlign w:val="center"/>
          </w:tcPr>
          <w:p w14:paraId="55F52DA8">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Nais sp.</w:t>
            </w:r>
          </w:p>
        </w:tc>
      </w:tr>
      <w:tr w14:paraId="7AFFC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3" w:type="dxa"/>
            <w:noWrap w:val="0"/>
            <w:vAlign w:val="center"/>
          </w:tcPr>
          <w:p w14:paraId="75E8971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2843" w:type="dxa"/>
            <w:noWrap w:val="0"/>
            <w:vAlign w:val="center"/>
          </w:tcPr>
          <w:p w14:paraId="2236B98B">
            <w:pPr>
              <w:pStyle w:val="180"/>
              <w:rPr>
                <w:rFonts w:hint="default" w:ascii="Times New Roman" w:hAnsi="Times New Roman" w:cs="Times New Roman"/>
                <w:color w:val="auto"/>
                <w:kern w:val="0"/>
                <w:szCs w:val="21"/>
                <w:u w:val="none" w:color="auto"/>
              </w:rPr>
            </w:pPr>
            <w:r>
              <w:rPr>
                <w:rFonts w:hint="default" w:ascii="Times New Roman" w:hAnsi="Times New Roman" w:cs="Times New Roman"/>
                <w:color w:val="auto"/>
                <w:kern w:val="0"/>
                <w:szCs w:val="21"/>
                <w:u w:val="none" w:color="auto"/>
              </w:rPr>
              <w:t>霍莆水丝蚓</w:t>
            </w:r>
          </w:p>
        </w:tc>
        <w:tc>
          <w:tcPr>
            <w:tcW w:w="2843" w:type="dxa"/>
            <w:noWrap w:val="0"/>
            <w:vAlign w:val="center"/>
          </w:tcPr>
          <w:p w14:paraId="59F632E2">
            <w:pPr>
              <w:pStyle w:val="180"/>
              <w:rPr>
                <w:rFonts w:hint="default" w:ascii="Times New Roman" w:hAnsi="Times New Roman" w:cs="Times New Roman"/>
                <w:i/>
                <w:iCs/>
                <w:color w:val="auto"/>
                <w:kern w:val="0"/>
                <w:szCs w:val="21"/>
                <w:u w:val="none" w:color="auto"/>
              </w:rPr>
            </w:pPr>
            <w:r>
              <w:rPr>
                <w:rFonts w:hint="default" w:ascii="Times New Roman" w:hAnsi="Times New Roman" w:cs="Times New Roman"/>
                <w:i/>
                <w:iCs/>
                <w:color w:val="auto"/>
                <w:kern w:val="0"/>
                <w:szCs w:val="21"/>
                <w:u w:val="none" w:color="auto"/>
              </w:rPr>
              <w:t>Limnodrilus hoffmeisteri</w:t>
            </w:r>
          </w:p>
        </w:tc>
      </w:tr>
    </w:tbl>
    <w:p w14:paraId="37361A9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鱼类资源现状</w:t>
      </w:r>
    </w:p>
    <w:p w14:paraId="5399B0F5">
      <w:pPr>
        <w:rPr>
          <w:rFonts w:hint="default"/>
          <w:lang w:eastAsia="zh-CN"/>
        </w:rPr>
      </w:pPr>
      <w:r>
        <w:rPr>
          <w:rFonts w:hint="default"/>
          <w:lang w:eastAsia="zh-CN"/>
        </w:rPr>
        <w:t>1、鱼类名录</w:t>
      </w:r>
    </w:p>
    <w:p w14:paraId="66542817">
      <w:pPr>
        <w:rPr>
          <w:rFonts w:hint="default"/>
          <w:lang w:eastAsia="zh-CN"/>
        </w:rPr>
      </w:pPr>
      <w:r>
        <w:rPr>
          <w:rFonts w:hint="default"/>
          <w:lang w:eastAsia="zh-CN"/>
        </w:rPr>
        <w:t>廊洞水库属于潇水一级支流</w:t>
      </w:r>
      <w:r>
        <w:rPr>
          <w:rFonts w:hint="eastAsia"/>
          <w:lang w:val="en-US" w:eastAsia="zh-CN"/>
        </w:rPr>
        <w:t>宜水河</w:t>
      </w:r>
      <w:r>
        <w:rPr>
          <w:rFonts w:hint="default"/>
          <w:lang w:eastAsia="zh-CN"/>
        </w:rPr>
        <w:t>中游</w:t>
      </w:r>
      <w:r>
        <w:rPr>
          <w:rFonts w:hint="eastAsia"/>
          <w:lang w:val="en-US" w:eastAsia="zh-CN"/>
        </w:rPr>
        <w:t>宜阳河</w:t>
      </w:r>
      <w:r>
        <w:rPr>
          <w:rFonts w:hint="default"/>
          <w:lang w:eastAsia="zh-CN"/>
        </w:rPr>
        <w:t>，水库内渔业资源较单一，根据现场访问调查和参考相关文献资料，统计出评价区共有鱼类</w:t>
      </w:r>
      <w:r>
        <w:rPr>
          <w:rFonts w:hint="eastAsia"/>
          <w:lang w:val="en-US" w:eastAsia="zh-CN"/>
        </w:rPr>
        <w:t>14</w:t>
      </w:r>
      <w:r>
        <w:rPr>
          <w:rFonts w:hint="default"/>
          <w:lang w:eastAsia="zh-CN"/>
        </w:rPr>
        <w:t>种，隶属于</w:t>
      </w:r>
      <w:r>
        <w:rPr>
          <w:rFonts w:hint="eastAsia"/>
          <w:lang w:val="en-US" w:eastAsia="zh-CN"/>
        </w:rPr>
        <w:t>4</w:t>
      </w:r>
      <w:r>
        <w:rPr>
          <w:rFonts w:hint="default"/>
          <w:lang w:eastAsia="zh-CN"/>
        </w:rPr>
        <w:t>目</w:t>
      </w:r>
      <w:r>
        <w:rPr>
          <w:rFonts w:hint="eastAsia"/>
          <w:lang w:val="en-US" w:eastAsia="zh-CN"/>
        </w:rPr>
        <w:t>8</w:t>
      </w:r>
      <w:r>
        <w:rPr>
          <w:rFonts w:hint="default"/>
          <w:lang w:eastAsia="zh-CN"/>
        </w:rPr>
        <w:t>科。评价区鱼类主要以鲤形目鱼类为主，共</w:t>
      </w:r>
      <w:r>
        <w:rPr>
          <w:rFonts w:hint="eastAsia"/>
          <w:lang w:val="en-US" w:eastAsia="zh-CN"/>
        </w:rPr>
        <w:t>7</w:t>
      </w:r>
      <w:r>
        <w:rPr>
          <w:rFonts w:hint="default"/>
          <w:lang w:eastAsia="zh-CN"/>
        </w:rPr>
        <w:t>种，占鱼类总种类数的</w:t>
      </w:r>
      <w:r>
        <w:rPr>
          <w:rFonts w:hint="eastAsia"/>
          <w:lang w:val="en-US" w:eastAsia="zh-CN"/>
        </w:rPr>
        <w:t>50</w:t>
      </w:r>
      <w:r>
        <w:rPr>
          <w:rFonts w:hint="default"/>
          <w:lang w:eastAsia="zh-CN"/>
        </w:rPr>
        <w:t>%。调查河段鱼类组成较为普通，评价区常见种包括鲤</w:t>
      </w:r>
      <w:r>
        <w:rPr>
          <w:rFonts w:hint="eastAsia"/>
          <w:lang w:eastAsia="zh-CN"/>
        </w:rPr>
        <w:t>、</w:t>
      </w:r>
      <w:r>
        <w:rPr>
          <w:rFonts w:hint="default"/>
        </w:rPr>
        <w:t>黄尾鲴</w:t>
      </w:r>
      <w:r>
        <w:rPr>
          <w:rFonts w:hint="default"/>
          <w:lang w:eastAsia="zh-CN"/>
        </w:rPr>
        <w:t>等。大多为人工放养的经济鱼类，鱼类组成较为普遍，无国家、湖南省重点保护动物。</w:t>
      </w:r>
    </w:p>
    <w:p w14:paraId="4F750135">
      <w:pPr>
        <w:pStyle w:val="118"/>
        <w:bidi w:val="0"/>
        <w:rPr>
          <w:rFonts w:hint="default"/>
          <w:lang w:eastAsia="zh-CN"/>
        </w:rPr>
      </w:pPr>
      <w:r>
        <w:rPr>
          <w:rFonts w:hint="default"/>
          <w:lang w:eastAsia="zh-CN"/>
        </w:rPr>
        <w:t>表</w:t>
      </w:r>
      <w:r>
        <w:rPr>
          <w:rFonts w:hint="eastAsia"/>
          <w:lang w:val="en-US" w:eastAsia="zh-CN"/>
        </w:rPr>
        <w:t>5</w:t>
      </w:r>
      <w:r>
        <w:rPr>
          <w:rFonts w:hint="default"/>
          <w:lang w:eastAsia="zh-CN"/>
        </w:rPr>
        <w:t>.3-</w:t>
      </w:r>
      <w:r>
        <w:rPr>
          <w:rFonts w:hint="eastAsia"/>
          <w:lang w:val="en-US" w:eastAsia="zh-CN"/>
        </w:rPr>
        <w:t>33</w:t>
      </w:r>
      <w:r>
        <w:rPr>
          <w:rFonts w:hint="default"/>
          <w:lang w:eastAsia="zh-CN"/>
        </w:rPr>
        <w:t xml:space="preserve">  评价区鱼类名录</w:t>
      </w:r>
    </w:p>
    <w:tbl>
      <w:tblPr>
        <w:tblStyle w:val="162"/>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867"/>
        <w:gridCol w:w="4530"/>
        <w:gridCol w:w="1007"/>
      </w:tblGrid>
      <w:tr w14:paraId="66CA42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EB81645">
            <w:pPr>
              <w:pStyle w:val="49"/>
              <w:bidi w:val="0"/>
              <w:rPr>
                <w:rFonts w:hint="default"/>
              </w:rPr>
            </w:pPr>
            <w:r>
              <w:rPr>
                <w:rFonts w:hint="default"/>
              </w:rPr>
              <w:t>目、科、种</w:t>
            </w:r>
          </w:p>
        </w:tc>
        <w:tc>
          <w:tcPr>
            <w:tcW w:w="2695" w:type="pct"/>
            <w:tcBorders>
              <w:tl2br w:val="nil"/>
              <w:tr2bl w:val="nil"/>
            </w:tcBorders>
            <w:vAlign w:val="center"/>
          </w:tcPr>
          <w:p w14:paraId="7EA39B5C">
            <w:pPr>
              <w:pStyle w:val="49"/>
              <w:bidi w:val="0"/>
              <w:rPr>
                <w:rFonts w:hint="default"/>
              </w:rPr>
            </w:pPr>
            <w:r>
              <w:rPr>
                <w:rFonts w:hint="default"/>
              </w:rPr>
              <w:t>生境和习性</w:t>
            </w:r>
          </w:p>
        </w:tc>
        <w:tc>
          <w:tcPr>
            <w:tcW w:w="598" w:type="pct"/>
            <w:tcBorders>
              <w:tl2br w:val="nil"/>
              <w:tr2bl w:val="nil"/>
            </w:tcBorders>
            <w:vAlign w:val="center"/>
          </w:tcPr>
          <w:p w14:paraId="2AE463F9">
            <w:pPr>
              <w:pStyle w:val="49"/>
              <w:bidi w:val="0"/>
              <w:rPr>
                <w:rFonts w:hint="default"/>
              </w:rPr>
            </w:pPr>
            <w:r>
              <w:rPr>
                <w:rFonts w:hint="default"/>
              </w:rPr>
              <w:t>保护级别</w:t>
            </w:r>
          </w:p>
        </w:tc>
      </w:tr>
      <w:tr w14:paraId="667B38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3FDA6356">
            <w:pPr>
              <w:pStyle w:val="49"/>
              <w:bidi w:val="0"/>
              <w:rPr>
                <w:rFonts w:hint="default"/>
              </w:rPr>
            </w:pPr>
            <w:r>
              <w:rPr>
                <w:rFonts w:hint="default"/>
              </w:rPr>
              <w:t>I鲇形目SILURIFORMES</w:t>
            </w:r>
          </w:p>
        </w:tc>
      </w:tr>
      <w:tr w14:paraId="429503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0C44A50F">
            <w:pPr>
              <w:pStyle w:val="49"/>
              <w:bidi w:val="0"/>
              <w:rPr>
                <w:rFonts w:hint="default"/>
              </w:rPr>
            </w:pPr>
            <w:r>
              <w:rPr>
                <w:rFonts w:hint="eastAsia"/>
                <w:lang w:eastAsia="zh-CN"/>
              </w:rPr>
              <w:t>（</w:t>
            </w:r>
            <w:r>
              <w:rPr>
                <w:rFonts w:hint="default"/>
              </w:rPr>
              <w:t>1</w:t>
            </w:r>
            <w:r>
              <w:rPr>
                <w:rFonts w:hint="eastAsia"/>
                <w:lang w:eastAsia="zh-CN"/>
              </w:rPr>
              <w:t>）</w:t>
            </w:r>
            <w:r>
              <w:rPr>
                <w:rFonts w:hint="default"/>
              </w:rPr>
              <w:t>鲿科Bagridae</w:t>
            </w:r>
          </w:p>
        </w:tc>
      </w:tr>
      <w:tr w14:paraId="0619E1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827CE81">
            <w:pPr>
              <w:pStyle w:val="49"/>
              <w:bidi w:val="0"/>
              <w:rPr>
                <w:rFonts w:hint="default"/>
              </w:rPr>
            </w:pPr>
            <w:r>
              <w:rPr>
                <w:rFonts w:hint="default"/>
              </w:rPr>
              <w:t>1.黄颡鱼</w:t>
            </w:r>
          </w:p>
          <w:p w14:paraId="7CE3CC3F">
            <w:pPr>
              <w:pStyle w:val="49"/>
              <w:bidi w:val="0"/>
              <w:rPr>
                <w:rFonts w:hint="default"/>
              </w:rPr>
            </w:pPr>
            <w:r>
              <w:rPr>
                <w:rFonts w:hint="default"/>
              </w:rPr>
              <w:t>Pelteobagrus</w:t>
            </w:r>
            <w:r>
              <w:rPr>
                <w:rFonts w:hint="eastAsia"/>
                <w:lang w:val="en-US" w:eastAsia="zh-CN"/>
              </w:rPr>
              <w:t xml:space="preserve"> </w:t>
            </w:r>
            <w:r>
              <w:rPr>
                <w:rFonts w:hint="default"/>
              </w:rPr>
              <w:t>fulvidraco</w:t>
            </w:r>
          </w:p>
        </w:tc>
        <w:tc>
          <w:tcPr>
            <w:tcW w:w="2695" w:type="pct"/>
            <w:tcBorders>
              <w:tl2br w:val="nil"/>
              <w:tr2bl w:val="nil"/>
            </w:tcBorders>
            <w:vAlign w:val="center"/>
          </w:tcPr>
          <w:p w14:paraId="29264425">
            <w:pPr>
              <w:pStyle w:val="49"/>
              <w:bidi w:val="0"/>
              <w:rPr>
                <w:rFonts w:hint="default"/>
              </w:rPr>
            </w:pPr>
            <w:r>
              <w:rPr>
                <w:rFonts w:hint="default"/>
              </w:rPr>
              <w:t>多在静水或江河缓流中活动，营底栖生活，主要</w:t>
            </w:r>
          </w:p>
          <w:p w14:paraId="5B0176DA">
            <w:pPr>
              <w:pStyle w:val="49"/>
              <w:bidi w:val="0"/>
              <w:rPr>
                <w:rFonts w:hint="default"/>
              </w:rPr>
            </w:pPr>
            <w:r>
              <w:rPr>
                <w:rFonts w:hint="default"/>
              </w:rPr>
              <w:t>食物是桡足类和枝角类动物，生殖季节在5月中</w:t>
            </w:r>
          </w:p>
          <w:p w14:paraId="776303A7">
            <w:pPr>
              <w:pStyle w:val="49"/>
              <w:bidi w:val="0"/>
              <w:rPr>
                <w:rFonts w:hint="default"/>
              </w:rPr>
            </w:pPr>
            <w:r>
              <w:rPr>
                <w:rFonts w:hint="default"/>
              </w:rPr>
              <w:t>旬至7月中旬</w:t>
            </w:r>
          </w:p>
        </w:tc>
        <w:tc>
          <w:tcPr>
            <w:tcW w:w="598" w:type="pct"/>
            <w:tcBorders>
              <w:tl2br w:val="nil"/>
              <w:tr2bl w:val="nil"/>
            </w:tcBorders>
            <w:vAlign w:val="center"/>
          </w:tcPr>
          <w:p w14:paraId="46294290">
            <w:pPr>
              <w:pStyle w:val="49"/>
              <w:bidi w:val="0"/>
              <w:rPr>
                <w:rFonts w:hint="default"/>
              </w:rPr>
            </w:pPr>
          </w:p>
        </w:tc>
      </w:tr>
      <w:tr w14:paraId="701560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4C1DA23F">
            <w:pPr>
              <w:pStyle w:val="49"/>
              <w:bidi w:val="0"/>
              <w:rPr>
                <w:rFonts w:hint="default"/>
              </w:rPr>
            </w:pPr>
            <w:r>
              <w:rPr>
                <w:rFonts w:hint="eastAsia"/>
                <w:lang w:eastAsia="zh-CN"/>
              </w:rPr>
              <w:t>（</w:t>
            </w:r>
            <w:r>
              <w:rPr>
                <w:rFonts w:hint="default"/>
              </w:rPr>
              <w:t>2</w:t>
            </w:r>
            <w:r>
              <w:rPr>
                <w:rFonts w:hint="eastAsia"/>
                <w:lang w:eastAsia="zh-CN"/>
              </w:rPr>
              <w:t>）</w:t>
            </w:r>
            <w:r>
              <w:rPr>
                <w:rFonts w:hint="default"/>
              </w:rPr>
              <w:t>鲇科Siluridae</w:t>
            </w:r>
          </w:p>
        </w:tc>
      </w:tr>
      <w:tr w14:paraId="3C3E76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vMerge w:val="restart"/>
            <w:tcBorders>
              <w:tl2br w:val="nil"/>
              <w:tr2bl w:val="nil"/>
            </w:tcBorders>
            <w:vAlign w:val="center"/>
          </w:tcPr>
          <w:p w14:paraId="1BDEF167">
            <w:pPr>
              <w:pStyle w:val="49"/>
              <w:bidi w:val="0"/>
              <w:rPr>
                <w:rFonts w:hint="default"/>
              </w:rPr>
            </w:pPr>
            <w:r>
              <w:rPr>
                <w:rFonts w:hint="default"/>
              </w:rPr>
              <w:t>2.鲇</w:t>
            </w:r>
          </w:p>
          <w:p w14:paraId="56DE5A59">
            <w:pPr>
              <w:pStyle w:val="49"/>
              <w:bidi w:val="0"/>
              <w:rPr>
                <w:rFonts w:hint="default"/>
              </w:rPr>
            </w:pPr>
            <w:r>
              <w:rPr>
                <w:rFonts w:hint="default"/>
              </w:rPr>
              <w:t>Silurus</w:t>
            </w:r>
            <w:r>
              <w:rPr>
                <w:rFonts w:hint="eastAsia"/>
                <w:lang w:val="en-US" w:eastAsia="zh-CN"/>
              </w:rPr>
              <w:t xml:space="preserve"> </w:t>
            </w:r>
            <w:r>
              <w:rPr>
                <w:rFonts w:hint="default"/>
              </w:rPr>
              <w:t>asotus</w:t>
            </w:r>
          </w:p>
        </w:tc>
        <w:tc>
          <w:tcPr>
            <w:tcW w:w="2695" w:type="pct"/>
            <w:vMerge w:val="restart"/>
            <w:tcBorders>
              <w:tl2br w:val="nil"/>
              <w:tr2bl w:val="nil"/>
            </w:tcBorders>
            <w:vAlign w:val="center"/>
          </w:tcPr>
          <w:p w14:paraId="042019D2">
            <w:pPr>
              <w:pStyle w:val="49"/>
              <w:bidi w:val="0"/>
              <w:rPr>
                <w:rFonts w:hint="default"/>
              </w:rPr>
            </w:pPr>
            <w:r>
              <w:rPr>
                <w:rFonts w:hint="default"/>
              </w:rPr>
              <w:t>栖息于湖泊、水库和沟渠水体，亦适应于河岸边或流动缓慢的水域，肉食性鱼类，产卵期在4-6月，卵粒粘附在水草上发育</w:t>
            </w:r>
          </w:p>
        </w:tc>
        <w:tc>
          <w:tcPr>
            <w:tcW w:w="598" w:type="pct"/>
            <w:tcBorders>
              <w:tl2br w:val="nil"/>
              <w:tr2bl w:val="nil"/>
            </w:tcBorders>
            <w:vAlign w:val="center"/>
          </w:tcPr>
          <w:p w14:paraId="130FE726">
            <w:pPr>
              <w:pStyle w:val="49"/>
              <w:bidi w:val="0"/>
              <w:rPr>
                <w:rFonts w:hint="default"/>
              </w:rPr>
            </w:pPr>
          </w:p>
        </w:tc>
      </w:tr>
      <w:tr w14:paraId="68A3A6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vMerge w:val="continue"/>
            <w:tcBorders>
              <w:tl2br w:val="nil"/>
              <w:tr2bl w:val="nil"/>
            </w:tcBorders>
            <w:vAlign w:val="center"/>
          </w:tcPr>
          <w:p w14:paraId="1FF987BE">
            <w:pPr>
              <w:pStyle w:val="49"/>
              <w:bidi w:val="0"/>
              <w:rPr>
                <w:rFonts w:hint="default"/>
              </w:rPr>
            </w:pPr>
          </w:p>
        </w:tc>
        <w:tc>
          <w:tcPr>
            <w:tcW w:w="2695" w:type="pct"/>
            <w:vMerge w:val="continue"/>
            <w:tcBorders>
              <w:tl2br w:val="nil"/>
              <w:tr2bl w:val="nil"/>
            </w:tcBorders>
            <w:vAlign w:val="center"/>
          </w:tcPr>
          <w:p w14:paraId="0ACC9E72">
            <w:pPr>
              <w:pStyle w:val="49"/>
              <w:bidi w:val="0"/>
              <w:rPr>
                <w:rFonts w:hint="default"/>
              </w:rPr>
            </w:pPr>
          </w:p>
        </w:tc>
        <w:tc>
          <w:tcPr>
            <w:tcW w:w="598" w:type="pct"/>
            <w:tcBorders>
              <w:tl2br w:val="nil"/>
              <w:tr2bl w:val="nil"/>
            </w:tcBorders>
            <w:vAlign w:val="center"/>
          </w:tcPr>
          <w:p w14:paraId="5C36D6B1">
            <w:pPr>
              <w:pStyle w:val="49"/>
              <w:bidi w:val="0"/>
              <w:rPr>
                <w:rFonts w:hint="default"/>
              </w:rPr>
            </w:pPr>
          </w:p>
        </w:tc>
      </w:tr>
      <w:tr w14:paraId="35878F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5FAF0B34">
            <w:pPr>
              <w:pStyle w:val="49"/>
              <w:bidi w:val="0"/>
              <w:rPr>
                <w:rFonts w:hint="default"/>
              </w:rPr>
            </w:pPr>
            <w:r>
              <w:rPr>
                <w:rFonts w:hint="eastAsia"/>
                <w:lang w:eastAsia="zh-CN"/>
              </w:rPr>
              <w:t>（</w:t>
            </w:r>
            <w:r>
              <w:rPr>
                <w:rFonts w:hint="default"/>
              </w:rPr>
              <w:t>3</w:t>
            </w:r>
            <w:r>
              <w:rPr>
                <w:rFonts w:hint="eastAsia"/>
                <w:lang w:eastAsia="zh-CN"/>
              </w:rPr>
              <w:t>）</w:t>
            </w:r>
            <w:r>
              <w:rPr>
                <w:rFonts w:hint="default"/>
              </w:rPr>
              <w:t>胡子鲇科Claridae</w:t>
            </w:r>
          </w:p>
        </w:tc>
      </w:tr>
      <w:tr w14:paraId="656E4F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53CC4AC4">
            <w:pPr>
              <w:pStyle w:val="49"/>
              <w:bidi w:val="0"/>
              <w:rPr>
                <w:rFonts w:hint="default"/>
              </w:rPr>
            </w:pPr>
            <w:r>
              <w:rPr>
                <w:rFonts w:hint="default"/>
              </w:rPr>
              <w:t>3.胡子鲇</w:t>
            </w:r>
          </w:p>
          <w:p w14:paraId="408F77F9">
            <w:pPr>
              <w:pStyle w:val="49"/>
              <w:bidi w:val="0"/>
              <w:rPr>
                <w:rFonts w:hint="default"/>
              </w:rPr>
            </w:pPr>
            <w:r>
              <w:rPr>
                <w:rFonts w:hint="default"/>
              </w:rPr>
              <w:t>Clarias</w:t>
            </w:r>
            <w:r>
              <w:rPr>
                <w:rFonts w:hint="eastAsia"/>
                <w:lang w:val="en-US" w:eastAsia="zh-CN"/>
              </w:rPr>
              <w:t xml:space="preserve"> </w:t>
            </w:r>
            <w:r>
              <w:rPr>
                <w:rFonts w:hint="default"/>
              </w:rPr>
              <w:t>fuscus</w:t>
            </w:r>
          </w:p>
        </w:tc>
        <w:tc>
          <w:tcPr>
            <w:tcW w:w="2695" w:type="pct"/>
            <w:tcBorders>
              <w:tl2br w:val="nil"/>
              <w:tr2bl w:val="nil"/>
            </w:tcBorders>
            <w:vAlign w:val="center"/>
          </w:tcPr>
          <w:p w14:paraId="530A4F43">
            <w:pPr>
              <w:pStyle w:val="49"/>
              <w:bidi w:val="0"/>
              <w:rPr>
                <w:rFonts w:hint="default"/>
              </w:rPr>
            </w:pPr>
            <w:r>
              <w:rPr>
                <w:rFonts w:hint="default"/>
              </w:rPr>
              <w:t>栖于田间沟渠、稻田、河川、湖泊等水域的底层鱼类，</w:t>
            </w:r>
          </w:p>
          <w:p w14:paraId="0F143355">
            <w:pPr>
              <w:pStyle w:val="49"/>
              <w:bidi w:val="0"/>
              <w:rPr>
                <w:rFonts w:hint="default"/>
              </w:rPr>
            </w:pPr>
            <w:r>
              <w:rPr>
                <w:rFonts w:hint="default"/>
              </w:rPr>
              <w:t>常群集于岸边的暗处或洞穴中，昼伏夜出，觅食动物性饵料</w:t>
            </w:r>
          </w:p>
        </w:tc>
        <w:tc>
          <w:tcPr>
            <w:tcW w:w="598" w:type="pct"/>
            <w:tcBorders>
              <w:tl2br w:val="nil"/>
              <w:tr2bl w:val="nil"/>
            </w:tcBorders>
            <w:vAlign w:val="center"/>
          </w:tcPr>
          <w:p w14:paraId="612AECF4">
            <w:pPr>
              <w:pStyle w:val="49"/>
              <w:bidi w:val="0"/>
              <w:rPr>
                <w:rFonts w:hint="default"/>
              </w:rPr>
            </w:pPr>
          </w:p>
        </w:tc>
      </w:tr>
      <w:tr w14:paraId="7E3EEA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3A74D908">
            <w:pPr>
              <w:pStyle w:val="49"/>
              <w:bidi w:val="0"/>
              <w:rPr>
                <w:rFonts w:hint="default"/>
              </w:rPr>
            </w:pPr>
            <w:r>
              <w:rPr>
                <w:rFonts w:hint="default"/>
              </w:rPr>
              <w:t>II合鳃鱼目SYNBGRANCHIFORMES</w:t>
            </w:r>
          </w:p>
        </w:tc>
      </w:tr>
      <w:tr w14:paraId="21C46F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081FA8B4">
            <w:pPr>
              <w:pStyle w:val="49"/>
              <w:bidi w:val="0"/>
              <w:rPr>
                <w:rFonts w:hint="default"/>
              </w:rPr>
            </w:pPr>
            <w:r>
              <w:rPr>
                <w:rFonts w:hint="eastAsia"/>
                <w:lang w:eastAsia="zh-CN"/>
              </w:rPr>
              <w:t>（</w:t>
            </w:r>
            <w:r>
              <w:rPr>
                <w:rFonts w:hint="default"/>
              </w:rPr>
              <w:t>4</w:t>
            </w:r>
            <w:r>
              <w:rPr>
                <w:rFonts w:hint="eastAsia"/>
                <w:lang w:eastAsia="zh-CN"/>
              </w:rPr>
              <w:t>）</w:t>
            </w:r>
            <w:r>
              <w:rPr>
                <w:rFonts w:hint="default"/>
              </w:rPr>
              <w:t>合鳃鱼科Synbranchidae</w:t>
            </w:r>
          </w:p>
        </w:tc>
      </w:tr>
      <w:tr w14:paraId="6314B8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C429A23">
            <w:pPr>
              <w:pStyle w:val="49"/>
              <w:bidi w:val="0"/>
              <w:rPr>
                <w:rFonts w:hint="default"/>
              </w:rPr>
            </w:pPr>
            <w:r>
              <w:rPr>
                <w:rFonts w:hint="default"/>
              </w:rPr>
              <w:t>4.黄鳝</w:t>
            </w:r>
          </w:p>
          <w:p w14:paraId="0672BA8F">
            <w:pPr>
              <w:pStyle w:val="49"/>
              <w:bidi w:val="0"/>
              <w:rPr>
                <w:rFonts w:hint="default"/>
              </w:rPr>
            </w:pPr>
            <w:r>
              <w:rPr>
                <w:rFonts w:hint="default"/>
              </w:rPr>
              <w:t>Monopterus</w:t>
            </w:r>
            <w:r>
              <w:rPr>
                <w:rFonts w:hint="eastAsia"/>
                <w:lang w:val="en-US" w:eastAsia="zh-CN"/>
              </w:rPr>
              <w:t xml:space="preserve"> </w:t>
            </w:r>
            <w:r>
              <w:rPr>
                <w:rFonts w:hint="default"/>
              </w:rPr>
              <w:t>albus</w:t>
            </w:r>
          </w:p>
        </w:tc>
        <w:tc>
          <w:tcPr>
            <w:tcW w:w="2695" w:type="pct"/>
            <w:tcBorders>
              <w:tl2br w:val="nil"/>
              <w:tr2bl w:val="nil"/>
            </w:tcBorders>
            <w:vAlign w:val="center"/>
          </w:tcPr>
          <w:p w14:paraId="5DC00A82">
            <w:pPr>
              <w:pStyle w:val="49"/>
              <w:bidi w:val="0"/>
              <w:rPr>
                <w:rFonts w:hint="default"/>
              </w:rPr>
            </w:pPr>
            <w:r>
              <w:rPr>
                <w:rFonts w:hint="default"/>
              </w:rPr>
              <w:t>淡水底栖鱼类，常栖息于稻田河沟中，亦喜钻</w:t>
            </w:r>
          </w:p>
          <w:p w14:paraId="5D8BDAD9">
            <w:pPr>
              <w:pStyle w:val="49"/>
              <w:bidi w:val="0"/>
              <w:rPr>
                <w:rFonts w:hint="default"/>
              </w:rPr>
            </w:pPr>
            <w:r>
              <w:rPr>
                <w:rFonts w:hint="default"/>
              </w:rPr>
              <w:t>洞穴居，白天潜伏，夜晚觅食，主要摄食昆虫</w:t>
            </w:r>
          </w:p>
          <w:p w14:paraId="2956F0D1">
            <w:pPr>
              <w:pStyle w:val="49"/>
              <w:bidi w:val="0"/>
              <w:rPr>
                <w:rFonts w:hint="default"/>
              </w:rPr>
            </w:pPr>
            <w:r>
              <w:rPr>
                <w:rFonts w:hint="default"/>
              </w:rPr>
              <w:t>及幼虫、小鱼、小虾等，5~8月产卵</w:t>
            </w:r>
          </w:p>
        </w:tc>
        <w:tc>
          <w:tcPr>
            <w:tcW w:w="598" w:type="pct"/>
            <w:tcBorders>
              <w:tl2br w:val="nil"/>
              <w:tr2bl w:val="nil"/>
            </w:tcBorders>
            <w:vAlign w:val="center"/>
          </w:tcPr>
          <w:p w14:paraId="1C3EF755">
            <w:pPr>
              <w:pStyle w:val="49"/>
              <w:bidi w:val="0"/>
              <w:rPr>
                <w:rFonts w:hint="default"/>
              </w:rPr>
            </w:pPr>
          </w:p>
        </w:tc>
      </w:tr>
      <w:tr w14:paraId="3BA0C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56F40313">
            <w:pPr>
              <w:pStyle w:val="49"/>
              <w:bidi w:val="0"/>
              <w:rPr>
                <w:rFonts w:hint="default"/>
              </w:rPr>
            </w:pPr>
            <w:r>
              <w:rPr>
                <w:rFonts w:hint="default"/>
              </w:rPr>
              <w:t>III鲈形目PERCIFORMES</w:t>
            </w:r>
          </w:p>
        </w:tc>
      </w:tr>
      <w:tr w14:paraId="424212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1C7B017A">
            <w:pPr>
              <w:pStyle w:val="49"/>
              <w:bidi w:val="0"/>
              <w:rPr>
                <w:rFonts w:hint="default"/>
              </w:rPr>
            </w:pPr>
            <w:r>
              <w:rPr>
                <w:rFonts w:hint="eastAsia"/>
                <w:lang w:eastAsia="zh-CN"/>
              </w:rPr>
              <w:t>（</w:t>
            </w:r>
            <w:r>
              <w:rPr>
                <w:rFonts w:hint="default"/>
              </w:rPr>
              <w:t>5</w:t>
            </w:r>
            <w:r>
              <w:rPr>
                <w:rFonts w:hint="eastAsia"/>
                <w:lang w:eastAsia="zh-CN"/>
              </w:rPr>
              <w:t>）</w:t>
            </w:r>
            <w:r>
              <w:rPr>
                <w:rFonts w:hint="default"/>
              </w:rPr>
              <w:t>鮨科</w:t>
            </w:r>
          </w:p>
        </w:tc>
      </w:tr>
      <w:tr w14:paraId="393A71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2CFA5E7E">
            <w:pPr>
              <w:pStyle w:val="49"/>
              <w:bidi w:val="0"/>
              <w:rPr>
                <w:rFonts w:hint="default"/>
              </w:rPr>
            </w:pPr>
            <w:r>
              <w:rPr>
                <w:rFonts w:hint="default"/>
              </w:rPr>
              <w:t>5.鳜</w:t>
            </w:r>
          </w:p>
          <w:p w14:paraId="58351107">
            <w:pPr>
              <w:pStyle w:val="49"/>
              <w:bidi w:val="0"/>
              <w:rPr>
                <w:rFonts w:hint="default"/>
              </w:rPr>
            </w:pPr>
            <w:r>
              <w:rPr>
                <w:rFonts w:hint="default"/>
              </w:rPr>
              <w:t>Siniperca</w:t>
            </w:r>
            <w:r>
              <w:rPr>
                <w:rFonts w:hint="eastAsia"/>
                <w:lang w:val="en-US" w:eastAsia="zh-CN"/>
              </w:rPr>
              <w:t xml:space="preserve"> </w:t>
            </w:r>
            <w:r>
              <w:rPr>
                <w:rFonts w:hint="default"/>
              </w:rPr>
              <w:t>chuatsi</w:t>
            </w:r>
          </w:p>
        </w:tc>
        <w:tc>
          <w:tcPr>
            <w:tcW w:w="2695" w:type="pct"/>
            <w:tcBorders>
              <w:tl2br w:val="nil"/>
              <w:tr2bl w:val="nil"/>
            </w:tcBorders>
            <w:vAlign w:val="center"/>
          </w:tcPr>
          <w:p w14:paraId="5B06D01D">
            <w:pPr>
              <w:pStyle w:val="49"/>
              <w:bidi w:val="0"/>
              <w:rPr>
                <w:rFonts w:hint="default"/>
              </w:rPr>
            </w:pPr>
            <w:r>
              <w:rPr>
                <w:rFonts w:hint="default"/>
              </w:rPr>
              <w:t>栖息于河流或湖泊中，以小鱼小虾等为食，5-7月分批产浮性卵</w:t>
            </w:r>
          </w:p>
        </w:tc>
        <w:tc>
          <w:tcPr>
            <w:tcW w:w="598" w:type="pct"/>
            <w:tcBorders>
              <w:tl2br w:val="nil"/>
              <w:tr2bl w:val="nil"/>
            </w:tcBorders>
            <w:vAlign w:val="center"/>
          </w:tcPr>
          <w:p w14:paraId="7596589B">
            <w:pPr>
              <w:pStyle w:val="49"/>
              <w:bidi w:val="0"/>
              <w:rPr>
                <w:rFonts w:hint="default"/>
              </w:rPr>
            </w:pPr>
          </w:p>
        </w:tc>
      </w:tr>
      <w:tr w14:paraId="10FD51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4DE7C843">
            <w:pPr>
              <w:pStyle w:val="49"/>
              <w:bidi w:val="0"/>
              <w:rPr>
                <w:rFonts w:hint="default"/>
              </w:rPr>
            </w:pPr>
            <w:r>
              <w:rPr>
                <w:rFonts w:hint="eastAsia"/>
                <w:lang w:eastAsia="zh-CN"/>
              </w:rPr>
              <w:t>（</w:t>
            </w:r>
            <w:r>
              <w:rPr>
                <w:rFonts w:hint="default"/>
              </w:rPr>
              <w:t>6</w:t>
            </w:r>
            <w:r>
              <w:rPr>
                <w:rFonts w:hint="eastAsia"/>
                <w:lang w:eastAsia="zh-CN"/>
              </w:rPr>
              <w:t>）</w:t>
            </w:r>
            <w:r>
              <w:rPr>
                <w:rFonts w:hint="default"/>
              </w:rPr>
              <w:t>鳢科Channidae</w:t>
            </w:r>
          </w:p>
        </w:tc>
      </w:tr>
      <w:tr w14:paraId="0841EC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5C98607D">
            <w:pPr>
              <w:pStyle w:val="49"/>
              <w:bidi w:val="0"/>
              <w:rPr>
                <w:rFonts w:hint="default"/>
              </w:rPr>
            </w:pPr>
            <w:r>
              <w:rPr>
                <w:rFonts w:hint="default"/>
              </w:rPr>
              <w:t>6.乌鳢</w:t>
            </w:r>
          </w:p>
          <w:p w14:paraId="316346B6">
            <w:pPr>
              <w:pStyle w:val="49"/>
              <w:bidi w:val="0"/>
              <w:rPr>
                <w:rFonts w:hint="default"/>
              </w:rPr>
            </w:pPr>
            <w:r>
              <w:rPr>
                <w:rFonts w:hint="default"/>
              </w:rPr>
              <w:t>Channa</w:t>
            </w:r>
            <w:r>
              <w:rPr>
                <w:rFonts w:hint="eastAsia"/>
                <w:lang w:val="en-US" w:eastAsia="zh-CN"/>
              </w:rPr>
              <w:t xml:space="preserve"> </w:t>
            </w:r>
            <w:r>
              <w:rPr>
                <w:rFonts w:hint="default"/>
              </w:rPr>
              <w:t>argus</w:t>
            </w:r>
          </w:p>
        </w:tc>
        <w:tc>
          <w:tcPr>
            <w:tcW w:w="2695" w:type="pct"/>
            <w:tcBorders>
              <w:tl2br w:val="nil"/>
              <w:tr2bl w:val="nil"/>
            </w:tcBorders>
            <w:vAlign w:val="center"/>
          </w:tcPr>
          <w:p w14:paraId="2AD1DF37">
            <w:pPr>
              <w:pStyle w:val="49"/>
              <w:bidi w:val="0"/>
              <w:rPr>
                <w:rFonts w:hint="default"/>
              </w:rPr>
            </w:pPr>
            <w:r>
              <w:rPr>
                <w:rFonts w:hint="default"/>
              </w:rPr>
              <w:t>体中大，为淡水凶猛性鱼类，常栖息水草丛中，以</w:t>
            </w:r>
          </w:p>
          <w:p w14:paraId="338E5ED8">
            <w:pPr>
              <w:pStyle w:val="49"/>
              <w:bidi w:val="0"/>
              <w:rPr>
                <w:rFonts w:hint="default"/>
              </w:rPr>
            </w:pPr>
            <w:r>
              <w:rPr>
                <w:rFonts w:hint="default"/>
              </w:rPr>
              <w:t>鱼虾等为食，生活力强，生殖期5-7月</w:t>
            </w:r>
          </w:p>
        </w:tc>
        <w:tc>
          <w:tcPr>
            <w:tcW w:w="598" w:type="pct"/>
            <w:tcBorders>
              <w:tl2br w:val="nil"/>
              <w:tr2bl w:val="nil"/>
            </w:tcBorders>
            <w:vAlign w:val="center"/>
          </w:tcPr>
          <w:p w14:paraId="5D1354E4">
            <w:pPr>
              <w:pStyle w:val="49"/>
              <w:bidi w:val="0"/>
              <w:rPr>
                <w:rFonts w:hint="default"/>
              </w:rPr>
            </w:pPr>
          </w:p>
        </w:tc>
      </w:tr>
      <w:tr w14:paraId="50570A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E696AAC">
            <w:pPr>
              <w:pStyle w:val="49"/>
              <w:bidi w:val="0"/>
              <w:rPr>
                <w:rFonts w:hint="default"/>
              </w:rPr>
            </w:pPr>
            <w:r>
              <w:rPr>
                <w:rFonts w:hint="eastAsia"/>
                <w:lang w:eastAsia="zh-CN"/>
              </w:rPr>
              <w:t>（</w:t>
            </w:r>
            <w:r>
              <w:rPr>
                <w:rFonts w:hint="default"/>
              </w:rPr>
              <w:t>7</w:t>
            </w:r>
            <w:r>
              <w:rPr>
                <w:rFonts w:hint="eastAsia"/>
                <w:lang w:eastAsia="zh-CN"/>
              </w:rPr>
              <w:t>）</w:t>
            </w:r>
            <w:r>
              <w:rPr>
                <w:rFonts w:hint="default"/>
              </w:rPr>
              <w:t>剌鳅科Mastacembelidae</w:t>
            </w:r>
          </w:p>
        </w:tc>
      </w:tr>
      <w:tr w14:paraId="7F19C1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0EF45D6">
            <w:pPr>
              <w:pStyle w:val="49"/>
              <w:bidi w:val="0"/>
              <w:rPr>
                <w:rFonts w:hint="default"/>
              </w:rPr>
            </w:pPr>
            <w:r>
              <w:rPr>
                <w:rFonts w:hint="default"/>
              </w:rPr>
              <w:t>IV鲤形目CYPRINIFORMES</w:t>
            </w:r>
          </w:p>
        </w:tc>
      </w:tr>
      <w:tr w14:paraId="3EA538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AC73AA0">
            <w:pPr>
              <w:pStyle w:val="49"/>
              <w:bidi w:val="0"/>
              <w:rPr>
                <w:rFonts w:hint="default"/>
              </w:rPr>
            </w:pPr>
            <w:r>
              <w:rPr>
                <w:rFonts w:hint="eastAsia"/>
                <w:lang w:eastAsia="zh-CN"/>
              </w:rPr>
              <w:t>（</w:t>
            </w:r>
            <w:r>
              <w:rPr>
                <w:rFonts w:hint="default"/>
              </w:rPr>
              <w:t>8</w:t>
            </w:r>
            <w:r>
              <w:rPr>
                <w:rFonts w:hint="eastAsia"/>
                <w:lang w:eastAsia="zh-CN"/>
              </w:rPr>
              <w:t>）</w:t>
            </w:r>
            <w:r>
              <w:rPr>
                <w:rFonts w:hint="default"/>
              </w:rPr>
              <w:t>鲤科Cyprinidae</w:t>
            </w:r>
          </w:p>
        </w:tc>
      </w:tr>
      <w:tr w14:paraId="7A6F98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F1EB1F0">
            <w:pPr>
              <w:pStyle w:val="49"/>
              <w:bidi w:val="0"/>
              <w:rPr>
                <w:rFonts w:hint="default"/>
              </w:rPr>
            </w:pPr>
            <w:r>
              <w:rPr>
                <w:rFonts w:hint="default"/>
              </w:rPr>
              <w:t>8.青鱼</w:t>
            </w:r>
          </w:p>
          <w:p w14:paraId="79F548F8">
            <w:pPr>
              <w:pStyle w:val="49"/>
              <w:bidi w:val="0"/>
              <w:rPr>
                <w:rFonts w:hint="default"/>
              </w:rPr>
            </w:pPr>
            <w:r>
              <w:rPr>
                <w:rFonts w:hint="default"/>
              </w:rPr>
              <w:t>Mylopharyngodon</w:t>
            </w:r>
            <w:r>
              <w:rPr>
                <w:rFonts w:hint="eastAsia"/>
                <w:lang w:val="en-US" w:eastAsia="zh-CN"/>
              </w:rPr>
              <w:t xml:space="preserve"> </w:t>
            </w:r>
            <w:r>
              <w:rPr>
                <w:rFonts w:hint="default"/>
              </w:rPr>
              <w:t>piceus</w:t>
            </w:r>
          </w:p>
        </w:tc>
        <w:tc>
          <w:tcPr>
            <w:tcW w:w="2695" w:type="pct"/>
            <w:tcBorders>
              <w:tl2br w:val="nil"/>
              <w:tr2bl w:val="nil"/>
            </w:tcBorders>
            <w:vAlign w:val="center"/>
          </w:tcPr>
          <w:p w14:paraId="02FC373A">
            <w:pPr>
              <w:pStyle w:val="49"/>
              <w:bidi w:val="0"/>
              <w:rPr>
                <w:rFonts w:hint="default"/>
              </w:rPr>
            </w:pPr>
            <w:r>
              <w:rPr>
                <w:rFonts w:hint="default"/>
              </w:rPr>
              <w:t>平时多栖息在江河、湖泊的中下层，以蚌、蚬、螺、蚌等软体动物为主食，产卵期为5-7月</w:t>
            </w:r>
          </w:p>
        </w:tc>
        <w:tc>
          <w:tcPr>
            <w:tcW w:w="598" w:type="pct"/>
            <w:tcBorders>
              <w:tl2br w:val="nil"/>
              <w:tr2bl w:val="nil"/>
            </w:tcBorders>
            <w:vAlign w:val="center"/>
          </w:tcPr>
          <w:p w14:paraId="38186DFC">
            <w:pPr>
              <w:pStyle w:val="49"/>
              <w:bidi w:val="0"/>
              <w:rPr>
                <w:rFonts w:hint="default"/>
              </w:rPr>
            </w:pPr>
          </w:p>
        </w:tc>
      </w:tr>
      <w:tr w14:paraId="0DCBB7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79E088E1">
            <w:pPr>
              <w:pStyle w:val="49"/>
              <w:bidi w:val="0"/>
              <w:rPr>
                <w:rFonts w:hint="default"/>
              </w:rPr>
            </w:pPr>
            <w:r>
              <w:rPr>
                <w:rFonts w:hint="default"/>
              </w:rPr>
              <w:t>9草鱼</w:t>
            </w:r>
          </w:p>
          <w:p w14:paraId="4E0C371B">
            <w:pPr>
              <w:pStyle w:val="49"/>
              <w:bidi w:val="0"/>
              <w:rPr>
                <w:rFonts w:hint="default"/>
              </w:rPr>
            </w:pPr>
            <w:r>
              <w:rPr>
                <w:rFonts w:hint="default"/>
              </w:rPr>
              <w:t>Ctenopharyngodon</w:t>
            </w:r>
            <w:r>
              <w:rPr>
                <w:rFonts w:hint="eastAsia"/>
                <w:lang w:val="en-US" w:eastAsia="zh-CN"/>
              </w:rPr>
              <w:t xml:space="preserve"> </w:t>
            </w:r>
            <w:r>
              <w:rPr>
                <w:rFonts w:hint="default"/>
              </w:rPr>
              <w:t>idellus</w:t>
            </w:r>
          </w:p>
        </w:tc>
        <w:tc>
          <w:tcPr>
            <w:tcW w:w="2695" w:type="pct"/>
            <w:tcBorders>
              <w:tl2br w:val="nil"/>
              <w:tr2bl w:val="nil"/>
            </w:tcBorders>
            <w:vAlign w:val="center"/>
          </w:tcPr>
          <w:p w14:paraId="68F2B027">
            <w:pPr>
              <w:pStyle w:val="49"/>
              <w:bidi w:val="0"/>
              <w:rPr>
                <w:rFonts w:hint="default"/>
              </w:rPr>
            </w:pPr>
            <w:r>
              <w:rPr>
                <w:rFonts w:hint="default"/>
              </w:rPr>
              <w:t>栖息于江河、湖泊的中下层，为草食性鱼类，4-7月在江河流水中产卵，卵为漂流性</w:t>
            </w:r>
          </w:p>
        </w:tc>
        <w:tc>
          <w:tcPr>
            <w:tcW w:w="598" w:type="pct"/>
            <w:tcBorders>
              <w:tl2br w:val="nil"/>
              <w:tr2bl w:val="nil"/>
            </w:tcBorders>
            <w:vAlign w:val="center"/>
          </w:tcPr>
          <w:p w14:paraId="1EA363CF">
            <w:pPr>
              <w:pStyle w:val="49"/>
              <w:bidi w:val="0"/>
              <w:rPr>
                <w:rFonts w:hint="default"/>
              </w:rPr>
            </w:pPr>
          </w:p>
        </w:tc>
      </w:tr>
      <w:tr w14:paraId="5AC03C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4E1C05D7">
            <w:pPr>
              <w:pStyle w:val="49"/>
              <w:bidi w:val="0"/>
              <w:rPr>
                <w:rFonts w:hint="default"/>
              </w:rPr>
            </w:pPr>
            <w:r>
              <w:rPr>
                <w:rFonts w:hint="default"/>
              </w:rPr>
              <w:t>10.鲂</w:t>
            </w:r>
          </w:p>
          <w:p w14:paraId="68C2EA47">
            <w:pPr>
              <w:pStyle w:val="49"/>
              <w:bidi w:val="0"/>
              <w:rPr>
                <w:rFonts w:hint="default"/>
              </w:rPr>
            </w:pPr>
            <w:r>
              <w:rPr>
                <w:rFonts w:hint="default"/>
              </w:rPr>
              <w:t>Megalobrama</w:t>
            </w:r>
            <w:r>
              <w:rPr>
                <w:rFonts w:hint="eastAsia"/>
                <w:lang w:val="en-US" w:eastAsia="zh-CN"/>
              </w:rPr>
              <w:t xml:space="preserve"> </w:t>
            </w:r>
            <w:r>
              <w:rPr>
                <w:rFonts w:hint="default"/>
              </w:rPr>
              <w:t>skolkovii</w:t>
            </w:r>
          </w:p>
        </w:tc>
        <w:tc>
          <w:tcPr>
            <w:tcW w:w="2695" w:type="pct"/>
            <w:tcBorders>
              <w:tl2br w:val="nil"/>
              <w:tr2bl w:val="nil"/>
            </w:tcBorders>
            <w:vAlign w:val="center"/>
          </w:tcPr>
          <w:p w14:paraId="42DCB6C7">
            <w:pPr>
              <w:pStyle w:val="49"/>
              <w:bidi w:val="0"/>
              <w:rPr>
                <w:rFonts w:hint="default"/>
              </w:rPr>
            </w:pPr>
            <w:r>
              <w:rPr>
                <w:rFonts w:hint="default"/>
              </w:rPr>
              <w:t>栖息于静水或缓流水体的中下层，幼鱼以浮游动物和藻类为食，成鱼则以水生维管束植物为食，</w:t>
            </w:r>
          </w:p>
          <w:p w14:paraId="62A1156B">
            <w:pPr>
              <w:pStyle w:val="49"/>
              <w:bidi w:val="0"/>
              <w:rPr>
                <w:rFonts w:hint="default"/>
              </w:rPr>
            </w:pPr>
            <w:r>
              <w:rPr>
                <w:rFonts w:hint="default"/>
              </w:rPr>
              <w:t>每年6-7月在流水中产卵繁殖；浮性卵</w:t>
            </w:r>
          </w:p>
        </w:tc>
        <w:tc>
          <w:tcPr>
            <w:tcW w:w="598" w:type="pct"/>
            <w:tcBorders>
              <w:tl2br w:val="nil"/>
              <w:tr2bl w:val="nil"/>
            </w:tcBorders>
            <w:vAlign w:val="center"/>
          </w:tcPr>
          <w:p w14:paraId="1F6CA8B3">
            <w:pPr>
              <w:pStyle w:val="49"/>
              <w:bidi w:val="0"/>
              <w:rPr>
                <w:rFonts w:hint="default"/>
              </w:rPr>
            </w:pPr>
          </w:p>
        </w:tc>
      </w:tr>
      <w:tr w14:paraId="583719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060E7A9E">
            <w:pPr>
              <w:pStyle w:val="49"/>
              <w:bidi w:val="0"/>
              <w:rPr>
                <w:rFonts w:hint="default"/>
              </w:rPr>
            </w:pPr>
            <w:r>
              <w:rPr>
                <w:rFonts w:hint="default"/>
              </w:rPr>
              <w:t>11.黄尾鲴</w:t>
            </w:r>
          </w:p>
          <w:p w14:paraId="3F0449D5">
            <w:pPr>
              <w:pStyle w:val="49"/>
              <w:bidi w:val="0"/>
              <w:rPr>
                <w:rFonts w:hint="default"/>
              </w:rPr>
            </w:pPr>
            <w:r>
              <w:rPr>
                <w:rFonts w:hint="default"/>
              </w:rPr>
              <w:t>Xenocypris</w:t>
            </w:r>
            <w:r>
              <w:rPr>
                <w:rFonts w:hint="eastAsia"/>
                <w:lang w:val="en-US" w:eastAsia="zh-CN"/>
              </w:rPr>
              <w:t xml:space="preserve"> </w:t>
            </w:r>
            <w:r>
              <w:rPr>
                <w:rFonts w:hint="default"/>
              </w:rPr>
              <w:t>davidi</w:t>
            </w:r>
          </w:p>
        </w:tc>
        <w:tc>
          <w:tcPr>
            <w:tcW w:w="2695" w:type="pct"/>
            <w:tcBorders>
              <w:tl2br w:val="nil"/>
              <w:tr2bl w:val="nil"/>
            </w:tcBorders>
            <w:vAlign w:val="center"/>
          </w:tcPr>
          <w:p w14:paraId="3EFF0D4A">
            <w:pPr>
              <w:pStyle w:val="49"/>
              <w:bidi w:val="0"/>
              <w:rPr>
                <w:rFonts w:hint="default"/>
              </w:rPr>
            </w:pPr>
            <w:r>
              <w:rPr>
                <w:rFonts w:hint="default"/>
              </w:rPr>
              <w:t>栖息于江河、湖泊中下层，食藻类、轮虫等，5-6月繁殖，产粘性卵</w:t>
            </w:r>
          </w:p>
        </w:tc>
        <w:tc>
          <w:tcPr>
            <w:tcW w:w="598" w:type="pct"/>
            <w:tcBorders>
              <w:tl2br w:val="nil"/>
              <w:tr2bl w:val="nil"/>
            </w:tcBorders>
            <w:vAlign w:val="center"/>
          </w:tcPr>
          <w:p w14:paraId="12DDB26D">
            <w:pPr>
              <w:pStyle w:val="49"/>
              <w:bidi w:val="0"/>
              <w:rPr>
                <w:rFonts w:hint="default"/>
              </w:rPr>
            </w:pPr>
          </w:p>
        </w:tc>
      </w:tr>
      <w:tr w14:paraId="6DAED7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6D627846">
            <w:pPr>
              <w:pStyle w:val="49"/>
              <w:bidi w:val="0"/>
              <w:rPr>
                <w:rFonts w:hint="default"/>
              </w:rPr>
            </w:pPr>
            <w:r>
              <w:rPr>
                <w:rFonts w:hint="default"/>
              </w:rPr>
              <w:t>12.鲤</w:t>
            </w:r>
          </w:p>
          <w:p w14:paraId="02C333EA">
            <w:pPr>
              <w:pStyle w:val="49"/>
              <w:bidi w:val="0"/>
              <w:rPr>
                <w:rFonts w:hint="default"/>
              </w:rPr>
            </w:pPr>
            <w:r>
              <w:rPr>
                <w:rFonts w:hint="default"/>
              </w:rPr>
              <w:t>Cyprinus</w:t>
            </w:r>
            <w:r>
              <w:rPr>
                <w:rFonts w:hint="eastAsia"/>
                <w:lang w:val="en-US" w:eastAsia="zh-CN"/>
              </w:rPr>
              <w:t xml:space="preserve"> </w:t>
            </w:r>
            <w:r>
              <w:rPr>
                <w:rFonts w:hint="default"/>
              </w:rPr>
              <w:t>carpio</w:t>
            </w:r>
          </w:p>
        </w:tc>
        <w:tc>
          <w:tcPr>
            <w:tcW w:w="2695" w:type="pct"/>
            <w:tcBorders>
              <w:tl2br w:val="nil"/>
              <w:tr2bl w:val="nil"/>
            </w:tcBorders>
            <w:vAlign w:val="center"/>
          </w:tcPr>
          <w:p w14:paraId="348BA00A">
            <w:pPr>
              <w:pStyle w:val="49"/>
              <w:bidi w:val="0"/>
              <w:rPr>
                <w:rFonts w:hint="default"/>
              </w:rPr>
            </w:pPr>
            <w:r>
              <w:rPr>
                <w:rFonts w:hint="default"/>
              </w:rPr>
              <w:t>栖息于水体底层和水草丛生处，食性广，主食底栖动物，2-4月繁殖</w:t>
            </w:r>
          </w:p>
        </w:tc>
        <w:tc>
          <w:tcPr>
            <w:tcW w:w="598" w:type="pct"/>
            <w:tcBorders>
              <w:tl2br w:val="nil"/>
              <w:tr2bl w:val="nil"/>
            </w:tcBorders>
            <w:vAlign w:val="center"/>
          </w:tcPr>
          <w:p w14:paraId="6DB07B82">
            <w:pPr>
              <w:pStyle w:val="49"/>
              <w:bidi w:val="0"/>
              <w:rPr>
                <w:rFonts w:hint="default"/>
              </w:rPr>
            </w:pPr>
          </w:p>
        </w:tc>
      </w:tr>
      <w:tr w14:paraId="5467AC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1D99DA1E">
            <w:pPr>
              <w:pStyle w:val="49"/>
              <w:bidi w:val="0"/>
              <w:rPr>
                <w:rFonts w:hint="default"/>
              </w:rPr>
            </w:pPr>
            <w:r>
              <w:rPr>
                <w:rFonts w:hint="default"/>
              </w:rPr>
              <w:t>13.鲫</w:t>
            </w:r>
          </w:p>
          <w:p w14:paraId="32D2389A">
            <w:pPr>
              <w:pStyle w:val="49"/>
              <w:bidi w:val="0"/>
              <w:rPr>
                <w:rFonts w:hint="default"/>
              </w:rPr>
            </w:pPr>
            <w:r>
              <w:rPr>
                <w:rFonts w:hint="default"/>
              </w:rPr>
              <w:t>Carassius</w:t>
            </w:r>
            <w:r>
              <w:rPr>
                <w:rFonts w:hint="eastAsia"/>
                <w:lang w:val="en-US" w:eastAsia="zh-CN"/>
              </w:rPr>
              <w:t xml:space="preserve"> </w:t>
            </w:r>
            <w:r>
              <w:rPr>
                <w:rFonts w:hint="default"/>
              </w:rPr>
              <w:t>auratus</w:t>
            </w:r>
          </w:p>
        </w:tc>
        <w:tc>
          <w:tcPr>
            <w:tcW w:w="2695" w:type="pct"/>
            <w:tcBorders>
              <w:tl2br w:val="nil"/>
              <w:tr2bl w:val="nil"/>
            </w:tcBorders>
            <w:vAlign w:val="center"/>
          </w:tcPr>
          <w:p w14:paraId="315A3AE2">
            <w:pPr>
              <w:pStyle w:val="49"/>
              <w:bidi w:val="0"/>
              <w:rPr>
                <w:rFonts w:hint="default"/>
              </w:rPr>
            </w:pPr>
            <w:r>
              <w:rPr>
                <w:rFonts w:hint="default"/>
              </w:rPr>
              <w:t>广适性，杂食性，产卵期为3-8月</w:t>
            </w:r>
          </w:p>
        </w:tc>
        <w:tc>
          <w:tcPr>
            <w:tcW w:w="598" w:type="pct"/>
            <w:tcBorders>
              <w:tl2br w:val="nil"/>
              <w:tr2bl w:val="nil"/>
            </w:tcBorders>
            <w:vAlign w:val="center"/>
          </w:tcPr>
          <w:p w14:paraId="285AF660">
            <w:pPr>
              <w:pStyle w:val="49"/>
              <w:bidi w:val="0"/>
              <w:rPr>
                <w:rFonts w:hint="default"/>
              </w:rPr>
            </w:pPr>
          </w:p>
        </w:tc>
      </w:tr>
      <w:tr w14:paraId="457495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06" w:type="pct"/>
            <w:tcBorders>
              <w:tl2br w:val="nil"/>
              <w:tr2bl w:val="nil"/>
            </w:tcBorders>
            <w:vAlign w:val="center"/>
          </w:tcPr>
          <w:p w14:paraId="24A1AE2E">
            <w:pPr>
              <w:pStyle w:val="49"/>
              <w:bidi w:val="0"/>
              <w:rPr>
                <w:rFonts w:hint="default"/>
              </w:rPr>
            </w:pPr>
            <w:r>
              <w:rPr>
                <w:rFonts w:hint="default"/>
              </w:rPr>
              <w:t>14.鳙</w:t>
            </w:r>
          </w:p>
          <w:p w14:paraId="34CFE779">
            <w:pPr>
              <w:pStyle w:val="49"/>
              <w:bidi w:val="0"/>
              <w:rPr>
                <w:rFonts w:hint="default"/>
              </w:rPr>
            </w:pPr>
            <w:r>
              <w:rPr>
                <w:rFonts w:hint="default"/>
              </w:rPr>
              <w:t>Aristichthys</w:t>
            </w:r>
            <w:r>
              <w:rPr>
                <w:rFonts w:hint="eastAsia"/>
                <w:lang w:val="en-US" w:eastAsia="zh-CN"/>
              </w:rPr>
              <w:t xml:space="preserve"> </w:t>
            </w:r>
            <w:r>
              <w:rPr>
                <w:rFonts w:hint="default"/>
              </w:rPr>
              <w:t>nobilis</w:t>
            </w:r>
          </w:p>
        </w:tc>
        <w:tc>
          <w:tcPr>
            <w:tcW w:w="2695" w:type="pct"/>
            <w:tcBorders>
              <w:tl2br w:val="nil"/>
              <w:tr2bl w:val="nil"/>
            </w:tcBorders>
            <w:vAlign w:val="center"/>
          </w:tcPr>
          <w:p w14:paraId="4A8274F4">
            <w:pPr>
              <w:pStyle w:val="49"/>
              <w:bidi w:val="0"/>
              <w:rPr>
                <w:rFonts w:hint="default"/>
              </w:rPr>
            </w:pPr>
            <w:r>
              <w:rPr>
                <w:rFonts w:hint="default"/>
              </w:rPr>
              <w:t>栖息于江河、湖泊的中，上层，性情温驯，洄游，以浮游动物为主食。繁殖期为4-7月</w:t>
            </w:r>
          </w:p>
        </w:tc>
        <w:tc>
          <w:tcPr>
            <w:tcW w:w="598" w:type="pct"/>
            <w:tcBorders>
              <w:tl2br w:val="nil"/>
              <w:tr2bl w:val="nil"/>
            </w:tcBorders>
            <w:vAlign w:val="center"/>
          </w:tcPr>
          <w:p w14:paraId="5BAC4B83">
            <w:pPr>
              <w:pStyle w:val="49"/>
              <w:bidi w:val="0"/>
              <w:rPr>
                <w:rFonts w:hint="default"/>
              </w:rPr>
            </w:pPr>
          </w:p>
        </w:tc>
      </w:tr>
    </w:tbl>
    <w:p w14:paraId="3E26A349">
      <w:pPr>
        <w:bidi w:val="0"/>
        <w:rPr>
          <w:rFonts w:hint="default"/>
          <w:lang w:eastAsia="zh-CN"/>
        </w:rPr>
      </w:pPr>
      <w:r>
        <w:rPr>
          <w:rFonts w:hint="default"/>
          <w:lang w:eastAsia="zh-CN"/>
        </w:rPr>
        <w:t>2、食性类型</w:t>
      </w:r>
    </w:p>
    <w:p w14:paraId="42BE44FC">
      <w:pPr>
        <w:bidi w:val="0"/>
        <w:rPr>
          <w:rFonts w:hint="default"/>
          <w:lang w:eastAsia="zh-CN"/>
        </w:rPr>
      </w:pPr>
      <w:r>
        <w:rPr>
          <w:rFonts w:hint="default"/>
          <w:lang w:eastAsia="zh-CN"/>
        </w:rPr>
        <w:t>根据成鱼的摄食对象，评价区鱼类划分为3类：</w:t>
      </w:r>
    </w:p>
    <w:p w14:paraId="3406D544">
      <w:pPr>
        <w:bidi w:val="0"/>
        <w:rPr>
          <w:rFonts w:hint="default"/>
          <w:lang w:eastAsia="zh-CN"/>
        </w:rPr>
      </w:pPr>
      <w:r>
        <w:rPr>
          <w:rFonts w:hint="default"/>
          <w:lang w:eastAsia="zh-CN"/>
        </w:rPr>
        <w:t>1)植食性鱼类包括以维管植物为食的草鱼和以周从植物为食的鲴类、鰟鮍等。</w:t>
      </w:r>
    </w:p>
    <w:p w14:paraId="28149298">
      <w:pPr>
        <w:bidi w:val="0"/>
        <w:rPr>
          <w:rFonts w:hint="default"/>
          <w:lang w:eastAsia="zh-CN"/>
        </w:rPr>
      </w:pPr>
      <w:r>
        <w:rPr>
          <w:rFonts w:hint="default"/>
          <w:lang w:eastAsia="zh-CN"/>
        </w:rPr>
        <w:t>2)肉食性鱼类包括以鱼类为主要捕食对象的鲇属等及以底栖动物浮游动物为食的鰕虎鱼属、食蚊鱼、鲌类等。</w:t>
      </w:r>
    </w:p>
    <w:p w14:paraId="3B2A1D71">
      <w:pPr>
        <w:bidi w:val="0"/>
        <w:rPr>
          <w:rFonts w:hint="default"/>
          <w:lang w:eastAsia="zh-CN"/>
        </w:rPr>
      </w:pPr>
      <w:r>
        <w:rPr>
          <w:rFonts w:hint="default"/>
          <w:lang w:eastAsia="zh-CN"/>
        </w:rPr>
        <w:t>3)杂食性鱼类该类鱼食谱广，包括小型动物、植物及其碎屑，其食性在不同环境水体和不同季节有明显变化。包括鲤、鲫、泥鳅、餐类等。</w:t>
      </w:r>
    </w:p>
    <w:p w14:paraId="3B3983D4">
      <w:pPr>
        <w:bidi w:val="0"/>
        <w:rPr>
          <w:rFonts w:hint="default"/>
          <w:lang w:eastAsia="zh-CN"/>
        </w:rPr>
      </w:pPr>
      <w:r>
        <w:rPr>
          <w:rFonts w:hint="default"/>
          <w:lang w:eastAsia="zh-CN"/>
        </w:rPr>
        <w:t>3、产卵类型</w:t>
      </w:r>
    </w:p>
    <w:p w14:paraId="7757D40E">
      <w:pPr>
        <w:bidi w:val="0"/>
        <w:rPr>
          <w:rFonts w:hint="default"/>
          <w:lang w:eastAsia="zh-CN"/>
        </w:rPr>
      </w:pPr>
      <w:r>
        <w:rPr>
          <w:rFonts w:hint="default"/>
          <w:lang w:eastAsia="zh-CN"/>
        </w:rPr>
        <w:t>评价区分布鱼类依繁殖习性可分为5个类群。</w:t>
      </w:r>
    </w:p>
    <w:p w14:paraId="078AC2FD">
      <w:pPr>
        <w:bidi w:val="0"/>
        <w:rPr>
          <w:rFonts w:hint="default"/>
          <w:lang w:eastAsia="zh-CN"/>
        </w:rPr>
      </w:pPr>
      <w:r>
        <w:rPr>
          <w:rFonts w:hint="default"/>
          <w:lang w:eastAsia="zh-CN"/>
        </w:rPr>
        <w:t>①产沉性卵类群</w:t>
      </w:r>
    </w:p>
    <w:p w14:paraId="74AC6E33">
      <w:pPr>
        <w:bidi w:val="0"/>
        <w:rPr>
          <w:rFonts w:hint="default"/>
          <w:lang w:eastAsia="zh-CN"/>
        </w:rPr>
      </w:pPr>
      <w:r>
        <w:rPr>
          <w:rFonts w:hint="default"/>
          <w:lang w:eastAsia="zh-CN"/>
        </w:rPr>
        <w:t>这种类群鱼卵特点为卵比重大于水，产出后沉在水底，如黄颡鱼、泥鳅等。</w:t>
      </w:r>
    </w:p>
    <w:p w14:paraId="40467F33">
      <w:pPr>
        <w:bidi w:val="0"/>
        <w:rPr>
          <w:rFonts w:hint="default"/>
          <w:lang w:eastAsia="zh-CN"/>
        </w:rPr>
      </w:pPr>
      <w:r>
        <w:rPr>
          <w:rFonts w:hint="default"/>
          <w:lang w:eastAsia="zh-CN"/>
        </w:rPr>
        <w:t>②产粘性卵类群</w:t>
      </w:r>
    </w:p>
    <w:p w14:paraId="3EBB3657">
      <w:pPr>
        <w:bidi w:val="0"/>
        <w:rPr>
          <w:rFonts w:hint="default"/>
          <w:lang w:eastAsia="zh-CN"/>
        </w:rPr>
      </w:pPr>
      <w:r>
        <w:rPr>
          <w:rFonts w:hint="default"/>
          <w:lang w:eastAsia="zh-CN"/>
        </w:rPr>
        <w:t>这种类群鱼卵特点为卵比重大于水，卵膜外层遇水后具粘性，卵产出后即黏附在水草或卵石等基质上，多在春季产卵，雨后天晴，水位上涨是产卵的刺激因素且多在近岸浅水处产卵，如：鲤、鲫、等。</w:t>
      </w:r>
    </w:p>
    <w:p w14:paraId="671DA491">
      <w:pPr>
        <w:bidi w:val="0"/>
        <w:rPr>
          <w:rFonts w:hint="default"/>
          <w:lang w:eastAsia="zh-CN"/>
        </w:rPr>
      </w:pPr>
      <w:r>
        <w:rPr>
          <w:rFonts w:hint="default"/>
          <w:lang w:eastAsia="zh-CN"/>
        </w:rPr>
        <w:t>③产漂流性卵(半浮性卵)类群</w:t>
      </w:r>
    </w:p>
    <w:p w14:paraId="506E0B0F">
      <w:pPr>
        <w:bidi w:val="0"/>
        <w:rPr>
          <w:rFonts w:hint="default"/>
          <w:lang w:eastAsia="zh-CN"/>
        </w:rPr>
      </w:pPr>
      <w:r>
        <w:rPr>
          <w:rFonts w:hint="default"/>
          <w:lang w:eastAsia="zh-CN"/>
        </w:rPr>
        <w:t>这种类群鱼卵特点为鱼卵产出后吸水膨胀，比重稍大于水，可借助水流翻滚，使卵悬浮于水层中不停漂流，如鲢、鳙、草鱼和青鱼等。</w:t>
      </w:r>
    </w:p>
    <w:p w14:paraId="7BA13494">
      <w:pPr>
        <w:bidi w:val="0"/>
        <w:rPr>
          <w:rFonts w:hint="default"/>
          <w:lang w:eastAsia="zh-CN"/>
        </w:rPr>
      </w:pPr>
      <w:r>
        <w:rPr>
          <w:rFonts w:hint="default"/>
          <w:lang w:eastAsia="zh-CN"/>
        </w:rPr>
        <w:t>④产浮性卵类群</w:t>
      </w:r>
    </w:p>
    <w:p w14:paraId="5A066874">
      <w:pPr>
        <w:bidi w:val="0"/>
        <w:rPr>
          <w:rFonts w:hint="default"/>
          <w:lang w:eastAsia="zh-CN"/>
        </w:rPr>
      </w:pPr>
      <w:r>
        <w:rPr>
          <w:rFonts w:hint="default"/>
          <w:lang w:eastAsia="zh-CN"/>
        </w:rPr>
        <w:t>这种类群鱼卵特点为鱼卵产出后比重小于水，卵黄上有一个大油球或较多油粒，随风和水流移动。如大眼鳜等。</w:t>
      </w:r>
    </w:p>
    <w:p w14:paraId="2FE7F14A">
      <w:pPr>
        <w:bidi w:val="0"/>
        <w:rPr>
          <w:rFonts w:hint="default"/>
          <w:lang w:eastAsia="zh-CN"/>
        </w:rPr>
      </w:pPr>
      <w:r>
        <w:rPr>
          <w:rFonts w:hint="default"/>
          <w:lang w:eastAsia="zh-CN"/>
        </w:rPr>
        <w:t>⑤特殊产卵类型</w:t>
      </w:r>
    </w:p>
    <w:p w14:paraId="2873C521">
      <w:pPr>
        <w:bidi w:val="0"/>
        <w:rPr>
          <w:rFonts w:hint="default"/>
          <w:lang w:eastAsia="zh-CN"/>
        </w:rPr>
      </w:pPr>
      <w:r>
        <w:rPr>
          <w:rFonts w:hint="default"/>
          <w:lang w:eastAsia="zh-CN"/>
        </w:rPr>
        <w:t>黄鳝等产卵时吐泡沫筑成浮式产卵巢，受精卵浮于巢内发育。此种类群通常在多水草浅水处筑巢产卵。</w:t>
      </w:r>
    </w:p>
    <w:p w14:paraId="26D0FE76">
      <w:pPr>
        <w:bidi w:val="0"/>
        <w:rPr>
          <w:rFonts w:hint="default"/>
          <w:lang w:eastAsia="zh-CN"/>
        </w:rPr>
      </w:pPr>
      <w:r>
        <w:rPr>
          <w:rFonts w:hint="default"/>
          <w:lang w:eastAsia="zh-CN"/>
        </w:rPr>
        <w:t>调查范围的鱼类中，无产漂浮性卵鱼类，因此，无大型不漂浮性卵鱼类的产卵场。所分布的鱼类均为产黏性卵或沉性卵鱼类，在春夏季产卵季节，把卵产在水底石块下或被洪水淹没的植物上。没有集中的较大型的产卵场。</w:t>
      </w:r>
    </w:p>
    <w:p w14:paraId="75F35E29">
      <w:pPr>
        <w:bidi w:val="0"/>
        <w:rPr>
          <w:rFonts w:hint="default"/>
          <w:lang w:eastAsia="zh-CN"/>
        </w:rPr>
      </w:pPr>
      <w:r>
        <w:rPr>
          <w:rFonts w:hint="default"/>
          <w:lang w:eastAsia="zh-CN"/>
        </w:rPr>
        <w:t>4、栖息类型</w:t>
      </w:r>
    </w:p>
    <w:p w14:paraId="5B4536BA">
      <w:pPr>
        <w:bidi w:val="0"/>
        <w:rPr>
          <w:rFonts w:hint="default"/>
          <w:lang w:eastAsia="zh-CN"/>
        </w:rPr>
      </w:pPr>
      <w:r>
        <w:rPr>
          <w:rFonts w:hint="default"/>
          <w:lang w:eastAsia="zh-CN"/>
        </w:rPr>
        <w:t>根据水域流态特征及鱼类的栖息特点，调查水域鱼类大致可分为以下2个类群。</w:t>
      </w:r>
    </w:p>
    <w:p w14:paraId="6F392768">
      <w:pPr>
        <w:bidi w:val="0"/>
        <w:rPr>
          <w:rFonts w:hint="default"/>
          <w:lang w:eastAsia="zh-CN"/>
        </w:rPr>
      </w:pPr>
      <w:r>
        <w:rPr>
          <w:rFonts w:hint="default"/>
          <w:lang w:eastAsia="zh-CN"/>
        </w:rPr>
        <w:t>①流水类群</w:t>
      </w:r>
    </w:p>
    <w:p w14:paraId="4B7AF93B">
      <w:pPr>
        <w:bidi w:val="0"/>
        <w:rPr>
          <w:rFonts w:hint="default"/>
          <w:lang w:eastAsia="zh-CN"/>
        </w:rPr>
      </w:pPr>
      <w:r>
        <w:rPr>
          <w:rFonts w:hint="default"/>
          <w:lang w:eastAsia="zh-CN"/>
        </w:rPr>
        <w:t>此类群主要或基本生活在江河流水环境中，体长形，略侧扁，游泳能力强，适应于流水生活。它们或以水底砾石等物体表面附着藻类为食，或以有机碎屑为食，或以底栖无脊椎动物为食，或以软体动物为食，或主要以水草为食，或主要以鱼虾类为食，甚或为杂食性</w:t>
      </w:r>
      <w:r>
        <w:rPr>
          <w:rFonts w:hint="eastAsia"/>
          <w:lang w:eastAsia="zh-CN"/>
        </w:rPr>
        <w:t>：</w:t>
      </w:r>
      <w:r>
        <w:rPr>
          <w:rFonts w:hint="default"/>
          <w:lang w:eastAsia="zh-CN"/>
        </w:rPr>
        <w:t>或以浮游动植物为食。该类群有、青鱼、草鱼、鳙、鲢等。</w:t>
      </w:r>
    </w:p>
    <w:p w14:paraId="65D48234">
      <w:pPr>
        <w:bidi w:val="0"/>
        <w:rPr>
          <w:rFonts w:hint="default"/>
          <w:lang w:eastAsia="zh-CN"/>
        </w:rPr>
      </w:pPr>
      <w:r>
        <w:rPr>
          <w:rFonts w:hint="default"/>
          <w:lang w:eastAsia="zh-CN"/>
        </w:rPr>
        <w:t>②静缓流类群</w:t>
      </w:r>
    </w:p>
    <w:p w14:paraId="2EAB74EE">
      <w:pPr>
        <w:bidi w:val="0"/>
        <w:rPr>
          <w:rFonts w:hint="default"/>
          <w:lang w:eastAsia="zh-CN"/>
        </w:rPr>
      </w:pPr>
      <w:r>
        <w:rPr>
          <w:rFonts w:hint="default"/>
          <w:lang w:eastAsia="zh-CN"/>
        </w:rPr>
        <w:t>此类群适宜生活于静缓流水水体中，或以浮游动植物为食，或杂食，或动物性食性，部分种类须在流水环境下产漂流性卵或可归于流水性种类，该类群种类有泥鳅、鲤、鲫、黄鳝等。</w:t>
      </w:r>
    </w:p>
    <w:p w14:paraId="1C59F004">
      <w:pPr>
        <w:bidi w:val="0"/>
        <w:rPr>
          <w:rFonts w:hint="default"/>
          <w:lang w:eastAsia="zh-CN"/>
        </w:rPr>
      </w:pPr>
      <w:r>
        <w:rPr>
          <w:rFonts w:hint="default"/>
          <w:lang w:eastAsia="zh-CN"/>
        </w:rPr>
        <w:t>5、鱼类重要生境</w:t>
      </w:r>
    </w:p>
    <w:p w14:paraId="45996D73">
      <w:pPr>
        <w:bidi w:val="0"/>
        <w:rPr>
          <w:rFonts w:hint="default" w:ascii="Times New Roman" w:hAnsi="Times New Roman" w:cs="Times New Roman"/>
          <w:color w:val="auto"/>
          <w:u w:val="none" w:color="auto"/>
          <w:lang w:val="en-US" w:eastAsia="zh-CN"/>
        </w:rPr>
      </w:pPr>
      <w:r>
        <w:rPr>
          <w:rFonts w:hint="default"/>
          <w:lang w:eastAsia="zh-CN"/>
        </w:rPr>
        <w:t>据实地调查及咨询</w:t>
      </w:r>
      <w:r>
        <w:rPr>
          <w:rFonts w:hint="eastAsia"/>
          <w:lang w:val="en-US" w:eastAsia="zh-CN"/>
        </w:rPr>
        <w:t>道县</w:t>
      </w:r>
      <w:r>
        <w:rPr>
          <w:rFonts w:hint="default"/>
          <w:lang w:eastAsia="zh-CN"/>
        </w:rPr>
        <w:t>畜牧水产局，评价范围内未发现国家重点保护水生动物资源，没有集中的</w:t>
      </w:r>
      <w:r>
        <w:rPr>
          <w:rFonts w:hint="default" w:ascii="Times New Roman" w:hAnsi="Times New Roman" w:cs="Times New Roman"/>
          <w:color w:val="auto"/>
          <w:u w:val="none" w:color="auto"/>
          <w:lang w:val="en-US" w:eastAsia="zh-CN"/>
        </w:rPr>
        <w:t>重要水生生物的自然产卵场、索饵场、越冬场和洄游通道，未发现天然渔场等鱼类重要生境。</w:t>
      </w:r>
    </w:p>
    <w:p w14:paraId="64CEFA5A">
      <w:pPr>
        <w:pStyle w:val="4"/>
        <w:bidi w:val="0"/>
        <w:rPr>
          <w:rFonts w:hint="default"/>
          <w:lang w:val="en-US" w:eastAsia="zh-CN"/>
        </w:rPr>
      </w:pPr>
      <w:r>
        <w:rPr>
          <w:rFonts w:hint="default"/>
          <w:lang w:val="en-US" w:eastAsia="zh-CN"/>
        </w:rPr>
        <w:t>拟建工程沿线景观现状</w:t>
      </w:r>
    </w:p>
    <w:p w14:paraId="7DDEF32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为深入认识评价区内生态质量特点，运用景观生态学的原理和方法来研究评价区生态体系的组成、特征、生产力及其稳定性。</w:t>
      </w:r>
    </w:p>
    <w:p w14:paraId="7338A2D6">
      <w:pPr>
        <w:pStyle w:val="5"/>
        <w:bidi w:val="0"/>
        <w:rPr>
          <w:rFonts w:hint="default"/>
          <w:lang w:val="en-US" w:eastAsia="zh-CN"/>
        </w:rPr>
      </w:pPr>
      <w:r>
        <w:rPr>
          <w:rFonts w:hint="default"/>
          <w:lang w:val="en-US" w:eastAsia="zh-CN"/>
        </w:rPr>
        <w:t>评价区生态系统组成</w:t>
      </w:r>
    </w:p>
    <w:p w14:paraId="2809D5E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根据生态学中景观的概念描述可知，景观生态体系的组成即生态系统或土地利用类型结构，本报告用评价区内主要的土地利用类型及相应的生态系统作为景观体系的基本单元拼块来进行景观特征分析。</w:t>
      </w:r>
    </w:p>
    <w:p w14:paraId="04D3909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评价区景观生态体系组成成分包括以马尾松、杉木、等为主的林地景观，占评价区总面积的</w:t>
      </w:r>
      <w:r>
        <w:rPr>
          <w:rFonts w:hint="eastAsia" w:cs="Times New Roman"/>
          <w:color w:val="auto"/>
          <w:u w:val="none" w:color="auto"/>
          <w:lang w:val="en-US" w:eastAsia="zh-CN"/>
        </w:rPr>
        <w:t>61.57</w:t>
      </w:r>
      <w:r>
        <w:rPr>
          <w:rFonts w:hint="default" w:ascii="Times New Roman" w:hAnsi="Times New Roman" w:cs="Times New Roman"/>
          <w:color w:val="auto"/>
          <w:u w:val="none" w:color="auto"/>
          <w:lang w:val="en-US" w:eastAsia="zh-CN"/>
        </w:rPr>
        <w:t>%；以盐肤木、</w:t>
      </w:r>
      <w:r>
        <w:rPr>
          <w:rFonts w:hAnsi="宋体"/>
          <w:bCs/>
          <w:kern w:val="0"/>
          <w:sz w:val="21"/>
          <w:szCs w:val="21"/>
        </w:rPr>
        <w:t>檵木</w:t>
      </w:r>
      <w:r>
        <w:rPr>
          <w:rFonts w:hint="default" w:ascii="Times New Roman" w:hAnsi="Times New Roman" w:cs="Times New Roman"/>
          <w:color w:val="auto"/>
          <w:u w:val="none" w:color="auto"/>
          <w:lang w:val="en-US" w:eastAsia="zh-CN"/>
        </w:rPr>
        <w:t>、白茅、芒为主的</w:t>
      </w:r>
      <w:r>
        <w:rPr>
          <w:rFonts w:hint="eastAsia" w:cs="Times New Roman"/>
          <w:color w:val="auto"/>
          <w:u w:val="none" w:color="auto"/>
          <w:lang w:val="en-US" w:eastAsia="zh-CN"/>
        </w:rPr>
        <w:t>灌丛</w:t>
      </w:r>
      <w:r>
        <w:rPr>
          <w:rFonts w:hint="default" w:ascii="Times New Roman" w:hAnsi="Times New Roman" w:cs="Times New Roman"/>
          <w:color w:val="auto"/>
          <w:u w:val="none" w:color="auto"/>
          <w:lang w:val="en-US" w:eastAsia="zh-CN"/>
        </w:rPr>
        <w:t>景观，占评价区总面积的</w:t>
      </w:r>
      <w:r>
        <w:rPr>
          <w:rFonts w:hint="eastAsia" w:cs="Times New Roman"/>
          <w:color w:val="auto"/>
          <w:u w:val="none" w:color="auto"/>
          <w:lang w:val="en-US" w:eastAsia="zh-CN"/>
        </w:rPr>
        <w:t>3.30</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以油茶为主的园地景观，占评价区总面积的1.1%；以水稻、玉米为主的农田景观，占评价区总面积</w:t>
      </w:r>
      <w:r>
        <w:rPr>
          <w:rFonts w:hint="eastAsia" w:cs="Times New Roman"/>
          <w:color w:val="auto"/>
          <w:u w:val="none" w:color="auto"/>
          <w:lang w:val="en-US" w:eastAsia="zh-CN"/>
        </w:rPr>
        <w:t>8.15</w:t>
      </w:r>
      <w:r>
        <w:rPr>
          <w:rFonts w:hint="default" w:ascii="Times New Roman" w:hAnsi="Times New Roman" w:cs="Times New Roman"/>
          <w:color w:val="auto"/>
          <w:u w:val="none" w:color="auto"/>
          <w:lang w:val="en-US" w:eastAsia="zh-CN"/>
        </w:rPr>
        <w:t>%；以水库、坑塘为主湿地景观，占评价区总面积的5.2%；以</w:t>
      </w:r>
      <w:r>
        <w:rPr>
          <w:rFonts w:hint="eastAsia" w:cs="Times New Roman"/>
          <w:color w:val="auto"/>
          <w:u w:val="none" w:color="auto"/>
          <w:lang w:val="en-US" w:eastAsia="zh-CN"/>
        </w:rPr>
        <w:t>农村宅基地</w:t>
      </w:r>
      <w:r>
        <w:rPr>
          <w:rFonts w:hint="default" w:ascii="Times New Roman" w:hAnsi="Times New Roman" w:cs="Times New Roman"/>
          <w:color w:val="auto"/>
          <w:u w:val="none" w:color="auto"/>
          <w:lang w:val="en-US" w:eastAsia="zh-CN"/>
        </w:rPr>
        <w:t>、道路、设施农用地等为主建筑景观，占评价区总面积的</w:t>
      </w:r>
      <w:r>
        <w:rPr>
          <w:rFonts w:hint="eastAsia" w:cs="Times New Roman"/>
          <w:color w:val="auto"/>
          <w:u w:val="none" w:color="auto"/>
          <w:lang w:val="en-US" w:eastAsia="zh-CN"/>
        </w:rPr>
        <w:t>2.79</w:t>
      </w:r>
      <w:r>
        <w:rPr>
          <w:rFonts w:hint="default" w:ascii="Times New Roman" w:hAnsi="Times New Roman" w:cs="Times New Roman"/>
          <w:color w:val="auto"/>
          <w:u w:val="none" w:color="auto"/>
          <w:lang w:val="en-US" w:eastAsia="zh-CN"/>
        </w:rPr>
        <w:t>%。评价区林地、</w:t>
      </w:r>
      <w:r>
        <w:rPr>
          <w:rFonts w:hint="eastAsia" w:cs="Times New Roman"/>
          <w:color w:val="auto"/>
          <w:u w:val="none" w:color="auto"/>
          <w:lang w:val="en-US" w:eastAsia="zh-CN"/>
        </w:rPr>
        <w:t>灌丛</w:t>
      </w:r>
      <w:r>
        <w:rPr>
          <w:rFonts w:hint="default" w:ascii="Times New Roman" w:hAnsi="Times New Roman" w:cs="Times New Roman"/>
          <w:color w:val="auto"/>
          <w:u w:val="none" w:color="auto"/>
          <w:lang w:val="en-US" w:eastAsia="zh-CN"/>
        </w:rPr>
        <w:t>、湿地景观占比</w:t>
      </w:r>
      <w:r>
        <w:rPr>
          <w:rFonts w:hint="eastAsia" w:cs="Times New Roman"/>
          <w:color w:val="auto"/>
          <w:u w:val="none" w:color="auto"/>
          <w:lang w:val="en-US" w:eastAsia="zh-CN"/>
        </w:rPr>
        <w:t>88.11</w:t>
      </w:r>
      <w:r>
        <w:rPr>
          <w:rFonts w:hint="default" w:ascii="Times New Roman" w:hAnsi="Times New Roman" w:cs="Times New Roman"/>
          <w:color w:val="auto"/>
          <w:u w:val="none" w:color="auto"/>
          <w:lang w:val="en-US" w:eastAsia="zh-CN"/>
        </w:rPr>
        <w:t>%，耕地、园地和建设景观面积比例为</w:t>
      </w:r>
      <w:r>
        <w:rPr>
          <w:rFonts w:hint="eastAsia" w:cs="Times New Roman"/>
          <w:color w:val="auto"/>
          <w:u w:val="none" w:color="auto"/>
          <w:lang w:val="en-US" w:eastAsia="zh-CN"/>
        </w:rPr>
        <w:t>11.89</w:t>
      </w:r>
      <w:r>
        <w:rPr>
          <w:rFonts w:hint="default" w:ascii="Times New Roman" w:hAnsi="Times New Roman" w:cs="Times New Roman"/>
          <w:color w:val="auto"/>
          <w:u w:val="none" w:color="auto"/>
          <w:lang w:val="en-US" w:eastAsia="zh-CN"/>
        </w:rPr>
        <w:t>%，说明了区域景观生态体系以自然景观系统为主，但存在一定人为干扰。</w:t>
      </w:r>
    </w:p>
    <w:p w14:paraId="580BD074">
      <w:pPr>
        <w:pStyle w:val="5"/>
        <w:bidi w:val="0"/>
        <w:rPr>
          <w:rFonts w:hint="default"/>
          <w:lang w:val="en-US" w:eastAsia="zh-CN"/>
        </w:rPr>
      </w:pPr>
      <w:r>
        <w:rPr>
          <w:rFonts w:hint="default"/>
          <w:lang w:val="en-US" w:eastAsia="zh-CN"/>
        </w:rPr>
        <w:t>景观生态体系质量现状</w:t>
      </w:r>
    </w:p>
    <w:p w14:paraId="76344650">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景观生态系统的质量现状由评价范围内自然环境，各种生物以及人类社会之间复杂的相互作用来决定。从景观生态学结构与功能相匹配的理论来说，结构是否合理决 定了景观功能的优劣，在组成景观生态系统的各类组分中，模地是景观的背景区域。它在很大程度上决定了景观的性质，对景观的动态起着主导作用。</w:t>
      </w:r>
    </w:p>
    <w:p w14:paraId="37F8908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评价区各斑块类型中，林地的优势度Do最高</w:t>
      </w:r>
      <w:r>
        <w:rPr>
          <w:rFonts w:hint="eastAsia" w:cs="Times New Roman"/>
          <w:color w:val="auto"/>
          <w:u w:val="none" w:color="auto"/>
          <w:lang w:val="en-US" w:eastAsia="zh-CN"/>
        </w:rPr>
        <w:t>。</w:t>
      </w:r>
      <w:r>
        <w:rPr>
          <w:rFonts w:hint="default" w:ascii="Times New Roman" w:hAnsi="Times New Roman" w:cs="Times New Roman"/>
          <w:color w:val="auto"/>
          <w:u w:val="none" w:color="auto"/>
          <w:lang w:val="en-US" w:eastAsia="zh-CN"/>
        </w:rPr>
        <w:t>其密度、频度和景观比例均显著高于其他地类，说明评价区林地成大面积网状分布，林地是评价区的模地，是本区域内对景观具有控制作用的生态体系部分：评价区农田、园地、建筑景观类型均有分布，且优势度相对较高，说明了评价区内的生态系统在该地区经过多年发展，已形成了集农、林等人工综合的生态系统。景观破碎度表示景观被分割的破碎程度，在一定程度反映人为对景观的干扰强度。其中破碎度越大，景观安全性越小。由上表可知，评价区内破碎度较大的为农田,景观、湿地景观和建筑景观，其景观安全性较小，易受到外界干扰。主要的林地景观破碎度值为0.2，破碎度值最小，景观安全性高，不易受到外界干扰。</w:t>
      </w:r>
    </w:p>
    <w:p w14:paraId="1C19E343">
      <w:pPr>
        <w:pStyle w:val="5"/>
        <w:bidi w:val="0"/>
        <w:rPr>
          <w:rFonts w:hint="default"/>
          <w:lang w:val="en-US" w:eastAsia="zh-CN"/>
        </w:rPr>
      </w:pPr>
      <w:r>
        <w:rPr>
          <w:rFonts w:hint="default"/>
          <w:lang w:val="en-US" w:eastAsia="zh-CN"/>
        </w:rPr>
        <w:t>自然体系生物量现状</w:t>
      </w:r>
    </w:p>
    <w:p w14:paraId="5FAA376D">
      <w:pPr>
        <w:rPr>
          <w:rFonts w:hint="default"/>
          <w:lang w:val="en-US" w:eastAsia="zh-CN"/>
        </w:rPr>
      </w:pPr>
      <w:r>
        <w:rPr>
          <w:rFonts w:hint="default"/>
          <w:lang w:val="en-US" w:eastAsia="zh-CN"/>
        </w:rPr>
        <w:t>植被的生物量是指一定地段面积内植物群落在某一时期生存着的活有机物质之重量，以t/hm²表示。根据现场调查及卫片解译，结合评价区地表植被覆盖现状和植被立地情况等，将区域植被类型划分为阔叶林、针叶林、灌从、灌草从、农业植被、经济林</w:t>
      </w:r>
      <w:r>
        <w:rPr>
          <w:rFonts w:hint="eastAsia"/>
          <w:lang w:val="en-US" w:eastAsia="zh-CN"/>
        </w:rPr>
        <w:t>等6</w:t>
      </w:r>
      <w:r>
        <w:rPr>
          <w:rFonts w:hint="default"/>
          <w:lang w:val="en-US" w:eastAsia="zh-CN"/>
        </w:rPr>
        <w:t>类。</w:t>
      </w:r>
      <w:r>
        <w:rPr>
          <w:rFonts w:hint="eastAsia"/>
          <w:lang w:val="en-US" w:eastAsia="zh-CN"/>
        </w:rPr>
        <w:t>经计算，</w:t>
      </w:r>
      <w:r>
        <w:rPr>
          <w:rFonts w:hint="default"/>
          <w:lang w:val="en-US" w:eastAsia="zh-CN"/>
        </w:rPr>
        <w:t>评价区植被总生物量为1</w:t>
      </w:r>
      <w:r>
        <w:rPr>
          <w:rFonts w:hint="eastAsia"/>
          <w:lang w:val="en-US" w:eastAsia="zh-CN"/>
        </w:rPr>
        <w:t>6589</w:t>
      </w:r>
      <w:r>
        <w:rPr>
          <w:rFonts w:hint="default"/>
          <w:lang w:val="en-US" w:eastAsia="zh-CN"/>
        </w:rPr>
        <w:t>.6t，其中，针叶林生物量占比最大为</w:t>
      </w:r>
      <w:r>
        <w:rPr>
          <w:rFonts w:hint="eastAsia"/>
          <w:lang w:val="en-US" w:eastAsia="zh-CN"/>
        </w:rPr>
        <w:t>39</w:t>
      </w:r>
      <w:r>
        <w:rPr>
          <w:rFonts w:hint="default"/>
          <w:lang w:val="en-US" w:eastAsia="zh-CN"/>
        </w:rPr>
        <w:t>.2%</w:t>
      </w:r>
      <w:r>
        <w:rPr>
          <w:rFonts w:hint="eastAsia"/>
          <w:lang w:val="en-US" w:eastAsia="zh-CN"/>
        </w:rPr>
        <w:t>，</w:t>
      </w:r>
      <w:r>
        <w:rPr>
          <w:rFonts w:hint="default"/>
          <w:lang w:val="en-US" w:eastAsia="zh-CN"/>
        </w:rPr>
        <w:t>其次为</w:t>
      </w:r>
      <w:r>
        <w:rPr>
          <w:rFonts w:hint="eastAsia"/>
          <w:lang w:val="en-US" w:eastAsia="zh-CN"/>
        </w:rPr>
        <w:t>阔叶林</w:t>
      </w:r>
      <w:r>
        <w:rPr>
          <w:rFonts w:hint="default"/>
          <w:lang w:val="en-US" w:eastAsia="zh-CN"/>
        </w:rPr>
        <w:t>，占比2</w:t>
      </w:r>
      <w:r>
        <w:rPr>
          <w:rFonts w:hint="eastAsia"/>
          <w:lang w:val="en-US" w:eastAsia="zh-CN"/>
        </w:rPr>
        <w:t>1</w:t>
      </w:r>
      <w:r>
        <w:rPr>
          <w:rFonts w:hint="default"/>
          <w:lang w:val="en-US" w:eastAsia="zh-CN"/>
        </w:rPr>
        <w:t>.</w:t>
      </w:r>
      <w:r>
        <w:rPr>
          <w:rFonts w:hint="eastAsia"/>
          <w:lang w:val="en-US" w:eastAsia="zh-CN"/>
        </w:rPr>
        <w:t>3</w:t>
      </w:r>
      <w:r>
        <w:rPr>
          <w:rFonts w:hint="default"/>
          <w:lang w:val="en-US" w:eastAsia="zh-CN"/>
        </w:rPr>
        <w:t>% 。从自然体系生物量数值来看，针叶林为评价区的主要植被类型，对评价区生态系统的稳定和变化起到重要的作用。</w:t>
      </w:r>
    </w:p>
    <w:p w14:paraId="4421F5C0">
      <w:pPr>
        <w:pStyle w:val="5"/>
        <w:bidi w:val="0"/>
        <w:rPr>
          <w:rFonts w:hint="default"/>
          <w:lang w:val="en-US" w:eastAsia="zh-CN"/>
        </w:rPr>
      </w:pPr>
      <w:r>
        <w:rPr>
          <w:rFonts w:hint="default"/>
          <w:lang w:val="en-US" w:eastAsia="zh-CN"/>
        </w:rPr>
        <w:t>评价区生产力现状</w:t>
      </w:r>
    </w:p>
    <w:p w14:paraId="1976D19E">
      <w:pPr>
        <w:rPr>
          <w:rFonts w:hint="default"/>
          <w:lang w:val="en-US" w:eastAsia="zh-CN"/>
        </w:rPr>
      </w:pPr>
      <w:r>
        <w:rPr>
          <w:rFonts w:hint="default"/>
          <w:lang w:val="en-US" w:eastAsia="zh-CN"/>
        </w:rPr>
        <w:t>(1)评价范围内自然生产力</w:t>
      </w:r>
    </w:p>
    <w:p w14:paraId="400643D7">
      <w:pPr>
        <w:rPr>
          <w:rFonts w:hint="default"/>
          <w:lang w:val="en-US" w:eastAsia="zh-CN"/>
        </w:rPr>
      </w:pPr>
      <w:r>
        <w:rPr>
          <w:rFonts w:hint="default"/>
          <w:lang w:val="en-US" w:eastAsia="zh-CN"/>
        </w:rPr>
        <w:t>土地的自然生产力是指单位面积土地在当地自然环境的水热条件下，在单位时间内生产有机物质的重量(干重)</w:t>
      </w:r>
      <w:r>
        <w:rPr>
          <w:rFonts w:hint="eastAsia"/>
          <w:lang w:val="en-US" w:eastAsia="zh-CN"/>
        </w:rPr>
        <w:t>，</w:t>
      </w:r>
      <w:r>
        <w:rPr>
          <w:rFonts w:hint="default"/>
          <w:lang w:val="en-US" w:eastAsia="zh-CN"/>
        </w:rPr>
        <w:t>通常用t/hm².a表示。采用Miami生物生产力的经验公式，可估算出评价区土地的自然生产力：</w:t>
      </w:r>
    </w:p>
    <w:p w14:paraId="18113CE8">
      <w:pPr>
        <w:rPr>
          <w:rFonts w:hint="default"/>
          <w:lang w:val="en-US" w:eastAsia="zh-CN"/>
        </w:rPr>
      </w:pPr>
      <w:r>
        <w:drawing>
          <wp:inline distT="0" distB="0" distL="114300" distR="114300">
            <wp:extent cx="2143125" cy="666750"/>
            <wp:effectExtent l="0" t="0" r="9525" b="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68"/>
                    <a:stretch>
                      <a:fillRect/>
                    </a:stretch>
                  </pic:blipFill>
                  <pic:spPr>
                    <a:xfrm>
                      <a:off x="0" y="0"/>
                      <a:ext cx="2143125" cy="666750"/>
                    </a:xfrm>
                    <a:prstGeom prst="rect">
                      <a:avLst/>
                    </a:prstGeom>
                    <a:noFill/>
                    <a:ln>
                      <a:noFill/>
                    </a:ln>
                  </pic:spPr>
                </pic:pic>
              </a:graphicData>
            </a:graphic>
          </wp:inline>
        </w:drawing>
      </w:r>
    </w:p>
    <w:p w14:paraId="7BAB4744">
      <w:pPr>
        <w:rPr>
          <w:rFonts w:hint="default"/>
          <w:lang w:val="en-US" w:eastAsia="zh-CN"/>
        </w:rPr>
      </w:pPr>
      <w:r>
        <w:rPr>
          <w:rFonts w:hint="default"/>
          <w:lang w:val="en-US" w:eastAsia="zh-CN"/>
        </w:rPr>
        <w:t>式中：Y1—— 根据年平均温度(t, ℃)   估算的热量生产力，单位为 g/m² ·a Y2  ——根据年平均降水量 (p,mm)    估算的水分生产力，单位同上。</w:t>
      </w:r>
    </w:p>
    <w:p w14:paraId="0A3EB3BD">
      <w:pPr>
        <w:rPr>
          <w:rFonts w:hint="default"/>
          <w:lang w:val="en-US" w:eastAsia="zh-CN"/>
        </w:rPr>
      </w:pPr>
      <w:r>
        <w:rPr>
          <w:rFonts w:hint="default"/>
          <w:lang w:val="en-US" w:eastAsia="zh-CN"/>
        </w:rPr>
        <w:t>选用</w:t>
      </w:r>
      <w:r>
        <w:rPr>
          <w:rFonts w:hint="eastAsia"/>
          <w:lang w:val="en-US" w:eastAsia="zh-CN"/>
        </w:rPr>
        <w:t>道</w:t>
      </w:r>
      <w:r>
        <w:rPr>
          <w:rFonts w:hint="default"/>
          <w:lang w:val="en-US" w:eastAsia="zh-CN"/>
        </w:rPr>
        <w:t>县多年平均气温和多年平均降水量作为自然本底生产力估算参数值，评价区的水分生产力略大于热量生产力，为热量生产潜力的101.</w:t>
      </w:r>
      <w:r>
        <w:rPr>
          <w:rFonts w:hint="eastAsia"/>
          <w:lang w:val="en-US" w:eastAsia="zh-CN"/>
        </w:rPr>
        <w:t>3</w:t>
      </w:r>
      <w:r>
        <w:rPr>
          <w:rFonts w:hint="default"/>
          <w:lang w:val="en-US" w:eastAsia="zh-CN"/>
        </w:rPr>
        <w:t>%。这说明评价区内水分条件略优于热量条件，热量潜力和水分潜力相差不是十分明显，土地自然生产力受水分条件和热量条件制约，土地本底自然生产力为19.</w:t>
      </w:r>
      <w:r>
        <w:rPr>
          <w:rFonts w:hint="eastAsia"/>
          <w:lang w:val="en-US" w:eastAsia="zh-CN"/>
        </w:rPr>
        <w:t>57</w:t>
      </w:r>
      <w:r>
        <w:rPr>
          <w:rFonts w:hint="default"/>
          <w:lang w:val="en-US" w:eastAsia="zh-CN"/>
        </w:rPr>
        <w:t>t/h</w:t>
      </w:r>
      <w:r>
        <w:rPr>
          <w:rFonts w:hint="eastAsia"/>
          <w:lang w:val="en-US" w:eastAsia="zh-CN"/>
        </w:rPr>
        <w:t>m</w:t>
      </w:r>
      <w:r>
        <w:rPr>
          <w:rFonts w:hint="eastAsia"/>
          <w:vertAlign w:val="superscript"/>
          <w:lang w:val="en-US" w:eastAsia="zh-CN"/>
        </w:rPr>
        <w:t>2</w:t>
      </w:r>
      <w:r>
        <w:rPr>
          <w:rFonts w:hint="default"/>
          <w:lang w:val="en-US" w:eastAsia="zh-CN"/>
        </w:rPr>
        <w:t>·a。</w:t>
      </w:r>
    </w:p>
    <w:p w14:paraId="17F0A05D">
      <w:pPr>
        <w:rPr>
          <w:rFonts w:hint="default"/>
          <w:lang w:val="en-US" w:eastAsia="zh-CN"/>
        </w:rPr>
      </w:pPr>
      <w:r>
        <w:rPr>
          <w:rFonts w:hint="default"/>
          <w:lang w:val="en-US" w:eastAsia="zh-CN"/>
        </w:rPr>
        <w:t>(2)实际生产力</w:t>
      </w:r>
    </w:p>
    <w:p w14:paraId="1403D687">
      <w:pPr>
        <w:rPr>
          <w:rFonts w:hint="default"/>
          <w:lang w:val="en-US" w:eastAsia="zh-CN"/>
        </w:rPr>
      </w:pPr>
      <w:r>
        <w:rPr>
          <w:rFonts w:hint="default"/>
          <w:lang w:val="en-US" w:eastAsia="zh-CN"/>
        </w:rPr>
        <w:t>斑块实际生产力是指斑块在现实生态环境中，由于受到水分、热量以外的其他环 境因素以及人为活动的影响而具有的实际生产能力。根据评价区域各斑块植被现状调查数据，以及各类型植被的平均生产力为参数来推算其实际生产力，评价区内各斑块的生产力具有以下特征：</w:t>
      </w:r>
    </w:p>
    <w:p w14:paraId="542DF70B">
      <w:pPr>
        <w:rPr>
          <w:rFonts w:hint="default"/>
          <w:lang w:val="en-US" w:eastAsia="zh-CN"/>
        </w:rPr>
      </w:pPr>
      <w:r>
        <w:rPr>
          <w:rFonts w:hint="default"/>
          <w:lang w:val="en-US" w:eastAsia="zh-CN"/>
        </w:rPr>
        <w:t>1)在评价区内针叶林的总生产力最高，为1</w:t>
      </w:r>
      <w:r>
        <w:rPr>
          <w:rFonts w:hint="eastAsia"/>
          <w:lang w:val="en-US" w:eastAsia="zh-CN"/>
        </w:rPr>
        <w:t>569</w:t>
      </w:r>
      <w:r>
        <w:rPr>
          <w:rFonts w:hint="default"/>
          <w:lang w:val="en-US" w:eastAsia="zh-CN"/>
        </w:rPr>
        <w:t>.2t/a</w:t>
      </w:r>
      <w:r>
        <w:rPr>
          <w:rFonts w:hint="eastAsia"/>
          <w:lang w:val="en-US" w:eastAsia="zh-CN"/>
        </w:rPr>
        <w:t>，</w:t>
      </w:r>
      <w:r>
        <w:rPr>
          <w:rFonts w:hint="default"/>
          <w:lang w:val="en-US" w:eastAsia="zh-CN"/>
        </w:rPr>
        <w:t>占评价区总生产力的3</w:t>
      </w:r>
      <w:r>
        <w:rPr>
          <w:rFonts w:hint="eastAsia"/>
          <w:lang w:val="en-US" w:eastAsia="zh-CN"/>
        </w:rPr>
        <w:t>4</w:t>
      </w:r>
      <w:r>
        <w:rPr>
          <w:rFonts w:hint="default"/>
          <w:lang w:val="en-US" w:eastAsia="zh-CN"/>
        </w:rPr>
        <w:t>.2%，其次为</w:t>
      </w:r>
      <w:r>
        <w:rPr>
          <w:rFonts w:hint="eastAsia"/>
          <w:lang w:val="en-US" w:eastAsia="zh-CN"/>
        </w:rPr>
        <w:t>阔叶</w:t>
      </w:r>
      <w:r>
        <w:rPr>
          <w:rFonts w:hint="default"/>
          <w:lang w:val="en-US" w:eastAsia="zh-CN"/>
        </w:rPr>
        <w:t>林和经济林，总生产力为分别为1124.2t/a和5</w:t>
      </w:r>
      <w:r>
        <w:rPr>
          <w:rFonts w:hint="eastAsia"/>
          <w:lang w:val="en-US" w:eastAsia="zh-CN"/>
        </w:rPr>
        <w:t>63</w:t>
      </w:r>
      <w:r>
        <w:rPr>
          <w:rFonts w:hint="default"/>
          <w:lang w:val="en-US" w:eastAsia="zh-CN"/>
        </w:rPr>
        <w:t>.8t/a，各占评价区总生产力的24.</w:t>
      </w:r>
      <w:r>
        <w:rPr>
          <w:rFonts w:hint="eastAsia"/>
          <w:lang w:val="en-US" w:eastAsia="zh-CN"/>
        </w:rPr>
        <w:t>2</w:t>
      </w:r>
      <w:r>
        <w:rPr>
          <w:rFonts w:hint="default"/>
          <w:lang w:val="en-US" w:eastAsia="zh-CN"/>
        </w:rPr>
        <w:t>%和12.</w:t>
      </w:r>
      <w:r>
        <w:rPr>
          <w:rFonts w:hint="eastAsia"/>
          <w:lang w:val="en-US" w:eastAsia="zh-CN"/>
        </w:rPr>
        <w:t>4</w:t>
      </w:r>
      <w:r>
        <w:rPr>
          <w:rFonts w:hint="default"/>
          <w:lang w:val="en-US" w:eastAsia="zh-CN"/>
        </w:rPr>
        <w:t>%；农业植被、灌丛、阔叶林、灌草从总生产力较小：2)评价区中，植被的总生产力为：针叶林&gt;</w:t>
      </w:r>
      <w:r>
        <w:rPr>
          <w:rFonts w:hint="eastAsia"/>
          <w:lang w:val="en-US" w:eastAsia="zh-CN"/>
        </w:rPr>
        <w:t>阔叶</w:t>
      </w:r>
      <w:r>
        <w:rPr>
          <w:rFonts w:hint="default"/>
          <w:lang w:val="en-US" w:eastAsia="zh-CN"/>
        </w:rPr>
        <w:t>林&gt;经济林&gt;农业植被&gt;灌从&gt;阔叶林&gt;灌草丛：3)评价区内实际平均生产力为</w:t>
      </w:r>
      <w:r>
        <w:rPr>
          <w:rFonts w:hint="eastAsia"/>
          <w:lang w:val="en-US" w:eastAsia="zh-CN"/>
        </w:rPr>
        <w:t>12</w:t>
      </w:r>
      <w:r>
        <w:rPr>
          <w:rFonts w:hint="default"/>
          <w:lang w:val="en-US" w:eastAsia="zh-CN"/>
        </w:rPr>
        <w:t>.14t/h</w:t>
      </w:r>
      <w:r>
        <w:rPr>
          <w:rFonts w:hint="eastAsia"/>
          <w:lang w:val="en-US" w:eastAsia="zh-CN"/>
        </w:rPr>
        <w:t>m</w:t>
      </w:r>
      <w:r>
        <w:rPr>
          <w:rFonts w:hint="eastAsia"/>
          <w:vertAlign w:val="superscript"/>
          <w:lang w:val="en-US" w:eastAsia="zh-CN"/>
        </w:rPr>
        <w:t>2</w:t>
      </w:r>
      <w:r>
        <w:rPr>
          <w:rFonts w:hint="default"/>
          <w:lang w:val="en-US" w:eastAsia="zh-CN"/>
        </w:rPr>
        <w:t>·a，为自然生产力的</w:t>
      </w:r>
      <w:r>
        <w:rPr>
          <w:rFonts w:hint="eastAsia"/>
          <w:lang w:val="en-US" w:eastAsia="zh-CN"/>
        </w:rPr>
        <w:t>62.03</w:t>
      </w:r>
      <w:r>
        <w:rPr>
          <w:rFonts w:hint="default"/>
          <w:lang w:val="en-US" w:eastAsia="zh-CN"/>
        </w:rPr>
        <w:t>%</w:t>
      </w:r>
      <w:r>
        <w:rPr>
          <w:rFonts w:hint="eastAsia"/>
          <w:lang w:val="en-US" w:eastAsia="zh-CN"/>
        </w:rPr>
        <w:t>，</w:t>
      </w:r>
      <w:r>
        <w:rPr>
          <w:rFonts w:hint="default"/>
          <w:lang w:val="en-US" w:eastAsia="zh-CN"/>
        </w:rPr>
        <w:t>说明本区受植被立地条件和人为干扰的影响</w:t>
      </w:r>
      <w:r>
        <w:rPr>
          <w:rFonts w:hint="eastAsia"/>
          <w:lang w:val="en-US" w:eastAsia="zh-CN"/>
        </w:rPr>
        <w:t>一般</w:t>
      </w:r>
      <w:r>
        <w:rPr>
          <w:rFonts w:hint="default"/>
          <w:lang w:val="en-US" w:eastAsia="zh-CN"/>
        </w:rPr>
        <w:t>。</w:t>
      </w:r>
    </w:p>
    <w:p w14:paraId="0B589E32">
      <w:pPr>
        <w:pStyle w:val="5"/>
        <w:bidi w:val="0"/>
        <w:rPr>
          <w:rFonts w:hint="default"/>
          <w:lang w:val="en-US" w:eastAsia="zh-CN"/>
        </w:rPr>
      </w:pPr>
      <w:r>
        <w:rPr>
          <w:rFonts w:hint="default"/>
          <w:lang w:val="en-US" w:eastAsia="zh-CN"/>
        </w:rPr>
        <w:t>生态系统稳定性现状</w:t>
      </w:r>
    </w:p>
    <w:p w14:paraId="4C5F1741">
      <w:pPr>
        <w:rPr>
          <w:rFonts w:hint="default"/>
          <w:lang w:val="en-US" w:eastAsia="zh-CN"/>
        </w:rPr>
      </w:pPr>
      <w:r>
        <w:rPr>
          <w:rFonts w:hint="default"/>
          <w:lang w:val="en-US" w:eastAsia="zh-CN"/>
        </w:rPr>
        <w:t>生态系统的稳定和不稳定是对立统一的。由于各种生态因素的变化，生态系统处于一种波动平衡状况。当这种波动平衡被打乱时，生态系统具有不稳定性。生态系统的稳定性包括两种特征，即阻抗性和恢复性，这是从系统对干扰反应的意义上定义的。阻抗是系统在环境变化或潜在干扰时反抗或阻止变化的能力，而恢复(或回弹)是系统被改变后返回原来状态的能力。因此，对生态系统稳定状况的度量要从恢复稳定性和阻抗稳定性两个角度来度量。处于高亚稳定性状态的景观类型表现为阻抗稳定性，即对来自外部的随机干扰作用(包括环境不确定性干扰和人类的不确定性干扰》和组织内部的相互作用(如生物反馈作用),具有阻抗能力。处于低压稳定性状态的景观类型表现为恢复稳定性，即对于干扰作用产生的影响具有恢复能力。一个景观生态系:统稳定性的类型是由系统中具有较高的生物量和较长生命周期的物种(如树木和大型哺乳动物)起决定作用的。</w:t>
      </w:r>
    </w:p>
    <w:p w14:paraId="0A81A54F">
      <w:pPr>
        <w:rPr>
          <w:rFonts w:hint="default"/>
          <w:lang w:val="en-US" w:eastAsia="zh-CN"/>
        </w:rPr>
      </w:pPr>
      <w:r>
        <w:rPr>
          <w:rFonts w:hint="default"/>
          <w:lang w:val="en-US" w:eastAsia="zh-CN"/>
        </w:rPr>
        <w:t>(1)生态系统恢复稳定性</w:t>
      </w:r>
    </w:p>
    <w:p w14:paraId="07D9D4E8">
      <w:pPr>
        <w:rPr>
          <w:rFonts w:hint="default"/>
          <w:lang w:val="en-US" w:eastAsia="zh-CN"/>
        </w:rPr>
      </w:pPr>
      <w:r>
        <w:rPr>
          <w:rFonts w:hint="default"/>
          <w:lang w:val="en-US" w:eastAsia="zh-CN"/>
        </w:rPr>
        <w:t>自然系统的恢复稳定性，是根据生产力的多少度量的。如果生产力高，则其恢复稳定性强，反之则弱。由前面计算结果可知，评价区土地生产力为</w:t>
      </w:r>
      <w:r>
        <w:rPr>
          <w:rFonts w:hint="eastAsia"/>
          <w:lang w:val="en-US" w:eastAsia="zh-CN"/>
        </w:rPr>
        <w:t>12</w:t>
      </w:r>
      <w:r>
        <w:rPr>
          <w:rFonts w:hint="default"/>
          <w:lang w:val="en-US" w:eastAsia="zh-CN"/>
        </w:rPr>
        <w:t>.14t/h</w:t>
      </w:r>
      <w:r>
        <w:rPr>
          <w:rFonts w:hint="eastAsia"/>
          <w:lang w:val="en-US" w:eastAsia="zh-CN"/>
        </w:rPr>
        <w:t>m</w:t>
      </w:r>
      <w:r>
        <w:rPr>
          <w:rFonts w:hint="eastAsia"/>
          <w:vertAlign w:val="superscript"/>
          <w:lang w:val="en-US" w:eastAsia="zh-CN"/>
        </w:rPr>
        <w:t>2</w:t>
      </w:r>
      <w:r>
        <w:rPr>
          <w:rFonts w:hint="default"/>
          <w:lang w:val="en-US" w:eastAsia="zh-CN"/>
        </w:rPr>
        <w:t>·a</w:t>
      </w:r>
      <w:r>
        <w:rPr>
          <w:rFonts w:hint="eastAsia"/>
          <w:lang w:val="en-US" w:eastAsia="zh-CN"/>
        </w:rPr>
        <w:t>，</w:t>
      </w:r>
      <w:r>
        <w:rPr>
          <w:rFonts w:hint="default"/>
          <w:lang w:val="en-US" w:eastAsia="zh-CN"/>
        </w:rPr>
        <w:t>处于相对较高水平，说明评价区自然系统恢复稳定性较强。</w:t>
      </w:r>
    </w:p>
    <w:p w14:paraId="41D8812D">
      <w:pPr>
        <w:rPr>
          <w:rFonts w:hint="default"/>
          <w:lang w:val="en-US" w:eastAsia="zh-CN"/>
        </w:rPr>
      </w:pPr>
      <w:r>
        <w:rPr>
          <w:rFonts w:hint="default"/>
          <w:lang w:val="en-US" w:eastAsia="zh-CN"/>
        </w:rPr>
        <w:t>(2)生态系统阻抗稳定性</w:t>
      </w:r>
    </w:p>
    <w:p w14:paraId="00EA825B">
      <w:pPr>
        <w:rPr>
          <w:rFonts w:hint="default"/>
          <w:lang w:val="en-US" w:eastAsia="zh-CN"/>
        </w:rPr>
      </w:pPr>
      <w:r>
        <w:rPr>
          <w:rFonts w:hint="default"/>
          <w:lang w:val="en-US" w:eastAsia="zh-CN"/>
        </w:rPr>
        <w:t>生态系统的阻抗稳定性是由系统中生物组分异质性的高低决定的。异质性是一个区域里(景观或生态系统),对一个种或更高级的生物组织的存在起决定作用的资源 (或某种性质)在空间或时间上的变异程度(或强度)。由于异质性的组分具有不同的生态位，给动植物物种的栖息、移动以及抵御内外干扰提供了复杂和微妙的相应利用关系。另一方面，异质化程度高的自然系统，当某一斑块形成干扰源时，相邻的异质性组分就成为了干扰的阻断，从而达到增强生态体系抗御内外干扰的作用，有利于 体系生态稳定性的提高。</w:t>
      </w:r>
    </w:p>
    <w:p w14:paraId="6B90C705">
      <w:pPr>
        <w:rPr>
          <w:rFonts w:hint="default"/>
          <w:lang w:val="en-US" w:eastAsia="zh-CN"/>
        </w:rPr>
      </w:pPr>
      <w:r>
        <w:rPr>
          <w:rFonts w:hint="default"/>
          <w:lang w:val="en-US" w:eastAsia="zh-CN"/>
        </w:rPr>
        <w:t>对多样性的量化可用多样性指标表示，当生态体系发生变化时用多样性指标可以直观地显示多样性的改变情况，从而揭示该生态体系阻抗稳定性的变化结果。景观多样性程度高一般可以表现为生态系统的相对稳定程度，但并不是绝对的，因为景观多样性程度高，在一定程度上也反映了景观的破碎度增加了，生态系统的完整性受到了破坏。只有物种多样性、群落多样性增加了，才能说明生态系统的完整性好，稳定性 高，对外环境的干扰(尤其是人为干扰)具有较强的阻抗能力。所以，评价生态系统的完整性和稳定性及抗干扰能力，可用景观多样性指数和均匀度指数，即Shannon-Weaver多样性指数和Pielou均匀度指数来表示。</w:t>
      </w:r>
    </w:p>
    <w:p w14:paraId="4FBE28E1">
      <w:pPr>
        <w:rPr>
          <w:rFonts w:hint="default"/>
          <w:lang w:val="en-US" w:eastAsia="zh-CN"/>
        </w:rPr>
      </w:pPr>
      <w:r>
        <w:drawing>
          <wp:inline distT="0" distB="0" distL="114300" distR="114300">
            <wp:extent cx="3961765" cy="1509395"/>
            <wp:effectExtent l="0" t="0" r="635" b="1460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69"/>
                    <a:stretch>
                      <a:fillRect/>
                    </a:stretch>
                  </pic:blipFill>
                  <pic:spPr>
                    <a:xfrm>
                      <a:off x="0" y="0"/>
                      <a:ext cx="3961765" cy="1509395"/>
                    </a:xfrm>
                    <a:prstGeom prst="rect">
                      <a:avLst/>
                    </a:prstGeom>
                    <a:noFill/>
                    <a:ln>
                      <a:noFill/>
                    </a:ln>
                  </pic:spPr>
                </pic:pic>
              </a:graphicData>
            </a:graphic>
          </wp:inline>
        </w:drawing>
      </w:r>
    </w:p>
    <w:p w14:paraId="2BA3D880">
      <w:pPr>
        <w:rPr>
          <w:rFonts w:hint="default"/>
          <w:lang w:val="en-US" w:eastAsia="zh-CN"/>
        </w:rPr>
      </w:pPr>
      <w:r>
        <w:rPr>
          <w:rFonts w:hint="default"/>
          <w:lang w:val="en-US" w:eastAsia="zh-CN"/>
        </w:rPr>
        <w:t>根据评价区各类型及分布面积计算出各类型的多样性指数以及均匀性指数，</w:t>
      </w:r>
      <w:r>
        <w:rPr>
          <w:rFonts w:hint="eastAsia"/>
          <w:lang w:val="en-US" w:eastAsia="zh-CN"/>
        </w:rPr>
        <w:t>根据</w:t>
      </w:r>
      <w:r>
        <w:rPr>
          <w:rFonts w:hint="default"/>
          <w:lang w:val="en-US" w:eastAsia="zh-CN"/>
        </w:rPr>
        <w:t>评价区景观多样性指数为1.</w:t>
      </w:r>
      <w:r>
        <w:rPr>
          <w:rFonts w:hint="eastAsia"/>
          <w:lang w:val="en-US" w:eastAsia="zh-CN"/>
        </w:rPr>
        <w:t>512</w:t>
      </w:r>
      <w:r>
        <w:rPr>
          <w:rFonts w:hint="default"/>
          <w:lang w:val="en-US" w:eastAsia="zh-CN"/>
        </w:rPr>
        <w:t xml:space="preserve"> 、均匀指数为0.8</w:t>
      </w:r>
      <w:r>
        <w:rPr>
          <w:rFonts w:hint="eastAsia"/>
          <w:lang w:val="en-US" w:eastAsia="zh-CN"/>
        </w:rPr>
        <w:t>03</w:t>
      </w:r>
      <w:r>
        <w:rPr>
          <w:rFonts w:hint="default"/>
          <w:lang w:val="en-US" w:eastAsia="zh-CN"/>
        </w:rPr>
        <w:t>，多样性指数和均匀指数均属好，区域以林地为主的特性，生态稳定性相对较好。</w:t>
      </w:r>
    </w:p>
    <w:p w14:paraId="23B8AA8C">
      <w:pPr>
        <w:pStyle w:val="5"/>
        <w:bidi w:val="0"/>
        <w:rPr>
          <w:rFonts w:hint="default"/>
          <w:lang w:val="en-US" w:eastAsia="zh-CN"/>
        </w:rPr>
      </w:pPr>
      <w:r>
        <w:rPr>
          <w:rFonts w:hint="default"/>
          <w:lang w:val="en-US" w:eastAsia="zh-CN"/>
        </w:rPr>
        <w:t>区域主要生态问题</w:t>
      </w:r>
    </w:p>
    <w:p w14:paraId="06AE669D">
      <w:pPr>
        <w:rPr>
          <w:rFonts w:hint="default"/>
          <w:lang w:val="en-US" w:eastAsia="zh-CN"/>
        </w:rPr>
      </w:pPr>
      <w:r>
        <w:rPr>
          <w:rFonts w:hint="default"/>
          <w:lang w:val="en-US" w:eastAsia="zh-CN"/>
        </w:rPr>
        <w:t>由于项目区人工林经营、农业生产，人为活动干扰</w:t>
      </w:r>
      <w:r>
        <w:rPr>
          <w:rFonts w:hint="eastAsia"/>
          <w:lang w:val="en-US" w:eastAsia="zh-CN"/>
        </w:rPr>
        <w:t>较多</w:t>
      </w:r>
      <w:r>
        <w:rPr>
          <w:rFonts w:hint="default"/>
          <w:lang w:val="en-US" w:eastAsia="zh-CN"/>
        </w:rPr>
        <w:t>，原生植被不断减少，生物多样性程度下降；现有农业生产及放牧等人类生产活动，对部分河流、山地沼泽及库塘等湿地资源造成了不同程度的破坏。总体而言，由于经济发展和社会活动，造成局部区域水土流失、土壤肥力下降、水污染、生物多样性单一等生态问题。</w:t>
      </w:r>
    </w:p>
    <w:p w14:paraId="34853560">
      <w:pPr>
        <w:pStyle w:val="3"/>
        <w:bidi w:val="0"/>
        <w:rPr>
          <w:rFonts w:hint="default" w:ascii="Times New Roman" w:hAnsi="Times New Roman" w:cs="Times New Roman"/>
          <w:color w:val="auto"/>
          <w:u w:val="none" w:color="auto"/>
          <w:lang w:eastAsia="zh-CN"/>
        </w:rPr>
      </w:pPr>
      <w:bookmarkStart w:id="203" w:name="_Toc12866"/>
      <w:r>
        <w:rPr>
          <w:rFonts w:hint="default" w:ascii="Times New Roman" w:hAnsi="Times New Roman" w:cs="Times New Roman"/>
          <w:color w:val="auto"/>
          <w:u w:val="none" w:color="auto"/>
        </w:rPr>
        <w:t>永州市道县梅花镇廊洞水库饮用水水源保护区</w:t>
      </w:r>
      <w:r>
        <w:rPr>
          <w:rFonts w:hint="default" w:ascii="Times New Roman" w:hAnsi="Times New Roman" w:cs="Times New Roman"/>
          <w:color w:val="auto"/>
          <w:u w:val="none" w:color="auto"/>
          <w:lang w:eastAsia="zh-CN"/>
        </w:rPr>
        <w:t>概况</w:t>
      </w:r>
      <w:bookmarkEnd w:id="201"/>
      <w:bookmarkEnd w:id="203"/>
    </w:p>
    <w:p w14:paraId="05AEEC4E">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廊洞水库位于宜阳河上游，库址在湖南省道县梅花镇廊洞村，主要以宜水河</w:t>
      </w:r>
      <w:r>
        <w:rPr>
          <w:rFonts w:hint="default" w:ascii="Times New Roman" w:hAnsi="Times New Roman" w:cs="Times New Roman"/>
          <w:color w:val="auto"/>
          <w:highlight w:val="none"/>
          <w:u w:val="none" w:color="auto"/>
          <w:lang w:val="en-US" w:eastAsia="zh-CN"/>
        </w:rPr>
        <w:t>河</w:t>
      </w:r>
      <w:r>
        <w:rPr>
          <w:rFonts w:hint="default" w:ascii="Times New Roman" w:hAnsi="Times New Roman" w:cs="Times New Roman"/>
          <w:color w:val="auto"/>
          <w:u w:val="none" w:color="auto"/>
          <w:lang w:val="en-US" w:eastAsia="zh-CN"/>
        </w:rPr>
        <w:t>和廊洞水库为主体，根据《永州市道县梅花镇廊洞水库饮用水水源保护区划分方案》(湘环函[2019]231号)，道县梅花镇廊洞水库饮用水水源保护区范围见下表。</w:t>
      </w:r>
    </w:p>
    <w:p w14:paraId="02D048C4">
      <w:pPr>
        <w:pStyle w:val="179"/>
        <w:spacing w:line="240" w:lineRule="auto"/>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w:t>
      </w:r>
      <w:r>
        <w:rPr>
          <w:rFonts w:hint="eastAsia" w:hAnsi="Times New Roman" w:cs="Times New Roman"/>
          <w:color w:val="auto"/>
          <w:u w:val="none" w:color="auto"/>
          <w:lang w:val="en-US" w:eastAsia="zh-CN"/>
        </w:rPr>
        <w:t>5</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-1</w:t>
      </w:r>
      <w:r>
        <w:rPr>
          <w:rFonts w:hint="eastAsia"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范围表</w:t>
      </w:r>
    </w:p>
    <w:tbl>
      <w:tblPr>
        <w:tblStyle w:val="37"/>
        <w:tblW w:w="53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479"/>
        <w:gridCol w:w="480"/>
        <w:gridCol w:w="720"/>
        <w:gridCol w:w="513"/>
        <w:gridCol w:w="5862"/>
      </w:tblGrid>
      <w:tr w14:paraId="3F144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noWrap w:val="0"/>
            <w:vAlign w:val="center"/>
          </w:tcPr>
          <w:p w14:paraId="379B70E2">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保护区名</w:t>
            </w:r>
            <w:r>
              <w:rPr>
                <w:rFonts w:hint="default" w:ascii="Times New Roman" w:hAnsi="Times New Roman" w:cs="Times New Roman"/>
                <w:color w:val="auto"/>
                <w:u w:val="none" w:color="auto"/>
                <w:lang w:val="en-US" w:eastAsia="zh-CN"/>
              </w:rPr>
              <w:t>称</w:t>
            </w:r>
          </w:p>
        </w:tc>
        <w:tc>
          <w:tcPr>
            <w:tcW w:w="479" w:type="dxa"/>
            <w:noWrap w:val="0"/>
            <w:vAlign w:val="center"/>
          </w:tcPr>
          <w:p w14:paraId="3B4D610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类型</w:t>
            </w:r>
          </w:p>
        </w:tc>
        <w:tc>
          <w:tcPr>
            <w:tcW w:w="480" w:type="dxa"/>
            <w:noWrap w:val="0"/>
            <w:vAlign w:val="center"/>
          </w:tcPr>
          <w:p w14:paraId="5D6B322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现有水厂</w:t>
            </w:r>
          </w:p>
        </w:tc>
        <w:tc>
          <w:tcPr>
            <w:tcW w:w="720" w:type="dxa"/>
            <w:noWrap w:val="0"/>
            <w:vAlign w:val="center"/>
          </w:tcPr>
          <w:p w14:paraId="0AA7F483">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服务城镇</w:t>
            </w:r>
          </w:p>
        </w:tc>
        <w:tc>
          <w:tcPr>
            <w:tcW w:w="513" w:type="dxa"/>
            <w:noWrap w:val="0"/>
            <w:vAlign w:val="center"/>
          </w:tcPr>
          <w:p w14:paraId="2C52654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名称</w:t>
            </w:r>
          </w:p>
        </w:tc>
        <w:tc>
          <w:tcPr>
            <w:tcW w:w="5862" w:type="dxa"/>
            <w:noWrap w:val="0"/>
            <w:vAlign w:val="center"/>
          </w:tcPr>
          <w:p w14:paraId="48CE202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保护区范围</w:t>
            </w:r>
          </w:p>
        </w:tc>
      </w:tr>
      <w:tr w14:paraId="6B92A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restart"/>
            <w:noWrap w:val="0"/>
            <w:vAlign w:val="center"/>
          </w:tcPr>
          <w:p w14:paraId="099A837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永州市道县梅花镇廊洞水库饮用水水源保护区</w:t>
            </w:r>
          </w:p>
        </w:tc>
        <w:tc>
          <w:tcPr>
            <w:tcW w:w="479" w:type="dxa"/>
            <w:vMerge w:val="restart"/>
            <w:noWrap w:val="0"/>
            <w:vAlign w:val="center"/>
          </w:tcPr>
          <w:p w14:paraId="3A7E19D1">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湖库型</w:t>
            </w:r>
          </w:p>
        </w:tc>
        <w:tc>
          <w:tcPr>
            <w:tcW w:w="480" w:type="dxa"/>
            <w:vMerge w:val="restart"/>
            <w:noWrap w:val="0"/>
            <w:vAlign w:val="center"/>
          </w:tcPr>
          <w:p w14:paraId="2E981C57">
            <w:pPr>
              <w:pStyle w:val="1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eastAsia="zh-CN"/>
              </w:rPr>
              <w:t>廊洞</w:t>
            </w:r>
            <w:r>
              <w:rPr>
                <w:rFonts w:hint="default" w:ascii="Times New Roman" w:hAnsi="Times New Roman" w:cs="Times New Roman"/>
                <w:color w:val="auto"/>
                <w:u w:val="none" w:color="auto"/>
                <w:lang w:val="en-US" w:eastAsia="zh-CN"/>
              </w:rPr>
              <w:t>水厂</w:t>
            </w:r>
          </w:p>
        </w:tc>
        <w:tc>
          <w:tcPr>
            <w:tcW w:w="720" w:type="dxa"/>
            <w:vMerge w:val="restart"/>
            <w:noWrap w:val="0"/>
            <w:vAlign w:val="center"/>
          </w:tcPr>
          <w:p w14:paraId="59211AE4">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道县梅花镇</w:t>
            </w:r>
          </w:p>
        </w:tc>
        <w:tc>
          <w:tcPr>
            <w:tcW w:w="513" w:type="dxa"/>
            <w:vMerge w:val="restart"/>
            <w:shd w:val="clear" w:color="auto" w:fill="auto"/>
            <w:noWrap w:val="0"/>
            <w:vAlign w:val="center"/>
          </w:tcPr>
          <w:p w14:paraId="0C7F0602">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一级保护区</w:t>
            </w:r>
          </w:p>
        </w:tc>
        <w:tc>
          <w:tcPr>
            <w:tcW w:w="5862" w:type="dxa"/>
            <w:noWrap w:val="0"/>
            <w:vAlign w:val="center"/>
          </w:tcPr>
          <w:p w14:paraId="07AC0434">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水域：以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取水口为中心，半径300米范围内水库水域</w:t>
            </w:r>
          </w:p>
        </w:tc>
      </w:tr>
      <w:tr w14:paraId="19981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58" w:type="dxa"/>
            <w:vMerge w:val="continue"/>
            <w:noWrap w:val="0"/>
            <w:vAlign w:val="center"/>
          </w:tcPr>
          <w:p w14:paraId="5A4E6D84">
            <w:pPr>
              <w:pStyle w:val="180"/>
              <w:rPr>
                <w:rFonts w:hint="default" w:ascii="Times New Roman" w:hAnsi="Times New Roman" w:cs="Times New Roman"/>
                <w:color w:val="auto"/>
                <w:u w:val="none" w:color="auto"/>
              </w:rPr>
            </w:pPr>
          </w:p>
        </w:tc>
        <w:tc>
          <w:tcPr>
            <w:tcW w:w="479" w:type="dxa"/>
            <w:vMerge w:val="continue"/>
            <w:noWrap w:val="0"/>
            <w:vAlign w:val="center"/>
          </w:tcPr>
          <w:p w14:paraId="78ABE5BB">
            <w:pPr>
              <w:pStyle w:val="180"/>
              <w:rPr>
                <w:rFonts w:hint="default" w:ascii="Times New Roman" w:hAnsi="Times New Roman" w:cs="Times New Roman"/>
                <w:color w:val="auto"/>
                <w:u w:val="none" w:color="auto"/>
              </w:rPr>
            </w:pPr>
          </w:p>
        </w:tc>
        <w:tc>
          <w:tcPr>
            <w:tcW w:w="480" w:type="dxa"/>
            <w:vMerge w:val="continue"/>
            <w:noWrap w:val="0"/>
            <w:vAlign w:val="center"/>
          </w:tcPr>
          <w:p w14:paraId="26800B40">
            <w:pPr>
              <w:pStyle w:val="180"/>
              <w:rPr>
                <w:rFonts w:hint="default" w:ascii="Times New Roman" w:hAnsi="Times New Roman" w:cs="Times New Roman"/>
                <w:color w:val="auto"/>
                <w:u w:val="none" w:color="auto"/>
              </w:rPr>
            </w:pPr>
          </w:p>
        </w:tc>
        <w:tc>
          <w:tcPr>
            <w:tcW w:w="720" w:type="dxa"/>
            <w:vMerge w:val="continue"/>
            <w:noWrap w:val="0"/>
            <w:vAlign w:val="center"/>
          </w:tcPr>
          <w:p w14:paraId="53A2B306">
            <w:pPr>
              <w:pStyle w:val="180"/>
              <w:rPr>
                <w:rFonts w:hint="default" w:ascii="Times New Roman" w:hAnsi="Times New Roman" w:cs="Times New Roman"/>
                <w:color w:val="auto"/>
                <w:u w:val="none" w:color="auto"/>
              </w:rPr>
            </w:pPr>
          </w:p>
        </w:tc>
        <w:tc>
          <w:tcPr>
            <w:tcW w:w="513" w:type="dxa"/>
            <w:vMerge w:val="continue"/>
            <w:noWrap w:val="0"/>
            <w:vAlign w:val="center"/>
          </w:tcPr>
          <w:p w14:paraId="669271AC">
            <w:pPr>
              <w:pStyle w:val="180"/>
              <w:rPr>
                <w:rFonts w:hint="default" w:ascii="Times New Roman" w:hAnsi="Times New Roman" w:cs="Times New Roman"/>
                <w:color w:val="auto"/>
                <w:u w:val="none" w:color="auto"/>
              </w:rPr>
            </w:pPr>
          </w:p>
        </w:tc>
        <w:tc>
          <w:tcPr>
            <w:tcW w:w="5862" w:type="dxa"/>
            <w:noWrap w:val="0"/>
            <w:vAlign w:val="center"/>
          </w:tcPr>
          <w:p w14:paraId="6A47B039">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主库一级保护区水域边界外200米范围内的陆域，</w:t>
            </w:r>
            <w:r>
              <w:rPr>
                <w:rFonts w:hint="default" w:ascii="Times New Roman" w:hAnsi="Times New Roman" w:cs="Times New Roman"/>
                <w:color w:val="auto"/>
                <w:u w:val="none" w:color="auto"/>
                <w:lang w:val="en-US" w:eastAsia="zh-CN"/>
              </w:rPr>
              <w:t>不超过流域分水岭范围，</w:t>
            </w:r>
            <w:r>
              <w:rPr>
                <w:rFonts w:hint="default" w:ascii="Times New Roman" w:hAnsi="Times New Roman" w:cs="Times New Roman"/>
                <w:color w:val="auto"/>
                <w:u w:val="none" w:color="auto"/>
              </w:rPr>
              <w:t>不超过</w:t>
            </w:r>
            <w:r>
              <w:rPr>
                <w:rFonts w:hint="default" w:ascii="Times New Roman" w:hAnsi="Times New Roman" w:cs="Times New Roman"/>
                <w:color w:val="auto"/>
                <w:u w:val="none" w:color="auto"/>
                <w:lang w:val="en-US" w:eastAsia="zh-CN"/>
              </w:rPr>
              <w:t>道路</w:t>
            </w:r>
            <w:r>
              <w:rPr>
                <w:rFonts w:hint="default" w:ascii="Times New Roman" w:hAnsi="Times New Roman" w:cs="Times New Roman"/>
                <w:color w:val="auto"/>
                <w:u w:val="none" w:color="auto"/>
              </w:rPr>
              <w:t>迎水侧路肩。</w:t>
            </w:r>
          </w:p>
        </w:tc>
      </w:tr>
      <w:tr w14:paraId="468DF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058" w:type="dxa"/>
            <w:vMerge w:val="continue"/>
            <w:noWrap w:val="0"/>
            <w:vAlign w:val="center"/>
          </w:tcPr>
          <w:p w14:paraId="18F1A81E">
            <w:pPr>
              <w:pStyle w:val="180"/>
              <w:rPr>
                <w:rFonts w:hint="default" w:ascii="Times New Roman" w:hAnsi="Times New Roman" w:cs="Times New Roman"/>
                <w:color w:val="auto"/>
                <w:u w:val="none" w:color="auto"/>
              </w:rPr>
            </w:pPr>
          </w:p>
        </w:tc>
        <w:tc>
          <w:tcPr>
            <w:tcW w:w="479" w:type="dxa"/>
            <w:vMerge w:val="continue"/>
            <w:noWrap w:val="0"/>
            <w:vAlign w:val="center"/>
          </w:tcPr>
          <w:p w14:paraId="4DD5E54F">
            <w:pPr>
              <w:pStyle w:val="180"/>
              <w:rPr>
                <w:rFonts w:hint="default" w:ascii="Times New Roman" w:hAnsi="Times New Roman" w:cs="Times New Roman"/>
                <w:color w:val="auto"/>
                <w:u w:val="none" w:color="auto"/>
              </w:rPr>
            </w:pPr>
          </w:p>
        </w:tc>
        <w:tc>
          <w:tcPr>
            <w:tcW w:w="480" w:type="dxa"/>
            <w:vMerge w:val="continue"/>
            <w:noWrap w:val="0"/>
            <w:vAlign w:val="center"/>
          </w:tcPr>
          <w:p w14:paraId="7F54FE8C">
            <w:pPr>
              <w:pStyle w:val="180"/>
              <w:rPr>
                <w:rFonts w:hint="default" w:ascii="Times New Roman" w:hAnsi="Times New Roman" w:cs="Times New Roman"/>
                <w:color w:val="auto"/>
                <w:u w:val="none" w:color="auto"/>
              </w:rPr>
            </w:pPr>
          </w:p>
        </w:tc>
        <w:tc>
          <w:tcPr>
            <w:tcW w:w="720" w:type="dxa"/>
            <w:vMerge w:val="continue"/>
            <w:noWrap w:val="0"/>
            <w:vAlign w:val="center"/>
          </w:tcPr>
          <w:p w14:paraId="415DC993">
            <w:pPr>
              <w:pStyle w:val="180"/>
              <w:rPr>
                <w:rFonts w:hint="default" w:ascii="Times New Roman" w:hAnsi="Times New Roman" w:cs="Times New Roman"/>
                <w:color w:val="auto"/>
                <w:u w:val="none" w:color="auto"/>
              </w:rPr>
            </w:pPr>
          </w:p>
        </w:tc>
        <w:tc>
          <w:tcPr>
            <w:tcW w:w="513" w:type="dxa"/>
            <w:vMerge w:val="restart"/>
            <w:shd w:val="clear" w:color="auto" w:fill="auto"/>
            <w:noWrap w:val="0"/>
            <w:vAlign w:val="center"/>
          </w:tcPr>
          <w:p w14:paraId="14D1BB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二级</w:t>
            </w:r>
          </w:p>
          <w:p w14:paraId="4DAD2C2E">
            <w:pPr>
              <w:pStyle w:val="180"/>
              <w:ind w:firstLine="0" w:firstLineChars="0"/>
              <w:rPr>
                <w:rFonts w:hint="default" w:ascii="Times New Roman" w:hAnsi="Times New Roman" w:cs="Times New Roman"/>
                <w:color w:val="auto"/>
                <w:u w:val="none" w:color="auto"/>
              </w:rPr>
            </w:pPr>
            <w:r>
              <w:rPr>
                <w:rFonts w:hint="default" w:ascii="Times New Roman" w:hAnsi="Times New Roman" w:cs="Times New Roman"/>
                <w:color w:val="auto"/>
                <w:u w:val="none" w:color="auto"/>
              </w:rPr>
              <w:t>保护区</w:t>
            </w:r>
          </w:p>
        </w:tc>
        <w:tc>
          <w:tcPr>
            <w:tcW w:w="5862" w:type="dxa"/>
            <w:noWrap w:val="0"/>
            <w:vAlign w:val="center"/>
          </w:tcPr>
          <w:p w14:paraId="006D0AA2">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主库一级保护区外的</w:t>
            </w:r>
            <w:r>
              <w:rPr>
                <w:rFonts w:hint="default" w:ascii="Times New Roman" w:hAnsi="Times New Roman" w:cs="Times New Roman"/>
                <w:color w:val="auto"/>
                <w:u w:val="none" w:color="auto"/>
                <w:lang w:val="en-US" w:eastAsia="zh-CN"/>
              </w:rPr>
              <w:t>水库</w:t>
            </w:r>
            <w:r>
              <w:rPr>
                <w:rFonts w:hint="default" w:ascii="Times New Roman" w:hAnsi="Times New Roman" w:cs="Times New Roman"/>
                <w:color w:val="auto"/>
                <w:u w:val="none" w:color="auto"/>
              </w:rPr>
              <w:t>水域。</w:t>
            </w:r>
          </w:p>
        </w:tc>
      </w:tr>
      <w:tr w14:paraId="4806B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continue"/>
            <w:noWrap w:val="0"/>
            <w:vAlign w:val="center"/>
          </w:tcPr>
          <w:p w14:paraId="482F4C25">
            <w:pPr>
              <w:pStyle w:val="180"/>
              <w:rPr>
                <w:rFonts w:hint="default" w:ascii="Times New Roman" w:hAnsi="Times New Roman" w:cs="Times New Roman"/>
                <w:color w:val="auto"/>
                <w:u w:val="none" w:color="auto"/>
              </w:rPr>
            </w:pPr>
          </w:p>
        </w:tc>
        <w:tc>
          <w:tcPr>
            <w:tcW w:w="479" w:type="dxa"/>
            <w:vMerge w:val="continue"/>
            <w:noWrap w:val="0"/>
            <w:vAlign w:val="center"/>
          </w:tcPr>
          <w:p w14:paraId="1E867D47">
            <w:pPr>
              <w:pStyle w:val="180"/>
              <w:rPr>
                <w:rFonts w:hint="default" w:ascii="Times New Roman" w:hAnsi="Times New Roman" w:cs="Times New Roman"/>
                <w:color w:val="auto"/>
                <w:u w:val="none" w:color="auto"/>
              </w:rPr>
            </w:pPr>
          </w:p>
        </w:tc>
        <w:tc>
          <w:tcPr>
            <w:tcW w:w="480" w:type="dxa"/>
            <w:vMerge w:val="continue"/>
            <w:noWrap w:val="0"/>
            <w:vAlign w:val="center"/>
          </w:tcPr>
          <w:p w14:paraId="02C00588">
            <w:pPr>
              <w:pStyle w:val="180"/>
              <w:rPr>
                <w:rFonts w:hint="default" w:ascii="Times New Roman" w:hAnsi="Times New Roman" w:cs="Times New Roman"/>
                <w:color w:val="auto"/>
                <w:u w:val="none" w:color="auto"/>
              </w:rPr>
            </w:pPr>
          </w:p>
        </w:tc>
        <w:tc>
          <w:tcPr>
            <w:tcW w:w="720" w:type="dxa"/>
            <w:vMerge w:val="continue"/>
            <w:noWrap w:val="0"/>
            <w:vAlign w:val="center"/>
          </w:tcPr>
          <w:p w14:paraId="5A89A54A">
            <w:pPr>
              <w:pStyle w:val="180"/>
              <w:rPr>
                <w:rFonts w:hint="default" w:ascii="Times New Roman" w:hAnsi="Times New Roman" w:cs="Times New Roman"/>
                <w:color w:val="auto"/>
                <w:u w:val="none" w:color="auto"/>
              </w:rPr>
            </w:pPr>
          </w:p>
        </w:tc>
        <w:tc>
          <w:tcPr>
            <w:tcW w:w="513" w:type="dxa"/>
            <w:vMerge w:val="continue"/>
            <w:noWrap w:val="0"/>
            <w:vAlign w:val="center"/>
          </w:tcPr>
          <w:p w14:paraId="11F325FD">
            <w:pPr>
              <w:pStyle w:val="180"/>
              <w:rPr>
                <w:rFonts w:hint="default" w:ascii="Times New Roman" w:hAnsi="Times New Roman" w:cs="Times New Roman"/>
                <w:color w:val="auto"/>
                <w:u w:val="none" w:color="auto"/>
              </w:rPr>
            </w:pPr>
          </w:p>
        </w:tc>
        <w:tc>
          <w:tcPr>
            <w:tcW w:w="5862" w:type="dxa"/>
            <w:noWrap w:val="0"/>
            <w:vAlign w:val="center"/>
          </w:tcPr>
          <w:p w14:paraId="127EC8A8">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w:t>
            </w:r>
            <w:r>
              <w:rPr>
                <w:rFonts w:hint="default" w:ascii="Times New Roman" w:hAnsi="Times New Roman" w:cs="Times New Roman"/>
                <w:color w:val="auto"/>
                <w:u w:val="none" w:color="auto"/>
                <w:lang w:val="en-US" w:eastAsia="zh-CN"/>
              </w:rPr>
              <w:t>及入库河流上溯3000米的</w:t>
            </w:r>
            <w:r>
              <w:rPr>
                <w:rFonts w:hint="default" w:ascii="Times New Roman" w:hAnsi="Times New Roman" w:cs="Times New Roman"/>
                <w:color w:val="auto"/>
                <w:u w:val="none" w:color="auto"/>
              </w:rPr>
              <w:t>汇水区域，不超过</w:t>
            </w:r>
            <w:r>
              <w:rPr>
                <w:rFonts w:hint="default" w:ascii="Times New Roman" w:hAnsi="Times New Roman" w:cs="Times New Roman"/>
                <w:color w:val="auto"/>
                <w:u w:val="none" w:color="auto"/>
                <w:lang w:val="en-US" w:eastAsia="zh-CN"/>
              </w:rPr>
              <w:t>道路</w:t>
            </w:r>
            <w:r>
              <w:rPr>
                <w:rFonts w:hint="default" w:ascii="Times New Roman" w:hAnsi="Times New Roman" w:cs="Times New Roman"/>
                <w:color w:val="auto"/>
                <w:u w:val="none" w:color="auto"/>
              </w:rPr>
              <w:t>迎水侧路肩</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一级保护区除外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tc>
      </w:tr>
      <w:tr w14:paraId="6B0A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58" w:type="dxa"/>
            <w:vMerge w:val="continue"/>
            <w:noWrap w:val="0"/>
            <w:vAlign w:val="center"/>
          </w:tcPr>
          <w:p w14:paraId="3AB14720">
            <w:pPr>
              <w:pStyle w:val="180"/>
              <w:rPr>
                <w:rFonts w:hint="default" w:ascii="Times New Roman" w:hAnsi="Times New Roman" w:cs="Times New Roman"/>
                <w:color w:val="auto"/>
                <w:u w:val="none" w:color="auto"/>
              </w:rPr>
            </w:pPr>
          </w:p>
        </w:tc>
        <w:tc>
          <w:tcPr>
            <w:tcW w:w="479" w:type="dxa"/>
            <w:vMerge w:val="continue"/>
            <w:noWrap w:val="0"/>
            <w:vAlign w:val="center"/>
          </w:tcPr>
          <w:p w14:paraId="7A54C9D6">
            <w:pPr>
              <w:pStyle w:val="180"/>
              <w:rPr>
                <w:rFonts w:hint="default" w:ascii="Times New Roman" w:hAnsi="Times New Roman" w:cs="Times New Roman"/>
                <w:color w:val="auto"/>
                <w:u w:val="none" w:color="auto"/>
              </w:rPr>
            </w:pPr>
          </w:p>
        </w:tc>
        <w:tc>
          <w:tcPr>
            <w:tcW w:w="480" w:type="dxa"/>
            <w:vMerge w:val="continue"/>
            <w:noWrap w:val="0"/>
            <w:vAlign w:val="center"/>
          </w:tcPr>
          <w:p w14:paraId="011F5F1E">
            <w:pPr>
              <w:pStyle w:val="180"/>
              <w:rPr>
                <w:rFonts w:hint="default" w:ascii="Times New Roman" w:hAnsi="Times New Roman" w:cs="Times New Roman"/>
                <w:color w:val="auto"/>
                <w:u w:val="none" w:color="auto"/>
              </w:rPr>
            </w:pPr>
          </w:p>
        </w:tc>
        <w:tc>
          <w:tcPr>
            <w:tcW w:w="720" w:type="dxa"/>
            <w:vMerge w:val="continue"/>
            <w:noWrap w:val="0"/>
            <w:vAlign w:val="center"/>
          </w:tcPr>
          <w:p w14:paraId="3608E1C8">
            <w:pPr>
              <w:pStyle w:val="180"/>
              <w:rPr>
                <w:rFonts w:hint="default" w:ascii="Times New Roman" w:hAnsi="Times New Roman" w:cs="Times New Roman"/>
                <w:color w:val="auto"/>
                <w:u w:val="none" w:color="auto"/>
              </w:rPr>
            </w:pPr>
          </w:p>
        </w:tc>
        <w:tc>
          <w:tcPr>
            <w:tcW w:w="513" w:type="dxa"/>
            <w:shd w:val="clear" w:color="auto" w:fill="auto"/>
            <w:noWrap w:val="0"/>
            <w:vAlign w:val="center"/>
          </w:tcPr>
          <w:p w14:paraId="0F939F8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准保</w:t>
            </w:r>
          </w:p>
          <w:p w14:paraId="6579FDF5">
            <w:pPr>
              <w:pStyle w:val="180"/>
              <w:ind w:firstLine="0" w:firstLineChars="0"/>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cs="Times New Roman"/>
                <w:color w:val="auto"/>
                <w:u w:val="none" w:color="auto"/>
              </w:rPr>
              <w:t>护区</w:t>
            </w:r>
          </w:p>
        </w:tc>
        <w:tc>
          <w:tcPr>
            <w:tcW w:w="5862" w:type="dxa"/>
            <w:noWrap w:val="0"/>
            <w:vAlign w:val="center"/>
          </w:tcPr>
          <w:p w14:paraId="164F99F3">
            <w:pPr>
              <w:pStyle w:val="18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w:t>
            </w:r>
            <w:r>
              <w:rPr>
                <w:rFonts w:hint="default" w:ascii="Times New Roman" w:hAnsi="Times New Roman" w:cs="Times New Roman"/>
                <w:color w:val="auto"/>
                <w:u w:val="none" w:color="auto"/>
                <w:lang w:val="en-US" w:eastAsia="zh-CN"/>
              </w:rPr>
              <w:t>及入库河流上溯5000米的</w:t>
            </w:r>
            <w:r>
              <w:rPr>
                <w:rFonts w:hint="default" w:ascii="Times New Roman" w:hAnsi="Times New Roman" w:cs="Times New Roman"/>
                <w:color w:val="auto"/>
                <w:u w:val="none" w:color="auto"/>
              </w:rPr>
              <w:t>汇水区域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一、二级保护区除外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tc>
      </w:tr>
    </w:tbl>
    <w:p w14:paraId="1454CC14">
      <w:pPr>
        <w:pStyle w:val="3"/>
        <w:bidi w:val="0"/>
        <w:rPr>
          <w:rFonts w:hint="default" w:ascii="Times New Roman" w:hAnsi="Times New Roman" w:cs="Times New Roman"/>
          <w:color w:val="auto"/>
          <w:u w:val="none" w:color="auto"/>
        </w:rPr>
      </w:pPr>
      <w:bookmarkStart w:id="204" w:name="_Toc3566"/>
      <w:r>
        <w:rPr>
          <w:rFonts w:hint="default" w:ascii="Times New Roman" w:hAnsi="Times New Roman" w:cs="Times New Roman"/>
          <w:color w:val="auto"/>
          <w:u w:val="none" w:color="auto"/>
        </w:rPr>
        <w:t>区域污染源调查</w:t>
      </w:r>
      <w:bookmarkEnd w:id="204"/>
    </w:p>
    <w:p w14:paraId="4719822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总纲》</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HJ2.1-2016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，区域污染源调查选择建设项目常规污染因子和特征污染因子、影响评价区环境质量的主要污染因子和特殊污染因子作为主要调查对象，注意不同污染源的分类调查。</w:t>
      </w:r>
    </w:p>
    <w:p w14:paraId="4D80A0E6">
      <w:pPr>
        <w:ind w:firstLine="480"/>
        <w:rPr>
          <w:rFonts w:hint="default" w:ascii="Times New Roman" w:hAnsi="Times New Roman" w:eastAsia="宋体" w:cs="Times New Roman"/>
          <w:color w:val="auto"/>
          <w:u w:val="none" w:color="auto"/>
          <w:lang w:val="en-US" w:eastAsia="zh-CN"/>
        </w:rPr>
        <w:sectPr>
          <w:pgSz w:w="11911"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cs="Times New Roman"/>
          <w:color w:val="auto"/>
          <w:u w:val="none" w:color="auto"/>
        </w:rPr>
        <w:t>本项目</w:t>
      </w:r>
      <w:r>
        <w:rPr>
          <w:rFonts w:hint="default" w:ascii="Times New Roman" w:hAnsi="Times New Roman" w:cs="Times New Roman"/>
          <w:color w:val="auto"/>
          <w:u w:val="none" w:color="auto"/>
          <w:lang w:val="en-US" w:eastAsia="zh-CN"/>
        </w:rPr>
        <w:t>为廊洞水库大坝除险加固，属生态影响型项目，主要是施工期的环境影响，无运营期无污染产生</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项目周边无工业企业，污染源主要是农业生产和居民生活，分布在水库两侧及下游宜阳河两侧。</w:t>
      </w:r>
    </w:p>
    <w:p w14:paraId="6C31D2C3">
      <w:pPr>
        <w:pStyle w:val="2"/>
        <w:rPr>
          <w:rFonts w:hint="default" w:ascii="Times New Roman" w:hAnsi="Times New Roman" w:cs="Times New Roman"/>
          <w:color w:val="auto"/>
          <w:u w:val="none" w:color="auto"/>
        </w:rPr>
      </w:pPr>
      <w:bookmarkStart w:id="205" w:name="_Toc10303"/>
      <w:bookmarkStart w:id="206" w:name="_Toc28852"/>
      <w:bookmarkStart w:id="207" w:name="_Toc12190"/>
      <w:bookmarkStart w:id="208" w:name="_Toc9750"/>
      <w:bookmarkStart w:id="209" w:name="_Toc2574"/>
      <w:bookmarkStart w:id="210" w:name="_Toc494049372"/>
      <w:r>
        <w:rPr>
          <w:rFonts w:hint="default" w:ascii="Times New Roman" w:hAnsi="Times New Roman" w:cs="Times New Roman"/>
          <w:color w:val="auto"/>
          <w:u w:val="none" w:color="auto"/>
        </w:rPr>
        <w:t>环境影响预测与评价</w:t>
      </w:r>
      <w:bookmarkEnd w:id="205"/>
      <w:bookmarkEnd w:id="206"/>
      <w:bookmarkEnd w:id="207"/>
      <w:bookmarkEnd w:id="208"/>
      <w:bookmarkEnd w:id="209"/>
      <w:bookmarkEnd w:id="210"/>
    </w:p>
    <w:p w14:paraId="485DD317">
      <w:pPr>
        <w:pStyle w:val="3"/>
        <w:rPr>
          <w:rFonts w:hint="default" w:ascii="Times New Roman" w:hAnsi="Times New Roman" w:eastAsia="宋体" w:cs="Times New Roman"/>
          <w:color w:val="auto"/>
          <w:u w:val="none" w:color="auto"/>
        </w:rPr>
      </w:pPr>
      <w:bookmarkStart w:id="211" w:name="_Toc29858"/>
      <w:r>
        <w:rPr>
          <w:rFonts w:hint="default" w:ascii="Times New Roman" w:hAnsi="Times New Roman" w:eastAsia="宋体" w:cs="Times New Roman"/>
          <w:color w:val="auto"/>
          <w:u w:val="none" w:color="auto"/>
        </w:rPr>
        <w:t>现有工程环境影响回顾性评价</w:t>
      </w:r>
      <w:bookmarkEnd w:id="211"/>
    </w:p>
    <w:p w14:paraId="55EF7B65">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位于湖南省</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中上游，是一座以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综合效益的中型水库。坝址以上集雨面积</w:t>
      </w:r>
      <w:r>
        <w:rPr>
          <w:rFonts w:hint="default" w:ascii="Times New Roman" w:hAnsi="Times New Roman" w:cs="Times New Roman"/>
          <w:color w:val="auto"/>
          <w:u w:val="none" w:color="auto"/>
          <w:lang w:eastAsia="zh-CN"/>
        </w:rPr>
        <w:t>35.60</w:t>
      </w:r>
      <w:r>
        <w:rPr>
          <w:rFonts w:hint="default" w:ascii="Times New Roman" w:hAnsi="Times New Roman" w:cs="Times New Roman"/>
          <w:color w:val="auto"/>
          <w:u w:val="none" w:color="auto"/>
        </w:rPr>
        <w:t>km²</w:t>
      </w:r>
      <w:r>
        <w:rPr>
          <w:rFonts w:hint="default" w:ascii="Times New Roman" w:hAnsi="Times New Roman" w:cs="Times New Roman"/>
          <w:color w:val="auto"/>
          <w:u w:val="none" w:color="auto"/>
          <w:lang w:eastAsia="zh-CN"/>
        </w:rPr>
        <w:t>，干流长20.91km，</w:t>
      </w:r>
      <w:r>
        <w:rPr>
          <w:rFonts w:hint="default" w:ascii="Times New Roman" w:hAnsi="Times New Roman" w:cs="Times New Roman"/>
          <w:color w:val="auto"/>
          <w:u w:val="none" w:color="auto"/>
        </w:rPr>
        <w:t>平均坡降</w:t>
      </w:r>
      <w:r>
        <w:rPr>
          <w:rFonts w:hint="default" w:ascii="Times New Roman" w:hAnsi="Times New Roman" w:cs="Times New Roman"/>
          <w:color w:val="auto"/>
          <w:u w:val="none" w:color="auto"/>
          <w:lang w:eastAsia="zh-CN"/>
        </w:rPr>
        <w:t>20.91%</w:t>
      </w:r>
      <w:r>
        <w:rPr>
          <w:rFonts w:hint="default" w:ascii="Times New Roman" w:hAnsi="Times New Roman" w:cs="Times New Roman"/>
          <w:color w:val="auto"/>
          <w:u w:val="none" w:color="auto"/>
        </w:rPr>
        <w:t>。该水库为</w:t>
      </w:r>
      <w:r>
        <w:rPr>
          <w:rFonts w:hint="default" w:ascii="Times New Roman" w:hAnsi="Times New Roman" w:cs="Times New Roman"/>
          <w:color w:val="auto"/>
          <w:u w:val="none" w:color="auto"/>
          <w:lang w:eastAsia="zh-CN"/>
        </w:rPr>
        <w:t>宜水河</w:t>
      </w:r>
      <w:r>
        <w:rPr>
          <w:rFonts w:hint="default" w:ascii="Times New Roman" w:hAnsi="Times New Roman" w:cs="Times New Roman"/>
          <w:color w:val="auto"/>
          <w:u w:val="none" w:color="auto"/>
        </w:rPr>
        <w:t>流域梯级开发中的龙头水库。正常蓄水位</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289.85m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库容</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设计总库容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灌溉面积</w:t>
      </w:r>
      <w:r>
        <w:rPr>
          <w:rFonts w:hint="default" w:ascii="Times New Roman" w:hAnsi="Times New Roman" w:cs="Times New Roman"/>
          <w:color w:val="auto"/>
          <w:u w:val="none" w:color="auto"/>
          <w:lang w:eastAsia="zh-CN"/>
        </w:rPr>
        <w:t>3.15万</w:t>
      </w:r>
      <w:r>
        <w:rPr>
          <w:rFonts w:hint="default" w:ascii="Times New Roman" w:hAnsi="Times New Roman" w:cs="Times New Roman"/>
          <w:color w:val="auto"/>
          <w:u w:val="none" w:color="auto"/>
        </w:rPr>
        <w:t>亩，电站多年平均发电量</w:t>
      </w:r>
      <w:r>
        <w:rPr>
          <w:rFonts w:hint="default" w:ascii="Times New Roman" w:hAnsi="Times New Roman" w:cs="Times New Roman"/>
          <w:color w:val="auto"/>
          <w:u w:val="none" w:color="auto"/>
          <w:lang w:eastAsia="zh-CN"/>
        </w:rPr>
        <w:t>190万kW</w:t>
      </w:r>
      <w:r>
        <w:rPr>
          <w:rFonts w:hint="default" w:ascii="Times New Roman" w:hAnsi="Times New Roman" w:cs="Times New Roman"/>
          <w:color w:val="auto"/>
          <w:u w:val="none" w:color="auto"/>
        </w:rPr>
        <w:t>h</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综合效益的中型水利工程。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正常蓄水库容为</w:t>
      </w:r>
      <w:r>
        <w:rPr>
          <w:rFonts w:hint="default" w:ascii="Times New Roman" w:hAnsi="Times New Roman" w:cs="Times New Roman"/>
          <w:color w:val="auto"/>
          <w:u w:val="none" w:color="auto"/>
          <w:lang w:eastAsia="zh-CN"/>
        </w:rPr>
        <w:t>907.00万</w:t>
      </w:r>
      <w:r>
        <w:rPr>
          <w:rFonts w:hint="default" w:ascii="Times New Roman" w:hAnsi="Times New Roman" w:cs="Times New Roman"/>
          <w:color w:val="auto"/>
          <w:u w:val="none" w:color="auto"/>
        </w:rPr>
        <w:t>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总库容</w:t>
      </w:r>
      <w:r>
        <w:rPr>
          <w:rFonts w:hint="default" w:ascii="Times New Roman" w:hAnsi="Times New Roman" w:cs="Times New Roman"/>
          <w:color w:val="auto"/>
          <w:u w:val="none" w:color="auto"/>
          <w:lang w:eastAsia="zh-CN"/>
        </w:rPr>
        <w:t>1008.6</w:t>
      </w:r>
      <w:r>
        <w:rPr>
          <w:rFonts w:hint="default" w:ascii="Times New Roman" w:hAnsi="Times New Roman" w:cs="Times New Roman"/>
          <w:color w:val="auto"/>
          <w:u w:val="none" w:color="auto"/>
        </w:rPr>
        <w:t>万m³</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确定该水库枢纽工程为Ⅲ等，其主要建筑物为3级建筑物，次要建筑物为4级建筑物，临时建筑物为5级，水库枢纽永久性水工建筑物设计洪水标准为100年一遇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，校核洪水标准为1000年一遇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P=0.1%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；永久性泄水建筑物消能防冲洪水标准为30年一遇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P=3.33%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本次实施除险加固后不改变廊洞水库的规模</w:t>
      </w:r>
      <w:r>
        <w:rPr>
          <w:rFonts w:hint="default" w:ascii="Times New Roman" w:hAnsi="Times New Roman" w:cs="Times New Roman"/>
          <w:color w:val="auto"/>
          <w:u w:val="none" w:color="auto"/>
        </w:rPr>
        <w:t>。</w:t>
      </w:r>
    </w:p>
    <w:p w14:paraId="27AB92D3">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lang w:val="en-US" w:eastAsia="zh-CN"/>
        </w:rPr>
        <w:t>于1958年动工兴建，1961年建成小(1)型水库，后于1973年6月按中型水库扩建，1978年12月竣工</w:t>
      </w:r>
      <w:r>
        <w:rPr>
          <w:rFonts w:hint="default" w:ascii="Times New Roman" w:hAnsi="Times New Roman" w:cs="Times New Roman"/>
          <w:color w:val="auto"/>
          <w:u w:val="none" w:color="auto"/>
        </w:rPr>
        <w:t>。廊洞水库除险加固工程于2009年</w:t>
      </w:r>
      <w:r>
        <w:rPr>
          <w:rFonts w:hint="default" w:ascii="Times New Roman" w:hAnsi="Times New Roman" w:cs="Times New Roman"/>
          <w:color w:val="auto"/>
          <w:u w:val="none" w:color="auto"/>
          <w:lang w:val="en-US" w:eastAsia="zh-CN"/>
        </w:rPr>
        <w:t>10</w:t>
      </w:r>
      <w:r>
        <w:rPr>
          <w:rFonts w:hint="default" w:ascii="Times New Roman" w:hAnsi="Times New Roman" w:cs="Times New Roman"/>
          <w:color w:val="auto"/>
          <w:u w:val="none" w:color="auto"/>
        </w:rPr>
        <w:t>月开工，2010年</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月20日基本完工。</w:t>
      </w:r>
    </w:p>
    <w:p w14:paraId="35E9CD45">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饮用水水源保护区于2019年批准建设。水库建设时间较早，缺少建设时相关生态环境资料记录，仅按照一般变化趋势对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动植物及水生生物资源变化作趋势性推测。经与业主单位了解，水库建成和2009年除险加固施工期末收到环保相关问题的投诉举报。</w:t>
      </w:r>
    </w:p>
    <w:p w14:paraId="3FE06FF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对水文情势的影响回顾性影响</w:t>
      </w:r>
    </w:p>
    <w:p w14:paraId="25A225F1">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成后，水库库区水位、水面积、流速等发生相应变化。水库建成后，泥沙的来源绝大部分来自低山区水土流失。低山区由于气候干燥，植被稀少，强烈风化使土壤质地疏松，遇上夏季暴雨不仅会产生洪水，而且泥沙俱下形成浑浊水流，甚至泥石流进入库区。</w:t>
      </w:r>
    </w:p>
    <w:p w14:paraId="7EDAA93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水环境影响回顾性分析</w:t>
      </w:r>
    </w:p>
    <w:p w14:paraId="47D0A0D3">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水库蓄水对水质的影响</w:t>
      </w:r>
    </w:p>
    <w:p w14:paraId="7EC58F85">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水库蓄水后，其库底遗留的有机质、可溶盐对水质将产生一定的影响；水库的调蓄使水流流速减缓，水动力条件发生变化，滞留时间的延长也将对水质有一定的影响。</w:t>
      </w:r>
    </w:p>
    <w:p w14:paraId="44DA9AB6">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水库蓄水对水温的影响</w:t>
      </w:r>
    </w:p>
    <w:p w14:paraId="1E04744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sz w:val="24"/>
          <w:szCs w:val="24"/>
        </w:rPr>
      </w:pPr>
      <w:r>
        <w:rPr>
          <w:rFonts w:hint="eastAsia" w:ascii="Times New Roman" w:hAnsi="Times New Roman" w:eastAsia="宋体" w:cs="Times New Roman"/>
          <w:caps w:val="0"/>
          <w:smallCaps w:val="0"/>
          <w:color w:val="auto"/>
          <w:spacing w:val="0"/>
          <w:w w:val="100"/>
          <w:kern w:val="0"/>
          <w:position w:val="0"/>
          <w:sz w:val="24"/>
          <w:szCs w:val="24"/>
          <w:lang w:val="en-US" w:eastAsia="zh-CN"/>
        </w:rPr>
        <w:t>水库的修建会使原来流动、水温基本混参均匀的水体变为流动十分缓慢的大体积水体，并形成特有的温度场。</w:t>
      </w:r>
      <w:r>
        <w:rPr>
          <w:rFonts w:ascii="宋体" w:hAnsi="宋体" w:eastAsia="宋体" w:cs="宋体"/>
          <w:spacing w:val="3"/>
          <w:sz w:val="24"/>
          <w:szCs w:val="24"/>
        </w:rPr>
        <w:t>水温分布的结构形式受取水口位置、高程、水库调度及水文气象调节</w:t>
      </w:r>
      <w:r>
        <w:rPr>
          <w:rFonts w:ascii="宋体" w:hAnsi="宋体" w:eastAsia="宋体" w:cs="宋体"/>
          <w:sz w:val="24"/>
          <w:szCs w:val="24"/>
        </w:rPr>
        <w:t>的影</w:t>
      </w:r>
      <w:r>
        <w:rPr>
          <w:rFonts w:ascii="宋体" w:hAnsi="宋体" w:eastAsia="宋体" w:cs="宋体"/>
          <w:spacing w:val="4"/>
          <w:sz w:val="24"/>
          <w:szCs w:val="24"/>
        </w:rPr>
        <w:t>响。</w:t>
      </w:r>
      <w:r>
        <w:rPr>
          <w:rFonts w:ascii="Times New Roman" w:hAnsi="Times New Roman" w:eastAsia="Times New Roman" w:cs="Times New Roman"/>
          <w:spacing w:val="4"/>
          <w:sz w:val="24"/>
          <w:szCs w:val="24"/>
        </w:rPr>
        <w:t>(</w:t>
      </w:r>
      <w:r>
        <w:rPr>
          <w:rFonts w:ascii="宋体" w:hAnsi="宋体" w:eastAsia="宋体" w:cs="宋体"/>
          <w:spacing w:val="4"/>
          <w:sz w:val="24"/>
          <w:szCs w:val="24"/>
        </w:rPr>
        <w:t>分层型，混合型</w:t>
      </w:r>
      <w:r>
        <w:rPr>
          <w:rFonts w:ascii="Times New Roman" w:hAnsi="Times New Roman" w:eastAsia="Times New Roman" w:cs="Times New Roman"/>
          <w:spacing w:val="4"/>
          <w:sz w:val="24"/>
          <w:szCs w:val="24"/>
        </w:rPr>
        <w:t>)</w:t>
      </w:r>
      <w:r>
        <w:rPr>
          <w:rFonts w:ascii="宋体" w:hAnsi="宋体" w:eastAsia="宋体" w:cs="宋体"/>
          <w:spacing w:val="4"/>
          <w:sz w:val="24"/>
          <w:szCs w:val="24"/>
        </w:rPr>
        <w:t>对</w:t>
      </w:r>
      <w:r>
        <w:rPr>
          <w:rFonts w:ascii="宋体" w:hAnsi="宋体" w:eastAsia="宋体" w:cs="宋体"/>
          <w:spacing w:val="3"/>
          <w:sz w:val="24"/>
          <w:szCs w:val="24"/>
        </w:rPr>
        <w:t>于</w:t>
      </w:r>
      <w:r>
        <w:rPr>
          <w:rFonts w:ascii="宋体" w:hAnsi="宋体" w:eastAsia="宋体" w:cs="宋体"/>
          <w:spacing w:val="2"/>
          <w:sz w:val="24"/>
          <w:szCs w:val="24"/>
        </w:rPr>
        <w:t>大、中型水库，水量的调节性能好，温度随深度成层状分布，大致可</w:t>
      </w:r>
      <w:r>
        <w:rPr>
          <w:rFonts w:ascii="宋体" w:hAnsi="宋体" w:eastAsia="宋体" w:cs="宋体"/>
          <w:spacing w:val="3"/>
          <w:sz w:val="24"/>
          <w:szCs w:val="24"/>
        </w:rPr>
        <w:t>以分为库面温水层、温跃层、底下冷水层。中小型水库调节性能差，库内水流急，混</w:t>
      </w:r>
      <w:r>
        <w:rPr>
          <w:rFonts w:ascii="宋体" w:hAnsi="宋体" w:eastAsia="宋体" w:cs="宋体"/>
          <w:sz w:val="24"/>
          <w:szCs w:val="24"/>
        </w:rPr>
        <w:t>合作</w:t>
      </w:r>
      <w:r>
        <w:rPr>
          <w:rFonts w:ascii="宋体" w:hAnsi="宋体" w:eastAsia="宋体" w:cs="宋体"/>
          <w:spacing w:val="4"/>
          <w:sz w:val="24"/>
          <w:szCs w:val="24"/>
        </w:rPr>
        <w:t>用强烈，</w:t>
      </w:r>
      <w:r>
        <w:rPr>
          <w:rFonts w:ascii="宋体" w:hAnsi="宋体" w:eastAsia="宋体" w:cs="宋体"/>
          <w:spacing w:val="2"/>
          <w:sz w:val="24"/>
          <w:szCs w:val="24"/>
        </w:rPr>
        <w:t>一般水温沿深度均匀分布。</w:t>
      </w:r>
    </w:p>
    <w:p w14:paraId="66C00D43">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jc w:val="left"/>
        <w:textAlignment w:val="auto"/>
        <w:rPr>
          <w:rFonts w:ascii="宋体" w:hAnsi="宋体" w:eastAsia="宋体" w:cs="宋体"/>
          <w:sz w:val="24"/>
          <w:szCs w:val="24"/>
        </w:rPr>
      </w:pPr>
      <w:r>
        <w:rPr>
          <w:rFonts w:hint="eastAsia" w:ascii="宋体" w:hAnsi="宋体" w:cs="宋体"/>
          <w:spacing w:val="3"/>
          <w:sz w:val="24"/>
          <w:szCs w:val="24"/>
          <w:lang w:eastAsia="zh-CN"/>
        </w:rPr>
        <w:t>廊洞水库</w:t>
      </w:r>
      <w:r>
        <w:rPr>
          <w:rFonts w:ascii="宋体" w:hAnsi="宋体" w:eastAsia="宋体" w:cs="宋体"/>
          <w:spacing w:val="2"/>
          <w:sz w:val="24"/>
          <w:szCs w:val="24"/>
        </w:rPr>
        <w:t>在年内各季节所受到的太阳辐射热不同，从而导致水温发生年内变化。水温的</w:t>
      </w:r>
      <w:r>
        <w:rPr>
          <w:rFonts w:ascii="宋体" w:hAnsi="宋体" w:eastAsia="宋体" w:cs="宋体"/>
          <w:spacing w:val="4"/>
          <w:sz w:val="24"/>
          <w:szCs w:val="24"/>
        </w:rPr>
        <w:t>年变化是夏季大，春秋季次之，</w:t>
      </w:r>
      <w:r>
        <w:rPr>
          <w:rFonts w:ascii="宋体" w:hAnsi="宋体" w:eastAsia="宋体" w:cs="宋体"/>
          <w:spacing w:val="3"/>
          <w:sz w:val="24"/>
          <w:szCs w:val="24"/>
        </w:rPr>
        <w:t>冬</w:t>
      </w:r>
      <w:r>
        <w:rPr>
          <w:rFonts w:ascii="宋体" w:hAnsi="宋体" w:eastAsia="宋体" w:cs="宋体"/>
          <w:spacing w:val="2"/>
          <w:sz w:val="24"/>
          <w:szCs w:val="24"/>
        </w:rPr>
        <w:t>季最小，表层水温最低值一般出现在</w:t>
      </w:r>
      <w:r>
        <w:rPr>
          <w:rFonts w:ascii="Times New Roman" w:hAnsi="Times New Roman" w:eastAsia="Times New Roman" w:cs="Times New Roman"/>
          <w:spacing w:val="2"/>
          <w:sz w:val="24"/>
          <w:szCs w:val="24"/>
        </w:rPr>
        <w:t>1</w:t>
      </w:r>
      <w:r>
        <w:rPr>
          <w:rFonts w:ascii="宋体" w:hAnsi="宋体" w:eastAsia="宋体" w:cs="宋体"/>
          <w:spacing w:val="2"/>
          <w:sz w:val="24"/>
          <w:szCs w:val="24"/>
        </w:rPr>
        <w:t>月或</w:t>
      </w:r>
      <w:r>
        <w:rPr>
          <w:rFonts w:ascii="Times New Roman" w:hAnsi="Times New Roman" w:eastAsia="Times New Roman" w:cs="Times New Roman"/>
          <w:spacing w:val="2"/>
          <w:sz w:val="24"/>
          <w:szCs w:val="24"/>
        </w:rPr>
        <w:t>2</w:t>
      </w:r>
      <w:r>
        <w:rPr>
          <w:rFonts w:ascii="宋体" w:hAnsi="宋体" w:eastAsia="宋体" w:cs="宋体"/>
          <w:spacing w:val="2"/>
          <w:sz w:val="24"/>
          <w:szCs w:val="24"/>
        </w:rPr>
        <w:t>月，最高值出现</w:t>
      </w:r>
      <w:r>
        <w:rPr>
          <w:rFonts w:ascii="宋体" w:hAnsi="宋体" w:eastAsia="宋体" w:cs="宋体"/>
          <w:spacing w:val="4"/>
          <w:sz w:val="24"/>
          <w:szCs w:val="24"/>
        </w:rPr>
        <w:t>在</w:t>
      </w:r>
      <w:r>
        <w:rPr>
          <w:rFonts w:ascii="Times New Roman" w:hAnsi="Times New Roman" w:eastAsia="Times New Roman" w:cs="Times New Roman"/>
          <w:spacing w:val="4"/>
          <w:sz w:val="24"/>
          <w:szCs w:val="24"/>
        </w:rPr>
        <w:t>7</w:t>
      </w:r>
      <w:r>
        <w:rPr>
          <w:rFonts w:ascii="宋体" w:hAnsi="宋体" w:eastAsia="宋体" w:cs="宋体"/>
          <w:spacing w:val="4"/>
          <w:sz w:val="24"/>
          <w:szCs w:val="24"/>
        </w:rPr>
        <w:t>月或</w:t>
      </w:r>
      <w:r>
        <w:rPr>
          <w:rFonts w:ascii="Times New Roman" w:hAnsi="Times New Roman" w:eastAsia="Times New Roman" w:cs="Times New Roman"/>
          <w:spacing w:val="4"/>
          <w:sz w:val="24"/>
          <w:szCs w:val="24"/>
        </w:rPr>
        <w:t>8</w:t>
      </w:r>
      <w:r>
        <w:rPr>
          <w:rFonts w:ascii="宋体" w:hAnsi="宋体" w:eastAsia="宋体" w:cs="宋体"/>
          <w:spacing w:val="4"/>
          <w:sz w:val="24"/>
          <w:szCs w:val="24"/>
        </w:rPr>
        <w:t>月。水温的垂直分布</w:t>
      </w:r>
      <w:r>
        <w:rPr>
          <w:rFonts w:ascii="宋体" w:hAnsi="宋体" w:eastAsia="宋体" w:cs="宋体"/>
          <w:spacing w:val="3"/>
          <w:sz w:val="24"/>
          <w:szCs w:val="24"/>
        </w:rPr>
        <w:t>冬</w:t>
      </w:r>
      <w:r>
        <w:rPr>
          <w:rFonts w:ascii="宋体" w:hAnsi="宋体" w:eastAsia="宋体" w:cs="宋体"/>
          <w:spacing w:val="2"/>
          <w:sz w:val="24"/>
          <w:szCs w:val="24"/>
        </w:rPr>
        <w:t>季整个库区趋向于均温层，上下水层温度差异很小，春夏秋三季上下水层存在明显差异。在</w:t>
      </w:r>
      <w:r>
        <w:rPr>
          <w:rFonts w:ascii="Times New Roman" w:hAnsi="Times New Roman" w:eastAsia="Times New Roman" w:cs="Times New Roman"/>
          <w:spacing w:val="2"/>
          <w:sz w:val="24"/>
          <w:szCs w:val="24"/>
        </w:rPr>
        <w:t>4~10</w:t>
      </w:r>
      <w:r>
        <w:rPr>
          <w:rFonts w:ascii="宋体" w:hAnsi="宋体" w:eastAsia="宋体" w:cs="宋体"/>
          <w:spacing w:val="2"/>
          <w:sz w:val="24"/>
          <w:szCs w:val="24"/>
        </w:rPr>
        <w:t>月份存在温跃层，其中</w:t>
      </w:r>
      <w:r>
        <w:rPr>
          <w:rFonts w:ascii="Times New Roman" w:hAnsi="Times New Roman" w:eastAsia="Times New Roman" w:cs="Times New Roman"/>
          <w:spacing w:val="2"/>
          <w:sz w:val="24"/>
          <w:szCs w:val="24"/>
        </w:rPr>
        <w:t>4~5</w:t>
      </w:r>
      <w:r>
        <w:rPr>
          <w:rFonts w:ascii="宋体" w:hAnsi="宋体" w:eastAsia="宋体" w:cs="宋体"/>
          <w:spacing w:val="2"/>
          <w:sz w:val="24"/>
          <w:szCs w:val="24"/>
        </w:rPr>
        <w:t>月份为增强期，</w:t>
      </w:r>
      <w:r>
        <w:rPr>
          <w:rFonts w:ascii="Times New Roman" w:hAnsi="Times New Roman" w:eastAsia="Times New Roman" w:cs="Times New Roman"/>
          <w:spacing w:val="2"/>
          <w:sz w:val="24"/>
          <w:szCs w:val="24"/>
        </w:rPr>
        <w:t>6~8</w:t>
      </w:r>
      <w:r>
        <w:rPr>
          <w:rFonts w:ascii="宋体" w:hAnsi="宋体" w:eastAsia="宋体" w:cs="宋体"/>
          <w:spacing w:val="2"/>
          <w:sz w:val="24"/>
          <w:szCs w:val="24"/>
        </w:rPr>
        <w:t>月</w:t>
      </w:r>
      <w:r>
        <w:rPr>
          <w:rFonts w:ascii="宋体" w:hAnsi="宋体" w:eastAsia="宋体" w:cs="宋体"/>
          <w:sz w:val="24"/>
          <w:szCs w:val="24"/>
        </w:rPr>
        <w:t>份为强盛</w:t>
      </w:r>
      <w:r>
        <w:rPr>
          <w:rFonts w:ascii="宋体" w:hAnsi="宋体" w:eastAsia="宋体" w:cs="宋体"/>
          <w:spacing w:val="2"/>
          <w:sz w:val="24"/>
          <w:szCs w:val="24"/>
        </w:rPr>
        <w:t>期，</w:t>
      </w:r>
      <w:r>
        <w:rPr>
          <w:rFonts w:ascii="Times New Roman" w:hAnsi="Times New Roman" w:eastAsia="Times New Roman" w:cs="Times New Roman"/>
          <w:spacing w:val="2"/>
          <w:sz w:val="24"/>
          <w:szCs w:val="24"/>
        </w:rPr>
        <w:t>9~10</w:t>
      </w:r>
      <w:r>
        <w:rPr>
          <w:rFonts w:ascii="宋体" w:hAnsi="宋体" w:eastAsia="宋体" w:cs="宋体"/>
          <w:spacing w:val="2"/>
          <w:sz w:val="24"/>
          <w:szCs w:val="24"/>
        </w:rPr>
        <w:t>月份为减弱期，</w:t>
      </w:r>
      <w:r>
        <w:rPr>
          <w:rFonts w:ascii="Times New Roman" w:hAnsi="Times New Roman" w:eastAsia="Times New Roman" w:cs="Times New Roman"/>
          <w:spacing w:val="2"/>
          <w:sz w:val="24"/>
          <w:szCs w:val="24"/>
        </w:rPr>
        <w:t>11~3</w:t>
      </w:r>
      <w:r>
        <w:rPr>
          <w:rFonts w:ascii="宋体" w:hAnsi="宋体" w:eastAsia="宋体" w:cs="宋体"/>
          <w:spacing w:val="2"/>
          <w:sz w:val="24"/>
          <w:szCs w:val="24"/>
        </w:rPr>
        <w:t>月份水库进入冬季状态</w:t>
      </w:r>
      <w:r>
        <w:rPr>
          <w:rFonts w:ascii="宋体" w:hAnsi="宋体" w:eastAsia="宋体" w:cs="宋体"/>
          <w:spacing w:val="1"/>
          <w:sz w:val="24"/>
          <w:szCs w:val="24"/>
        </w:rPr>
        <w:t>，温跃层则基本消失。</w:t>
      </w:r>
    </w:p>
    <w:p w14:paraId="13A99657">
      <w:pPr>
        <w:keepNext w:val="0"/>
        <w:keepLines w:val="0"/>
        <w:pageBreakBefore w:val="0"/>
        <w:widowControl w:val="0"/>
        <w:kinsoku/>
        <w:wordWrap/>
        <w:overflowPunct/>
        <w:topLinePunct w:val="0"/>
        <w:autoSpaceDE/>
        <w:autoSpaceDN/>
        <w:bidi w:val="0"/>
        <w:adjustRightInd/>
        <w:snapToGrid/>
        <w:spacing w:line="360" w:lineRule="auto"/>
        <w:ind w:left="0" w:right="0" w:firstLine="552" w:firstLineChars="200"/>
        <w:jc w:val="left"/>
        <w:textAlignment w:val="auto"/>
        <w:rPr>
          <w:rFonts w:ascii="宋体" w:hAnsi="宋体" w:eastAsia="宋体" w:cs="宋体"/>
          <w:sz w:val="24"/>
          <w:szCs w:val="24"/>
        </w:rPr>
      </w:pPr>
      <w:r>
        <w:rPr>
          <w:rFonts w:ascii="宋体" w:hAnsi="宋体" w:eastAsia="宋体" w:cs="宋体"/>
          <w:spacing w:val="18"/>
          <w:sz w:val="24"/>
          <w:szCs w:val="24"/>
        </w:rPr>
        <w:t>受太</w:t>
      </w:r>
      <w:r>
        <w:rPr>
          <w:rFonts w:ascii="宋体" w:hAnsi="宋体" w:eastAsia="宋体" w:cs="宋体"/>
          <w:spacing w:val="13"/>
          <w:sz w:val="24"/>
          <w:szCs w:val="24"/>
        </w:rPr>
        <w:t>阳</w:t>
      </w:r>
      <w:r>
        <w:rPr>
          <w:rFonts w:ascii="宋体" w:hAnsi="宋体" w:eastAsia="宋体" w:cs="宋体"/>
          <w:spacing w:val="9"/>
          <w:sz w:val="24"/>
          <w:szCs w:val="24"/>
        </w:rPr>
        <w:t>辐射、库容、来水量、水库调度方式等制约，水库中不同水深处的水温是不同</w:t>
      </w:r>
      <w:r>
        <w:rPr>
          <w:rFonts w:ascii="宋体" w:hAnsi="宋体" w:eastAsia="宋体" w:cs="宋体"/>
          <w:spacing w:val="11"/>
          <w:sz w:val="24"/>
          <w:szCs w:val="24"/>
        </w:rPr>
        <w:t>的</w:t>
      </w:r>
      <w:r>
        <w:rPr>
          <w:rFonts w:ascii="宋体" w:hAnsi="宋体" w:eastAsia="宋体" w:cs="宋体"/>
          <w:spacing w:val="8"/>
          <w:sz w:val="24"/>
          <w:szCs w:val="24"/>
        </w:rPr>
        <w:t>，一般可将水库分为混合型、分层型和过渡型</w:t>
      </w:r>
      <w:r>
        <w:rPr>
          <w:rFonts w:ascii="Times New Roman" w:hAnsi="Times New Roman" w:eastAsia="Times New Roman" w:cs="Times New Roman"/>
          <w:spacing w:val="8"/>
          <w:sz w:val="24"/>
          <w:szCs w:val="24"/>
        </w:rPr>
        <w:t>3</w:t>
      </w:r>
      <w:r>
        <w:rPr>
          <w:rFonts w:ascii="宋体" w:hAnsi="宋体" w:eastAsia="宋体" w:cs="宋体"/>
          <w:spacing w:val="8"/>
          <w:sz w:val="24"/>
          <w:szCs w:val="24"/>
        </w:rPr>
        <w:t>种。</w:t>
      </w:r>
    </w:p>
    <w:p w14:paraId="68261A03">
      <w:pPr>
        <w:bidi w:val="0"/>
      </w:pPr>
      <w:r>
        <w:t>1)α判别法</w:t>
      </w:r>
    </w:p>
    <w:p w14:paraId="1502D6F7">
      <w:pPr>
        <w:bidi w:val="0"/>
        <w:rPr>
          <w:rFonts w:hint="eastAsia"/>
          <w:lang w:eastAsia="zh-CN"/>
        </w:rPr>
      </w:pPr>
      <w:r>
        <w:t>关于水温类型判定，采用《水利水电工程水文计算规范》  (SL278-2002) 中推荐的判别</w:t>
      </w:r>
      <w:r>
        <w:rPr>
          <w:rFonts w:hint="eastAsia"/>
          <w:lang w:eastAsia="zh-CN"/>
        </w:rPr>
        <w:t>公式对水库水温结构进行判别，即：</w:t>
      </w:r>
    </w:p>
    <w:p w14:paraId="5C681EA4">
      <w:pPr>
        <w:bidi w:val="0"/>
      </w:pPr>
      <w:r>
        <w:t>α=多年平均年入库径流量/总库容</w:t>
      </w:r>
    </w:p>
    <w:p w14:paraId="291A9F52">
      <w:pPr>
        <w:bidi w:val="0"/>
      </w:pPr>
      <w:r>
        <w:t>当α&lt; 10时水库为分层型；α&gt;20时水库为混合型；10&lt;α&lt;20时水库为过渡型。</w:t>
      </w:r>
      <w:r>
        <w:rPr>
          <w:rFonts w:hint="eastAsia"/>
          <w:lang w:eastAsia="zh-CN"/>
        </w:rPr>
        <w:t>廊洞水库</w:t>
      </w:r>
      <w:r>
        <w:t>多年平均径流量为</w:t>
      </w:r>
      <w:r>
        <w:rPr>
          <w:rFonts w:hint="default"/>
        </w:rPr>
        <w:t>3043.51</w:t>
      </w:r>
      <w:r>
        <w:t>万</w:t>
      </w:r>
      <w:r>
        <w:rPr>
          <w:rFonts w:hint="eastAsia"/>
          <w:lang w:eastAsia="zh-CN"/>
        </w:rPr>
        <w:t>m</w:t>
      </w:r>
      <w:r>
        <w:rPr>
          <w:rFonts w:hint="eastAsia"/>
          <w:vertAlign w:val="superscript"/>
          <w:lang w:eastAsia="zh-CN"/>
        </w:rPr>
        <w:t>3</w:t>
      </w:r>
      <w:r>
        <w:t>，总库容为</w:t>
      </w:r>
      <w:r>
        <w:rPr>
          <w:rFonts w:hint="default"/>
          <w:lang w:val="en-US" w:eastAsia="zh-CN"/>
        </w:rPr>
        <w:t>1008.6</w:t>
      </w:r>
      <w:r>
        <w:t>万</w:t>
      </w:r>
      <w:r>
        <w:rPr>
          <w:rFonts w:hint="eastAsia"/>
          <w:lang w:eastAsia="zh-CN"/>
        </w:rPr>
        <w:t>m</w:t>
      </w:r>
      <w:r>
        <w:rPr>
          <w:rFonts w:hint="eastAsia"/>
          <w:vertAlign w:val="superscript"/>
          <w:lang w:eastAsia="zh-CN"/>
        </w:rPr>
        <w:t>3</w:t>
      </w:r>
      <w:r>
        <w:t>，经计算，</w:t>
      </w:r>
      <w:r>
        <w:rPr>
          <w:rFonts w:hint="eastAsia"/>
          <w:lang w:eastAsia="zh-CN"/>
        </w:rPr>
        <w:t>廊洞水库</w:t>
      </w:r>
      <w:r>
        <w:t>α值为</w:t>
      </w:r>
      <w:r>
        <w:rPr>
          <w:rFonts w:hint="eastAsia"/>
          <w:lang w:val="en-US" w:eastAsia="zh-CN"/>
        </w:rPr>
        <w:t>3.02</w:t>
      </w:r>
      <w:r>
        <w:t>&lt;10，为分层型水库。</w:t>
      </w:r>
    </w:p>
    <w:p w14:paraId="4E8ADADD">
      <w:pPr>
        <w:keepNext w:val="0"/>
        <w:keepLines w:val="0"/>
        <w:pageBreakBefore w:val="0"/>
        <w:widowControl w:val="0"/>
        <w:numPr>
          <w:ilvl w:val="0"/>
          <w:numId w:val="4"/>
        </w:numPr>
        <w:kinsoku w:val="0"/>
        <w:wordWrap w:val="0"/>
        <w:overflowPunct/>
        <w:topLinePunct/>
        <w:autoSpaceDE/>
        <w:autoSpaceDN/>
        <w:bidi w:val="0"/>
        <w:adjustRightInd w:val="0"/>
        <w:snapToGrid/>
        <w:spacing w:line="360" w:lineRule="auto"/>
        <w:ind w:left="0" w:right="0" w:firstLine="480" w:firstLineChars="200"/>
        <w:jc w:val="left"/>
        <w:textAlignment w:val="auto"/>
        <w:rPr>
          <w:rFonts w:hint="eastAsia" w:ascii="Times New Roman" w:hAnsi="Times New Roman" w:eastAsia="宋体" w:cs="Times New Roman"/>
          <w:caps w:val="0"/>
          <w:smallCaps w:val="0"/>
          <w:color w:val="auto"/>
          <w:spacing w:val="0"/>
          <w:w w:val="100"/>
          <w:kern w:val="0"/>
          <w:position w:val="0"/>
          <w:sz w:val="24"/>
          <w:szCs w:val="24"/>
          <w:lang w:val="en-US" w:eastAsia="zh-CN"/>
        </w:rPr>
      </w:pPr>
      <w:r>
        <w:rPr>
          <w:rFonts w:hint="default" w:ascii="Times New Roman" w:hAnsi="Times New Roman" w:eastAsia="宋体" w:cs="Times New Roman"/>
          <w:caps w:val="0"/>
          <w:smallCaps w:val="0"/>
          <w:color w:val="auto"/>
          <w:spacing w:val="0"/>
          <w:w w:val="100"/>
          <w:kern w:val="0"/>
          <w:position w:val="0"/>
          <w:sz w:val="24"/>
          <w:szCs w:val="24"/>
          <w:lang w:val="en-US" w:eastAsia="zh-CN"/>
        </w:rPr>
        <w:t>β</w:t>
      </w:r>
      <w:r>
        <w:rPr>
          <w:rFonts w:hint="eastAsia" w:ascii="Times New Roman" w:hAnsi="Times New Roman" w:eastAsia="宋体" w:cs="Times New Roman"/>
          <w:caps w:val="0"/>
          <w:smallCaps w:val="0"/>
          <w:color w:val="auto"/>
          <w:spacing w:val="0"/>
          <w:w w:val="100"/>
          <w:kern w:val="0"/>
          <w:position w:val="0"/>
          <w:sz w:val="24"/>
          <w:szCs w:val="24"/>
          <w:lang w:val="en-US" w:eastAsia="zh-CN"/>
        </w:rPr>
        <w:t>判别法</w:t>
      </w:r>
    </w:p>
    <w:p w14:paraId="2F730015">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left="0" w:right="0" w:firstLine="480" w:firstLineChars="200"/>
        <w:jc w:val="left"/>
        <w:textAlignment w:val="auto"/>
        <w:rPr>
          <w:rFonts w:hint="eastAsia" w:ascii="Times New Roman" w:hAnsi="Times New Roman" w:eastAsia="宋体" w:cs="Times New Roman"/>
          <w:caps w:val="0"/>
          <w:smallCaps w:val="0"/>
          <w:color w:val="auto"/>
          <w:spacing w:val="0"/>
          <w:w w:val="100"/>
          <w:kern w:val="0"/>
          <w:position w:val="0"/>
          <w:sz w:val="24"/>
          <w:szCs w:val="24"/>
          <w:lang w:val="en-US" w:eastAsia="zh-CN"/>
        </w:rPr>
      </w:pPr>
      <w:r>
        <w:rPr>
          <w:rFonts w:hint="eastAsia" w:ascii="Times New Roman" w:hAnsi="Times New Roman" w:eastAsia="宋体" w:cs="Times New Roman"/>
          <w:caps w:val="0"/>
          <w:smallCaps w:val="0"/>
          <w:color w:val="auto"/>
          <w:spacing w:val="0"/>
          <w:w w:val="100"/>
          <w:kern w:val="0"/>
          <w:position w:val="0"/>
          <w:sz w:val="24"/>
          <w:szCs w:val="24"/>
          <w:lang w:val="en-US" w:eastAsia="zh-CN"/>
        </w:rPr>
        <w:t>对于洪水期，以</w:t>
      </w:r>
      <w:r>
        <w:rPr>
          <w:rFonts w:hint="default" w:ascii="Times New Roman" w:hAnsi="Times New Roman" w:eastAsia="宋体" w:cs="Times New Roman"/>
          <w:caps w:val="0"/>
          <w:smallCaps w:val="0"/>
          <w:color w:val="auto"/>
          <w:spacing w:val="0"/>
          <w:w w:val="100"/>
          <w:kern w:val="0"/>
          <w:position w:val="0"/>
          <w:sz w:val="24"/>
          <w:szCs w:val="24"/>
          <w:lang w:val="en-US" w:eastAsia="zh-CN"/>
        </w:rPr>
        <w:t>β</w:t>
      </w:r>
      <w:r>
        <w:rPr>
          <w:rFonts w:hint="eastAsia" w:ascii="Times New Roman" w:hAnsi="Times New Roman" w:eastAsia="宋体" w:cs="Times New Roman"/>
          <w:caps w:val="0"/>
          <w:smallCaps w:val="0"/>
          <w:color w:val="auto"/>
          <w:spacing w:val="0"/>
          <w:w w:val="100"/>
          <w:kern w:val="0"/>
          <w:position w:val="0"/>
          <w:sz w:val="24"/>
          <w:szCs w:val="24"/>
          <w:lang w:val="en-US" w:eastAsia="zh-CN"/>
        </w:rPr>
        <w:t>指标作为第二判别标准。</w:t>
      </w:r>
    </w:p>
    <w:p w14:paraId="4A1CB4AE">
      <w:pPr>
        <w:keepNext w:val="0"/>
        <w:keepLines w:val="0"/>
        <w:pageBreakBefore w:val="0"/>
        <w:widowControl w:val="0"/>
        <w:overflowPunct/>
        <w:autoSpaceDE/>
        <w:autoSpaceDN/>
        <w:bidi w:val="0"/>
        <w:snapToGrid/>
        <w:spacing w:line="360" w:lineRule="auto"/>
        <w:ind w:left="0" w:right="0" w:firstLine="544" w:firstLineChars="200"/>
        <w:jc w:val="left"/>
        <w:textAlignment w:val="auto"/>
        <w:rPr>
          <w:rFonts w:ascii="宋体" w:hAnsi="宋体" w:eastAsia="宋体" w:cs="宋体"/>
          <w:sz w:val="24"/>
          <w:szCs w:val="24"/>
        </w:rPr>
      </w:pPr>
      <w:r>
        <w:rPr>
          <w:rFonts w:ascii="宋体" w:hAnsi="宋体" w:eastAsia="宋体" w:cs="宋体"/>
          <w:spacing w:val="16"/>
          <w:position w:val="3"/>
          <w:sz w:val="24"/>
          <w:szCs w:val="24"/>
        </w:rPr>
        <w:t>判</w:t>
      </w:r>
      <w:r>
        <w:rPr>
          <w:rFonts w:ascii="宋体" w:hAnsi="宋体" w:eastAsia="宋体" w:cs="宋体"/>
          <w:spacing w:val="10"/>
          <w:position w:val="3"/>
          <w:sz w:val="24"/>
          <w:szCs w:val="24"/>
        </w:rPr>
        <w:t>别</w:t>
      </w:r>
      <w:r>
        <w:rPr>
          <w:rFonts w:ascii="宋体" w:hAnsi="宋体" w:eastAsia="宋体" w:cs="宋体"/>
          <w:spacing w:val="8"/>
          <w:position w:val="3"/>
          <w:sz w:val="24"/>
          <w:szCs w:val="24"/>
        </w:rPr>
        <w:t>公式：</w:t>
      </w:r>
      <w:r>
        <w:rPr>
          <w:rFonts w:ascii="Times New Roman" w:hAnsi="Times New Roman" w:eastAsia="Times New Roman" w:cs="Times New Roman"/>
          <w:spacing w:val="8"/>
          <w:position w:val="3"/>
          <w:sz w:val="24"/>
          <w:szCs w:val="24"/>
        </w:rPr>
        <w:t>β=</w:t>
      </w:r>
      <w:r>
        <w:rPr>
          <w:rFonts w:ascii="宋体" w:hAnsi="宋体" w:eastAsia="宋体" w:cs="宋体"/>
          <w:spacing w:val="8"/>
          <w:position w:val="3"/>
          <w:sz w:val="24"/>
          <w:szCs w:val="24"/>
        </w:rPr>
        <w:t>一次洪水总量</w:t>
      </w:r>
      <w:r>
        <w:rPr>
          <w:rFonts w:ascii="Times New Roman" w:hAnsi="Times New Roman" w:eastAsia="Times New Roman" w:cs="Times New Roman"/>
          <w:spacing w:val="8"/>
          <w:position w:val="3"/>
          <w:sz w:val="24"/>
          <w:szCs w:val="24"/>
        </w:rPr>
        <w:t>/</w:t>
      </w:r>
      <w:r>
        <w:rPr>
          <w:rFonts w:ascii="宋体" w:hAnsi="宋体" w:eastAsia="宋体" w:cs="宋体"/>
          <w:spacing w:val="8"/>
          <w:position w:val="3"/>
          <w:sz w:val="24"/>
          <w:szCs w:val="24"/>
        </w:rPr>
        <w:t>水库总容积。</w:t>
      </w:r>
    </w:p>
    <w:p w14:paraId="577E6873">
      <w:pPr>
        <w:keepNext w:val="0"/>
        <w:keepLines w:val="0"/>
        <w:pageBreakBefore w:val="0"/>
        <w:widowControl w:val="0"/>
        <w:overflowPunct/>
        <w:autoSpaceDE/>
        <w:autoSpaceDN/>
        <w:bidi w:val="0"/>
        <w:snapToGrid/>
        <w:spacing w:line="360" w:lineRule="auto"/>
        <w:ind w:left="0" w:right="0" w:firstLine="508" w:firstLineChars="200"/>
        <w:jc w:val="left"/>
        <w:textAlignment w:val="auto"/>
        <w:rPr>
          <w:rFonts w:ascii="宋体" w:hAnsi="宋体" w:eastAsia="宋体" w:cs="宋体"/>
          <w:sz w:val="24"/>
          <w:szCs w:val="24"/>
        </w:rPr>
      </w:pPr>
      <w:r>
        <w:rPr>
          <w:rFonts w:ascii="宋体" w:hAnsi="宋体" w:eastAsia="宋体" w:cs="宋体"/>
          <w:spacing w:val="7"/>
          <w:sz w:val="24"/>
          <w:szCs w:val="24"/>
        </w:rPr>
        <w:t>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1/2</w:t>
      </w:r>
      <w:r>
        <w:rPr>
          <w:rFonts w:ascii="宋体" w:hAnsi="宋体" w:eastAsia="宋体" w:cs="宋体"/>
          <w:spacing w:val="7"/>
          <w:sz w:val="24"/>
          <w:szCs w:val="24"/>
        </w:rPr>
        <w:t>时，洪水对水库水温分层几乎没有影响；当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w:t>
      </w:r>
      <w:r>
        <w:rPr>
          <w:rFonts w:ascii="宋体" w:hAnsi="宋体" w:eastAsia="宋体" w:cs="宋体"/>
          <w:spacing w:val="7"/>
          <w:sz w:val="24"/>
          <w:szCs w:val="24"/>
        </w:rPr>
        <w:t>，认为在大洪水期时，可能是</w:t>
      </w:r>
      <w:r>
        <w:rPr>
          <w:rFonts w:ascii="宋体" w:hAnsi="宋体" w:eastAsia="宋体" w:cs="宋体"/>
          <w:spacing w:val="6"/>
          <w:sz w:val="24"/>
          <w:szCs w:val="24"/>
        </w:rPr>
        <w:t>临时混合型水库</w:t>
      </w:r>
      <w:r>
        <w:rPr>
          <w:rFonts w:ascii="宋体" w:hAnsi="宋体" w:eastAsia="宋体" w:cs="宋体"/>
          <w:spacing w:val="5"/>
          <w:sz w:val="24"/>
          <w:szCs w:val="24"/>
        </w:rPr>
        <w:t>。</w:t>
      </w:r>
    </w:p>
    <w:p w14:paraId="28E214C4">
      <w:pPr>
        <w:keepNext w:val="0"/>
        <w:keepLines w:val="0"/>
        <w:pageBreakBefore w:val="0"/>
        <w:widowControl w:val="0"/>
        <w:kinsoku/>
        <w:wordWrap/>
        <w:overflowPunct/>
        <w:topLinePunct w:val="0"/>
        <w:autoSpaceDE/>
        <w:autoSpaceDN/>
        <w:bidi w:val="0"/>
        <w:adjustRightInd/>
        <w:snapToGrid/>
        <w:spacing w:line="360" w:lineRule="auto"/>
        <w:ind w:left="0" w:right="0" w:firstLine="482"/>
        <w:jc w:val="left"/>
        <w:textAlignment w:val="auto"/>
        <w:rPr>
          <w:rFonts w:ascii="宋体" w:hAnsi="宋体" w:eastAsia="宋体" w:cs="宋体"/>
          <w:sz w:val="24"/>
          <w:szCs w:val="24"/>
        </w:rPr>
      </w:pPr>
      <w:r>
        <w:rPr>
          <w:rFonts w:hint="eastAsia" w:ascii="宋体" w:hAnsi="宋体" w:cs="宋体"/>
          <w:spacing w:val="2"/>
          <w:sz w:val="24"/>
          <w:szCs w:val="24"/>
          <w:lang w:eastAsia="zh-CN"/>
        </w:rPr>
        <w:t>廊洞水库</w:t>
      </w:r>
      <w:r>
        <w:rPr>
          <w:rFonts w:hint="eastAsia" w:ascii="宋体" w:hAnsi="宋体" w:eastAsia="宋体" w:cs="宋体"/>
          <w:spacing w:val="-7"/>
          <w:sz w:val="24"/>
          <w:szCs w:val="24"/>
          <w:lang w:eastAsia="zh-CN"/>
        </w:rPr>
        <w:t>一次洪水总量</w:t>
      </w:r>
      <w:r>
        <w:rPr>
          <w:rFonts w:ascii="宋体" w:hAnsi="宋体" w:eastAsia="宋体" w:cs="宋体"/>
          <w:spacing w:val="-7"/>
          <w:sz w:val="24"/>
          <w:szCs w:val="24"/>
        </w:rPr>
        <w:t>为</w:t>
      </w:r>
      <w:r>
        <w:rPr>
          <w:rFonts w:hint="eastAsia" w:ascii="Times New Roman" w:hAnsi="Times New Roman" w:eastAsia="宋体" w:cs="Times New Roman"/>
          <w:color w:val="000000" w:themeColor="text1"/>
          <w:spacing w:val="-7"/>
          <w:sz w:val="24"/>
          <w:szCs w:val="24"/>
          <w:lang w:val="en-US" w:eastAsia="zh-CN"/>
          <w14:textFill>
            <w14:solidFill>
              <w14:schemeClr w14:val="tx1"/>
            </w14:solidFill>
          </w14:textFill>
        </w:rPr>
        <w:t>117</w:t>
      </w:r>
      <w:r>
        <w:rPr>
          <w:rFonts w:ascii="宋体" w:hAnsi="宋体" w:eastAsia="宋体" w:cs="宋体"/>
          <w:color w:val="000000" w:themeColor="text1"/>
          <w:spacing w:val="-7"/>
          <w:sz w:val="24"/>
          <w:szCs w:val="24"/>
          <w14:textFill>
            <w14:solidFill>
              <w14:schemeClr w14:val="tx1"/>
            </w14:solidFill>
          </w14:textFill>
        </w:rPr>
        <w:t>万</w:t>
      </w:r>
      <w:r>
        <w:rPr>
          <w:rFonts w:hint="eastAsia" w:eastAsia="宋体" w:cs="Times New Roman"/>
          <w:color w:val="000000" w:themeColor="text1"/>
          <w:spacing w:val="-7"/>
          <w:sz w:val="24"/>
          <w:szCs w:val="24"/>
          <w:lang w:eastAsia="zh-CN"/>
          <w14:textFill>
            <w14:solidFill>
              <w14:schemeClr w14:val="tx1"/>
            </w14:solidFill>
          </w14:textFill>
        </w:rPr>
        <w:t>m</w:t>
      </w:r>
      <w:r>
        <w:rPr>
          <w:rFonts w:hint="eastAsia" w:eastAsia="宋体" w:cs="Times New Roman"/>
          <w:color w:val="000000" w:themeColor="text1"/>
          <w:spacing w:val="-7"/>
          <w:sz w:val="24"/>
          <w:szCs w:val="24"/>
          <w:vertAlign w:val="superscript"/>
          <w:lang w:eastAsia="zh-CN"/>
          <w14:textFill>
            <w14:solidFill>
              <w14:schemeClr w14:val="tx1"/>
            </w14:solidFill>
          </w14:textFill>
        </w:rPr>
        <w:t>3</w:t>
      </w:r>
      <w:r>
        <w:rPr>
          <w:rFonts w:ascii="宋体" w:hAnsi="宋体" w:eastAsia="宋体" w:cs="宋体"/>
          <w:color w:val="000000" w:themeColor="text1"/>
          <w:spacing w:val="-7"/>
          <w:sz w:val="24"/>
          <w:szCs w:val="24"/>
          <w14:textFill>
            <w14:solidFill>
              <w14:schemeClr w14:val="tx1"/>
            </w14:solidFill>
          </w14:textFill>
        </w:rPr>
        <w:t>，总库容为</w:t>
      </w:r>
      <w:r>
        <w:rPr>
          <w:rFonts w:hint="default" w:ascii="Times New Roman" w:hAnsi="Times New Roman" w:eastAsia="宋体" w:cs="Times New Roman"/>
          <w:color w:val="000000" w:themeColor="text1"/>
          <w:spacing w:val="-7"/>
          <w:sz w:val="24"/>
          <w:szCs w:val="24"/>
          <w:lang w:val="en-US" w:eastAsia="zh-CN"/>
          <w14:textFill>
            <w14:solidFill>
              <w14:schemeClr w14:val="tx1"/>
            </w14:solidFill>
          </w14:textFill>
        </w:rPr>
        <w:t>1</w:t>
      </w:r>
      <w:r>
        <w:rPr>
          <w:rFonts w:hint="eastAsia" w:ascii="Times New Roman" w:hAnsi="Times New Roman" w:eastAsia="宋体" w:cs="Times New Roman"/>
          <w:spacing w:val="-7"/>
          <w:sz w:val="24"/>
          <w:szCs w:val="24"/>
          <w:lang w:val="en-US" w:eastAsia="zh-CN"/>
        </w:rPr>
        <w:t>6</w:t>
      </w:r>
      <w:r>
        <w:rPr>
          <w:rFonts w:hint="default" w:ascii="Times New Roman" w:hAnsi="Times New Roman" w:eastAsia="Times New Roman" w:cs="Times New Roman"/>
          <w:spacing w:val="-7"/>
          <w:sz w:val="24"/>
          <w:szCs w:val="24"/>
        </w:rPr>
        <w:t>0</w:t>
      </w:r>
      <w:r>
        <w:rPr>
          <w:rFonts w:ascii="Times New Roman" w:hAnsi="Times New Roman" w:eastAsia="Times New Roman" w:cs="Times New Roman"/>
          <w:spacing w:val="-7"/>
          <w:sz w:val="24"/>
          <w:szCs w:val="24"/>
        </w:rPr>
        <w:t>0</w:t>
      </w:r>
      <w:r>
        <w:rPr>
          <w:rFonts w:ascii="宋体" w:hAnsi="宋体" w:eastAsia="宋体" w:cs="宋体"/>
          <w:spacing w:val="-7"/>
          <w:sz w:val="24"/>
          <w:szCs w:val="24"/>
        </w:rPr>
        <w:t>万</w:t>
      </w:r>
      <w:r>
        <w:rPr>
          <w:rFonts w:hint="eastAsia" w:eastAsia="宋体" w:cs="Times New Roman"/>
          <w:spacing w:val="-7"/>
          <w:sz w:val="24"/>
          <w:szCs w:val="24"/>
          <w:lang w:eastAsia="zh-CN"/>
        </w:rPr>
        <w:t>m</w:t>
      </w:r>
      <w:r>
        <w:rPr>
          <w:rFonts w:hint="eastAsia" w:eastAsia="宋体" w:cs="Times New Roman"/>
          <w:spacing w:val="-7"/>
          <w:sz w:val="24"/>
          <w:szCs w:val="24"/>
          <w:vertAlign w:val="superscript"/>
          <w:lang w:eastAsia="zh-CN"/>
        </w:rPr>
        <w:t>3</w:t>
      </w:r>
      <w:r>
        <w:rPr>
          <w:rFonts w:ascii="宋体" w:hAnsi="宋体" w:eastAsia="宋体" w:cs="宋体"/>
          <w:spacing w:val="-7"/>
          <w:sz w:val="24"/>
          <w:szCs w:val="24"/>
        </w:rPr>
        <w:t>，计算得到水库</w:t>
      </w:r>
      <w:r>
        <w:rPr>
          <w:rFonts w:ascii="Times New Roman" w:hAnsi="Times New Roman" w:eastAsia="Times New Roman" w:cs="Times New Roman"/>
          <w:spacing w:val="7"/>
          <w:sz w:val="24"/>
          <w:szCs w:val="24"/>
        </w:rPr>
        <w:t>β</w:t>
      </w:r>
      <w:r>
        <w:rPr>
          <w:rFonts w:ascii="宋体" w:hAnsi="宋体" w:eastAsia="宋体" w:cs="宋体"/>
          <w:spacing w:val="7"/>
          <w:sz w:val="24"/>
          <w:szCs w:val="24"/>
        </w:rPr>
        <w:t>＜</w:t>
      </w:r>
      <w:r>
        <w:rPr>
          <w:rFonts w:ascii="Times New Roman" w:hAnsi="Times New Roman" w:eastAsia="Times New Roman" w:cs="Times New Roman"/>
          <w:spacing w:val="7"/>
          <w:sz w:val="24"/>
          <w:szCs w:val="24"/>
        </w:rPr>
        <w:t>1/2</w:t>
      </w:r>
      <w:r>
        <w:rPr>
          <w:rFonts w:hint="eastAsia" w:ascii="Times New Roman" w:hAnsi="Times New Roman" w:eastAsia="宋体" w:cs="Times New Roman"/>
          <w:spacing w:val="7"/>
          <w:sz w:val="24"/>
          <w:szCs w:val="24"/>
          <w:lang w:eastAsia="zh-CN"/>
        </w:rPr>
        <w:t>，</w:t>
      </w:r>
      <w:r>
        <w:rPr>
          <w:rFonts w:ascii="宋体" w:hAnsi="宋体" w:eastAsia="宋体" w:cs="宋体"/>
          <w:spacing w:val="-10"/>
          <w:sz w:val="24"/>
          <w:szCs w:val="24"/>
        </w:rPr>
        <w:t>水库的水温类型为分层型。</w:t>
      </w:r>
      <w:r>
        <w:rPr>
          <w:rFonts w:ascii="宋体" w:hAnsi="宋体" w:eastAsia="宋体" w:cs="宋体"/>
          <w:spacing w:val="-5"/>
          <w:sz w:val="24"/>
          <w:szCs w:val="24"/>
        </w:rPr>
        <w:t>洪水来临时对水温分层均无影响。</w:t>
      </w:r>
    </w:p>
    <w:p w14:paraId="7746C598">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为中型水库，属于</w:t>
      </w:r>
      <w:r>
        <w:rPr>
          <w:rFonts w:ascii="宋体" w:hAnsi="宋体" w:eastAsia="宋体" w:cs="宋体"/>
          <w:color w:val="000000" w:themeColor="text1"/>
          <w:spacing w:val="1"/>
          <w:sz w:val="24"/>
          <w:szCs w:val="24"/>
          <w14:textFill>
            <w14:solidFill>
              <w14:schemeClr w14:val="tx1"/>
            </w14:solidFill>
          </w14:textFill>
        </w:rPr>
        <w:t>分层型</w:t>
      </w:r>
      <w:r>
        <w:rPr>
          <w:rFonts w:hint="default" w:ascii="Times New Roman" w:hAnsi="Times New Roman" w:cs="Times New Roman"/>
          <w:color w:val="auto"/>
          <w:u w:val="none" w:color="auto"/>
        </w:rPr>
        <w:t>水库，</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水库目前主要</w:t>
      </w:r>
      <w:r>
        <w:rPr>
          <w:rFonts w:hint="default" w:ascii="Times New Roman" w:hAnsi="Times New Roman" w:cs="Times New Roman"/>
          <w:color w:val="auto"/>
          <w:u w:val="none" w:color="auto"/>
        </w:rPr>
        <w:t>是一座以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综合效益的中型水库</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功能，本次分析灌溉使用时水温对下游农作物的影响。下游农业灌溉用水主要以早晚水稻、玉米和果树等作物为主。根据《</w:t>
      </w:r>
      <w:r>
        <w:rPr>
          <w:rFonts w:hint="eastAsia" w:cs="Times New Roman"/>
          <w:caps w:val="0"/>
          <w:smallCaps w:val="0"/>
          <w:color w:val="auto"/>
          <w:spacing w:val="0"/>
          <w:w w:val="100"/>
          <w:kern w:val="0"/>
          <w:position w:val="0"/>
          <w:sz w:val="24"/>
          <w:szCs w:val="24"/>
          <w:lang w:val="en-US" w:eastAsia="zh-CN" w:bidi="ar-SA"/>
        </w:rPr>
        <w:t>农田灌溉水质标准</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》（GB 5084-2021），农业灌溉最高水温在35℃，对最低水温没有要求。根据调查，坝址下游的各村落灌溉用水一般集中在6月～8月，根据农作物对灌溉水温的要求，旱作物一般在15～25℃，水稻不低于20℃。</w:t>
      </w:r>
      <w:r>
        <w:rPr>
          <w:rFonts w:hint="eastAsia" w:cs="Times New Roman"/>
          <w:caps w:val="0"/>
          <w:smallCaps w:val="0"/>
          <w:color w:val="auto"/>
          <w:spacing w:val="0"/>
          <w:w w:val="100"/>
          <w:kern w:val="0"/>
          <w:position w:val="0"/>
          <w:sz w:val="24"/>
          <w:szCs w:val="24"/>
          <w:lang w:val="en-US" w:eastAsia="zh-CN" w:bidi="ar-SA"/>
        </w:rPr>
        <w:t>廊洞</w:t>
      </w:r>
      <w:r>
        <w:rPr>
          <w:rFonts w:hint="eastAsia" w:ascii="Times New Roman" w:hAnsi="Times New Roman" w:eastAsia="宋体" w:cs="Times New Roman"/>
          <w:caps w:val="0"/>
          <w:smallCaps w:val="0"/>
          <w:color w:val="auto"/>
          <w:spacing w:val="0"/>
          <w:w w:val="100"/>
          <w:kern w:val="0"/>
          <w:position w:val="0"/>
          <w:sz w:val="24"/>
          <w:szCs w:val="24"/>
          <w:lang w:val="en-US" w:eastAsia="zh-CN" w:bidi="ar-SA"/>
        </w:rPr>
        <w:t>水库大坝出水口处水温低于库表水温和区域气温，但沿途经过气温的增温效应，水在坝址下游河道沿程流动与河间块石摩擦过程、与大气进行热交换以及太阳辐射中是升温过程，水温能得到较快速度的恢复，满足作物对灌溉水温的要求。综合上述分析，本工程的低温水对灌溉影响较小，对水稻等农作物的正常生长影响较小</w:t>
      </w:r>
      <w:r>
        <w:rPr>
          <w:rFonts w:hint="default" w:ascii="Times New Roman" w:hAnsi="Times New Roman" w:cs="Times New Roman"/>
          <w:color w:val="auto"/>
          <w:u w:val="none" w:color="auto"/>
        </w:rPr>
        <w:t>。</w:t>
      </w:r>
      <w:r>
        <w:rPr>
          <w:rFonts w:ascii="宋体" w:hAnsi="宋体" w:eastAsia="宋体" w:cs="宋体"/>
          <w:spacing w:val="-2"/>
          <w:sz w:val="24"/>
          <w:szCs w:val="24"/>
        </w:rPr>
        <w:t>采取工程措施</w:t>
      </w:r>
      <w:r>
        <w:rPr>
          <w:rFonts w:ascii="宋体" w:hAnsi="宋体" w:eastAsia="宋体" w:cs="宋体"/>
          <w:spacing w:val="-1"/>
          <w:sz w:val="24"/>
          <w:szCs w:val="24"/>
        </w:rPr>
        <w:t>，减缓低温水影响。</w:t>
      </w:r>
    </w:p>
    <w:p w14:paraId="0148DD7F">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对下游河道水质的影响</w:t>
      </w:r>
    </w:p>
    <w:p w14:paraId="271E6CC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及相关资料，面源污染主要为农田退水、河流沿岸村庄以散排形式汇流入河的生活污水以及畜禽养殖废水，另外降雨冲刷农田也会产生少量径流携带农药、化肥等残留物进入水体。设计水平年，随供水灌区水田面积增加、流域人口数量增多，生活污水等入河污染物排放量将较现状有所增加。河流水文情势的改变、入河污染源变化将引发</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库区及下游水质发生变化。根据本次环评期间对水库</w:t>
      </w:r>
      <w:r>
        <w:rPr>
          <w:rFonts w:hint="eastAsia" w:cs="Times New Roman"/>
          <w:color w:val="auto"/>
          <w:u w:val="none" w:color="auto"/>
          <w:lang w:val="en-US" w:eastAsia="zh-CN"/>
        </w:rPr>
        <w:t>下游</w:t>
      </w:r>
      <w:r>
        <w:rPr>
          <w:rFonts w:hint="default" w:ascii="Times New Roman" w:hAnsi="Times New Roman" w:cs="Times New Roman"/>
          <w:color w:val="auto"/>
          <w:u w:val="none" w:color="auto"/>
        </w:rPr>
        <w:t>水质的采样调查，</w:t>
      </w:r>
      <w:r>
        <w:rPr>
          <w:rFonts w:hint="eastAsia" w:cs="Times New Roman"/>
          <w:color w:val="auto"/>
          <w:u w:val="none" w:color="auto"/>
          <w:lang w:val="en-US" w:eastAsia="zh-CN"/>
        </w:rPr>
        <w:t>下游</w:t>
      </w:r>
      <w:r>
        <w:rPr>
          <w:rFonts w:hint="default" w:ascii="Times New Roman" w:hAnsi="Times New Roman" w:cs="Times New Roman"/>
          <w:color w:val="auto"/>
          <w:u w:val="none" w:color="auto"/>
        </w:rPr>
        <w:t>监测断面总</w:t>
      </w:r>
      <w:r>
        <w:rPr>
          <w:rFonts w:hint="eastAsia" w:cs="Times New Roman"/>
          <w:color w:val="auto"/>
          <w:u w:val="none" w:color="auto"/>
          <w:lang w:val="en-US" w:eastAsia="zh-CN"/>
        </w:rPr>
        <w:t>氮</w:t>
      </w:r>
      <w:r>
        <w:rPr>
          <w:rFonts w:hint="default" w:ascii="Times New Roman" w:hAnsi="Times New Roman" w:cs="Times New Roman"/>
          <w:color w:val="auto"/>
          <w:u w:val="none" w:color="auto"/>
        </w:rPr>
        <w:t>超标，其余指标均满足《地表水环境质量标准》（GB3838-2002）III类标准，水质状况较较好。</w:t>
      </w:r>
    </w:p>
    <w:p w14:paraId="3CCF5055">
      <w:pPr>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工程管理区生活污水影响</w:t>
      </w:r>
    </w:p>
    <w:p w14:paraId="38998A07">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运行期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管理机构工作人员的日常生活产生少量的生活污水，</w:t>
      </w:r>
      <w:r>
        <w:rPr>
          <w:rFonts w:hint="eastAsia"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定员人数</w:t>
      </w:r>
      <w:r>
        <w:rPr>
          <w:rFonts w:hint="default" w:ascii="Times New Roman" w:hAnsi="Times New Roman" w:cs="Times New Roman"/>
          <w:color w:val="auto"/>
          <w:u w:val="none" w:color="auto"/>
          <w:lang w:eastAsia="zh-CN"/>
        </w:rPr>
        <w:t>30人</w:t>
      </w:r>
      <w:r>
        <w:rPr>
          <w:rFonts w:hint="default" w:ascii="Times New Roman" w:hAnsi="Times New Roman" w:cs="Times New Roman"/>
          <w:color w:val="auto"/>
          <w:u w:val="none" w:color="auto"/>
        </w:rPr>
        <w:t>，生活污水经处理达标后用于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p>
    <w:p w14:paraId="43E581B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对地下水环境的影响</w:t>
      </w:r>
    </w:p>
    <w:p w14:paraId="31A9EA86">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因为流域内的地表水与地下水有密切联系，河流水文条件的改变造成地下水的水位变化，对地下水水质影响不大。坝址上游水库蓄水使其周围地下水水位抬高，也扩大了水库浸没范围。同时，拦河筑坝也减少了坝库下游地区地下水的补给来源，致使地下水水位下降，大片原有地下水自流灌区失去自然条件，从而降低了下游地区的地下水资源利用率。</w:t>
      </w:r>
    </w:p>
    <w:p w14:paraId="78181A17">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陆生生态环境影响回顾性分析</w:t>
      </w:r>
    </w:p>
    <w:p w14:paraId="36E9A535">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水库建设不可避免地占用植被面积，导致了植被面积和生物量的损失，根据现场调查可知，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周边分布的植被均为当地的一些常见种类，其分布范围广、种群数量大，在周边地区有广泛分布，工程建设没有造成植物种类的消失。</w:t>
      </w:r>
    </w:p>
    <w:p w14:paraId="70E08596">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建设和蓄水对野生动物的不利影响有：觅食地转移、栖息地丧失、活动范围受限、在水库蓄水被淹死或迁移他处，在建库过程中野生动物生境的改变引起其种类和数量的变化。水库的建设虽然对动物的生境带来一定的改变，但库周山林茂密，植被覆盖率较高，人为干扰较少的相似生境较多，水库建设期间受影响的动物可顺利迁移。</w:t>
      </w:r>
    </w:p>
    <w:p w14:paraId="1947D8D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此外，水库建成后，由于水域面积的增加，库湾滩涂面积随之扩大，为游禽和涉水禽提供了更为广阔的栖息地，水域面积的增加也有利于周边植被的生长。后期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饮用水源保护区的建设，加大了该区域的保护力度，有利于动植物资源的生长繁殖。总的来说水库建设没有造成动物物种的消失。</w:t>
      </w:r>
    </w:p>
    <w:p w14:paraId="42ACBC8C">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水生生态环境影响回顾性分析</w:t>
      </w:r>
    </w:p>
    <w:p w14:paraId="07F81D60">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对浮游植物的影响</w:t>
      </w:r>
    </w:p>
    <w:p w14:paraId="1866419E">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的建设改变了天然河道属性，坝址上游部分河段水体流速变缓，形成静缓流水体，藻类从流水性、着生性、寡污性演变成静水性、浮游性的优势类群。</w:t>
      </w:r>
    </w:p>
    <w:p w14:paraId="4484FFE9">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库区营养物质的沉积、分解等原因，藻类构成上也逐渐向湖泊型水体转化。水库的建设对库区河段浮游植物群落结构组成和生物量形成了一定影响，喜静缓流的绿藻门和蓝藻门种类和生物量增加。由此造成水体浮游植物的种类和数量在水库建设前后发生变化。</w:t>
      </w:r>
    </w:p>
    <w:p w14:paraId="5AF0F453">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对浮游动物的影响</w:t>
      </w:r>
    </w:p>
    <w:p w14:paraId="05AECC8F">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设前河段水体为流水状态，浮游动物以好氧性种类为主，种类多样性高，密度和生物量较低。随着水库建成蓄水，坝址以上部分河段浮游动物静水型、浮游性的种类成为优势种类，此前种类和数量较少的枝角类和桡足类增加，轮虫中普生性的种类和数量呈上升趋势。</w:t>
      </w:r>
    </w:p>
    <w:p w14:paraId="297B430E">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对底栖动物的影响</w:t>
      </w:r>
    </w:p>
    <w:p w14:paraId="4A281674">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随着</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建成蓄水运行，由于大坝的阻隔，泥沙的沉积，有机物质沉降，库区底栖动物以耐低氧，适应耐污性种类为主要类群。原有流水生境中的蜉蝣目、双翅目昆虫等减少，在库区的静水区域，一些适应营养水体的软体动物的数量有一定增加。由于水位相对稳定的水体中的底栖动物种类和数量也相对较多，因此库区底栖动物的种类和数量增加。</w:t>
      </w:r>
    </w:p>
    <w:p w14:paraId="6039FA7E">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对水生维管束植物的影</w:t>
      </w:r>
      <w:r>
        <w:rPr>
          <w:rFonts w:hint="default" w:ascii="Times New Roman" w:hAnsi="Times New Roman" w:eastAsia="宋体" w:cs="Times New Roman"/>
          <w:color w:val="auto"/>
          <w:u w:val="none" w:color="auto"/>
        </w:rPr>
        <w:t>响</w:t>
      </w:r>
    </w:p>
    <w:p w14:paraId="3D267DBA">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后，原有河道的水生维管束植物被淹没，库区水面增大，水深增加不利于水生植物的生长。但是沿岸带面积的增加，随着泥沙的淤积、营养物质的沉降等将在库湾和陡滩分布区有利于水生维管束植物的生长，库区漂浮植物增加。</w:t>
      </w:r>
    </w:p>
    <w:p w14:paraId="20B0B413">
      <w:pPr>
        <w:pStyle w:val="5"/>
        <w:bidi w:val="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对鱼类资源的影响</w:t>
      </w:r>
    </w:p>
    <w:p w14:paraId="1C344AAF">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蓄水运行后，相比于以前的河流生境，鱼类种类组成上趋于单一化趋势，由于水库相对封闭、静水或缓流水体环境、和长距离的漂流条件不适合其繁殖以及缺乏足够的水生植物，栖息在库区的鱼虽然能发育成熟，但不能进行种类自我更新，需要每年进行人工投放苗种，经过一定生长期再捕获成鱼。鱼类由适应于河流生活的鱼类逐步转变为适应于静水生活的鱼类。缓流和静水生活型鱼类成为优势种群。水生生态环境的改变对原河流中流水型、产漂流性卵和种群数量少、抗逆能力差的鱼类产生了一定不利的影响。目前</w:t>
      </w: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水库已运行多年，现有的鱼类以人工投放的青鱼、草鱼、鲢鱼、鳙鱼为主，区域水生生物种群结构已趋于稳定。</w:t>
      </w:r>
    </w:p>
    <w:p w14:paraId="0D3DE706">
      <w:pPr>
        <w:rPr>
          <w:rFonts w:hint="default" w:ascii="Times New Roman" w:hAnsi="Times New Roman" w:cs="Times New Roman"/>
          <w:color w:val="auto"/>
          <w:u w:val="none" w:color="auto"/>
        </w:rPr>
      </w:pPr>
      <w:r>
        <w:rPr>
          <w:rFonts w:hint="eastAsia" w:cs="Times New Roman"/>
          <w:color w:val="auto"/>
          <w:u w:val="none" w:color="auto"/>
          <w:lang w:val="en-US" w:eastAsia="zh-CN"/>
        </w:rPr>
        <w:t>水</w:t>
      </w:r>
      <w:r>
        <w:rPr>
          <w:rFonts w:hint="default" w:ascii="Times New Roman" w:hAnsi="Times New Roman" w:cs="Times New Roman"/>
          <w:color w:val="auto"/>
          <w:u w:val="none" w:color="auto"/>
        </w:rPr>
        <w:t>生生物以浮游动植物及底栖动物为主，鱼类资源较少，水库建成后下游形成了减水河段，在枯水季节容易造成坝下游一定长度河道断流，现状调查结果显示坝下减水河段水生生物的种类和数量均较少，且这些物种在水生环境中属于常见种类。由于水库建设已有多年，上、下游已形成了目前的生境，水生生物已经稳定形成新的平衡。</w:t>
      </w:r>
    </w:p>
    <w:p w14:paraId="2938D314">
      <w:pPr>
        <w:pStyle w:val="4"/>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水土流失影响回顾性分析</w:t>
      </w:r>
    </w:p>
    <w:p w14:paraId="74A40989">
      <w:pPr>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的建成，涉及的人为水土流失主要为工程占地。此外，水库的修建使得上游的土壤被淹没或者盐碱化，导致上游的植物无法得到较好的生长，从而使得土壤流失情况较为严重。建设完成后采取</w:t>
      </w:r>
      <w:r>
        <w:rPr>
          <w:rFonts w:hint="eastAsia" w:cs="Times New Roman"/>
          <w:color w:val="auto"/>
          <w:u w:val="none" w:color="auto"/>
          <w:lang w:val="en-US" w:eastAsia="zh-CN"/>
        </w:rPr>
        <w:t>了</w:t>
      </w:r>
      <w:r>
        <w:rPr>
          <w:rFonts w:hint="default" w:ascii="Times New Roman" w:hAnsi="Times New Roman" w:cs="Times New Roman"/>
          <w:color w:val="auto"/>
          <w:u w:val="none" w:color="auto"/>
        </w:rPr>
        <w:t>相应的水土保持措施，恢复区域植被，有效地减少</w:t>
      </w:r>
      <w:r>
        <w:rPr>
          <w:rFonts w:hint="eastAsia" w:cs="Times New Roman"/>
          <w:color w:val="auto"/>
          <w:u w:val="none" w:color="auto"/>
          <w:lang w:val="en-US" w:eastAsia="zh-CN"/>
        </w:rPr>
        <w:t>了</w:t>
      </w:r>
      <w:r>
        <w:rPr>
          <w:rFonts w:hint="default" w:ascii="Times New Roman" w:hAnsi="Times New Roman" w:cs="Times New Roman"/>
          <w:color w:val="auto"/>
          <w:u w:val="none" w:color="auto"/>
        </w:rPr>
        <w:t>占地范围内的水土流失。</w:t>
      </w:r>
    </w:p>
    <w:p w14:paraId="617A0EF2">
      <w:pPr>
        <w:pStyle w:val="3"/>
        <w:rPr>
          <w:rFonts w:hint="default" w:ascii="Times New Roman" w:hAnsi="Times New Roman" w:cs="Times New Roman"/>
          <w:color w:val="auto"/>
          <w:u w:val="none" w:color="auto"/>
        </w:rPr>
      </w:pPr>
      <w:bookmarkStart w:id="212" w:name="_Toc3790"/>
      <w:r>
        <w:rPr>
          <w:rFonts w:hint="default" w:ascii="Times New Roman" w:hAnsi="Times New Roman" w:cs="Times New Roman"/>
          <w:color w:val="auto"/>
          <w:u w:val="none" w:color="auto"/>
        </w:rPr>
        <w:t>施工期环境影响分析</w:t>
      </w:r>
      <w:bookmarkEnd w:id="212"/>
    </w:p>
    <w:p w14:paraId="093DD1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环境污染主要来自施工机械的噪声、建筑垃圾、植被毁坏造成的生态破坏以及建筑施工人员少量的生活垃圾，可能会对当地的生态环境带来不同程度的影响。因此，在施工期间，应严格遵守国家和地方政府的相关规定，文明、安全、环保施工，使这些影响得以控制或减小。</w:t>
      </w:r>
    </w:p>
    <w:p w14:paraId="5A41395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施工期环境影响相对运营期为短期影响，施工期结束后影响即消失。</w:t>
      </w:r>
    </w:p>
    <w:p w14:paraId="6FE7D60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大气环境影响分析</w:t>
      </w:r>
    </w:p>
    <w:p w14:paraId="5BED62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施工期大气污染主要为施工期扬尘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包括场地清理、挖填方、各类建筑材料运输、物料堆存及混凝土拌产生的扬尘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、燃油施工机械废气及道路运输扬尘和汽车尾气等。</w:t>
      </w:r>
    </w:p>
    <w:p w14:paraId="2EF2F21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1、施工扬尘</w:t>
      </w:r>
    </w:p>
    <w:p w14:paraId="1ACC3B5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项目施工扬尘</w:t>
      </w:r>
      <w:r>
        <w:rPr>
          <w:rFonts w:hint="default" w:ascii="Times New Roman" w:hAnsi="Times New Roman" w:cs="Times New Roman"/>
          <w:color w:val="auto"/>
          <w:u w:val="none" w:color="auto"/>
        </w:rPr>
        <w:t>主要来自挖填方、现场土石堆放扬尘建筑材料包括水泥、沙子等搬运和搅拌扬尘</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运输车辆引起的二次扬尘。</w:t>
      </w:r>
    </w:p>
    <w:p w14:paraId="3863EDC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场地风力扬尘的一个主要原因是露天堆场和裸露场地的风力扬尘。由于施工的需要，一些建材需露天堆放；一些施工点表层土壤需人工开挖、堆放，在气候干燥又有风的情况下，会产生扬尘。类比施工工地的调查情况，未采取任何防护措施的情况下，施工粉尘对下风向的影响最为显著，影响范围大致在其下风向150m范围之内，下风向0~50m为重污染带、50~100m为较重污染带、100~150m为轻污染带，150m以外影响甚微。</w:t>
      </w:r>
    </w:p>
    <w:p w14:paraId="03A021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项目位于农村区域，周边敏感目标分布较少，施工场界周边的敏感点主要为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管理所、</w:t>
      </w:r>
      <w:r>
        <w:rPr>
          <w:rFonts w:hint="eastAsia" w:cs="Times New Roman"/>
          <w:color w:val="auto"/>
          <w:u w:val="none" w:color="auto"/>
          <w:lang w:val="en-US" w:eastAsia="zh-CN"/>
        </w:rPr>
        <w:t>红铺</w:t>
      </w:r>
      <w:r>
        <w:rPr>
          <w:rFonts w:hint="default" w:ascii="Times New Roman" w:hAnsi="Times New Roman" w:cs="Times New Roman"/>
          <w:color w:val="auto"/>
          <w:u w:val="none" w:color="auto"/>
        </w:rPr>
        <w:t>、</w:t>
      </w:r>
      <w:r>
        <w:rPr>
          <w:rFonts w:hint="eastAsia" w:cs="Times New Roman"/>
          <w:color w:val="auto"/>
          <w:u w:val="none" w:color="auto"/>
          <w:lang w:val="en-US" w:eastAsia="zh-CN"/>
        </w:rPr>
        <w:t>扁担坳</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廊洞村</w:t>
      </w:r>
      <w:r>
        <w:rPr>
          <w:rFonts w:hint="default" w:ascii="Times New Roman" w:hAnsi="Times New Roman" w:cs="Times New Roman"/>
          <w:color w:val="auto"/>
          <w:u w:val="none" w:color="auto"/>
        </w:rPr>
        <w:t>，与施工场界距离在30~200米，施工期间在一定程度上受施工扬尘影响。两者之间有较茂密的植被阻隔，再加上定期洒水抑尘及工程喷雾抑尘，施工单位应采取最大限度地控制施工扬尘影响的范围，并适时进行洒水扬尘。随着施工活动的结束，施工现场扬尘对环境空气的影响也将消除。</w:t>
      </w:r>
    </w:p>
    <w:p w14:paraId="2B2F42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道路运输扬尘</w:t>
      </w:r>
    </w:p>
    <w:p w14:paraId="1F3D1B9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施工期运输车辆扬尘对环境空气的影响，随着气象条件的不同、管理手段上的差异，将有所不同。从表</w:t>
      </w:r>
      <w:r>
        <w:rPr>
          <w:rFonts w:hint="eastAsia" w:ascii="Times New Roman" w:hAnsi="Times New Roman" w:cs="Times New Roman"/>
          <w:color w:val="auto"/>
          <w:u w:val="none" w:color="auto"/>
          <w:lang w:eastAsia="zh-CN"/>
        </w:rPr>
        <w:t>6.2</w:t>
      </w:r>
      <w:r>
        <w:rPr>
          <w:rFonts w:hint="default" w:ascii="Times New Roman" w:hAnsi="Times New Roman" w:cs="Times New Roman"/>
          <w:color w:val="auto"/>
          <w:u w:val="none" w:color="auto"/>
        </w:rPr>
        <w:t>-1可见，在同样的路面条件下，车速越快，扬尘量越大，在同样的车速情况下，路面粉尘越大，扬尘量越大。因此，限制施工车辆速度和保持路面清洁是减小扬尘的有效手段。据资料，若在施工期间对车辆行驶的路面实施洒水抑尘</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每天洒水4~5次</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，可使扬尘减少50%~70%左右，洒水抑尘的试验结果见下表。</w:t>
      </w:r>
    </w:p>
    <w:p w14:paraId="31136590">
      <w:pPr>
        <w:pStyle w:val="179"/>
        <w:spacing w:line="240" w:lineRule="auto"/>
        <w:ind w:firstLine="422"/>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表</w:t>
      </w:r>
      <w:r>
        <w:rPr>
          <w:rFonts w:hint="eastAsia" w:ascii="Times New Roman" w:hAnsi="Times New Roman" w:cs="Times New Roman"/>
          <w:color w:val="auto"/>
          <w:u w:val="none" w:color="auto"/>
          <w:lang w:eastAsia="zh-CN"/>
        </w:rPr>
        <w:t>6.2</w:t>
      </w:r>
      <w:r>
        <w:rPr>
          <w:rFonts w:hint="default" w:ascii="Times New Roman" w:hAnsi="Times New Roman" w:cs="Times New Roman"/>
          <w:color w:val="auto"/>
          <w:u w:val="none" w:color="auto"/>
        </w:rPr>
        <w:t xml:space="preserve">-1 </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洒水路面扬尘监测结果表 单位： mg/</w:t>
      </w:r>
      <w:r>
        <w:rPr>
          <w:rFonts w:hint="default" w:ascii="Times New Roman" w:hAnsi="Times New Roman" w:cs="Times New Roman"/>
          <w:color w:val="auto"/>
          <w:u w:val="none" w:color="auto"/>
          <w:lang w:eastAsia="zh-CN"/>
        </w:rPr>
        <w:t>m³</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17BAE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gridSpan w:val="2"/>
            <w:noWrap w:val="0"/>
            <w:vAlign w:val="center"/>
          </w:tcPr>
          <w:p w14:paraId="76F6EC4F">
            <w:pPr>
              <w:pStyle w:val="1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距离</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m</w:t>
            </w:r>
            <w:r>
              <w:rPr>
                <w:rFonts w:hint="eastAsia" w:ascii="Times New Roman" w:hAnsi="Times New Roman" w:cs="Times New Roman"/>
                <w:color w:val="auto"/>
                <w:u w:val="none" w:color="auto"/>
                <w:lang w:eastAsia="zh-CN"/>
              </w:rPr>
              <w:t>)</w:t>
            </w:r>
          </w:p>
        </w:tc>
        <w:tc>
          <w:tcPr>
            <w:tcW w:w="1420" w:type="dxa"/>
            <w:noWrap w:val="0"/>
            <w:vAlign w:val="center"/>
          </w:tcPr>
          <w:p w14:paraId="445A0D2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1420" w:type="dxa"/>
            <w:noWrap w:val="0"/>
            <w:vAlign w:val="center"/>
          </w:tcPr>
          <w:p w14:paraId="42B063EF">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1421" w:type="dxa"/>
            <w:noWrap w:val="0"/>
            <w:vAlign w:val="center"/>
          </w:tcPr>
          <w:p w14:paraId="4B43C5C0">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1421" w:type="dxa"/>
            <w:noWrap w:val="0"/>
            <w:vAlign w:val="center"/>
          </w:tcPr>
          <w:p w14:paraId="08A32C4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63B36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restart"/>
            <w:noWrap w:val="0"/>
            <w:vAlign w:val="center"/>
          </w:tcPr>
          <w:p w14:paraId="07F3FFE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TSP小时平均浓度</w:t>
            </w:r>
          </w:p>
        </w:tc>
        <w:tc>
          <w:tcPr>
            <w:tcW w:w="1420" w:type="dxa"/>
            <w:noWrap w:val="0"/>
            <w:vAlign w:val="center"/>
          </w:tcPr>
          <w:p w14:paraId="1DBD1741">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不洒水</w:t>
            </w:r>
          </w:p>
        </w:tc>
        <w:tc>
          <w:tcPr>
            <w:tcW w:w="1420" w:type="dxa"/>
            <w:noWrap w:val="0"/>
            <w:vAlign w:val="center"/>
          </w:tcPr>
          <w:p w14:paraId="1D742458">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10.14</w:t>
            </w:r>
          </w:p>
        </w:tc>
        <w:tc>
          <w:tcPr>
            <w:tcW w:w="1420" w:type="dxa"/>
            <w:noWrap w:val="0"/>
            <w:vAlign w:val="center"/>
          </w:tcPr>
          <w:p w14:paraId="24C5FCD6">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2.89</w:t>
            </w:r>
          </w:p>
        </w:tc>
        <w:tc>
          <w:tcPr>
            <w:tcW w:w="1421" w:type="dxa"/>
            <w:noWrap w:val="0"/>
            <w:vAlign w:val="center"/>
          </w:tcPr>
          <w:p w14:paraId="0102A3FA">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1.15</w:t>
            </w:r>
          </w:p>
        </w:tc>
        <w:tc>
          <w:tcPr>
            <w:tcW w:w="1421" w:type="dxa"/>
            <w:noWrap w:val="0"/>
            <w:vAlign w:val="center"/>
          </w:tcPr>
          <w:p w14:paraId="56568E3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0.86</w:t>
            </w:r>
          </w:p>
        </w:tc>
      </w:tr>
      <w:tr w14:paraId="1F126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Merge w:val="continue"/>
            <w:noWrap w:val="0"/>
            <w:vAlign w:val="center"/>
          </w:tcPr>
          <w:p w14:paraId="37248004">
            <w:pPr>
              <w:pStyle w:val="180"/>
              <w:rPr>
                <w:rFonts w:hint="default" w:ascii="Times New Roman" w:hAnsi="Times New Roman" w:cs="Times New Roman"/>
                <w:color w:val="auto"/>
                <w:u w:val="none" w:color="auto"/>
              </w:rPr>
            </w:pPr>
          </w:p>
        </w:tc>
        <w:tc>
          <w:tcPr>
            <w:tcW w:w="1420" w:type="dxa"/>
            <w:noWrap w:val="0"/>
            <w:vAlign w:val="center"/>
          </w:tcPr>
          <w:p w14:paraId="40DDE2B5">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洒水</w:t>
            </w:r>
          </w:p>
        </w:tc>
        <w:tc>
          <w:tcPr>
            <w:tcW w:w="1420" w:type="dxa"/>
            <w:noWrap w:val="0"/>
            <w:vAlign w:val="center"/>
          </w:tcPr>
          <w:p w14:paraId="2BD0814B">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2.01</w:t>
            </w:r>
          </w:p>
        </w:tc>
        <w:tc>
          <w:tcPr>
            <w:tcW w:w="1420" w:type="dxa"/>
            <w:noWrap w:val="0"/>
            <w:vAlign w:val="center"/>
          </w:tcPr>
          <w:p w14:paraId="62084E4E">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1.40</w:t>
            </w:r>
          </w:p>
        </w:tc>
        <w:tc>
          <w:tcPr>
            <w:tcW w:w="1421" w:type="dxa"/>
            <w:noWrap w:val="0"/>
            <w:vAlign w:val="center"/>
          </w:tcPr>
          <w:p w14:paraId="25C76F6C">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0.67</w:t>
            </w:r>
          </w:p>
        </w:tc>
        <w:tc>
          <w:tcPr>
            <w:tcW w:w="1421" w:type="dxa"/>
            <w:noWrap w:val="0"/>
            <w:vAlign w:val="center"/>
          </w:tcPr>
          <w:p w14:paraId="183384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0.60</w:t>
            </w:r>
          </w:p>
        </w:tc>
      </w:tr>
      <w:tr w14:paraId="06977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gridSpan w:val="2"/>
            <w:noWrap w:val="0"/>
            <w:vAlign w:val="center"/>
          </w:tcPr>
          <w:p w14:paraId="3748E12F">
            <w:pPr>
              <w:pStyle w:val="1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衰减率</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eastAsia" w:ascii="Times New Roman" w:hAnsi="Times New Roman" w:cs="Times New Roman"/>
                <w:color w:val="auto"/>
                <w:u w:val="none" w:color="auto"/>
                <w:lang w:eastAsia="zh-CN"/>
              </w:rPr>
              <w:t>)</w:t>
            </w:r>
          </w:p>
        </w:tc>
        <w:tc>
          <w:tcPr>
            <w:tcW w:w="1420" w:type="dxa"/>
            <w:noWrap w:val="0"/>
            <w:vAlign w:val="center"/>
          </w:tcPr>
          <w:p w14:paraId="155DF9F7">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80.2</w:t>
            </w:r>
          </w:p>
        </w:tc>
        <w:tc>
          <w:tcPr>
            <w:tcW w:w="1420" w:type="dxa"/>
            <w:noWrap w:val="0"/>
            <w:vAlign w:val="center"/>
          </w:tcPr>
          <w:p w14:paraId="600B8F93">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51.6</w:t>
            </w:r>
          </w:p>
        </w:tc>
        <w:tc>
          <w:tcPr>
            <w:tcW w:w="1421" w:type="dxa"/>
            <w:noWrap w:val="0"/>
            <w:vAlign w:val="center"/>
          </w:tcPr>
          <w:p w14:paraId="78AB95C9">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41.7</w:t>
            </w:r>
          </w:p>
        </w:tc>
        <w:tc>
          <w:tcPr>
            <w:tcW w:w="1421" w:type="dxa"/>
            <w:noWrap w:val="0"/>
            <w:vAlign w:val="center"/>
          </w:tcPr>
          <w:p w14:paraId="33DEB02D">
            <w:pPr>
              <w:pStyle w:val="1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30.2</w:t>
            </w:r>
          </w:p>
        </w:tc>
      </w:tr>
    </w:tbl>
    <w:p w14:paraId="03F3117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由上表可知，如果在施工期间对车辆行驶的路面实施洒水抑尘，每天洒水 4~5次，可使扬尘减少70%左右，能有效地控制施工扬尘，可将 TSP 的污染距离缩小到20~50m范围。环评要求施工单位要配备一定数量的洒水车，在施工场地安排员工定期对未铺筑的临时道路进行洒水处理，以减少扬尘量。</w:t>
      </w:r>
    </w:p>
    <w:p w14:paraId="55E807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根据现场踏勘，施工便道建设条件较好，引起的粉尘污染有限，施工阶段会对附近居民造成一定程度的粉尘污染，但在采取定期洒水抑尘、运输车辆进行遮盖等措施后，对</w:t>
      </w:r>
      <w:r>
        <w:rPr>
          <w:rFonts w:hint="default" w:ascii="Times New Roman" w:hAnsi="Times New Roman" w:cs="Times New Roman"/>
          <w:color w:val="auto"/>
          <w:u w:val="none" w:color="auto"/>
          <w:lang w:val="en-US" w:eastAsia="zh-CN"/>
        </w:rPr>
        <w:t>施工物料运输</w:t>
      </w:r>
      <w:r>
        <w:rPr>
          <w:rFonts w:hint="default" w:ascii="Times New Roman" w:hAnsi="Times New Roman" w:cs="Times New Roman"/>
          <w:color w:val="auto"/>
          <w:u w:val="none" w:color="auto"/>
        </w:rPr>
        <w:t>沿线居民点的影响较小。</w:t>
      </w:r>
    </w:p>
    <w:p w14:paraId="08631BE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3、施工机械燃油</w:t>
      </w:r>
      <w:r>
        <w:rPr>
          <w:rFonts w:hint="default" w:ascii="Times New Roman" w:hAnsi="Times New Roman" w:cs="Times New Roman"/>
          <w:color w:val="auto"/>
          <w:u w:val="none" w:color="auto"/>
        </w:rPr>
        <w:t>废气</w:t>
      </w:r>
    </w:p>
    <w:p w14:paraId="48BF32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施工期废气污染物主要来自施工机械和车辆等燃油燃烧排放的废气、炸药爆炸废气。本项目建设工程所有施工机械主要以柴油为燃料，施工期环境空气污染物主要是施工机械设备燃油排出的CO、</w:t>
      </w:r>
      <w:r>
        <w:rPr>
          <w:rFonts w:hint="eastAsia" w:cs="Times New Roman"/>
          <w:color w:val="auto"/>
          <w:u w:val="none" w:color="auto"/>
          <w:lang w:eastAsia="zh-CN"/>
        </w:rPr>
        <w:t>NO</w:t>
      </w:r>
      <w:r>
        <w:rPr>
          <w:rFonts w:hint="eastAsia" w:cs="Times New Roman"/>
          <w:color w:val="auto"/>
          <w:u w:val="none" w:color="auto"/>
          <w:vertAlign w:val="subscript"/>
          <w:lang w:eastAsia="zh-CN"/>
        </w:rPr>
        <w:t>X</w:t>
      </w:r>
      <w:r>
        <w:rPr>
          <w:rFonts w:hint="default" w:ascii="Times New Roman" w:hAnsi="Times New Roman" w:cs="Times New Roman"/>
          <w:color w:val="auto"/>
          <w:u w:val="none" w:color="auto"/>
        </w:rPr>
        <w:t>等。</w:t>
      </w:r>
    </w:p>
    <w:p w14:paraId="01D5FB8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车辆尾气主要来源于施工机械运行、汽车运输等过程。本工程施工区地形均较为开阔，空气扩散条件较好，尾气一遇扩散，对周围环境造成影响的可能性不大。另外，随着技术水平的提高，施工机械的性能已有了很大程度的改良，多数机械在运行过程中机械废气可达标排放。众多同类工程施工期环境监测结果也表明施工机械尾气排放对大气环境不会造成大的影响。且施工废气随着施工期的结束而结束。</w:t>
      </w:r>
    </w:p>
    <w:p w14:paraId="3AF73EA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综上，项目施工期间</w:t>
      </w:r>
      <w:r>
        <w:rPr>
          <w:rFonts w:hint="default" w:ascii="Times New Roman" w:hAnsi="Times New Roman" w:cs="Times New Roman"/>
          <w:color w:val="auto"/>
          <w:u w:val="none" w:color="auto"/>
        </w:rPr>
        <w:t>通过采取</w:t>
      </w:r>
      <w:r>
        <w:rPr>
          <w:rFonts w:hint="default" w:ascii="Times New Roman" w:hAnsi="Times New Roman" w:cs="Times New Roman"/>
          <w:color w:val="auto"/>
          <w:u w:val="none" w:color="auto"/>
          <w:lang w:val="en-US" w:eastAsia="zh-CN"/>
        </w:rPr>
        <w:t>合适的</w:t>
      </w:r>
      <w:r>
        <w:rPr>
          <w:rFonts w:hint="default" w:ascii="Times New Roman" w:hAnsi="Times New Roman" w:cs="Times New Roman"/>
          <w:color w:val="auto"/>
          <w:u w:val="none" w:color="auto"/>
        </w:rPr>
        <w:t>大气污染防治措施，</w:t>
      </w:r>
      <w:r>
        <w:rPr>
          <w:rFonts w:hint="default" w:ascii="Times New Roman" w:hAnsi="Times New Roman" w:cs="Times New Roman"/>
          <w:color w:val="auto"/>
          <w:u w:val="none" w:color="auto"/>
          <w:lang w:val="en-US" w:eastAsia="zh-CN"/>
        </w:rPr>
        <w:t>减少</w:t>
      </w:r>
      <w:r>
        <w:rPr>
          <w:rFonts w:hint="default" w:ascii="Times New Roman" w:hAnsi="Times New Roman" w:cs="Times New Roman"/>
          <w:color w:val="auto"/>
          <w:u w:val="none" w:color="auto"/>
        </w:rPr>
        <w:t>施工期大气污染物</w:t>
      </w:r>
      <w:r>
        <w:rPr>
          <w:rFonts w:hint="default" w:ascii="Times New Roman" w:hAnsi="Times New Roman" w:cs="Times New Roman"/>
          <w:color w:val="auto"/>
          <w:u w:val="none" w:color="auto"/>
          <w:lang w:val="en-US" w:eastAsia="zh-CN"/>
        </w:rPr>
        <w:t>的排放，</w:t>
      </w:r>
      <w:r>
        <w:rPr>
          <w:rFonts w:hint="default" w:ascii="Times New Roman" w:hAnsi="Times New Roman" w:cs="Times New Roman"/>
          <w:color w:val="auto"/>
          <w:u w:val="none" w:color="auto"/>
        </w:rPr>
        <w:t>且随着施工期结束影响将逐步消失，因此本项目施工期对周围大气环境的影响可以接受。</w:t>
      </w:r>
    </w:p>
    <w:p w14:paraId="143631D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地表水环境影响分析</w:t>
      </w:r>
    </w:p>
    <w:p w14:paraId="4BC3DE7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施工导流对供水的影响分析</w:t>
      </w:r>
    </w:p>
    <w:p w14:paraId="3E5BD4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根据施工组织设计，在</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、副坝施工时，会采用施工导流的方式维持</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最低供水水位，对供水不产生影响；导流施工对水环境的影响主要修筑围堰、基坑排水和拆除围堰等施工活动会扰动水体，使泥沙浓度短时增大，对水质、水温影响不大。因此施工期对于水库及上下河道水文情势的影响是短暂的，随着项目建设完成，原水库及上下河道水文情势的变化将得以恢复。</w:t>
      </w:r>
    </w:p>
    <w:p w14:paraId="01A929D8">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施工期水环境影响分析</w:t>
      </w:r>
    </w:p>
    <w:p w14:paraId="0738204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施工期废水主要有基坑废水、</w:t>
      </w:r>
      <w:r>
        <w:rPr>
          <w:rFonts w:hint="default" w:ascii="Times New Roman" w:hAnsi="Times New Roman" w:cs="Times New Roman"/>
          <w:color w:val="auto"/>
          <w:u w:val="none" w:color="auto"/>
          <w:lang w:val="en-US" w:eastAsia="zh-CN"/>
        </w:rPr>
        <w:t>砼搅拌系统废水、机械车辆维修冲洗含油废水、</w:t>
      </w:r>
      <w:r>
        <w:rPr>
          <w:rFonts w:hint="default" w:ascii="Times New Roman" w:hAnsi="Times New Roman" w:cs="Times New Roman"/>
          <w:color w:val="auto"/>
          <w:u w:val="none" w:color="auto"/>
        </w:rPr>
        <w:t>灌浆施工废水、施工人员生活污水。</w:t>
      </w:r>
    </w:p>
    <w:p w14:paraId="3F032E8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1、基坑废水</w:t>
      </w:r>
    </w:p>
    <w:p w14:paraId="5FD2DA0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基坑排水包括初期基坑排水及经常性基坑排水两部分。初期基坑排水与水库水质基本相同，不会增加对水库水质的污染水质。经常性基坑排含混凝土浇筑和养护形成的碱性水，</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 xml:space="preserve"> 值在</w:t>
      </w:r>
      <w:r>
        <w:rPr>
          <w:rFonts w:hint="default" w:ascii="Times New Roman" w:hAnsi="Times New Roman" w:cs="Times New Roman"/>
          <w:color w:val="auto"/>
          <w:u w:val="none" w:color="auto"/>
          <w:lang w:val="en-US" w:eastAsia="zh-CN"/>
        </w:rPr>
        <w:t>11</w:t>
      </w:r>
      <w:r>
        <w:rPr>
          <w:rFonts w:hint="default" w:ascii="Times New Roman" w:hAnsi="Times New Roman" w:cs="Times New Roman"/>
          <w:color w:val="auto"/>
          <w:u w:val="none" w:color="auto"/>
        </w:rPr>
        <w:t>左右，悬浮物浓度约2000mg/L。本工程基坑排水主要产生于工程基坑。</w:t>
      </w:r>
    </w:p>
    <w:p w14:paraId="04B1C5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初期基坑排水与水库水质基本相似，可经排水沟静置沉淀，排至水库下游</w:t>
      </w:r>
      <w:r>
        <w:rPr>
          <w:rFonts w:hint="eastAsia" w:cs="Times New Roman"/>
          <w:color w:val="auto"/>
          <w:u w:val="none" w:color="auto"/>
          <w:lang w:val="en-US" w:eastAsia="zh-CN"/>
        </w:rPr>
        <w:t>宜阳河</w:t>
      </w:r>
      <w:r>
        <w:rPr>
          <w:rFonts w:hint="default" w:ascii="Times New Roman" w:hAnsi="Times New Roman" w:cs="Times New Roman"/>
          <w:color w:val="auto"/>
          <w:u w:val="none" w:color="auto"/>
        </w:rPr>
        <w:t>。本项目拟在</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涵洞进口围堰设</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套沉淀池，</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套</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池，采用向沉淀池投加絮凝剂，静置沉淀2h后进入回用水池，上层清液回用于场区洒水降尘，不外排。污泥及时人工清除，运至弃渣场。</w:t>
      </w:r>
    </w:p>
    <w:p w14:paraId="37C75DA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2、灌浆施工废水</w:t>
      </w:r>
    </w:p>
    <w:p w14:paraId="56C89F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本次加固对大坝采用帷幕灌浆、高喷灌浆进行防渗加固处理。灌浆施工会产生一定量的碱性、浑浊度较高的施工废水。主要污染物是</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和SS，</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值为11~12，SS浓度约5000mg/L。</w:t>
      </w:r>
    </w:p>
    <w:p w14:paraId="6519D3C9">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在主副坝灌浆施工场地设置排放沟，出口处设置集水集浆池，收集废水、废浆，经沉淀池沉淀处理后进入回用水池，上层清液回用于场区洒水降尘，不外排。污泥及时人工清除，运至弃渣场</w:t>
      </w:r>
      <w:r>
        <w:rPr>
          <w:rFonts w:hint="default" w:ascii="Times New Roman" w:hAnsi="Times New Roman" w:cs="Times New Roman"/>
          <w:color w:val="auto"/>
          <w:u w:val="none" w:color="auto"/>
          <w:lang w:eastAsia="zh-CN"/>
        </w:rPr>
        <w:t>。</w:t>
      </w:r>
    </w:p>
    <w:p w14:paraId="0A5D9A34">
      <w:pPr>
        <w:bidi w:val="0"/>
        <w:rPr>
          <w:rFonts w:hint="default" w:ascii="Times New Roman" w:hAnsi="Times New Roman" w:cs="Times New Roman"/>
          <w:color w:val="auto"/>
          <w:highlight w:val="none"/>
          <w:u w:val="none" w:color="auto"/>
          <w:lang w:eastAsia="zh-CN"/>
        </w:rPr>
      </w:pP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eastAsia="zh-CN"/>
        </w:rPr>
        <w:t>砼搅拌系统废水</w:t>
      </w:r>
    </w:p>
    <w:p w14:paraId="20D37256">
      <w:pPr>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混凝土搅拌系统冲洗废水主要污染物为悬浮物和pH，废水的pH值9-12左右。根据类似工程施工区混凝土搅拌系统生产废水悬浮物浓度资料，搅拌系统废水悬浮物浓度约5000mg/L。该废水采用明沟集中排入污水池进行沉淀、中和处理后回用，在搅拌系统内实现废水零排放。拟将砼搅拌系统废水先采用明沟集中收集入初级处理池，初级处理池为平流式沉淀池，单个处理池总长度为4m ，有效宽度为1.5m，沉淀池有效水深为1.5m。经计算，初级处理池的日处理量均能满足砼搅拌系统废水处理要求</w:t>
      </w:r>
      <w:r>
        <w:rPr>
          <w:rFonts w:hint="eastAsia" w:cs="Times New Roman"/>
          <w:color w:val="auto"/>
          <w:highlight w:val="none"/>
          <w:u w:val="none" w:color="auto"/>
          <w:lang w:val="en-US" w:eastAsia="zh-CN"/>
        </w:rPr>
        <w:t>。</w:t>
      </w:r>
    </w:p>
    <w:p w14:paraId="253CBABA">
      <w:pPr>
        <w:bidi w:val="0"/>
        <w:rPr>
          <w:rFonts w:hint="default" w:ascii="Times New Roman" w:hAnsi="Times New Roman" w:cs="Times New Roman"/>
          <w:color w:val="auto"/>
          <w:highlight w:val="none"/>
          <w:u w:val="none" w:color="auto"/>
          <w:lang w:eastAsia="zh-CN"/>
        </w:rPr>
      </w:pP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lang w:eastAsia="zh-CN"/>
        </w:rPr>
        <w:t>机械、车辆冲洗废水</w:t>
      </w:r>
    </w:p>
    <w:p w14:paraId="4D1765DF">
      <w:pPr>
        <w:bidi w:val="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工程施工需定期清洗施工机械设备及运输车辆，施工机械及运输车辆在冲洗、检修、保养过程中将产生一定的含油废水，主要污染物成分为石油类和悬浮物，石油类浓度般约为10～50mg/L，悬浮物浓度约为500~2000mg/L。含油废水若不处理直接排放进入水体，很难通过水体的稀释扩散作用消减、降解，会在局部水域形成一层油膜，破坏水体的复氧条件，造成水体污染；含油废水若就地敞排，还将会改变土壤结构，不利于施工迹地恢复。</w:t>
      </w:r>
    </w:p>
    <w:p w14:paraId="322F8403">
      <w:pPr>
        <w:bidi w:val="0"/>
        <w:rPr>
          <w:rFonts w:hint="eastAsia" w:ascii="Times New Roman" w:hAnsi="Times New Roman" w:cs="Times New Roman"/>
          <w:color w:val="auto"/>
          <w:highlight w:val="none"/>
          <w:u w:val="none" w:color="auto"/>
          <w:lang w:val="en-US" w:eastAsia="zh-CN"/>
        </w:rPr>
      </w:pPr>
      <w:r>
        <w:rPr>
          <w:rFonts w:hint="eastAsia" w:ascii="Times New Roman" w:hAnsi="Times New Roman" w:cs="Times New Roman"/>
          <w:color w:val="auto"/>
          <w:highlight w:val="none"/>
          <w:u w:val="none" w:color="auto"/>
          <w:lang w:val="en-US" w:eastAsia="zh-CN"/>
        </w:rPr>
        <w:t>施工单位拟设临时机械、车辆冲洗废水处理池，经隔油、沉淀处理后回用于机械、车辆冲洗，禁止未经处理直接排放。</w:t>
      </w:r>
    </w:p>
    <w:p w14:paraId="0EB3605D">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、生活污水</w:t>
      </w:r>
    </w:p>
    <w:p w14:paraId="1D7B3049">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根据工程分析，生活污水产生量3.44</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施工劳动总工日约</w:t>
      </w:r>
      <w:r>
        <w:rPr>
          <w:rFonts w:hint="default" w:ascii="Times New Roman" w:hAnsi="Times New Roman" w:cs="Times New Roman"/>
          <w:color w:val="auto"/>
          <w:u w:val="none" w:color="auto"/>
          <w:lang w:eastAsia="zh-CN"/>
        </w:rPr>
        <w:t>0.45万个，</w:t>
      </w:r>
      <w:r>
        <w:rPr>
          <w:rFonts w:hint="default" w:ascii="Times New Roman" w:hAnsi="Times New Roman" w:cs="Times New Roman"/>
          <w:color w:val="auto"/>
          <w:u w:val="none" w:color="auto"/>
          <w:lang w:val="en-US" w:eastAsia="zh-CN"/>
        </w:rPr>
        <w:t>则施工期间总生活污水产生量1548</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lang w:val="en-US" w:eastAsia="zh-CN"/>
        </w:rPr>
        <w:t>，</w:t>
      </w:r>
      <w:r>
        <w:rPr>
          <w:rFonts w:hint="eastAsia" w:cs="Times New Roman"/>
          <w:color w:val="auto"/>
          <w:u w:val="none" w:color="auto"/>
          <w:lang w:val="en-US" w:eastAsia="zh-CN"/>
        </w:rPr>
        <w:t>依托水库管理所</w:t>
      </w:r>
      <w:r>
        <w:rPr>
          <w:rFonts w:hint="default" w:ascii="Times New Roman" w:hAnsi="Times New Roman" w:cs="Times New Roman"/>
          <w:color w:val="auto"/>
          <w:u w:val="none" w:color="auto"/>
          <w:lang w:val="en-US" w:eastAsia="zh-CN"/>
        </w:rPr>
        <w:t>化粪池，生活污水经化粪池处理后用于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，不外排。</w:t>
      </w:r>
    </w:p>
    <w:p w14:paraId="0C1E317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综上分析，项目施工废水处理后综合利用，施工生活污水经处理后用作</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，施工期无废水外排，对地表水环境的影响可接受。</w:t>
      </w:r>
    </w:p>
    <w:p w14:paraId="052D1B98">
      <w:pPr>
        <w:pStyle w:val="4"/>
        <w:bidi w:val="0"/>
        <w:ind w:left="0" w:leftChars="0" w:firstLine="0" w:firstLineChars="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水文要素影响分析</w:t>
      </w:r>
    </w:p>
    <w:p w14:paraId="023EBA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eastAsia" w:cs="Times New Roman"/>
          <w:color w:val="auto"/>
          <w:u w:val="none" w:color="auto"/>
          <w:lang w:val="en-US" w:eastAsia="zh-CN"/>
        </w:rPr>
        <w:t>水文情势</w:t>
      </w:r>
      <w:r>
        <w:rPr>
          <w:rFonts w:hint="default" w:ascii="Times New Roman" w:hAnsi="Times New Roman" w:cs="Times New Roman"/>
          <w:color w:val="auto"/>
          <w:u w:val="none" w:color="auto"/>
        </w:rPr>
        <w:t>的影响</w:t>
      </w:r>
    </w:p>
    <w:p w14:paraId="5E0B357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在施工期，本工程选择在</w:t>
      </w:r>
      <w:r>
        <w:rPr>
          <w:rFonts w:hint="eastAsia" w:cs="Times New Roman"/>
          <w:color w:val="auto"/>
          <w:u w:val="none" w:color="auto"/>
          <w:lang w:val="en-US" w:eastAsia="zh-CN"/>
        </w:rPr>
        <w:t>8</w:t>
      </w:r>
      <w:r>
        <w:rPr>
          <w:rFonts w:hint="default" w:ascii="Times New Roman" w:hAnsi="Times New Roman" w:cs="Times New Roman"/>
          <w:color w:val="auto"/>
          <w:u w:val="none" w:color="auto"/>
          <w:lang w:val="en-US" w:eastAsia="zh-CN"/>
        </w:rPr>
        <w:t>月开工，利用一个枯水期（9月-12月）完成主体工程施工库区内项目较小，除输水设施加固工程位于上游坝坡内，其余工程均在坝顶和坝下游坝坡。项目在输水涵洞进口附近做施工围堰，利用原输水涵洞导流，围堰选择在第1年10月施工，10月底具备挡水条件，至次年2月重建后的消力井或隧洞具备挡水条件，围堰拆除。导流时段为枯水期即10月至次年2月，而在丰水期水库及上下游坝的水力联系与现状相同。因此施工期对于水库及上下游坝水文情势的影响是短暂的，随着项目建设投入运行，原库区水文情势的变化将得以恢复。项目施工总工期为15个月，施工期间对廊洞水库及宜阳河的水位是可以接受的。施工期根据下游农田灌溉及下游梅花镇居民生产生活用水需求，通过预埋临时钢管满足供水灌溉需求，能保证坝下河道最小生态流量的下泄，不存在对下游河道水文情势的影响。</w:t>
      </w:r>
    </w:p>
    <w:p w14:paraId="32A23445">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本项目为水库除险加固工程，主要是解决水库目前存在的安全隐患，在已建成的水库大坝上进行修缮、改造和维护，不改变大坝位置、特性，不改变水库的特性及现有的工程任务，项目施工不改变水库防洪等级。施工期间水库水位较水位正常蓄水位会有所下降，但较往年枯水期水位变化不大，不会改变库区的水文情势。本项目水库除险加固工程实施后，水库的水位、防洪标准和泄洪流量、灌溉水量都不发生明显改变。因此本项目水库除险加固工程实施后，对水库库区及坝下游水体的稀释扩散能力、水质均不会发生变化。项目施工过程中会对附近水环境产生一定的影响，施工期主要可通过加强管理，采取合理安排施工时间、枯水期施工、施工废水回用等措施来减缓水库建设对地表水的影响。在采取合理有效的各项措施后，项目施工对地表水环境的影响将被降低至最低程度。</w:t>
      </w:r>
    </w:p>
    <w:p w14:paraId="53360C1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廊洞水库水位与库容曲线表关系如下所示:</w:t>
      </w:r>
    </w:p>
    <w:p w14:paraId="0C33F1F3">
      <w:pPr>
        <w:bidi w:val="0"/>
        <w:ind w:left="0" w:leftChars="0" w:firstLine="0" w:firstLineChars="0"/>
        <w:jc w:val="cente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drawing>
          <wp:inline distT="0" distB="0" distL="114300" distR="114300">
            <wp:extent cx="4392930" cy="2794000"/>
            <wp:effectExtent l="0" t="0" r="0"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70"/>
                    <a:srcRect b="2590"/>
                    <a:stretch>
                      <a:fillRect/>
                    </a:stretch>
                  </pic:blipFill>
                  <pic:spPr>
                    <a:xfrm>
                      <a:off x="0" y="0"/>
                      <a:ext cx="4392930" cy="2794000"/>
                    </a:xfrm>
                    <a:prstGeom prst="rect">
                      <a:avLst/>
                    </a:prstGeom>
                    <a:noFill/>
                    <a:ln>
                      <a:noFill/>
                    </a:ln>
                  </pic:spPr>
                </pic:pic>
              </a:graphicData>
            </a:graphic>
          </wp:inline>
        </w:drawing>
      </w:r>
    </w:p>
    <w:p w14:paraId="3937DBD0">
      <w:pPr>
        <w:bidi w:val="0"/>
        <w:jc w:val="center"/>
        <w:rPr>
          <w:rFonts w:hint="default" w:ascii="Times New Roman" w:hAnsi="Times New Roman" w:cs="Times New Roman"/>
          <w:b/>
          <w:bCs/>
          <w:color w:val="auto"/>
          <w:u w:val="none" w:color="auto"/>
          <w:lang w:val="en-US" w:eastAsia="zh-CN"/>
        </w:rPr>
      </w:pPr>
      <w:r>
        <w:rPr>
          <w:rFonts w:hint="default" w:ascii="Times New Roman" w:hAnsi="Times New Roman" w:cs="Times New Roman"/>
          <w:b/>
          <w:bCs/>
          <w:color w:val="auto"/>
          <w:u w:val="none" w:color="auto"/>
        </w:rPr>
        <w:t>图</w:t>
      </w:r>
      <w:r>
        <w:rPr>
          <w:rFonts w:hint="eastAsia" w:ascii="Times New Roman" w:hAnsi="Times New Roman" w:cs="Times New Roman"/>
          <w:b/>
          <w:bCs/>
          <w:color w:val="auto"/>
          <w:u w:val="none" w:color="auto"/>
          <w:lang w:val="en-US" w:eastAsia="zh-CN"/>
        </w:rPr>
        <w:t>6.2</w:t>
      </w:r>
      <w:r>
        <w:rPr>
          <w:rFonts w:hint="default" w:ascii="Times New Roman" w:hAnsi="Times New Roman" w:cs="Times New Roman"/>
          <w:b/>
          <w:bCs/>
          <w:color w:val="auto"/>
          <w:u w:val="none" w:color="auto"/>
          <w:lang w:val="en-US" w:eastAsia="zh-CN"/>
        </w:rPr>
        <w:t xml:space="preserve">-1  </w:t>
      </w:r>
      <w:r>
        <w:rPr>
          <w:rFonts w:hint="default" w:ascii="Times New Roman" w:hAnsi="Times New Roman" w:cs="Times New Roman"/>
          <w:b/>
          <w:bCs/>
          <w:color w:val="auto"/>
          <w:u w:val="none" w:color="auto"/>
        </w:rPr>
        <w:t>廊洞水库库容关系曲线</w:t>
      </w:r>
    </w:p>
    <w:p w14:paraId="2848D1A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对河势稳定和行洪的影响</w:t>
      </w:r>
    </w:p>
    <w:p w14:paraId="132D9E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本项目对</w:t>
      </w:r>
      <w:r>
        <w:rPr>
          <w:rFonts w:hint="default" w:ascii="Times New Roman" w:hAnsi="Times New Roman" w:cs="Times New Roman"/>
          <w:color w:val="auto"/>
          <w:u w:val="none" w:color="auto"/>
          <w:lang w:eastAsia="zh-CN"/>
        </w:rPr>
        <w:t>廊洞水库大坝坝体、坝基、坝肩防渗加固处理、上游坝坡局部塌坡整修、大坝下游排水沟延伸重建、溢洪道加固改造、新建塔式取水设施以及原隧洞加固改造、防汛道路沿库岸边坡支护、水库标准化建设</w:t>
      </w:r>
      <w:r>
        <w:rPr>
          <w:rFonts w:hint="default" w:ascii="Times New Roman" w:hAnsi="Times New Roman" w:cs="Times New Roman"/>
          <w:color w:val="auto"/>
          <w:u w:val="none" w:color="auto"/>
        </w:rPr>
        <w:t>等。项目建成后</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不改变水库的库容、设计洪水位等特性指标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且加强了水库防洪设施安全运行的保障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有利于水库的正常运行。</w:t>
      </w:r>
    </w:p>
    <w:p w14:paraId="5793528E">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地下水环境影响分析</w:t>
      </w:r>
    </w:p>
    <w:p w14:paraId="2713256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 xml:space="preserve">工程施工期过程对地下水的影响主要体现在施工废水未经处理直接外泄通过溶沟、溶槽、裂隙等渗入地下，对一定范围内的地下水造成污染。 </w:t>
      </w:r>
    </w:p>
    <w:p w14:paraId="3D941AB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库区水文地质条件较简单，地下水类型主要为孔隙性潜水和基岩裂隙性潜水，主要接受大气降水补给，以两侧山脊线为分水岭排泄于沟谷洼地及河流，水位埋深一般在2~4m。水库河床覆盖层、全风化层厚3~6m，下覆基岩主要为花岗岩。根据现场测绘调查，库区未见有地下河、落水洞、干谷等现象的分布。</w:t>
      </w:r>
    </w:p>
    <w:p w14:paraId="342DFDD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1、对地下水水位影响</w:t>
      </w:r>
    </w:p>
    <w:p w14:paraId="698E2FF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工程施工排水会造成小范围的地下水水位下降，但施工期较短，工程结束后，随着降雨和周围地下水的补给，很快会达到原来的水位，工程施工对地下水位影响不大。</w:t>
      </w:r>
    </w:p>
    <w:p w14:paraId="0A169E9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2、对地下水水质影响</w:t>
      </w:r>
    </w:p>
    <w:p w14:paraId="0578DC8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工程施工过程对地下水的污染主要是由于工程施工废水以及生活污水渗入地下，可能污染地下水。工程施工期生产废水通过沉淀等措施处理后回用于施工工艺不外排，对区域地下水水质影响不大</w:t>
      </w:r>
      <w:r>
        <w:rPr>
          <w:rFonts w:hint="default" w:ascii="Times New Roman" w:hAnsi="Times New Roman" w:cs="Times New Roman"/>
          <w:color w:val="auto"/>
          <w:u w:val="none" w:color="auto"/>
        </w:rPr>
        <w:t>。</w:t>
      </w:r>
    </w:p>
    <w:p w14:paraId="7107C8E9">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声环境影响分析</w:t>
      </w:r>
    </w:p>
    <w:p w14:paraId="6C7412D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声环境影响源数量较多，但大致可分为固定源噪声、交通噪声，根据工程施工布置特点，本环评拟按噪声源特点分类就施工期声环境影响进行预测与分析，重点分析施工噪声对附近敏感目标以及工程影响区声环境的影响。</w:t>
      </w:r>
    </w:p>
    <w:p w14:paraId="5F0354D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固定源噪声</w:t>
      </w:r>
    </w:p>
    <w:p w14:paraId="6D45E40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施工期间隧洞开挖将对声环境造成一定影响，主要噪声源为挖掘机、推土机、装载机、手风钻机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气腿式风动凿岩机等声级较高的机械设备噪声。</w:t>
      </w:r>
    </w:p>
    <w:p w14:paraId="37B72EA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HJ2.4-2021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，户外声传播衰减包括几何发散、大气吸收、地面效应、屏障屏蔽及其他多方面效应引起的衰减。此处根据项目特点及实际情况，同时考虑最不利条件，拟只考虑几何发散引起的衰减。</w:t>
      </w:r>
    </w:p>
    <w:p w14:paraId="0EC1D55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采用无指向性点声源几何发散衰减的基本公式</w:t>
      </w:r>
      <w:r>
        <w:rPr>
          <w:rFonts w:hint="default" w:ascii="Times New Roman" w:hAnsi="Times New Roman" w:cs="Times New Roman"/>
          <w:color w:val="auto"/>
          <w:u w:val="none" w:color="auto"/>
          <w:lang w:eastAsia="zh-CN"/>
        </w:rPr>
        <w:t>:</w:t>
      </w:r>
    </w:p>
    <w:p w14:paraId="208A1C4C">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2286000" cy="426085"/>
            <wp:effectExtent l="0" t="0" r="0" b="63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71"/>
                    <a:stretch>
                      <a:fillRect/>
                    </a:stretch>
                  </pic:blipFill>
                  <pic:spPr>
                    <a:xfrm>
                      <a:off x="0" y="0"/>
                      <a:ext cx="2286000" cy="426085"/>
                    </a:xfrm>
                    <a:prstGeom prst="rect">
                      <a:avLst/>
                    </a:prstGeom>
                    <a:noFill/>
                    <a:ln>
                      <a:noFill/>
                    </a:ln>
                  </pic:spPr>
                </pic:pic>
              </a:graphicData>
            </a:graphic>
          </wp:inline>
        </w:drawing>
      </w:r>
    </w:p>
    <w:p w14:paraId="51774D67">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Lp(r)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预测点处声压级，dB；</w:t>
      </w:r>
    </w:p>
    <w:p w14:paraId="6E06A035">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Lp(r0)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参考位置</w:t>
      </w:r>
      <w:r>
        <w:rPr>
          <w:rFonts w:hint="default" w:ascii="Times New Roman" w:hAnsi="Times New Roman" w:cs="Times New Roman"/>
          <w:i/>
          <w:iCs/>
          <w:color w:val="auto"/>
          <w:u w:val="none" w:color="auto"/>
        </w:rPr>
        <w:t>r</w:t>
      </w:r>
      <w:r>
        <w:rPr>
          <w:rFonts w:hint="default" w:ascii="Times New Roman" w:hAnsi="Times New Roman" w:cs="Times New Roman"/>
          <w:i/>
          <w:iCs/>
          <w:color w:val="auto"/>
          <w:u w:val="none" w:color="auto"/>
          <w:vertAlign w:val="subscript"/>
        </w:rPr>
        <w:t>0</w:t>
      </w:r>
      <w:r>
        <w:rPr>
          <w:rFonts w:hint="default" w:ascii="Times New Roman" w:hAnsi="Times New Roman" w:cs="Times New Roman"/>
          <w:color w:val="auto"/>
          <w:u w:val="none" w:color="auto"/>
        </w:rPr>
        <w:t>处的声压级，dB；</w:t>
      </w:r>
    </w:p>
    <w:p w14:paraId="1BBA3CEA">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预测点距声源的距离；</w:t>
      </w:r>
    </w:p>
    <w:p w14:paraId="7C5AB5CC">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r</w:t>
      </w:r>
      <w:r>
        <w:rPr>
          <w:rFonts w:hint="default" w:ascii="Times New Roman" w:hAnsi="Times New Roman" w:cs="Times New Roman"/>
          <w:i/>
          <w:iCs/>
          <w:color w:val="auto"/>
          <w:u w:val="none" w:color="auto"/>
          <w:vertAlign w:val="subscript"/>
        </w:rPr>
        <w:t>0</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参考位置距声源的距离。</w:t>
      </w:r>
    </w:p>
    <w:p w14:paraId="3A7C7E5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施工期主要噪声源在不同距离处预测结果见表</w:t>
      </w:r>
      <w:r>
        <w:rPr>
          <w:rFonts w:hint="eastAsia" w:ascii="Times New Roman" w:hAnsi="Times New Roman" w:cs="Times New Roman"/>
          <w:color w:val="auto"/>
          <w:u w:val="none" w:color="auto"/>
          <w:lang w:val="en-US" w:eastAsia="zh-CN"/>
        </w:rPr>
        <w:t>6.2</w:t>
      </w:r>
      <w:r>
        <w:rPr>
          <w:rFonts w:hint="default" w:ascii="Times New Roman" w:hAnsi="Times New Roman" w:cs="Times New Roman"/>
          <w:color w:val="auto"/>
          <w:u w:val="none" w:color="auto"/>
          <w:lang w:val="en-US" w:eastAsia="zh-CN"/>
        </w:rPr>
        <w:t>-</w:t>
      </w:r>
      <w:r>
        <w:rPr>
          <w:rFonts w:hint="eastAsia"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w:t>
      </w:r>
    </w:p>
    <w:p w14:paraId="50E4C393">
      <w:pPr>
        <w:bidi w:val="0"/>
        <w:spacing w:line="240" w:lineRule="auto"/>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6.2</w:t>
      </w:r>
      <w:r>
        <w:rPr>
          <w:rFonts w:hint="default" w:ascii="Times New Roman" w:hAnsi="Times New Roman" w:cs="Times New Roman"/>
          <w:b/>
          <w:bCs/>
          <w:color w:val="auto"/>
          <w:sz w:val="21"/>
          <w:szCs w:val="21"/>
          <w:u w:val="none" w:color="auto"/>
        </w:rPr>
        <w:t>-</w:t>
      </w:r>
      <w:r>
        <w:rPr>
          <w:rFonts w:hint="eastAsia" w:ascii="Times New Roman" w:hAnsi="Times New Roman" w:cs="Times New Roman"/>
          <w:b/>
          <w:bCs/>
          <w:color w:val="auto"/>
          <w:sz w:val="21"/>
          <w:szCs w:val="21"/>
          <w:u w:val="none" w:color="auto"/>
          <w:lang w:val="en-US" w:eastAsia="zh-CN"/>
        </w:rPr>
        <w:t>3</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主要施工机械不同距离处的噪声级  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dB(A)</w:t>
      </w:r>
    </w:p>
    <w:p w14:paraId="68ABB374">
      <w:pPr>
        <w:spacing w:line="16" w:lineRule="auto"/>
        <w:rPr>
          <w:rFonts w:hint="default" w:ascii="Times New Roman" w:hAnsi="Times New Roman" w:cs="Times New Roman"/>
          <w:color w:val="auto"/>
          <w:sz w:val="2"/>
          <w:u w:val="none" w:color="auto"/>
        </w:rPr>
      </w:pPr>
    </w:p>
    <w:tbl>
      <w:tblPr>
        <w:tblStyle w:val="162"/>
        <w:tblW w:w="843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3"/>
        <w:gridCol w:w="834"/>
        <w:gridCol w:w="807"/>
        <w:gridCol w:w="787"/>
        <w:gridCol w:w="680"/>
        <w:gridCol w:w="800"/>
        <w:gridCol w:w="680"/>
        <w:gridCol w:w="802"/>
        <w:gridCol w:w="804"/>
        <w:gridCol w:w="817"/>
      </w:tblGrid>
      <w:tr w14:paraId="3BF41D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top w:val="single" w:color="000000" w:sz="10" w:space="0"/>
              <w:left w:val="single" w:color="000000" w:sz="10" w:space="0"/>
            </w:tcBorders>
            <w:vAlign w:val="center"/>
          </w:tcPr>
          <w:p w14:paraId="565F39FB">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机械名称</w:t>
            </w:r>
          </w:p>
        </w:tc>
        <w:tc>
          <w:tcPr>
            <w:tcW w:w="834" w:type="dxa"/>
            <w:tcBorders>
              <w:top w:val="single" w:color="000000" w:sz="10" w:space="0"/>
            </w:tcBorders>
            <w:vAlign w:val="center"/>
          </w:tcPr>
          <w:p w14:paraId="5ADF8AA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5m</w:t>
            </w:r>
          </w:p>
        </w:tc>
        <w:tc>
          <w:tcPr>
            <w:tcW w:w="807" w:type="dxa"/>
            <w:tcBorders>
              <w:top w:val="single" w:color="000000" w:sz="10" w:space="0"/>
            </w:tcBorders>
            <w:vAlign w:val="center"/>
          </w:tcPr>
          <w:p w14:paraId="56FBBC8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10m</w:t>
            </w:r>
          </w:p>
        </w:tc>
        <w:tc>
          <w:tcPr>
            <w:tcW w:w="787" w:type="dxa"/>
            <w:tcBorders>
              <w:top w:val="single" w:color="000000" w:sz="10" w:space="0"/>
            </w:tcBorders>
            <w:vAlign w:val="center"/>
          </w:tcPr>
          <w:p w14:paraId="0D1C892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20m</w:t>
            </w:r>
          </w:p>
        </w:tc>
        <w:tc>
          <w:tcPr>
            <w:tcW w:w="680" w:type="dxa"/>
            <w:tcBorders>
              <w:top w:val="single" w:color="000000" w:sz="10" w:space="0"/>
            </w:tcBorders>
            <w:vAlign w:val="center"/>
          </w:tcPr>
          <w:p w14:paraId="5E2F105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40m</w:t>
            </w:r>
          </w:p>
        </w:tc>
        <w:tc>
          <w:tcPr>
            <w:tcW w:w="800" w:type="dxa"/>
            <w:tcBorders>
              <w:top w:val="single" w:color="000000" w:sz="10" w:space="0"/>
            </w:tcBorders>
            <w:vAlign w:val="center"/>
          </w:tcPr>
          <w:p w14:paraId="4F1472D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60m</w:t>
            </w:r>
          </w:p>
        </w:tc>
        <w:tc>
          <w:tcPr>
            <w:tcW w:w="680" w:type="dxa"/>
            <w:tcBorders>
              <w:top w:val="single" w:color="000000" w:sz="10" w:space="0"/>
            </w:tcBorders>
            <w:vAlign w:val="center"/>
          </w:tcPr>
          <w:p w14:paraId="3D1EEAC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80m</w:t>
            </w:r>
          </w:p>
        </w:tc>
        <w:tc>
          <w:tcPr>
            <w:tcW w:w="802" w:type="dxa"/>
            <w:tcBorders>
              <w:top w:val="single" w:color="000000" w:sz="10" w:space="0"/>
            </w:tcBorders>
            <w:vAlign w:val="center"/>
          </w:tcPr>
          <w:p w14:paraId="714B01A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100m</w:t>
            </w:r>
          </w:p>
        </w:tc>
        <w:tc>
          <w:tcPr>
            <w:tcW w:w="804" w:type="dxa"/>
            <w:tcBorders>
              <w:top w:val="single" w:color="000000" w:sz="10" w:space="0"/>
            </w:tcBorders>
            <w:vAlign w:val="center"/>
          </w:tcPr>
          <w:p w14:paraId="59132DE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150m</w:t>
            </w:r>
          </w:p>
        </w:tc>
        <w:tc>
          <w:tcPr>
            <w:tcW w:w="817" w:type="dxa"/>
            <w:tcBorders>
              <w:top w:val="single" w:color="000000" w:sz="10" w:space="0"/>
              <w:right w:val="single" w:color="000000" w:sz="10" w:space="0"/>
            </w:tcBorders>
            <w:vAlign w:val="center"/>
          </w:tcPr>
          <w:p w14:paraId="200124E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200m</w:t>
            </w:r>
          </w:p>
        </w:tc>
      </w:tr>
      <w:tr w14:paraId="1D3654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1A9A52B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挖掘机</w:t>
            </w:r>
          </w:p>
        </w:tc>
        <w:tc>
          <w:tcPr>
            <w:tcW w:w="834" w:type="dxa"/>
            <w:shd w:val="clear" w:color="auto" w:fill="auto"/>
            <w:vAlign w:val="center"/>
          </w:tcPr>
          <w:p w14:paraId="076DDF0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84</w:t>
            </w:r>
          </w:p>
        </w:tc>
        <w:tc>
          <w:tcPr>
            <w:tcW w:w="807" w:type="dxa"/>
            <w:shd w:val="clear" w:color="auto" w:fill="auto"/>
            <w:vAlign w:val="center"/>
          </w:tcPr>
          <w:p w14:paraId="5E66AF9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78</w:t>
            </w:r>
          </w:p>
        </w:tc>
        <w:tc>
          <w:tcPr>
            <w:tcW w:w="787" w:type="dxa"/>
            <w:shd w:val="clear" w:color="auto" w:fill="auto"/>
            <w:vAlign w:val="center"/>
          </w:tcPr>
          <w:p w14:paraId="774175D3">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72</w:t>
            </w:r>
          </w:p>
        </w:tc>
        <w:tc>
          <w:tcPr>
            <w:tcW w:w="680" w:type="dxa"/>
            <w:shd w:val="clear" w:color="auto" w:fill="auto"/>
            <w:vAlign w:val="center"/>
          </w:tcPr>
          <w:p w14:paraId="747290B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w:t>
            </w:r>
          </w:p>
        </w:tc>
        <w:tc>
          <w:tcPr>
            <w:tcW w:w="800" w:type="dxa"/>
            <w:shd w:val="clear" w:color="auto" w:fill="auto"/>
            <w:vAlign w:val="center"/>
          </w:tcPr>
          <w:p w14:paraId="00FB203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62.5</w:t>
            </w:r>
          </w:p>
        </w:tc>
        <w:tc>
          <w:tcPr>
            <w:tcW w:w="680" w:type="dxa"/>
            <w:shd w:val="clear" w:color="auto" w:fill="auto"/>
            <w:vAlign w:val="center"/>
          </w:tcPr>
          <w:p w14:paraId="7C4A48D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c>
          <w:tcPr>
            <w:tcW w:w="802" w:type="dxa"/>
            <w:shd w:val="clear" w:color="auto" w:fill="auto"/>
            <w:vAlign w:val="center"/>
          </w:tcPr>
          <w:p w14:paraId="4994725A">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58</w:t>
            </w:r>
          </w:p>
        </w:tc>
        <w:tc>
          <w:tcPr>
            <w:tcW w:w="804" w:type="dxa"/>
            <w:shd w:val="clear" w:color="auto" w:fill="auto"/>
            <w:vAlign w:val="center"/>
          </w:tcPr>
          <w:p w14:paraId="797EC498">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54.5</w:t>
            </w:r>
          </w:p>
        </w:tc>
        <w:tc>
          <w:tcPr>
            <w:tcW w:w="817" w:type="dxa"/>
            <w:tcBorders>
              <w:right w:val="single" w:color="000000" w:sz="10" w:space="0"/>
            </w:tcBorders>
            <w:shd w:val="clear" w:color="auto" w:fill="auto"/>
            <w:vAlign w:val="center"/>
          </w:tcPr>
          <w:p w14:paraId="0E8377A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52</w:t>
            </w:r>
          </w:p>
        </w:tc>
      </w:tr>
      <w:tr w14:paraId="74033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40F0DAC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推土机</w:t>
            </w:r>
          </w:p>
        </w:tc>
        <w:tc>
          <w:tcPr>
            <w:tcW w:w="834" w:type="dxa"/>
            <w:shd w:val="clear" w:color="auto" w:fill="auto"/>
            <w:vAlign w:val="center"/>
          </w:tcPr>
          <w:p w14:paraId="4FEFE97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86</w:t>
            </w:r>
          </w:p>
        </w:tc>
        <w:tc>
          <w:tcPr>
            <w:tcW w:w="807" w:type="dxa"/>
            <w:shd w:val="clear" w:color="auto" w:fill="auto"/>
            <w:vAlign w:val="center"/>
          </w:tcPr>
          <w:p w14:paraId="2398123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80</w:t>
            </w:r>
          </w:p>
        </w:tc>
        <w:tc>
          <w:tcPr>
            <w:tcW w:w="787" w:type="dxa"/>
            <w:shd w:val="clear" w:color="auto" w:fill="auto"/>
            <w:vAlign w:val="center"/>
          </w:tcPr>
          <w:p w14:paraId="6DD8E52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74</w:t>
            </w:r>
          </w:p>
        </w:tc>
        <w:tc>
          <w:tcPr>
            <w:tcW w:w="680" w:type="dxa"/>
            <w:shd w:val="clear" w:color="auto" w:fill="auto"/>
            <w:vAlign w:val="center"/>
          </w:tcPr>
          <w:p w14:paraId="140BF83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70.5</w:t>
            </w:r>
          </w:p>
        </w:tc>
        <w:tc>
          <w:tcPr>
            <w:tcW w:w="800" w:type="dxa"/>
            <w:shd w:val="clear" w:color="auto" w:fill="auto"/>
            <w:vAlign w:val="center"/>
          </w:tcPr>
          <w:p w14:paraId="0FAA255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66.1</w:t>
            </w:r>
          </w:p>
        </w:tc>
        <w:tc>
          <w:tcPr>
            <w:tcW w:w="680" w:type="dxa"/>
            <w:shd w:val="clear" w:color="auto" w:fill="auto"/>
            <w:vAlign w:val="center"/>
          </w:tcPr>
          <w:p w14:paraId="2D5DD7B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64.5</w:t>
            </w:r>
          </w:p>
        </w:tc>
        <w:tc>
          <w:tcPr>
            <w:tcW w:w="802" w:type="dxa"/>
            <w:shd w:val="clear" w:color="auto" w:fill="auto"/>
            <w:vAlign w:val="center"/>
          </w:tcPr>
          <w:p w14:paraId="6EFA388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60.1</w:t>
            </w:r>
          </w:p>
        </w:tc>
        <w:tc>
          <w:tcPr>
            <w:tcW w:w="804" w:type="dxa"/>
            <w:shd w:val="clear" w:color="auto" w:fill="auto"/>
            <w:vAlign w:val="center"/>
          </w:tcPr>
          <w:p w14:paraId="1ABD9FFF">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56.6</w:t>
            </w:r>
          </w:p>
        </w:tc>
        <w:tc>
          <w:tcPr>
            <w:tcW w:w="817" w:type="dxa"/>
            <w:tcBorders>
              <w:right w:val="single" w:color="000000" w:sz="10" w:space="0"/>
            </w:tcBorders>
            <w:shd w:val="clear" w:color="auto" w:fill="auto"/>
            <w:vAlign w:val="center"/>
          </w:tcPr>
          <w:p w14:paraId="5D7FEA1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50.6</w:t>
            </w:r>
          </w:p>
        </w:tc>
      </w:tr>
      <w:tr w14:paraId="66F690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385EB71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钻机</w:t>
            </w:r>
          </w:p>
        </w:tc>
        <w:tc>
          <w:tcPr>
            <w:tcW w:w="834" w:type="dxa"/>
            <w:shd w:val="clear" w:color="auto" w:fill="auto"/>
            <w:vAlign w:val="center"/>
          </w:tcPr>
          <w:p w14:paraId="7CD3F1A6">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95</w:t>
            </w:r>
          </w:p>
        </w:tc>
        <w:tc>
          <w:tcPr>
            <w:tcW w:w="807" w:type="dxa"/>
            <w:shd w:val="clear" w:color="auto" w:fill="auto"/>
            <w:vAlign w:val="center"/>
          </w:tcPr>
          <w:p w14:paraId="62744536">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89</w:t>
            </w:r>
          </w:p>
        </w:tc>
        <w:tc>
          <w:tcPr>
            <w:tcW w:w="787" w:type="dxa"/>
            <w:shd w:val="clear" w:color="auto" w:fill="auto"/>
            <w:vAlign w:val="center"/>
          </w:tcPr>
          <w:p w14:paraId="669649D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83</w:t>
            </w:r>
          </w:p>
        </w:tc>
        <w:tc>
          <w:tcPr>
            <w:tcW w:w="680" w:type="dxa"/>
            <w:shd w:val="clear" w:color="auto" w:fill="auto"/>
            <w:vAlign w:val="center"/>
          </w:tcPr>
          <w:p w14:paraId="1098A77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w:t>
            </w:r>
          </w:p>
        </w:tc>
        <w:tc>
          <w:tcPr>
            <w:tcW w:w="800" w:type="dxa"/>
            <w:shd w:val="clear" w:color="auto" w:fill="auto"/>
            <w:vAlign w:val="center"/>
          </w:tcPr>
          <w:p w14:paraId="6EE04EB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73.5</w:t>
            </w:r>
          </w:p>
        </w:tc>
        <w:tc>
          <w:tcPr>
            <w:tcW w:w="680" w:type="dxa"/>
            <w:shd w:val="clear" w:color="auto" w:fill="auto"/>
            <w:vAlign w:val="center"/>
          </w:tcPr>
          <w:p w14:paraId="4A1A50B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71</w:t>
            </w:r>
          </w:p>
        </w:tc>
        <w:tc>
          <w:tcPr>
            <w:tcW w:w="802" w:type="dxa"/>
            <w:shd w:val="clear" w:color="auto" w:fill="auto"/>
            <w:vAlign w:val="center"/>
          </w:tcPr>
          <w:p w14:paraId="1D95395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804" w:type="dxa"/>
            <w:shd w:val="clear" w:color="auto" w:fill="auto"/>
            <w:vAlign w:val="center"/>
          </w:tcPr>
          <w:p w14:paraId="5962C77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65.5</w:t>
            </w:r>
          </w:p>
        </w:tc>
        <w:tc>
          <w:tcPr>
            <w:tcW w:w="817" w:type="dxa"/>
            <w:tcBorders>
              <w:right w:val="single" w:color="000000" w:sz="10" w:space="0"/>
            </w:tcBorders>
            <w:shd w:val="clear" w:color="auto" w:fill="auto"/>
            <w:vAlign w:val="center"/>
          </w:tcPr>
          <w:p w14:paraId="5E461A8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r>
      <w:tr w14:paraId="0C338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2B548DF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凿岩机</w:t>
            </w:r>
          </w:p>
        </w:tc>
        <w:tc>
          <w:tcPr>
            <w:tcW w:w="834" w:type="dxa"/>
            <w:shd w:val="clear" w:color="auto" w:fill="auto"/>
            <w:vAlign w:val="center"/>
          </w:tcPr>
          <w:p w14:paraId="3D9F10D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95</w:t>
            </w:r>
          </w:p>
        </w:tc>
        <w:tc>
          <w:tcPr>
            <w:tcW w:w="807" w:type="dxa"/>
            <w:shd w:val="clear" w:color="auto" w:fill="auto"/>
            <w:vAlign w:val="center"/>
          </w:tcPr>
          <w:p w14:paraId="70A7C5B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89</w:t>
            </w:r>
          </w:p>
        </w:tc>
        <w:tc>
          <w:tcPr>
            <w:tcW w:w="787" w:type="dxa"/>
            <w:shd w:val="clear" w:color="auto" w:fill="auto"/>
            <w:vAlign w:val="center"/>
          </w:tcPr>
          <w:p w14:paraId="03772E1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83</w:t>
            </w:r>
          </w:p>
        </w:tc>
        <w:tc>
          <w:tcPr>
            <w:tcW w:w="680" w:type="dxa"/>
            <w:shd w:val="clear" w:color="auto" w:fill="auto"/>
            <w:vAlign w:val="center"/>
          </w:tcPr>
          <w:p w14:paraId="4F14811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w:t>
            </w:r>
          </w:p>
        </w:tc>
        <w:tc>
          <w:tcPr>
            <w:tcW w:w="800" w:type="dxa"/>
            <w:shd w:val="clear" w:color="auto" w:fill="auto"/>
            <w:vAlign w:val="center"/>
          </w:tcPr>
          <w:p w14:paraId="40AE66A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73.5</w:t>
            </w:r>
          </w:p>
        </w:tc>
        <w:tc>
          <w:tcPr>
            <w:tcW w:w="680" w:type="dxa"/>
            <w:shd w:val="clear" w:color="auto" w:fill="auto"/>
            <w:vAlign w:val="center"/>
          </w:tcPr>
          <w:p w14:paraId="6D99156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71</w:t>
            </w:r>
          </w:p>
        </w:tc>
        <w:tc>
          <w:tcPr>
            <w:tcW w:w="802" w:type="dxa"/>
            <w:shd w:val="clear" w:color="auto" w:fill="auto"/>
            <w:vAlign w:val="center"/>
          </w:tcPr>
          <w:p w14:paraId="3F339A48">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804" w:type="dxa"/>
            <w:shd w:val="clear" w:color="auto" w:fill="auto"/>
            <w:vAlign w:val="center"/>
          </w:tcPr>
          <w:p w14:paraId="4D91D0C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65.5</w:t>
            </w:r>
          </w:p>
        </w:tc>
        <w:tc>
          <w:tcPr>
            <w:tcW w:w="817" w:type="dxa"/>
            <w:tcBorders>
              <w:right w:val="single" w:color="000000" w:sz="10" w:space="0"/>
            </w:tcBorders>
            <w:shd w:val="clear" w:color="auto" w:fill="auto"/>
            <w:vAlign w:val="center"/>
          </w:tcPr>
          <w:p w14:paraId="688891F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w:t>
            </w:r>
          </w:p>
        </w:tc>
      </w:tr>
      <w:tr w14:paraId="357885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6EEBFBF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装载机</w:t>
            </w:r>
          </w:p>
        </w:tc>
        <w:tc>
          <w:tcPr>
            <w:tcW w:w="834" w:type="dxa"/>
            <w:shd w:val="clear" w:color="auto" w:fill="auto"/>
            <w:vAlign w:val="center"/>
          </w:tcPr>
          <w:p w14:paraId="4F967EA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90</w:t>
            </w:r>
          </w:p>
        </w:tc>
        <w:tc>
          <w:tcPr>
            <w:tcW w:w="807" w:type="dxa"/>
            <w:shd w:val="clear" w:color="auto" w:fill="auto"/>
            <w:vAlign w:val="center"/>
          </w:tcPr>
          <w:p w14:paraId="32970AD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84</w:t>
            </w:r>
          </w:p>
        </w:tc>
        <w:tc>
          <w:tcPr>
            <w:tcW w:w="787" w:type="dxa"/>
            <w:shd w:val="clear" w:color="auto" w:fill="auto"/>
            <w:vAlign w:val="center"/>
          </w:tcPr>
          <w:p w14:paraId="2702888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78</w:t>
            </w:r>
          </w:p>
        </w:tc>
        <w:tc>
          <w:tcPr>
            <w:tcW w:w="680" w:type="dxa"/>
            <w:shd w:val="clear" w:color="auto" w:fill="auto"/>
            <w:vAlign w:val="center"/>
          </w:tcPr>
          <w:p w14:paraId="32D21E3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70</w:t>
            </w:r>
          </w:p>
        </w:tc>
        <w:tc>
          <w:tcPr>
            <w:tcW w:w="800" w:type="dxa"/>
            <w:shd w:val="clear" w:color="auto" w:fill="auto"/>
            <w:vAlign w:val="center"/>
          </w:tcPr>
          <w:p w14:paraId="272E22F3">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68.5</w:t>
            </w:r>
          </w:p>
        </w:tc>
        <w:tc>
          <w:tcPr>
            <w:tcW w:w="680" w:type="dxa"/>
            <w:shd w:val="clear" w:color="auto" w:fill="auto"/>
            <w:vAlign w:val="center"/>
          </w:tcPr>
          <w:p w14:paraId="647B977C">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66</w:t>
            </w:r>
          </w:p>
        </w:tc>
        <w:tc>
          <w:tcPr>
            <w:tcW w:w="802" w:type="dxa"/>
            <w:shd w:val="clear" w:color="auto" w:fill="auto"/>
            <w:vAlign w:val="center"/>
          </w:tcPr>
          <w:p w14:paraId="4B6C332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w:t>
            </w:r>
          </w:p>
        </w:tc>
        <w:tc>
          <w:tcPr>
            <w:tcW w:w="804" w:type="dxa"/>
            <w:shd w:val="clear" w:color="auto" w:fill="auto"/>
            <w:vAlign w:val="center"/>
          </w:tcPr>
          <w:p w14:paraId="1F58C627">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60.5</w:t>
            </w:r>
          </w:p>
        </w:tc>
        <w:tc>
          <w:tcPr>
            <w:tcW w:w="817" w:type="dxa"/>
            <w:tcBorders>
              <w:right w:val="single" w:color="000000" w:sz="10" w:space="0"/>
            </w:tcBorders>
            <w:shd w:val="clear" w:color="auto" w:fill="auto"/>
            <w:vAlign w:val="center"/>
          </w:tcPr>
          <w:p w14:paraId="5EC2F2EB">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55</w:t>
            </w:r>
          </w:p>
        </w:tc>
      </w:tr>
      <w:tr w14:paraId="39A07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23" w:type="dxa"/>
            <w:tcBorders>
              <w:left w:val="single" w:color="000000" w:sz="10" w:space="0"/>
            </w:tcBorders>
            <w:shd w:val="clear" w:color="auto" w:fill="auto"/>
            <w:vAlign w:val="center"/>
          </w:tcPr>
          <w:p w14:paraId="26713B21">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隧洞施工叠加后</w:t>
            </w:r>
          </w:p>
        </w:tc>
        <w:tc>
          <w:tcPr>
            <w:tcW w:w="834" w:type="dxa"/>
            <w:shd w:val="clear" w:color="auto" w:fill="auto"/>
            <w:vAlign w:val="center"/>
          </w:tcPr>
          <w:p w14:paraId="302A62F2">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99.02</w:t>
            </w:r>
          </w:p>
        </w:tc>
        <w:tc>
          <w:tcPr>
            <w:tcW w:w="807" w:type="dxa"/>
            <w:shd w:val="clear" w:color="auto" w:fill="auto"/>
            <w:vAlign w:val="center"/>
          </w:tcPr>
          <w:p w14:paraId="74A4EBD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93.02</w:t>
            </w:r>
          </w:p>
        </w:tc>
        <w:tc>
          <w:tcPr>
            <w:tcW w:w="787" w:type="dxa"/>
            <w:shd w:val="clear" w:color="auto" w:fill="auto"/>
            <w:vAlign w:val="center"/>
          </w:tcPr>
          <w:p w14:paraId="788035A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87.02</w:t>
            </w:r>
          </w:p>
        </w:tc>
        <w:tc>
          <w:tcPr>
            <w:tcW w:w="680" w:type="dxa"/>
            <w:shd w:val="clear" w:color="auto" w:fill="auto"/>
            <w:vAlign w:val="center"/>
          </w:tcPr>
          <w:p w14:paraId="6D2BAFDA">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79.47</w:t>
            </w:r>
          </w:p>
        </w:tc>
        <w:tc>
          <w:tcPr>
            <w:tcW w:w="800" w:type="dxa"/>
            <w:shd w:val="clear" w:color="auto" w:fill="auto"/>
            <w:vAlign w:val="center"/>
          </w:tcPr>
          <w:p w14:paraId="684F0434">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77.61</w:t>
            </w:r>
          </w:p>
        </w:tc>
        <w:tc>
          <w:tcPr>
            <w:tcW w:w="680" w:type="dxa"/>
            <w:shd w:val="clear" w:color="auto" w:fill="auto"/>
            <w:vAlign w:val="center"/>
          </w:tcPr>
          <w:p w14:paraId="415A0E8D">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75.18</w:t>
            </w:r>
          </w:p>
        </w:tc>
        <w:tc>
          <w:tcPr>
            <w:tcW w:w="802" w:type="dxa"/>
            <w:shd w:val="clear" w:color="auto" w:fill="auto"/>
            <w:vAlign w:val="center"/>
          </w:tcPr>
          <w:p w14:paraId="49CD635E">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73.02</w:t>
            </w:r>
          </w:p>
        </w:tc>
        <w:tc>
          <w:tcPr>
            <w:tcW w:w="804" w:type="dxa"/>
            <w:shd w:val="clear" w:color="auto" w:fill="auto"/>
            <w:vAlign w:val="center"/>
          </w:tcPr>
          <w:p w14:paraId="22F19009">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69.52</w:t>
            </w:r>
          </w:p>
        </w:tc>
        <w:tc>
          <w:tcPr>
            <w:tcW w:w="817" w:type="dxa"/>
            <w:tcBorders>
              <w:right w:val="single" w:color="000000" w:sz="10" w:space="0"/>
            </w:tcBorders>
            <w:shd w:val="clear" w:color="auto" w:fill="auto"/>
            <w:vAlign w:val="center"/>
          </w:tcPr>
          <w:p w14:paraId="35BD5BF5">
            <w:pPr>
              <w:bidi w:val="0"/>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64.13</w:t>
            </w:r>
          </w:p>
        </w:tc>
      </w:tr>
    </w:tbl>
    <w:p w14:paraId="2CEB0F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机械本身作业噪声级较高，但随着距离增加，噪声逐渐衰减。本工程只在昼间施工，各施工机械本身运行后经叠加预测，90m昼能达标，根据现状情况可知，评价范围内200m无声环境敏感目标。总体来说，工程施工期间，施工噪声对周围环境影响较小，但应加强施工噪声防治。</w:t>
      </w:r>
    </w:p>
    <w:p w14:paraId="41E9095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施工交通噪声</w:t>
      </w:r>
    </w:p>
    <w:p w14:paraId="2ACC5B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HJ2.4</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，交通噪声预测模式进行预测。</w:t>
      </w:r>
    </w:p>
    <w:p w14:paraId="37CF131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①第i类车等效声级的预测模式</w:t>
      </w:r>
    </w:p>
    <w:p w14:paraId="52B4C7D6">
      <w:pPr>
        <w:bidi w:val="0"/>
        <w:spacing w:line="240" w:lineRule="auto"/>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4371975" cy="552450"/>
            <wp:effectExtent l="0" t="0" r="9525"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2"/>
                    <a:stretch>
                      <a:fillRect/>
                    </a:stretch>
                  </pic:blipFill>
                  <pic:spPr>
                    <a:xfrm>
                      <a:off x="0" y="0"/>
                      <a:ext cx="4371975" cy="552450"/>
                    </a:xfrm>
                    <a:prstGeom prst="rect">
                      <a:avLst/>
                    </a:prstGeom>
                    <a:noFill/>
                    <a:ln>
                      <a:noFill/>
                    </a:ln>
                  </pic:spPr>
                </pic:pic>
              </a:graphicData>
            </a:graphic>
          </wp:inline>
        </w:drawing>
      </w:r>
    </w:p>
    <w:p w14:paraId="33AD363A">
      <w:pPr>
        <w:bidi w:val="0"/>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eastAsia="Times New Roman" w:cs="Times New Roman"/>
          <w:i/>
          <w:iCs/>
          <w:color w:val="auto"/>
          <w:sz w:val="24"/>
          <w:szCs w:val="24"/>
          <w:u w:val="none" w:color="auto"/>
        </w:rPr>
        <w:t>L</w:t>
      </w:r>
      <w:r>
        <w:rPr>
          <w:rFonts w:hint="default" w:ascii="Times New Roman" w:hAnsi="Times New Roman" w:eastAsia="Times New Roman" w:cs="Times New Roman"/>
          <w:i/>
          <w:iCs/>
          <w:color w:val="auto"/>
          <w:position w:val="-1"/>
          <w:sz w:val="15"/>
          <w:szCs w:val="15"/>
          <w:u w:val="none" w:color="auto"/>
        </w:rPr>
        <w:t>eq</w:t>
      </w:r>
      <w:r>
        <w:rPr>
          <w:rFonts w:hint="default" w:ascii="Times New Roman" w:hAnsi="Times New Roman" w:eastAsia="Times New Roman" w:cs="Times New Roman"/>
          <w:i/>
          <w:iCs/>
          <w:color w:val="auto"/>
          <w:sz w:val="24"/>
          <w:szCs w:val="24"/>
          <w:u w:val="none" w:color="auto"/>
        </w:rPr>
        <w:t>(h)i</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第</w:t>
      </w:r>
      <w:r>
        <w:rPr>
          <w:rFonts w:hint="default" w:ascii="Times New Roman" w:hAnsi="Times New Roman" w:eastAsia="Times New Roman" w:cs="Times New Roman"/>
          <w:color w:val="auto"/>
          <w:sz w:val="24"/>
          <w:szCs w:val="24"/>
          <w:u w:val="none" w:color="auto"/>
        </w:rPr>
        <w:t>i</w:t>
      </w:r>
      <w:r>
        <w:rPr>
          <w:rFonts w:hint="default" w:ascii="Times New Roman" w:hAnsi="Times New Roman" w:eastAsia="宋体" w:cs="Times New Roman"/>
          <w:color w:val="auto"/>
          <w:sz w:val="24"/>
          <w:szCs w:val="24"/>
          <w:u w:val="none" w:color="auto"/>
        </w:rPr>
        <w:t>类车的小时等效</w:t>
      </w:r>
      <w:r>
        <w:rPr>
          <w:rFonts w:hint="default" w:ascii="Times New Roman" w:hAnsi="Times New Roman" w:eastAsia="宋体" w:cs="Times New Roman"/>
          <w:color w:val="auto"/>
          <w:spacing w:val="-1"/>
          <w:sz w:val="24"/>
          <w:szCs w:val="24"/>
          <w:u w:val="none" w:color="auto"/>
        </w:rPr>
        <w:t>声级，</w:t>
      </w:r>
      <w:r>
        <w:rPr>
          <w:rFonts w:hint="default" w:ascii="Times New Roman" w:hAnsi="Times New Roman" w:eastAsia="Times New Roman" w:cs="Times New Roman"/>
          <w:color w:val="auto"/>
          <w:spacing w:val="-1"/>
          <w:sz w:val="24"/>
          <w:szCs w:val="24"/>
          <w:u w:val="none" w:color="auto"/>
        </w:rPr>
        <w:t>dB</w:t>
      </w:r>
      <w:r>
        <w:rPr>
          <w:rFonts w:hint="default" w:ascii="Times New Roman" w:hAnsi="Times New Roman" w:eastAsia="宋体" w:cs="Times New Roman"/>
          <w:color w:val="auto"/>
          <w:spacing w:val="-1"/>
          <w:sz w:val="24"/>
          <w:szCs w:val="24"/>
          <w:u w:val="none" w:color="auto"/>
        </w:rPr>
        <w:t>；</w:t>
      </w:r>
    </w:p>
    <w:p w14:paraId="522BD50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drawing>
          <wp:inline distT="0" distB="0" distL="114300" distR="114300">
            <wp:extent cx="619125" cy="304800"/>
            <wp:effectExtent l="0" t="0" r="9525"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73"/>
                    <a:stretch>
                      <a:fillRect/>
                    </a:stretch>
                  </pic:blipFill>
                  <pic:spPr>
                    <a:xfrm>
                      <a:off x="0" y="0"/>
                      <a:ext cx="619125" cy="304800"/>
                    </a:xfrm>
                    <a:prstGeom prst="rect">
                      <a:avLst/>
                    </a:prstGeom>
                    <a:noFill/>
                    <a:ln>
                      <a:noFill/>
                    </a:ln>
                  </pic:spPr>
                </pic:pic>
              </a:graphicData>
            </a:graphic>
          </wp:inline>
        </w:drawing>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第i类车速度为Vi，km/h；能量平均A声级，dB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DFE55E7">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Ni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昼间，夜间通过某预测点的第i类车平均小时车流量，辆/h；</w:t>
      </w:r>
    </w:p>
    <w:p w14:paraId="0DF9AC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r</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从车道中心线到预测点的距离，m；</w:t>
      </w:r>
    </w:p>
    <w:p w14:paraId="12C75BF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rPr>
        <w:t>距离</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距离衰减量，dB(A)，小时车流量大于等于300辆/小时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drawing>
          <wp:inline distT="0" distB="0" distL="114300" distR="114300">
            <wp:extent cx="1514475" cy="352425"/>
            <wp:effectExtent l="0" t="0" r="9525" b="952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74"/>
                    <a:stretch>
                      <a:fillRect/>
                    </a:stretch>
                  </pic:blipFill>
                  <pic:spPr>
                    <a:xfrm>
                      <a:off x="0" y="0"/>
                      <a:ext cx="1514475" cy="352425"/>
                    </a:xfrm>
                    <a:prstGeom prst="rect">
                      <a:avLst/>
                    </a:prstGeom>
                    <a:noFill/>
                    <a:ln>
                      <a:noFill/>
                    </a:ln>
                  </pic:spPr>
                </pic:pic>
              </a:graphicData>
            </a:graphic>
          </wp:inline>
        </w:drawing>
      </w:r>
      <w:r>
        <w:rPr>
          <w:rFonts w:hint="default" w:ascii="Times New Roman" w:hAnsi="Times New Roman" w:cs="Times New Roman"/>
          <w:color w:val="auto"/>
          <w:u w:val="none" w:color="auto"/>
        </w:rPr>
        <w:t>，小时车流量小于300辆/小时，</w:t>
      </w:r>
      <w:r>
        <w:rPr>
          <w:rFonts w:hint="default" w:ascii="Times New Roman" w:hAnsi="Times New Roman" w:cs="Times New Roman"/>
          <w:color w:val="auto"/>
          <w:u w:val="none" w:color="auto"/>
        </w:rPr>
        <w:drawing>
          <wp:inline distT="0" distB="0" distL="114300" distR="114300">
            <wp:extent cx="1466850" cy="304800"/>
            <wp:effectExtent l="0" t="0" r="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75"/>
                    <a:stretch>
                      <a:fillRect/>
                    </a:stretch>
                  </pic:blipFill>
                  <pic:spPr>
                    <a:xfrm>
                      <a:off x="0" y="0"/>
                      <a:ext cx="1466850" cy="304800"/>
                    </a:xfrm>
                    <a:prstGeom prst="rect">
                      <a:avLst/>
                    </a:prstGeom>
                    <a:noFill/>
                    <a:ln>
                      <a:noFill/>
                    </a:ln>
                  </pic:spPr>
                </pic:pic>
              </a:graphicData>
            </a:graphic>
          </wp:inline>
        </w:drawing>
      </w:r>
      <w:r>
        <w:rPr>
          <w:rFonts w:hint="default" w:ascii="Times New Roman" w:hAnsi="Times New Roman" w:cs="Times New Roman"/>
          <w:color w:val="auto"/>
          <w:u w:val="none" w:color="auto"/>
        </w:rPr>
        <w:t>；</w:t>
      </w:r>
    </w:p>
    <w:p w14:paraId="56FD2BF3">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Vi</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第i类车的平均车速，km/h；</w:t>
      </w:r>
    </w:p>
    <w:p w14:paraId="12A364B4">
      <w:pPr>
        <w:widowControl/>
        <w:spacing w:line="360" w:lineRule="auto"/>
        <w:ind w:firstLine="440" w:firstLineChars="200"/>
        <w:rPr>
          <w:rFonts w:hint="default" w:ascii="Times New Roman" w:hAnsi="Times New Roman" w:eastAsia="宋体" w:cs="Times New Roman"/>
          <w:color w:val="auto"/>
          <w:spacing w:val="-5"/>
          <w:sz w:val="24"/>
          <w:szCs w:val="24"/>
          <w:u w:val="none" w:color="auto"/>
        </w:rPr>
      </w:pPr>
      <w:r>
        <w:rPr>
          <w:rFonts w:hint="default" w:ascii="Times New Roman" w:hAnsi="Times New Roman" w:eastAsia="Times New Roman" w:cs="Times New Roman"/>
          <w:i/>
          <w:iCs/>
          <w:color w:val="auto"/>
          <w:spacing w:val="-5"/>
          <w:position w:val="4"/>
          <w:sz w:val="23"/>
          <w:szCs w:val="23"/>
          <w:u w:val="none" w:color="auto"/>
        </w:rPr>
        <w:t>T</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计算等效声级的时间，</w:t>
      </w:r>
      <w:r>
        <w:rPr>
          <w:rFonts w:hint="default" w:ascii="Times New Roman" w:hAnsi="Times New Roman" w:eastAsia="Times New Roman" w:cs="Times New Roman"/>
          <w:color w:val="auto"/>
          <w:spacing w:val="-5"/>
          <w:sz w:val="24"/>
          <w:szCs w:val="24"/>
          <w:u w:val="none" w:color="auto"/>
        </w:rPr>
        <w:t>1h</w:t>
      </w:r>
      <w:r>
        <w:rPr>
          <w:rFonts w:hint="default" w:ascii="Times New Roman" w:hAnsi="Times New Roman" w:eastAsia="宋体" w:cs="Times New Roman"/>
          <w:color w:val="auto"/>
          <w:spacing w:val="-5"/>
          <w:sz w:val="24"/>
          <w:szCs w:val="24"/>
          <w:u w:val="none" w:color="auto"/>
        </w:rPr>
        <w:t>；</w:t>
      </w:r>
    </w:p>
    <w:p w14:paraId="29B05A1B">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Times New Roman" w:cs="Times New Roman"/>
          <w:i/>
          <w:iCs/>
          <w:color w:val="auto"/>
          <w:spacing w:val="-5"/>
          <w:sz w:val="24"/>
          <w:szCs w:val="24"/>
          <w:u w:val="none" w:color="auto"/>
        </w:rPr>
        <w:t>Ψ</w:t>
      </w:r>
      <w:r>
        <w:rPr>
          <w:rFonts w:hint="default" w:ascii="Times New Roman" w:hAnsi="Times New Roman" w:eastAsia="Times New Roman" w:cs="Times New Roman"/>
          <w:i/>
          <w:iCs/>
          <w:color w:val="auto"/>
          <w:spacing w:val="-5"/>
          <w:position w:val="-1"/>
          <w:sz w:val="15"/>
          <w:szCs w:val="15"/>
          <w:u w:val="none" w:color="auto"/>
        </w:rPr>
        <w:t>1</w:t>
      </w:r>
      <w:r>
        <w:rPr>
          <w:rFonts w:hint="default" w:ascii="Times New Roman" w:hAnsi="Times New Roman" w:eastAsia="宋体" w:cs="Times New Roman"/>
          <w:i/>
          <w:iCs/>
          <w:color w:val="auto"/>
          <w:spacing w:val="-5"/>
          <w:sz w:val="24"/>
          <w:szCs w:val="24"/>
          <w:u w:val="none" w:color="auto"/>
        </w:rPr>
        <w:t>，</w:t>
      </w:r>
      <w:r>
        <w:rPr>
          <w:rFonts w:hint="default" w:ascii="Times New Roman" w:hAnsi="Times New Roman" w:eastAsia="Times New Roman" w:cs="Times New Roman"/>
          <w:i/>
          <w:iCs/>
          <w:color w:val="auto"/>
          <w:spacing w:val="-5"/>
          <w:sz w:val="24"/>
          <w:szCs w:val="24"/>
          <w:u w:val="none" w:color="auto"/>
        </w:rPr>
        <w:t>Ψ</w:t>
      </w:r>
      <w:r>
        <w:rPr>
          <w:rFonts w:hint="default" w:ascii="Times New Roman" w:hAnsi="Times New Roman" w:eastAsia="Times New Roman" w:cs="Times New Roman"/>
          <w:i/>
          <w:iCs/>
          <w:color w:val="auto"/>
          <w:spacing w:val="-5"/>
          <w:position w:val="-1"/>
          <w:sz w:val="15"/>
          <w:szCs w:val="15"/>
          <w:u w:val="none" w:color="auto"/>
        </w:rPr>
        <w:t>2</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预测点到有限长路段两端的张角，</w:t>
      </w:r>
      <w:r>
        <w:rPr>
          <w:rFonts w:hint="default" w:ascii="Times New Roman" w:hAnsi="Times New Roman" w:eastAsia="宋体" w:cs="Times New Roman"/>
          <w:color w:val="auto"/>
          <w:kern w:val="0"/>
          <w:sz w:val="24"/>
          <w:szCs w:val="24"/>
          <w:u w:val="none" w:color="auto"/>
          <w:lang w:val="en-US" w:eastAsia="zh-CN" w:bidi="ar"/>
        </w:rPr>
        <w:t>弧度，如下图所示；</w:t>
      </w:r>
    </w:p>
    <w:p w14:paraId="5B287DB4">
      <w:pPr>
        <w:widowControl/>
        <w:spacing w:line="360" w:lineRule="auto"/>
        <w:ind w:left="0" w:leftChars="0" w:firstLine="0" w:firstLineChars="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963035" cy="1452880"/>
            <wp:effectExtent l="0" t="0" r="18415" b="13970"/>
            <wp:docPr id="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pic:cNvPicPr>
                      <a:picLocks noChangeAspect="1"/>
                    </pic:cNvPicPr>
                  </pic:nvPicPr>
                  <pic:blipFill>
                    <a:blip r:embed="rId76"/>
                    <a:stretch>
                      <a:fillRect/>
                    </a:stretch>
                  </pic:blipFill>
                  <pic:spPr>
                    <a:xfrm>
                      <a:off x="0" y="0"/>
                      <a:ext cx="3963035" cy="1452880"/>
                    </a:xfrm>
                    <a:prstGeom prst="rect">
                      <a:avLst/>
                    </a:prstGeom>
                    <a:noFill/>
                    <a:ln>
                      <a:noFill/>
                    </a:ln>
                  </pic:spPr>
                </pic:pic>
              </a:graphicData>
            </a:graphic>
          </wp:inline>
        </w:drawing>
      </w:r>
    </w:p>
    <w:p w14:paraId="48489AF9">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3"/>
          <w:szCs w:val="23"/>
          <w:u w:val="none" w:color="auto"/>
          <w:lang w:val="en-US" w:eastAsia="zh-CN" w:bidi="ar"/>
        </w:rPr>
        <w:t></w:t>
      </w:r>
      <w:r>
        <w:rPr>
          <w:rFonts w:hint="default" w:ascii="Times New Roman" w:hAnsi="Times New Roman" w:eastAsia="宋体" w:cs="Times New Roman"/>
          <w:i/>
          <w:iCs/>
          <w:color w:val="auto"/>
          <w:kern w:val="0"/>
          <w:sz w:val="23"/>
          <w:szCs w:val="23"/>
          <w:u w:val="none" w:color="auto"/>
          <w:lang w:val="en-US" w:eastAsia="zh-CN" w:bidi="ar"/>
        </w:rPr>
        <w:t>L</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由其他因素引起的修正量，dB</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；可按下式计算</w:t>
      </w:r>
      <w:r>
        <w:rPr>
          <w:rFonts w:hint="default" w:ascii="Times New Roman" w:hAnsi="Times New Roman" w:cs="Times New Roman"/>
          <w:color w:val="auto"/>
          <w:kern w:val="0"/>
          <w:sz w:val="24"/>
          <w:szCs w:val="24"/>
          <w:u w:val="none" w:color="auto"/>
          <w:lang w:val="en-US" w:eastAsia="zh-CN" w:bidi="ar"/>
        </w:rPr>
        <w:t>:</w:t>
      </w:r>
    </w:p>
    <w:p w14:paraId="0F97AD26">
      <w:pPr>
        <w:widowControl/>
        <w:spacing w:line="36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2505075" cy="1133475"/>
            <wp:effectExtent l="0" t="0" r="9525" b="9525"/>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77"/>
                    <a:stretch>
                      <a:fillRect/>
                    </a:stretch>
                  </pic:blipFill>
                  <pic:spPr>
                    <a:xfrm>
                      <a:off x="0" y="0"/>
                      <a:ext cx="2505075" cy="1133475"/>
                    </a:xfrm>
                    <a:prstGeom prst="rect">
                      <a:avLst/>
                    </a:prstGeom>
                    <a:noFill/>
                    <a:ln>
                      <a:noFill/>
                    </a:ln>
                  </pic:spPr>
                </pic:pic>
              </a:graphicData>
            </a:graphic>
          </wp:inline>
        </w:drawing>
      </w:r>
    </w:p>
    <w:p w14:paraId="33BA8C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线路因素引起的修正量，dB(A)；</w:t>
      </w:r>
    </w:p>
    <w:p w14:paraId="641CD689">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vertAlign w:val="subscript"/>
        </w:rPr>
        <w:t>坡度</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公路纵坡修正，dB(A)；</w:t>
      </w:r>
    </w:p>
    <w:p w14:paraId="7EF3BBC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color w:val="auto"/>
          <w:u w:val="none" w:color="auto"/>
          <w:vertAlign w:val="subscript"/>
        </w:rPr>
        <w:t>路面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公路路面材料引起的修正量，dB(A)。</w:t>
      </w:r>
    </w:p>
    <w:p w14:paraId="5FCCBBF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声波传播途径中引起的衰减量，dB(A)。</w:t>
      </w:r>
    </w:p>
    <w:p w14:paraId="54BEE1D8">
      <w:pPr>
        <w:bidi w:val="0"/>
        <w:rPr>
          <w:rFonts w:hint="default" w:ascii="Times New Roman" w:hAnsi="Times New Roman" w:cs="Times New Roman"/>
          <w:color w:val="auto"/>
          <w:u w:val="none" w:color="auto"/>
          <w:lang w:eastAsia="zh-CN"/>
        </w:rPr>
      </w:pPr>
      <w:r>
        <w:rPr>
          <w:rFonts w:hint="default" w:ascii="Times New Roman" w:hAnsi="Times New Roman" w:cs="Times New Roman"/>
          <w:i/>
          <w:iCs/>
          <w:color w:val="auto"/>
          <w:u w:val="none" w:color="auto"/>
        </w:rPr>
        <w:t>ΔL</w:t>
      </w:r>
      <w:r>
        <w:rPr>
          <w:rFonts w:hint="default" w:ascii="Times New Roman" w:hAnsi="Times New Roman" w:cs="Times New Roman"/>
          <w:i/>
          <w:iCs/>
          <w:color w:val="auto"/>
          <w:u w:val="none" w:color="auto"/>
          <w:vertAlign w:val="subscript"/>
        </w:rPr>
        <w:t>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由反射体引起的修正量，dB(A)。</w:t>
      </w:r>
    </w:p>
    <w:p w14:paraId="17FC1F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②总车流等效声级为:</w:t>
      </w:r>
    </w:p>
    <w:p w14:paraId="057A9EA9">
      <w:pPr>
        <w:widowControl/>
        <w:spacing w:line="24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819525" cy="476250"/>
            <wp:effectExtent l="0" t="0" r="9525"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pic:cNvPicPr>
                  </pic:nvPicPr>
                  <pic:blipFill>
                    <a:blip r:embed="rId78"/>
                    <a:stretch>
                      <a:fillRect/>
                    </a:stretch>
                  </pic:blipFill>
                  <pic:spPr>
                    <a:xfrm>
                      <a:off x="0" y="0"/>
                      <a:ext cx="3819525" cy="476250"/>
                    </a:xfrm>
                    <a:prstGeom prst="rect">
                      <a:avLst/>
                    </a:prstGeom>
                    <a:noFill/>
                    <a:ln>
                      <a:noFill/>
                    </a:ln>
                  </pic:spPr>
                </pic:pic>
              </a:graphicData>
            </a:graphic>
          </wp:inline>
        </w:drawing>
      </w:r>
    </w:p>
    <w:p w14:paraId="579DC19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大、</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中、</w:t>
      </w:r>
      <w:r>
        <w:rPr>
          <w:rFonts w:hint="default" w:ascii="Times New Roman" w:hAnsi="Times New Roman" w:cs="Times New Roman"/>
          <w:i/>
          <w:iCs/>
          <w:color w:val="auto"/>
          <w:u w:val="none" w:color="auto"/>
        </w:rPr>
        <w:t>Leq(h</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分别为大、中、小型车辆昼间或夜间，预测接收点收到的交通噪声值，dB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2857A83C">
      <w:pPr>
        <w:bidi w:val="0"/>
        <w:rPr>
          <w:rFonts w:hint="default" w:ascii="Times New Roman" w:hAnsi="Times New Roman" w:cs="Times New Roman"/>
          <w:color w:val="auto"/>
          <w:u w:val="none" w:color="auto"/>
        </w:rPr>
      </w:pPr>
      <w:r>
        <w:rPr>
          <w:rFonts w:hint="default" w:ascii="Times New Roman" w:hAnsi="Times New Roman" w:cs="Times New Roman"/>
          <w:i/>
          <w:iCs/>
          <w:color w:val="auto"/>
          <w:u w:val="none" w:color="auto"/>
        </w:rPr>
        <w:t>Leq</w:t>
      </w:r>
      <w:r>
        <w:rPr>
          <w:rFonts w:hint="default" w:ascii="Times New Roman" w:hAnsi="Times New Roman" w:cs="Times New Roman"/>
          <w:i/>
          <w:iCs/>
          <w:color w:val="auto"/>
          <w:u w:val="none" w:color="auto"/>
          <w:lang w:eastAsia="zh-CN"/>
        </w:rPr>
        <w:t>(</w:t>
      </w:r>
      <w:r>
        <w:rPr>
          <w:rFonts w:hint="default" w:ascii="Times New Roman" w:hAnsi="Times New Roman" w:cs="Times New Roman"/>
          <w:i/>
          <w:iCs/>
          <w:color w:val="auto"/>
          <w:u w:val="none" w:color="auto"/>
        </w:rPr>
        <w:t>T</w:t>
      </w:r>
      <w:r>
        <w:rPr>
          <w:rFonts w:hint="default" w:ascii="Times New Roman" w:hAnsi="Times New Roman" w:cs="Times New Roman"/>
          <w:i/>
          <w:iCs/>
          <w:color w:val="auto"/>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预测点接收到的昼间或夜间的交通噪声值，dB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44DADDC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③预测点昼间或夜间的环境噪声预测计算公式</w:t>
      </w:r>
      <w:r>
        <w:rPr>
          <w:rFonts w:hint="default" w:ascii="Times New Roman" w:hAnsi="Times New Roman" w:cs="Times New Roman"/>
          <w:color w:val="auto"/>
          <w:u w:val="none" w:color="auto"/>
          <w:lang w:eastAsia="zh-CN"/>
        </w:rPr>
        <w:t>:</w:t>
      </w:r>
    </w:p>
    <w:p w14:paraId="24AAF131">
      <w:pPr>
        <w:widowControl/>
        <w:spacing w:line="240" w:lineRule="auto"/>
        <w:ind w:firstLine="480" w:firstLineChars="200"/>
        <w:jc w:val="center"/>
        <w:rPr>
          <w:rFonts w:hint="default" w:ascii="Times New Roman" w:hAnsi="Times New Roman" w:cs="Times New Roman"/>
          <w:color w:val="auto"/>
          <w:kern w:val="0"/>
          <w:sz w:val="24"/>
          <w:u w:val="none" w:color="auto"/>
          <w:lang w:eastAsia="zh-CN" w:bidi="ar"/>
        </w:rPr>
      </w:pPr>
      <w:r>
        <w:rPr>
          <w:rFonts w:hint="default" w:ascii="Times New Roman" w:hAnsi="Times New Roman" w:cs="Times New Roman"/>
          <w:color w:val="auto"/>
          <w:u w:val="none" w:color="auto"/>
        </w:rPr>
        <w:drawing>
          <wp:inline distT="0" distB="0" distL="114300" distR="114300">
            <wp:extent cx="3381375" cy="409575"/>
            <wp:effectExtent l="0" t="0" r="9525" b="9525"/>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79"/>
                    <a:stretch>
                      <a:fillRect/>
                    </a:stretch>
                  </pic:blipFill>
                  <pic:spPr>
                    <a:xfrm>
                      <a:off x="0" y="0"/>
                      <a:ext cx="3381375" cy="409575"/>
                    </a:xfrm>
                    <a:prstGeom prst="rect">
                      <a:avLst/>
                    </a:prstGeom>
                    <a:noFill/>
                    <a:ln>
                      <a:noFill/>
                    </a:ln>
                  </pic:spPr>
                </pic:pic>
              </a:graphicData>
            </a:graphic>
          </wp:inline>
        </w:drawing>
      </w:r>
    </w:p>
    <w:p w14:paraId="7144DEF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i/>
          <w:iCs/>
          <w:color w:val="auto"/>
          <w:u w:val="none" w:color="auto"/>
        </w:rPr>
        <w:t>Leq</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预测点昼间或夜间的环境噪声预测值，dB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4AEF441">
      <w:pPr>
        <w:bidi w:val="0"/>
        <w:rPr>
          <w:rFonts w:hint="default" w:ascii="Times New Roman" w:hAnsi="Times New Roman" w:cs="Times New Roman"/>
          <w:color w:val="auto"/>
          <w:u w:val="none" w:color="auto"/>
          <w:lang w:eastAsia="zh-CN"/>
        </w:rPr>
      </w:pP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i/>
          <w:iCs/>
          <w:color w:val="auto"/>
          <w:u w:val="none" w:color="auto"/>
        </w:rPr>
        <w:t>Leq</w:t>
      </w:r>
      <w:r>
        <w:rPr>
          <w:rFonts w:hint="default" w:ascii="Times New Roman" w:hAnsi="Times New Roman" w:cs="Times New Roman"/>
          <w:i/>
          <w:iCs/>
          <w:color w:val="auto"/>
          <w:highlight w:val="none"/>
          <w:u w:val="none" w:color="auto"/>
          <w:lang w:eastAsia="zh-CN"/>
        </w:rPr>
        <w:t>)</w:t>
      </w:r>
      <w:r>
        <w:rPr>
          <w:rFonts w:hint="default" w:ascii="Times New Roman" w:hAnsi="Times New Roman" w:cs="Times New Roman"/>
          <w:color w:val="auto"/>
          <w:u w:val="none" w:color="auto"/>
        </w:rPr>
        <w:t>背</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预测点预测时的环境噪声背景值，dB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70E2838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④预测结果</w:t>
      </w:r>
    </w:p>
    <w:p w14:paraId="4E291B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类比同规模工程施工情况，并考虑到本工程施工布置、物料运输和土石方开挖量、弃渣量等来选择参数。</w:t>
      </w:r>
    </w:p>
    <w:p w14:paraId="0568440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本次环评对交通噪声预测时间选择在施工高峰期，昼间车流量10辆/h、运行速度20km/h，预测结果见表</w:t>
      </w:r>
      <w:r>
        <w:rPr>
          <w:rFonts w:hint="default" w:ascii="Times New Roman" w:hAnsi="Times New Roman" w:cs="Times New Roman"/>
          <w:color w:val="auto"/>
          <w:u w:val="none" w:color="auto"/>
          <w:lang w:val="en-US" w:eastAsia="zh-CN"/>
        </w:rPr>
        <w:t>6.2-4</w:t>
      </w:r>
      <w:r>
        <w:rPr>
          <w:rFonts w:hint="default" w:ascii="Times New Roman" w:hAnsi="Times New Roman" w:cs="Times New Roman"/>
          <w:color w:val="auto"/>
          <w:u w:val="none" w:color="auto"/>
        </w:rPr>
        <w:t>。</w:t>
      </w:r>
    </w:p>
    <w:p w14:paraId="28596C1E">
      <w:pPr>
        <w:bidi w:val="0"/>
        <w:spacing w:line="240" w:lineRule="auto"/>
        <w:ind w:left="0" w:leftChars="0" w:firstLine="0" w:firstLineChars="0"/>
        <w:jc w:val="center"/>
        <w:rPr>
          <w:rFonts w:hint="default" w:ascii="Times New Roman" w:hAnsi="Times New Roman" w:eastAsia="宋体" w:cs="Times New Roman"/>
          <w:color w:val="auto"/>
          <w:u w:val="none" w:color="auto"/>
          <w:lang w:eastAsia="zh-CN"/>
        </w:rPr>
      </w:pPr>
      <w:r>
        <w:rPr>
          <w:rFonts w:hint="default" w:ascii="Times New Roman" w:hAnsi="Times New Roman" w:cs="Times New Roman"/>
          <w:b/>
          <w:bCs/>
          <w:color w:val="auto"/>
          <w:sz w:val="21"/>
          <w:szCs w:val="21"/>
          <w:u w:val="none" w:color="auto"/>
        </w:rPr>
        <w:t>表</w:t>
      </w:r>
      <w:r>
        <w:rPr>
          <w:rFonts w:hint="default" w:ascii="Times New Roman" w:hAnsi="Times New Roman" w:cs="Times New Roman"/>
          <w:b/>
          <w:bCs/>
          <w:color w:val="auto"/>
          <w:sz w:val="21"/>
          <w:szCs w:val="21"/>
          <w:u w:val="none" w:color="auto"/>
          <w:lang w:val="en-US" w:eastAsia="zh-CN"/>
        </w:rPr>
        <w:t>6.</w:t>
      </w:r>
      <w:r>
        <w:rPr>
          <w:rFonts w:hint="eastAsia" w:ascii="Times New Roman" w:hAnsi="Times New Roman"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lang w:val="en-US" w:eastAsia="zh-CN"/>
        </w:rPr>
        <w:t>-</w:t>
      </w:r>
      <w:r>
        <w:rPr>
          <w:rFonts w:hint="eastAsia" w:ascii="Times New Roman" w:hAnsi="Times New Roman" w:cs="Times New Roman"/>
          <w:b/>
          <w:bCs/>
          <w:color w:val="auto"/>
          <w:sz w:val="21"/>
          <w:szCs w:val="21"/>
          <w:u w:val="none" w:color="auto"/>
          <w:lang w:val="en-US" w:eastAsia="zh-CN"/>
        </w:rPr>
        <w:t xml:space="preserve">4  </w:t>
      </w:r>
      <w:r>
        <w:rPr>
          <w:rFonts w:hint="default" w:ascii="Times New Roman" w:hAnsi="Times New Roman" w:cs="Times New Roman"/>
          <w:b/>
          <w:bCs/>
          <w:color w:val="auto"/>
          <w:sz w:val="21"/>
          <w:szCs w:val="21"/>
          <w:u w:val="none" w:color="auto"/>
        </w:rPr>
        <w:t>交通流动声源衰减预测结果一览表  单位</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dB</w:t>
      </w:r>
      <w:r>
        <w:rPr>
          <w:rFonts w:hint="default" w:ascii="Times New Roman" w:hAnsi="Times New Roman" w:cs="Times New Roman"/>
          <w:b/>
          <w:bCs/>
          <w:color w:val="auto"/>
          <w:sz w:val="21"/>
          <w:szCs w:val="21"/>
          <w:u w:val="none" w:color="auto"/>
          <w:lang w:eastAsia="zh-CN"/>
        </w:rPr>
        <w:t>(</w:t>
      </w:r>
      <w:r>
        <w:rPr>
          <w:rFonts w:hint="default" w:ascii="Times New Roman" w:hAnsi="Times New Roman" w:cs="Times New Roman"/>
          <w:b/>
          <w:bCs/>
          <w:color w:val="auto"/>
          <w:sz w:val="21"/>
          <w:szCs w:val="21"/>
          <w:u w:val="none" w:color="auto"/>
        </w:rPr>
        <w:t>A</w:t>
      </w:r>
      <w:r>
        <w:rPr>
          <w:rFonts w:hint="default" w:ascii="Times New Roman" w:hAnsi="Times New Roman" w:cs="Times New Roman"/>
          <w:b/>
          <w:bCs/>
          <w:color w:val="auto"/>
          <w:sz w:val="21"/>
          <w:szCs w:val="21"/>
          <w:u w:val="none" w:color="auto"/>
          <w:lang w:eastAsia="zh-CN"/>
        </w:rPr>
        <w:t>)</w:t>
      </w:r>
    </w:p>
    <w:tbl>
      <w:tblPr>
        <w:tblStyle w:val="162"/>
        <w:tblW w:w="831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8"/>
        <w:gridCol w:w="586"/>
        <w:gridCol w:w="624"/>
        <w:gridCol w:w="624"/>
        <w:gridCol w:w="624"/>
        <w:gridCol w:w="624"/>
        <w:gridCol w:w="624"/>
        <w:gridCol w:w="624"/>
        <w:gridCol w:w="625"/>
        <w:gridCol w:w="627"/>
        <w:gridCol w:w="657"/>
        <w:gridCol w:w="1467"/>
      </w:tblGrid>
      <w:tr w14:paraId="3E9D8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608" w:type="dxa"/>
            <w:vMerge w:val="restart"/>
            <w:tcBorders>
              <w:tl2br w:val="nil"/>
              <w:tr2bl w:val="nil"/>
            </w:tcBorders>
            <w:vAlign w:val="center"/>
          </w:tcPr>
          <w:p w14:paraId="42991CF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情景</w:t>
            </w:r>
          </w:p>
        </w:tc>
        <w:tc>
          <w:tcPr>
            <w:tcW w:w="586" w:type="dxa"/>
            <w:vMerge w:val="restart"/>
            <w:tcBorders>
              <w:tl2br w:val="nil"/>
              <w:tr2bl w:val="nil"/>
            </w:tcBorders>
            <w:vAlign w:val="center"/>
          </w:tcPr>
          <w:p w14:paraId="54383E2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时段</w:t>
            </w:r>
          </w:p>
        </w:tc>
        <w:tc>
          <w:tcPr>
            <w:tcW w:w="5653" w:type="dxa"/>
            <w:gridSpan w:val="9"/>
            <w:tcBorders>
              <w:tl2br w:val="nil"/>
              <w:tr2bl w:val="nil"/>
            </w:tcBorders>
            <w:vAlign w:val="center"/>
          </w:tcPr>
          <w:p w14:paraId="36988BEC">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距道路中心线不同距离的噪声预测值</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dB</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rPr>
              <w:t>A</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lang w:eastAsia="zh-CN"/>
              </w:rPr>
              <w:t>)</w:t>
            </w:r>
          </w:p>
        </w:tc>
        <w:tc>
          <w:tcPr>
            <w:tcW w:w="1467" w:type="dxa"/>
            <w:vMerge w:val="restart"/>
            <w:tcBorders>
              <w:tl2br w:val="nil"/>
              <w:tr2bl w:val="nil"/>
            </w:tcBorders>
            <w:vAlign w:val="center"/>
          </w:tcPr>
          <w:p w14:paraId="09C3531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《声环境质量标准》</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GB3096-2008</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u w:val="none" w:color="auto"/>
                <w:lang w:val="en-US" w:eastAsia="zh-CN"/>
              </w:rPr>
              <w:t>中2</w:t>
            </w:r>
            <w:r>
              <w:rPr>
                <w:rFonts w:hint="default" w:ascii="Times New Roman" w:hAnsi="Times New Roman" w:eastAsia="宋体" w:cs="Times New Roman"/>
                <w:color w:val="auto"/>
                <w:sz w:val="21"/>
                <w:szCs w:val="21"/>
                <w:u w:val="none" w:color="auto"/>
              </w:rPr>
              <w:t>类</w:t>
            </w:r>
          </w:p>
        </w:tc>
      </w:tr>
      <w:tr w14:paraId="212150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3" w:hRule="atLeast"/>
        </w:trPr>
        <w:tc>
          <w:tcPr>
            <w:tcW w:w="608" w:type="dxa"/>
            <w:vMerge w:val="continue"/>
            <w:tcBorders>
              <w:tl2br w:val="nil"/>
              <w:tr2bl w:val="nil"/>
            </w:tcBorders>
            <w:vAlign w:val="center"/>
          </w:tcPr>
          <w:p w14:paraId="106940C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586" w:type="dxa"/>
            <w:vMerge w:val="continue"/>
            <w:tcBorders>
              <w:tl2br w:val="nil"/>
              <w:tr2bl w:val="nil"/>
            </w:tcBorders>
            <w:vAlign w:val="center"/>
          </w:tcPr>
          <w:p w14:paraId="4F85956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624" w:type="dxa"/>
            <w:tcBorders>
              <w:tl2br w:val="nil"/>
              <w:tr2bl w:val="nil"/>
            </w:tcBorders>
            <w:vAlign w:val="center"/>
          </w:tcPr>
          <w:p w14:paraId="24F4ADC8">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5m</w:t>
            </w:r>
          </w:p>
        </w:tc>
        <w:tc>
          <w:tcPr>
            <w:tcW w:w="624" w:type="dxa"/>
            <w:tcBorders>
              <w:tl2br w:val="nil"/>
              <w:tr2bl w:val="nil"/>
            </w:tcBorders>
            <w:vAlign w:val="center"/>
          </w:tcPr>
          <w:p w14:paraId="30C0CD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10m</w:t>
            </w:r>
          </w:p>
        </w:tc>
        <w:tc>
          <w:tcPr>
            <w:tcW w:w="624" w:type="dxa"/>
            <w:tcBorders>
              <w:tl2br w:val="nil"/>
              <w:tr2bl w:val="nil"/>
            </w:tcBorders>
            <w:vAlign w:val="center"/>
          </w:tcPr>
          <w:p w14:paraId="7AFA9461">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20m</w:t>
            </w:r>
          </w:p>
        </w:tc>
        <w:tc>
          <w:tcPr>
            <w:tcW w:w="624" w:type="dxa"/>
            <w:tcBorders>
              <w:tl2br w:val="nil"/>
              <w:tr2bl w:val="nil"/>
            </w:tcBorders>
            <w:vAlign w:val="center"/>
          </w:tcPr>
          <w:p w14:paraId="3BB956F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30m</w:t>
            </w:r>
          </w:p>
        </w:tc>
        <w:tc>
          <w:tcPr>
            <w:tcW w:w="624" w:type="dxa"/>
            <w:tcBorders>
              <w:tl2br w:val="nil"/>
              <w:tr2bl w:val="nil"/>
            </w:tcBorders>
            <w:vAlign w:val="center"/>
          </w:tcPr>
          <w:p w14:paraId="67243F5F">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50m</w:t>
            </w:r>
          </w:p>
        </w:tc>
        <w:tc>
          <w:tcPr>
            <w:tcW w:w="624" w:type="dxa"/>
            <w:tcBorders>
              <w:tl2br w:val="nil"/>
              <w:tr2bl w:val="nil"/>
            </w:tcBorders>
            <w:vAlign w:val="center"/>
          </w:tcPr>
          <w:p w14:paraId="0AEEBFE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60m</w:t>
            </w:r>
          </w:p>
        </w:tc>
        <w:tc>
          <w:tcPr>
            <w:tcW w:w="625" w:type="dxa"/>
            <w:tcBorders>
              <w:tl2br w:val="nil"/>
              <w:tr2bl w:val="nil"/>
            </w:tcBorders>
            <w:vAlign w:val="center"/>
          </w:tcPr>
          <w:p w14:paraId="6C4D008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100m</w:t>
            </w:r>
          </w:p>
        </w:tc>
        <w:tc>
          <w:tcPr>
            <w:tcW w:w="627" w:type="dxa"/>
            <w:tcBorders>
              <w:tl2br w:val="nil"/>
              <w:tr2bl w:val="nil"/>
            </w:tcBorders>
            <w:vAlign w:val="center"/>
          </w:tcPr>
          <w:p w14:paraId="428A800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200m</w:t>
            </w:r>
          </w:p>
        </w:tc>
        <w:tc>
          <w:tcPr>
            <w:tcW w:w="657" w:type="dxa"/>
            <w:tcBorders>
              <w:tl2br w:val="nil"/>
              <w:tr2bl w:val="nil"/>
            </w:tcBorders>
            <w:vAlign w:val="center"/>
          </w:tcPr>
          <w:p w14:paraId="610D483D">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300m</w:t>
            </w:r>
          </w:p>
        </w:tc>
        <w:tc>
          <w:tcPr>
            <w:tcW w:w="1467" w:type="dxa"/>
            <w:vMerge w:val="continue"/>
            <w:tcBorders>
              <w:tl2br w:val="nil"/>
              <w:tr2bl w:val="nil"/>
            </w:tcBorders>
            <w:vAlign w:val="center"/>
          </w:tcPr>
          <w:p w14:paraId="490B3EE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r>
      <w:tr w14:paraId="00FA33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1" w:hRule="atLeast"/>
        </w:trPr>
        <w:tc>
          <w:tcPr>
            <w:tcW w:w="608" w:type="dxa"/>
            <w:tcBorders>
              <w:tl2br w:val="nil"/>
              <w:tr2bl w:val="nil"/>
            </w:tcBorders>
            <w:vAlign w:val="center"/>
          </w:tcPr>
          <w:p w14:paraId="0E152DD4">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交通运输</w:t>
            </w:r>
          </w:p>
        </w:tc>
        <w:tc>
          <w:tcPr>
            <w:tcW w:w="586" w:type="dxa"/>
            <w:tcBorders>
              <w:tl2br w:val="nil"/>
              <w:tr2bl w:val="nil"/>
            </w:tcBorders>
            <w:vAlign w:val="center"/>
          </w:tcPr>
          <w:p w14:paraId="48A8DDF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昼间</w:t>
            </w:r>
          </w:p>
        </w:tc>
        <w:tc>
          <w:tcPr>
            <w:tcW w:w="624" w:type="dxa"/>
            <w:tcBorders>
              <w:tl2br w:val="nil"/>
              <w:tr2bl w:val="nil"/>
            </w:tcBorders>
            <w:vAlign w:val="center"/>
          </w:tcPr>
          <w:p w14:paraId="0BC7BEA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76.0</w:t>
            </w:r>
          </w:p>
        </w:tc>
        <w:tc>
          <w:tcPr>
            <w:tcW w:w="624" w:type="dxa"/>
            <w:tcBorders>
              <w:tl2br w:val="nil"/>
              <w:tr2bl w:val="nil"/>
            </w:tcBorders>
            <w:vAlign w:val="center"/>
          </w:tcPr>
          <w:p w14:paraId="4707ED97">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70.1</w:t>
            </w:r>
          </w:p>
        </w:tc>
        <w:tc>
          <w:tcPr>
            <w:tcW w:w="624" w:type="dxa"/>
            <w:tcBorders>
              <w:tl2br w:val="nil"/>
              <w:tr2bl w:val="nil"/>
            </w:tcBorders>
            <w:vAlign w:val="center"/>
          </w:tcPr>
          <w:p w14:paraId="4C728C70">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63.9</w:t>
            </w:r>
          </w:p>
        </w:tc>
        <w:tc>
          <w:tcPr>
            <w:tcW w:w="624" w:type="dxa"/>
            <w:tcBorders>
              <w:tl2br w:val="nil"/>
              <w:tr2bl w:val="nil"/>
            </w:tcBorders>
            <w:vAlign w:val="center"/>
          </w:tcPr>
          <w:p w14:paraId="7D2613F6">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59.8</w:t>
            </w:r>
          </w:p>
        </w:tc>
        <w:tc>
          <w:tcPr>
            <w:tcW w:w="624" w:type="dxa"/>
            <w:tcBorders>
              <w:tl2br w:val="nil"/>
              <w:tr2bl w:val="nil"/>
            </w:tcBorders>
            <w:vAlign w:val="center"/>
          </w:tcPr>
          <w:p w14:paraId="7C6D8ED2">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56.2</w:t>
            </w:r>
          </w:p>
        </w:tc>
        <w:tc>
          <w:tcPr>
            <w:tcW w:w="624" w:type="dxa"/>
            <w:tcBorders>
              <w:tl2br w:val="nil"/>
              <w:tr2bl w:val="nil"/>
            </w:tcBorders>
            <w:vAlign w:val="center"/>
          </w:tcPr>
          <w:p w14:paraId="108532C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54.4</w:t>
            </w:r>
          </w:p>
        </w:tc>
        <w:tc>
          <w:tcPr>
            <w:tcW w:w="625" w:type="dxa"/>
            <w:tcBorders>
              <w:tl2br w:val="nil"/>
              <w:tr2bl w:val="nil"/>
            </w:tcBorders>
            <w:vAlign w:val="center"/>
          </w:tcPr>
          <w:p w14:paraId="040BB76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50.1</w:t>
            </w:r>
          </w:p>
        </w:tc>
        <w:tc>
          <w:tcPr>
            <w:tcW w:w="627" w:type="dxa"/>
            <w:tcBorders>
              <w:tl2br w:val="nil"/>
              <w:tr2bl w:val="nil"/>
            </w:tcBorders>
            <w:vAlign w:val="center"/>
          </w:tcPr>
          <w:p w14:paraId="532A7909">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43.9</w:t>
            </w:r>
          </w:p>
        </w:tc>
        <w:tc>
          <w:tcPr>
            <w:tcW w:w="657" w:type="dxa"/>
            <w:tcBorders>
              <w:tl2br w:val="nil"/>
              <w:tr2bl w:val="nil"/>
            </w:tcBorders>
            <w:vAlign w:val="center"/>
          </w:tcPr>
          <w:p w14:paraId="3656555E">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40.5</w:t>
            </w:r>
          </w:p>
        </w:tc>
        <w:tc>
          <w:tcPr>
            <w:tcW w:w="1467" w:type="dxa"/>
            <w:tcBorders>
              <w:tl2br w:val="nil"/>
              <w:tr2bl w:val="nil"/>
            </w:tcBorders>
            <w:vAlign w:val="center"/>
          </w:tcPr>
          <w:p w14:paraId="2B5410B3">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60</w:t>
            </w:r>
            <w:r>
              <w:rPr>
                <w:rFonts w:hint="default" w:ascii="Times New Roman" w:hAnsi="Times New Roman" w:eastAsia="宋体" w:cs="Times New Roman"/>
                <w:color w:val="auto"/>
                <w:sz w:val="21"/>
                <w:szCs w:val="21"/>
                <w:u w:val="none" w:color="auto"/>
              </w:rPr>
              <w:t>dB</w:t>
            </w:r>
            <w:r>
              <w:rPr>
                <w:rFonts w:hint="default" w:ascii="Times New Roman" w:hAnsi="Times New Roman"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A</w:t>
            </w:r>
            <w:r>
              <w:rPr>
                <w:rFonts w:hint="default" w:ascii="Times New Roman" w:hAnsi="Times New Roman" w:cs="Times New Roman"/>
                <w:color w:val="auto"/>
                <w:sz w:val="21"/>
                <w:szCs w:val="21"/>
                <w:u w:val="none" w:color="auto"/>
                <w:lang w:eastAsia="zh-CN"/>
              </w:rPr>
              <w:t>)</w:t>
            </w:r>
          </w:p>
        </w:tc>
      </w:tr>
    </w:tbl>
    <w:p w14:paraId="7C4C4E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根据以上预测结果，在施工运输公路两侧昼间</w:t>
      </w:r>
      <w:r>
        <w:rPr>
          <w:rFonts w:hint="default" w:ascii="Times New Roman" w:hAnsi="Times New Roman" w:cs="Times New Roman"/>
          <w:color w:val="auto"/>
          <w:u w:val="none" w:color="auto"/>
          <w:lang w:val="en-US" w:eastAsia="zh-CN"/>
        </w:rPr>
        <w:t>30</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lang w:eastAsia="zh-CN"/>
        </w:rPr>
        <w:t>以外</w:t>
      </w:r>
      <w:r>
        <w:rPr>
          <w:rFonts w:hint="default" w:ascii="Times New Roman" w:hAnsi="Times New Roman" w:cs="Times New Roman"/>
          <w:color w:val="auto"/>
          <w:u w:val="none" w:color="auto"/>
        </w:rPr>
        <w:t>流动声源的影响能达到《声环境质量标准》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昼间</w:t>
      </w:r>
      <w:r>
        <w:rPr>
          <w:rFonts w:hint="default" w:ascii="Times New Roman" w:hAnsi="Times New Roman" w:cs="Times New Roman"/>
          <w:color w:val="auto"/>
          <w:u w:val="none" w:color="auto"/>
          <w:lang w:val="en-US" w:eastAsia="zh-CN"/>
        </w:rPr>
        <w:t>60</w:t>
      </w:r>
      <w:r>
        <w:rPr>
          <w:rFonts w:hint="default" w:ascii="Times New Roman" w:hAnsi="Times New Roman" w:cs="Times New Roman"/>
          <w:color w:val="auto"/>
          <w:u w:val="none" w:color="auto"/>
        </w:rPr>
        <w:t>dB</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0328D33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本工程声环境敏感目标中，靠近施工道路最近的敏感目标为</w:t>
      </w:r>
      <w:r>
        <w:rPr>
          <w:rFonts w:hint="default" w:ascii="Times New Roman" w:hAnsi="Times New Roman" w:cs="Times New Roman"/>
          <w:color w:val="auto"/>
          <w:u w:val="none" w:color="auto"/>
          <w:lang w:val="en-US" w:eastAsia="zh-CN"/>
        </w:rPr>
        <w:t>廊洞村</w:t>
      </w:r>
      <w:r>
        <w:rPr>
          <w:rFonts w:hint="default" w:ascii="Times New Roman" w:hAnsi="Times New Roman" w:cs="Times New Roman"/>
          <w:color w:val="auto"/>
          <w:u w:val="none" w:color="auto"/>
        </w:rPr>
        <w:t>，在施工期间运输过程中，会对周边声环境敏感目标产生道路交通噪声影响，施工期交通噪声存在时间极短，只在有运输车辆经过时才产生，因此，施工交通噪声对周围环境产生的影响是瞬时性的，同时考虑到本项目通过土石方平衡，尽可能减少外运土方，以减少车辆运输班次，设置限速、禁鸣，合理安排施工作业时间等有效措施避免流动噪声对道路旁的村民产生影响。随着施工的结束，当地声环境质量将逐步自行恢复到原有水平。</w:t>
      </w:r>
    </w:p>
    <w:p w14:paraId="1D43EBD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总之，建设单位必须全面落实</w:t>
      </w:r>
      <w:r>
        <w:rPr>
          <w:rFonts w:hint="default" w:ascii="Times New Roman" w:hAnsi="Times New Roman" w:cs="Times New Roman"/>
          <w:color w:val="auto"/>
          <w:u w:val="none" w:color="auto"/>
          <w:lang w:val="en-US" w:eastAsia="zh-CN"/>
        </w:rPr>
        <w:t>噪声防治措施</w:t>
      </w:r>
      <w:r>
        <w:rPr>
          <w:rFonts w:hint="default" w:ascii="Times New Roman" w:hAnsi="Times New Roman" w:cs="Times New Roman"/>
          <w:color w:val="auto"/>
          <w:u w:val="none" w:color="auto"/>
        </w:rPr>
        <w:t>要求，不得对周围居民产生扰民现象，并使施工各阶段的场界噪声符合《建筑施工场界环境噪声排放标准》</w:t>
      </w:r>
      <w:r>
        <w:rPr>
          <w:rFonts w:hint="eastAsia" w:cs="Times New Roman"/>
          <w:color w:val="auto"/>
          <w:u w:val="none" w:color="auto"/>
          <w:lang w:val="en-US" w:eastAsia="zh-CN"/>
        </w:rPr>
        <w:t>(</w:t>
      </w:r>
      <w:r>
        <w:rPr>
          <w:rFonts w:hint="default" w:ascii="Times New Roman" w:hAnsi="Times New Roman" w:cs="Times New Roman"/>
          <w:color w:val="auto"/>
          <w:u w:val="none" w:color="auto"/>
        </w:rPr>
        <w:t>GB12523-2011</w:t>
      </w:r>
      <w:r>
        <w:rPr>
          <w:rFonts w:hint="eastAsia" w:cs="Times New Roman"/>
          <w:color w:val="auto"/>
          <w:u w:val="none" w:color="auto"/>
          <w:lang w:val="en-US" w:eastAsia="zh-CN"/>
        </w:rPr>
        <w:t>)</w:t>
      </w:r>
      <w:r>
        <w:rPr>
          <w:rFonts w:hint="default" w:ascii="Times New Roman" w:hAnsi="Times New Roman" w:cs="Times New Roman"/>
          <w:color w:val="auto"/>
          <w:u w:val="none" w:color="auto"/>
        </w:rPr>
        <w:t>中的规定。</w:t>
      </w:r>
    </w:p>
    <w:p w14:paraId="541BBCD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固体废物影响分析</w:t>
      </w:r>
    </w:p>
    <w:p w14:paraId="4554B35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工程在施工活动中产生的废土石</w:t>
      </w:r>
      <w:r>
        <w:rPr>
          <w:rFonts w:hint="default" w:ascii="Times New Roman" w:hAnsi="Times New Roman" w:cs="Times New Roman"/>
          <w:color w:val="auto"/>
          <w:u w:val="none" w:color="auto"/>
          <w:lang w:val="en-US" w:eastAsia="zh-CN"/>
        </w:rPr>
        <w:t>部分</w:t>
      </w:r>
      <w:r>
        <w:rPr>
          <w:rFonts w:hint="default" w:ascii="Times New Roman" w:hAnsi="Times New Roman" w:cs="Times New Roman"/>
          <w:color w:val="auto"/>
          <w:u w:val="none" w:color="auto"/>
        </w:rPr>
        <w:t>回填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多余的运至弃渣场堆放</w:t>
      </w:r>
      <w:r>
        <w:rPr>
          <w:rFonts w:hint="default" w:ascii="Times New Roman" w:hAnsi="Times New Roman" w:cs="Times New Roman"/>
          <w:color w:val="auto"/>
          <w:u w:val="none" w:color="auto"/>
        </w:rPr>
        <w:t>；钢筋、钢板、木材等施工废料经分类回收后，外售回收站处理；建筑垃圾集中收集后及时清运到当地管理部门指定的建筑废渣专用堆放场堆放</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沉淀池污泥定期清理后运至弃渣场填埋</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设立挡土墙、排洪沟、沉沙池、用塑料布覆盖松散的表土层等临时水土保持设施，以防止雨水冲刷造成水土流失。</w:t>
      </w:r>
    </w:p>
    <w:p w14:paraId="39B3D4E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工程施工人员的生活垃圾实行袋装分类收集，由当地环卫部门统一处置，以保护好施工人员的生活、</w:t>
      </w:r>
      <w:r>
        <w:rPr>
          <w:rFonts w:hint="default" w:ascii="Times New Roman" w:hAnsi="Times New Roman" w:cs="Times New Roman"/>
          <w:color w:val="auto"/>
          <w:u w:val="none" w:color="auto"/>
          <w:lang w:eastAsia="zh-CN"/>
        </w:rPr>
        <w:t>减少</w:t>
      </w:r>
      <w:r>
        <w:rPr>
          <w:rFonts w:hint="default" w:ascii="Times New Roman" w:hAnsi="Times New Roman" w:cs="Times New Roman"/>
          <w:color w:val="auto"/>
          <w:u w:val="none" w:color="auto"/>
        </w:rPr>
        <w:t>施工人员传染病的发病率。通过上述污染防治措施的实施，施工期</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对环境的影响较小，环境影响可以接受</w:t>
      </w:r>
      <w:r>
        <w:rPr>
          <w:rFonts w:hint="default" w:ascii="Times New Roman" w:hAnsi="Times New Roman" w:cs="Times New Roman"/>
          <w:color w:val="auto"/>
          <w:u w:val="none" w:color="auto"/>
          <w:lang w:eastAsia="zh-CN"/>
        </w:rPr>
        <w:t>。</w:t>
      </w:r>
    </w:p>
    <w:p w14:paraId="4D3C53A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施工期土壤环境影响分析</w:t>
      </w:r>
    </w:p>
    <w:p w14:paraId="32EA597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1、土壤物理性质的变化</w:t>
      </w:r>
    </w:p>
    <w:p w14:paraId="373A6A4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人员践踏和车辆行驶的碾压将使土壤结构变得紧实，土壤孔隙度降低，造成土壤中的微生物活动减少，引起物质分解与循环受阻，土壤渗透性降低，地表流量强度增大，加剧土壤侵蚀与水土流失，最终将影响到土壤植物生长与种群结构，昆虫、动物也随之迁徙或者减少。</w:t>
      </w:r>
    </w:p>
    <w:p w14:paraId="0B1855F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2、土壤化学性质的变化</w:t>
      </w:r>
    </w:p>
    <w:p w14:paraId="5240D3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活动中受到冲击的土壤，有机质和营养元素含量明显降低。一方面频繁地践踏或者人为清除凋落物，使地表的枯枝落叶层难以保留，植物凋落物归还量减少；另一方面，土壤的裸露和板结增大了地表径流，大量养分随水分流失。这些因素都改变了生态系统的物质循环过程，使土壤有机物质和营养成分来源减少，进而影响着动植物的正常生长。</w:t>
      </w:r>
    </w:p>
    <w:p w14:paraId="422AB330">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w:t>
      </w:r>
      <w:r>
        <w:rPr>
          <w:rFonts w:hint="default" w:ascii="Times New Roman" w:hAnsi="Times New Roman" w:cs="Times New Roman"/>
          <w:color w:val="auto"/>
          <w:u w:val="none" w:color="auto"/>
        </w:rPr>
        <w:t>生态环境影响分析</w:t>
      </w:r>
    </w:p>
    <w:p w14:paraId="3A9BD3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项目在生态环境方面主要体现在工程施工临时占地、开挖等施工活动对土地、</w:t>
      </w:r>
      <w:r>
        <w:rPr>
          <w:rFonts w:hint="default" w:ascii="Times New Roman" w:hAnsi="Times New Roman" w:cs="Times New Roman"/>
          <w:color w:val="auto"/>
          <w:u w:val="none" w:color="auto"/>
          <w:lang w:val="en-US" w:eastAsia="zh-CN"/>
        </w:rPr>
        <w:t>动植物</w:t>
      </w:r>
      <w:r>
        <w:rPr>
          <w:rFonts w:hint="default" w:ascii="Times New Roman" w:hAnsi="Times New Roman" w:cs="Times New Roman"/>
          <w:color w:val="auto"/>
          <w:u w:val="none" w:color="auto"/>
        </w:rPr>
        <w:t>造成一定的影响和破坏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使局部地区表土失去防冲固土能力造成的水土流失</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同时也会影响施工河段内的水生动植物。</w:t>
      </w:r>
    </w:p>
    <w:p w14:paraId="02CC21B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工程占地</w:t>
      </w:r>
      <w:r>
        <w:rPr>
          <w:rFonts w:hint="default" w:ascii="Times New Roman" w:hAnsi="Times New Roman" w:cs="Times New Roman"/>
          <w:color w:val="auto"/>
          <w:u w:val="none" w:color="auto"/>
          <w:lang w:val="en-US" w:eastAsia="zh-CN"/>
        </w:rPr>
        <w:t>对土地利用</w:t>
      </w:r>
      <w:r>
        <w:rPr>
          <w:rFonts w:hint="default" w:ascii="Times New Roman" w:hAnsi="Times New Roman" w:cs="Times New Roman"/>
          <w:color w:val="auto"/>
          <w:u w:val="none" w:color="auto"/>
        </w:rPr>
        <w:t>影响</w:t>
      </w:r>
    </w:p>
    <w:p w14:paraId="590CE884">
      <w:pPr>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水库除险加固，工程主要是在已经建成的水库主坝、溢洪道上进行加固、修缮以及设备修缮等，工程施工场主要集中在坝体区域，不新增永久占地，不会对区域土地利用格局造成大的影响。工程临时征用土地面积</w:t>
      </w:r>
      <w:r>
        <w:rPr>
          <w:rFonts w:hint="default" w:ascii="Times New Roman" w:hAnsi="Times New Roman" w:cs="Times New Roman"/>
          <w:color w:val="auto"/>
          <w:sz w:val="24"/>
          <w:szCs w:val="24"/>
          <w:u w:val="none" w:color="auto"/>
          <w:lang w:val="en-US" w:eastAsia="zh-CN"/>
        </w:rPr>
        <w:t>约7091</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rPr>
        <w:t>，其中林地4130</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rPr>
        <w:t>，草地</w:t>
      </w:r>
      <w:r>
        <w:rPr>
          <w:rFonts w:hint="eastAsia" w:cs="Times New Roman"/>
          <w:color w:val="auto"/>
          <w:sz w:val="24"/>
          <w:szCs w:val="24"/>
          <w:u w:val="none" w:color="auto"/>
          <w:lang w:eastAsia="zh-CN"/>
        </w:rPr>
        <w:t>2961</w:t>
      </w:r>
      <w:r>
        <w:rPr>
          <w:rFonts w:hint="eastAsia" w:cs="Times New Roman"/>
          <w:color w:val="auto"/>
          <w:sz w:val="24"/>
          <w:szCs w:val="24"/>
          <w:u w:val="none" w:color="auto"/>
          <w:lang w:val="en-US" w:eastAsia="zh-CN"/>
        </w:rPr>
        <w:t>m</w:t>
      </w:r>
      <w:r>
        <w:rPr>
          <w:rFonts w:hint="eastAsia" w:cs="Times New Roman"/>
          <w:color w:val="auto"/>
          <w:sz w:val="24"/>
          <w:szCs w:val="24"/>
          <w:u w:val="none" w:color="auto"/>
          <w:vertAlign w:val="superscript"/>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临时占地主要包括施工临建设施及施工道路等用地，建设项目占地对建设区域内生态环境会产生一定的影响。</w:t>
      </w:r>
    </w:p>
    <w:p w14:paraId="45B4FA0F">
      <w:pPr>
        <w:bidi w:val="0"/>
        <w:rPr>
          <w:rFonts w:hint="default" w:ascii="Times New Roman" w:hAnsi="Times New Roman" w:cs="Times New Roman"/>
          <w:color w:val="auto"/>
          <w:u w:val="none" w:color="auto"/>
        </w:rPr>
      </w:pP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u w:val="none" w:color="auto"/>
          <w:lang w:val="en-US" w:eastAsia="zh-CN"/>
        </w:rPr>
        <w:t>临时占地</w:t>
      </w:r>
      <w:r>
        <w:rPr>
          <w:rFonts w:hint="default" w:ascii="Times New Roman" w:hAnsi="Times New Roman" w:cs="Times New Roman"/>
          <w:color w:val="auto"/>
          <w:u w:val="none" w:color="auto"/>
        </w:rPr>
        <w:t>不涉及耕地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不涉及永久占地征地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不会改变土地的利用性质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施工结束后</w:t>
      </w:r>
      <w:r>
        <w:rPr>
          <w:rFonts w:hint="default" w:ascii="Times New Roman" w:hAnsi="Times New Roman" w:cs="Times New Roman"/>
          <w:color w:val="auto"/>
          <w:u w:val="none" w:color="auto"/>
        </w:rPr>
        <w:t>临时用地通过绿化等生态恢复措施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可使用地恢复至原来的生态使用功能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对周围环境的影响可得到有效</w:t>
      </w:r>
      <w:r>
        <w:rPr>
          <w:rFonts w:hint="default" w:ascii="Times New Roman" w:hAnsi="Times New Roman" w:cs="Times New Roman"/>
          <w:color w:val="auto"/>
          <w:u w:val="none" w:color="auto"/>
          <w:lang w:eastAsia="zh-CN"/>
        </w:rPr>
        <w:t>的</w:t>
      </w:r>
      <w:r>
        <w:rPr>
          <w:rFonts w:hint="default" w:ascii="Times New Roman" w:hAnsi="Times New Roman" w:cs="Times New Roman"/>
          <w:color w:val="auto"/>
          <w:u w:val="none" w:color="auto"/>
        </w:rPr>
        <w:t>控制。</w:t>
      </w:r>
    </w:p>
    <w:p w14:paraId="1B8F194A">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工程土方开挖生态环境影响</w:t>
      </w:r>
    </w:p>
    <w:p w14:paraId="0A1727C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在本工程建设过程中，由于主体工程基础开挖、原材料的堆放、施工作业等活动将使原地表植被、地面构成物质及地形、地貌受到扰动，土壤表层破坏，失去原有植被的保护，造成生物量减少，降低或丧失土壤水土保持功能，大量土石方的开挖及其运移，将导致工程区域内原地貌形态的改变，地表破碎度增加，施工结束后将进行整治恢复。</w:t>
      </w:r>
    </w:p>
    <w:p w14:paraId="2602948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工程区属于人类活动比较频繁的地区，未见大型野生动物及保护动物，区域经常出没的野生动物多为小型啮齿类动物和常见禽类。施工期将使其活动范围受到一定限制。</w:t>
      </w:r>
    </w:p>
    <w:p w14:paraId="060E27EB">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围堰施工生态环境影响</w:t>
      </w:r>
    </w:p>
    <w:p w14:paraId="1B5AAC9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项目涉及两处围堰施工点</w:t>
      </w:r>
      <w:r>
        <w:rPr>
          <w:rFonts w:hint="eastAsia" w:cs="Times New Roman"/>
          <w:color w:val="auto"/>
          <w:u w:val="none" w:color="auto"/>
          <w:lang w:val="en-US" w:eastAsia="zh-CN"/>
        </w:rPr>
        <w:t>：</w:t>
      </w:r>
    </w:p>
    <w:p w14:paraId="72BEFDF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明槽进口围堰</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进口明槽开挖到底板高程后需修筑围堰以保证明槽底部常态混凝土</w:t>
      </w:r>
      <w:r>
        <w:rPr>
          <w:rFonts w:hint="default" w:ascii="Times New Roman" w:hAnsi="Times New Roman" w:cs="Times New Roman"/>
          <w:color w:val="auto"/>
          <w:highlight w:val="none"/>
          <w:u w:val="none" w:color="auto"/>
          <w:lang w:val="en-US" w:eastAsia="zh-CN"/>
        </w:rPr>
        <w:t>干地</w:t>
      </w:r>
      <w:r>
        <w:rPr>
          <w:rFonts w:hint="default" w:ascii="Times New Roman" w:hAnsi="Times New Roman" w:cs="Times New Roman"/>
          <w:color w:val="auto"/>
          <w:u w:val="none" w:color="auto"/>
          <w:lang w:val="en-US" w:eastAsia="zh-CN"/>
        </w:rPr>
        <w:t>浇筑，采用袋装土围堰将明槽进口段封堵，常态混凝土施工挡水时段为7天；</w:t>
      </w:r>
      <w:r>
        <w:rPr>
          <w:rFonts w:hint="default" w:ascii="Times New Roman" w:hAnsi="Times New Roman" w:cs="Times New Roman"/>
          <w:color w:val="auto"/>
          <w:u w:val="none" w:color="auto"/>
        </w:rPr>
        <w:t>明槽进口围堰不影响过流，不拆除</w:t>
      </w:r>
      <w:r>
        <w:rPr>
          <w:rFonts w:hint="default" w:ascii="Times New Roman" w:hAnsi="Times New Roman" w:cs="Times New Roman"/>
          <w:color w:val="auto"/>
          <w:u w:val="none" w:color="auto"/>
          <w:lang w:eastAsia="zh-CN"/>
        </w:rPr>
        <w:t>。</w:t>
      </w:r>
    </w:p>
    <w:p w14:paraId="6D9BC15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②坝下游围堰:泄水冲坑及尾水岸坡加固均位于坝下游的宜水河河上，需要修筑围堰进行挡水，此部分施工在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通水以后进行，电站不再发电，天然来水利用</w:t>
      </w:r>
      <w:r>
        <w:rPr>
          <w:rFonts w:hint="eastAsia" w:cs="Times New Roman"/>
          <w:color w:val="auto"/>
          <w:u w:val="none" w:color="auto"/>
          <w:lang w:val="en-US" w:eastAsia="zh-CN"/>
        </w:rPr>
        <w:t>隧洞</w:t>
      </w:r>
      <w:r>
        <w:rPr>
          <w:rFonts w:hint="default" w:ascii="Times New Roman" w:hAnsi="Times New Roman" w:cs="Times New Roman"/>
          <w:color w:val="auto"/>
          <w:u w:val="none" w:color="auto"/>
          <w:lang w:val="en-US" w:eastAsia="zh-CN"/>
        </w:rPr>
        <w:t>下泄。</w:t>
      </w:r>
      <w:r>
        <w:rPr>
          <w:rFonts w:hint="default" w:ascii="Times New Roman" w:hAnsi="Times New Roman" w:cs="Times New Roman"/>
          <w:color w:val="auto"/>
          <w:u w:val="none" w:color="auto"/>
        </w:rPr>
        <w:t>坝下游袋装土围堰采用人工填筑、人工拆除，围堰拆除料采用1.0m³挖掘机挖装，8t自卸汽车运输。拆除料运至弃渣场。</w:t>
      </w:r>
    </w:p>
    <w:p w14:paraId="7F3D951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围堰过程使河底物质发生扰动，造成泥沙沉积在底基上和水体中悬浮，减弱了光的穿透能力，增加了河水的浊度，同时围堰施工所造成的高浓度悬浮物将造成所在水域的SS增加，将可能对鱼类的呼吸作用产生不利影响。</w:t>
      </w:r>
    </w:p>
    <w:p w14:paraId="47FABA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陆生</w:t>
      </w:r>
      <w:r>
        <w:rPr>
          <w:rFonts w:hint="default" w:ascii="Times New Roman" w:hAnsi="Times New Roman" w:cs="Times New Roman"/>
          <w:color w:val="auto"/>
          <w:u w:val="none" w:color="auto"/>
        </w:rPr>
        <w:t>植物资源及植被的影响</w:t>
      </w:r>
    </w:p>
    <w:p w14:paraId="0748BF3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本项目为水库堤坝除险加固工程，不新增永久用地，项目</w:t>
      </w:r>
      <w:r>
        <w:rPr>
          <w:rFonts w:hint="default" w:ascii="Times New Roman" w:hAnsi="Times New Roman" w:cs="Times New Roman"/>
          <w:color w:val="auto"/>
          <w:u w:val="none" w:color="auto"/>
          <w:lang w:val="en-US" w:eastAsia="zh-CN"/>
        </w:rPr>
        <w:t>临时占地</w:t>
      </w:r>
      <w:r>
        <w:rPr>
          <w:rFonts w:hint="default" w:ascii="Times New Roman" w:hAnsi="Times New Roman" w:cs="Times New Roman"/>
          <w:color w:val="auto"/>
          <w:u w:val="none" w:color="auto"/>
        </w:rPr>
        <w:t>征用减少植被面积占项目区域植被面积的比重较小，对项目区域原有的生态系统不会产生较大的影响，项目区涉及的植物群落类型较多，野生植物的种类、数量也较多，</w:t>
      </w:r>
      <w:r>
        <w:rPr>
          <w:rFonts w:hint="default" w:ascii="Times New Roman" w:hAnsi="Times New Roman" w:cs="Times New Roman"/>
          <w:color w:val="auto"/>
          <w:u w:val="none" w:color="auto"/>
          <w:lang w:val="en-US" w:eastAsia="zh-CN"/>
        </w:rPr>
        <w:t>主要为马尾松</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香椿、杉木</w:t>
      </w:r>
      <w:r>
        <w:rPr>
          <w:rFonts w:hint="default" w:ascii="Times New Roman" w:hAnsi="Times New Roman" w:cs="Times New Roman"/>
          <w:color w:val="auto"/>
          <w:u w:val="none" w:color="auto"/>
        </w:rPr>
        <w:t>等，灌层主要有构树、白背叶</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檵木等，林下草层主要有</w:t>
      </w:r>
      <w:r>
        <w:rPr>
          <w:rFonts w:hint="default" w:ascii="Times New Roman" w:hAnsi="Times New Roman" w:cs="Times New Roman"/>
          <w:color w:val="auto"/>
          <w:u w:val="none" w:color="auto"/>
          <w:lang w:val="en-US" w:eastAsia="zh-CN"/>
        </w:rPr>
        <w:t>芒</w:t>
      </w:r>
      <w:r>
        <w:rPr>
          <w:rFonts w:hint="default" w:ascii="Times New Roman" w:hAnsi="Times New Roman" w:cs="Times New Roman"/>
          <w:color w:val="auto"/>
          <w:u w:val="none" w:color="auto"/>
        </w:rPr>
        <w:t>、狗牙根等，均为当地常见种和广布种，不会引起物种和植物群落在区域内的消失，不会对评价区物种资源造成较大的影响。因此项目的建设不会引起本地区的植物区系的群落类型和植物种类发生改变，更不会引起物种的灭亡。</w:t>
      </w:r>
    </w:p>
    <w:p w14:paraId="722D29CF">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陆生</w:t>
      </w:r>
      <w:r>
        <w:rPr>
          <w:rFonts w:hint="default" w:ascii="Times New Roman" w:hAnsi="Times New Roman" w:cs="Times New Roman"/>
          <w:color w:val="auto"/>
          <w:u w:val="none" w:color="auto"/>
        </w:rPr>
        <w:t>动物的影响</w:t>
      </w:r>
    </w:p>
    <w:p w14:paraId="10B7935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影响主要在施工期，工程主要是在已经建成的水库大坝上进行加固、修缮以及设备修缮等，工程施工场主要集中在主坝、溢洪道区域，不新增占地。坝体工程的施工将会使所在地区域人类活动增加，同时场地的施工，会使增加场区噪声量，对坝体及周边的陆生动物产生一定的影响。据现场调查访问，坝体及周边区域内有价值的野生动物分布较少，多为常见的两栖、爬行类、鸟类等动物，未发现国家及自治区重点保护的野生动物。</w:t>
      </w:r>
    </w:p>
    <w:p w14:paraId="7284865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1、对两栖、爬行动物的影响</w:t>
      </w:r>
    </w:p>
    <w:p w14:paraId="3A68BE48">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主要是在已经建成的水库主坝、副坝、溢洪道上进行加固、修缮以及设备修缮等，工程施工场主要集中在坝体区域，不新增永久占地。但在坝体的施工过程中会产生挖填方、施工噪声、运输噪声及施工废水，会对坝体下游的水体产生一定的影响</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如悬浮物增加等</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，因此会迫使生活在之周边的两栖类及爬行类动物向坝体四周迁移，寻找合适的生活及觅食地点，从而使施工区四周影响区域两栖及爬行类动物种类和数量有所减少。</w:t>
      </w:r>
    </w:p>
    <w:p w14:paraId="429E7331">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经调查现场调查来看，施工区内的两栖、爬行类动物都是些普通的常见种类，在评价区内普遍存在，工程建设对该地区物种类型影响较小。只要在施工期做好保护野生动物工作，待施工结束后，施工区临时用地及周围影响区域内的植被逐渐恢复后，它们又可以回到工程区周围的地带栖息，因此，施工用地不会对工程周区的野生动物造成大的影响。由于施工区及其周围原有生态环境较好，且气象条件优越，水资源丰富，工程结束后，生态环境恢复较容易，原有动物很快就会回到原来的栖息地，保证当地的生态平衡。</w:t>
      </w:r>
    </w:p>
    <w:p w14:paraId="5A8C6A4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2、对兽类的影响</w:t>
      </w:r>
    </w:p>
    <w:p w14:paraId="3728ECD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的加固、相关设施的修缮等活动直接影响主要集中在坝体周边，经调查，此区域主要分布的是一些小型兽类和小型啮齿类动物，如野兔、松鼠、黄毛鼠、田鼠等。施工运输工具的交通噪声、机械施工、开挖、爆破等各种噪声和振动，会使上述小型兽类受噪声干扰或受到振动惊吓而向外迁移，但不会对其种群数量及物种多样性产生影响。但这种不利影响只是暂时的，一旦施工结束，除了被工程占用的部分草地外，其它地段的地形和植被都维持原样，上述小型兽类还可以在这些地段栖息、觅食，整个野生动物区系组成又可以恢复原状。</w:t>
      </w:r>
    </w:p>
    <w:p w14:paraId="1BFC4607">
      <w:pPr>
        <w:pStyle w:val="181"/>
        <w:ind w:firstLine="480"/>
        <w:rPr>
          <w:rFonts w:hint="default" w:ascii="Times New Roman" w:hAnsi="Times New Roman" w:cs="Times New Roman"/>
          <w:color w:val="auto"/>
          <w:u w:val="none" w:color="auto"/>
        </w:rPr>
      </w:pPr>
      <w:r>
        <w:rPr>
          <w:rFonts w:hint="eastAsia"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施工期施工人员聚集，若不加强管理，提高保护动物意识，则可能会对周围的野生兽类造成骚扰。有少部分施工人员可能在闲暇之时，对野生兽类进行狩猎，这将对一些野生兽类构成严重威胁，而且这种影响往往要经过很长时间才能恢复，有时甚至是不可逆的。因此，在施工期间要加强对施工人员的管理，并且对他们进行动植物保护宣传教育，提高他们保护动植物的意识，防患于未然，以减少这种对野生动物不必要的影响。</w:t>
      </w:r>
    </w:p>
    <w:p w14:paraId="4541161C">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3、对鸟类的影响</w:t>
      </w:r>
    </w:p>
    <w:p w14:paraId="4C54480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坝体加固及相关设施的修缮施工将破坏和影响部分栖息于原有水库岸边和坝体周边低海拔地区的涉禽、游禽鸟类的栖息地，施工活动产生的废气和噪声等，也将干扰栖息附近的鸟类，使一些原来栖息于此的鸟类迁往周边适生的环境中。但工程影响区内鸟类主要为小山雀、麻雀、白鹭等形体较小的常见鸟类，且上述鸟类的迁徙能力强，在区域内附近处易寻找同类生境，工程施工结束后，不利影响将减轻或消失，所以本工程的建设不会对鸟类的生存和繁衍造成危害。</w:t>
      </w:r>
    </w:p>
    <w:p w14:paraId="3B3EEAE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本项目为水库堤坝除险加固工程，不新增永久用地，</w:t>
      </w:r>
      <w:r>
        <w:rPr>
          <w:rFonts w:hint="default" w:ascii="Times New Roman" w:hAnsi="Times New Roman" w:cs="Times New Roman"/>
          <w:color w:val="auto"/>
          <w:u w:val="none" w:color="auto"/>
          <w:lang w:val="en-US" w:eastAsia="zh-CN"/>
        </w:rPr>
        <w:t>临时</w:t>
      </w:r>
      <w:r>
        <w:rPr>
          <w:rFonts w:hint="default" w:ascii="Times New Roman" w:hAnsi="Times New Roman" w:cs="Times New Roman"/>
          <w:color w:val="auto"/>
          <w:u w:val="none" w:color="auto"/>
        </w:rPr>
        <w:t>占地范围内动物为常见种，没有国家或省级重点野生动物资源。</w:t>
      </w:r>
      <w:r>
        <w:rPr>
          <w:rFonts w:hint="default" w:ascii="Times New Roman" w:hAnsi="Times New Roman" w:cs="Times New Roman"/>
          <w:color w:val="auto"/>
          <w:u w:val="none" w:color="auto"/>
          <w:lang w:val="en-US" w:eastAsia="zh-CN"/>
        </w:rPr>
        <w:t>在施工结束后</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这些不利影响</w:t>
      </w:r>
      <w:r>
        <w:rPr>
          <w:rFonts w:hint="default" w:ascii="Times New Roman" w:hAnsi="Times New Roman" w:cs="Times New Roman"/>
          <w:color w:val="auto"/>
          <w:u w:val="none" w:color="auto"/>
          <w:lang w:eastAsia="zh-CN"/>
        </w:rPr>
        <w:t>会</w:t>
      </w:r>
      <w:r>
        <w:rPr>
          <w:rFonts w:hint="default" w:ascii="Times New Roman" w:hAnsi="Times New Roman" w:cs="Times New Roman"/>
          <w:color w:val="auto"/>
          <w:u w:val="none" w:color="auto"/>
        </w:rPr>
        <w:t>随施工的结束而逐渐消失。</w:t>
      </w:r>
    </w:p>
    <w:p w14:paraId="3F09C27A">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w:t>
      </w:r>
      <w:r>
        <w:rPr>
          <w:rFonts w:hint="default" w:ascii="Times New Roman" w:hAnsi="Times New Roman" w:cs="Times New Roman"/>
          <w:color w:val="auto"/>
          <w:u w:val="none" w:color="auto"/>
        </w:rPr>
        <w:t>水生生态影响</w:t>
      </w:r>
    </w:p>
    <w:p w14:paraId="60B58199">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1、对浮游植物的影响</w:t>
      </w:r>
    </w:p>
    <w:p w14:paraId="06E0AE1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悬浮物浓度的增加对浮游植物的生长、繁殖及生物量有不同程度的影响。悬浮颗粒的增加，造成水质的浑浊，水体透明度下降，光照强度下降，溶解氧降低，对浮游植物的光合作用产生不利的影响，进而抑制浮游植物的细胞分裂和生长，降低浮游植物的生物量和流域的初级生产力。</w:t>
      </w:r>
    </w:p>
    <w:p w14:paraId="408BCCD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2、对浮游动物的影响</w:t>
      </w:r>
    </w:p>
    <w:p w14:paraId="181C4D2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悬浮物含量增多对浮游动物尤其是滤食性的浮游动物带来影响，研究表明桡足类的存活和繁殖受到明显的抑制作用。过量悬浮物使其食物过滤系统和消化器官堵塞，大量的悬浮颗粒黏附在动物的体表，干扰其正常的生理功能。施工期内，浮游动物的生物量会有一定程度的降低。</w:t>
      </w:r>
    </w:p>
    <w:p w14:paraId="7098E5F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3、对底栖动物的影响</w:t>
      </w:r>
    </w:p>
    <w:p w14:paraId="02602A6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工程的建设会直接伤害到底栖动物，同时也直接改变了其栖息环境，施工所产生的悬浮物也会影响到附近水域底栖动物的呼吸、摄食等生命活动。随着施工的结束，悬浮泥沙对水体的影响将消失，但底栖生物群落的恢复需要一定时间。</w:t>
      </w:r>
    </w:p>
    <w:p w14:paraId="405FD910">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4、对鱼类的影响</w:t>
      </w:r>
    </w:p>
    <w:p w14:paraId="5356C54B">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大量的施工人员、机械、车辆产生的大量噪音将迫使鱼类往水库中段迁移，生存空间减小。另外，工程对渔业资源的影响还表现在施工期间形成的底层悬浮物沉积物高浓度扩散场，悬浮物颗粒将直接对鱼类仔幼体造成伤害，影响胚胎发育，堵塞生物的呼吸器官使其窒息死亡。另外，工程造成的浮游生物和底栖生物的损失，也会影响以浮游生物和底栖生物为饵料的鱼类的摄食。一般涉水施工产生的悬浮物扩散到约90m 范围外水中 SS 基本接近本底值浓度，对鱼类影响较小。</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鱼类大多为定期投放的常见种类，无特殊种类或敏感鱼种。</w:t>
      </w:r>
    </w:p>
    <w:p w14:paraId="1448E8D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总体而言工程施工对水生生物的影响较小，随着施工期结束后，水库水生生态逐渐恢复。</w:t>
      </w:r>
    </w:p>
    <w:p w14:paraId="019944C5">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施工期对区域生物多样性的影响</w:t>
      </w:r>
    </w:p>
    <w:p w14:paraId="3775CD1E">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1、污染物的影响</w:t>
      </w:r>
    </w:p>
    <w:p w14:paraId="5C3D64B2">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根据本报告污染物源强核算，</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 xml:space="preserve">工程施工期产生的大气污染物主要是施工期的机械车辆废气、施工扬尘，废气、粉尘的影响半径在 200m 左右，经过调查，影响范围内不存在对工程排放的大气污染物敏感的野生动植物，施工期结束后，污染物随之消失，工程活动不会对物种多样性产生明显的不利影响。 </w:t>
      </w:r>
    </w:p>
    <w:p w14:paraId="7362688A">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本工程产生的水污染物主要是施工废水、施工人员生活污水。施工废水分类处理后回用，施工生活污水经化粪池处理后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，施工期废水严禁排入</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及下游。采取分类处理措施后，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工程活动产生的水污染物不会对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 xml:space="preserve">及下游水生生境和水生生物物种多样性产生不利影响。 </w:t>
      </w:r>
    </w:p>
    <w:p w14:paraId="36A5726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本工程施工噪声污染主要是施工期施工机械和施工活动噪声，以及</w:t>
      </w:r>
      <w:r>
        <w:rPr>
          <w:rFonts w:hint="default" w:ascii="Times New Roman" w:hAnsi="Times New Roman" w:cs="Times New Roman"/>
          <w:color w:val="auto"/>
          <w:u w:val="none" w:color="auto"/>
          <w:lang w:val="en-US" w:eastAsia="zh-CN"/>
        </w:rPr>
        <w:t>基坑</w:t>
      </w:r>
      <w:r>
        <w:rPr>
          <w:rFonts w:hint="default" w:ascii="Times New Roman" w:hAnsi="Times New Roman" w:cs="Times New Roman"/>
          <w:color w:val="auto"/>
          <w:u w:val="none" w:color="auto"/>
        </w:rPr>
        <w:t>开挖产生的噪声。施工噪声对评价区域内人工林生境中生活的鸟类、小型哺乳类动物产生一定的干扰，可能导致鸟类、小型哺乳类动物迁移至山林深处，随着施工期的结束，再次迁移回来。经过调查，评价区域内不存在对噪声特别敏感的野生保护动物。因此，工程施工活动噪声不会对周边区域动物物种多样性产生明显的不利影响。</w:t>
      </w:r>
    </w:p>
    <w:p w14:paraId="12D7885F">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2、施工人员活动的影响</w:t>
      </w:r>
    </w:p>
    <w:p w14:paraId="7DF799E5">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人员较多，可能存在个别施工人员私自捕鱼、捕鸟、捕蛇等行为。施工期应严格施工管理，限制施工人员在非施工区域内的活动，则可以避免野生动物受到施工人员活动的干扰，减少对物种多样性产生的不利影响。</w:t>
      </w:r>
    </w:p>
    <w:p w14:paraId="2001FBF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的影响</w:t>
      </w:r>
    </w:p>
    <w:p w14:paraId="2C21335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施工期的施工弃渣、沉淀池污泥运至弃渣场；对金属结构及设备拆除后进行资源回收；生活垃圾统一收集后，交由环卫部门处置。因此，工程产生的</w:t>
      </w:r>
      <w:r>
        <w:rPr>
          <w:rFonts w:hint="default" w:ascii="Times New Roman" w:hAnsi="Times New Roman" w:cs="Times New Roman"/>
          <w:color w:val="auto"/>
          <w:u w:val="none" w:color="auto"/>
          <w:lang w:eastAsia="zh-CN"/>
        </w:rPr>
        <w:t>固体废物</w:t>
      </w:r>
      <w:r>
        <w:rPr>
          <w:rFonts w:hint="default" w:ascii="Times New Roman" w:hAnsi="Times New Roman" w:cs="Times New Roman"/>
          <w:color w:val="auto"/>
          <w:u w:val="none" w:color="auto"/>
        </w:rPr>
        <w:t>不会对生物多样性产生不利影响</w:t>
      </w:r>
      <w:r>
        <w:rPr>
          <w:rFonts w:hint="default" w:ascii="Times New Roman" w:hAnsi="Times New Roman" w:cs="Times New Roman"/>
          <w:color w:val="auto"/>
          <w:u w:val="none" w:color="auto"/>
          <w:lang w:eastAsia="zh-CN"/>
        </w:rPr>
        <w:t>。</w:t>
      </w:r>
    </w:p>
    <w:p w14:paraId="662E949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对饮用水源保护区和取水口的影响分析</w:t>
      </w:r>
    </w:p>
    <w:p w14:paraId="69D4C42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对饮用水源的影响</w:t>
      </w:r>
    </w:p>
    <w:p w14:paraId="250A09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根据《湖南省人民政府关于公布湖南省县级以上地表水集中式饮用水水源保护区划定方案的通知》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湘政函〔2016〕176号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的饮用水水源保护区划分为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取水口半径300米范围内水域为一级保护水域，取水口侧正常水位线以上200米范围内的陆域，遇水库大坝以大坝为界为一级保护区陆域；一级保护区边界以外的全部水库水域，二级保护区陆域范围内的全部水体为二级保护区水域，</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周边山脊线以内</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一级保护区以外</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及入库河流上溯3000米的汇水区域为二级保护区陆域。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因此项目的施工无可避免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u w:val="none" w:color="auto"/>
        </w:rPr>
        <w:t>涉及了</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w:t>
      </w:r>
    </w:p>
    <w:p w14:paraId="296810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目前，</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枢纽工程存在较为严重的坝基渗漏问题，以及坝体抗滑稳定、坝体渗漏隐患，因此工程无法正常运行，并存在重大安全隐患。根据《水库大坝安全评价导则》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SL258-2017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的规定，水库枢纽工程质量被评价为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不合格</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。为了消除水库的安全隐患，保证水库防洪、灌溉、供水等功能的正常运行，此次需对水库进行除险加固，对坝体进行充填灌浆及</w:t>
      </w:r>
      <w:r>
        <w:rPr>
          <w:rFonts w:hint="eastAsia" w:cs="Times New Roman"/>
          <w:color w:val="auto"/>
          <w:highlight w:val="none"/>
          <w:u w:val="none" w:color="auto"/>
          <w:lang w:eastAsia="zh-CN"/>
        </w:rPr>
        <w:t>隧洞</w:t>
      </w:r>
      <w:r>
        <w:rPr>
          <w:rFonts w:hint="default" w:ascii="Times New Roman" w:hAnsi="Times New Roman" w:cs="Times New Roman"/>
          <w:color w:val="auto"/>
          <w:u w:val="none" w:color="auto"/>
        </w:rPr>
        <w:t>改造等工程改造。</w:t>
      </w:r>
    </w:p>
    <w:p w14:paraId="46A31D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根据防洪法要求，</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开发利用和保护水资源应当服从防洪总体安排，实行兴利与除害相结合的原则。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因此，水库取水设施的处理上应服从防洪总体安排。</w:t>
      </w:r>
    </w:p>
    <w:p w14:paraId="2530A6B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1、工程与饮用水水源保护区的位置关系</w:t>
      </w:r>
    </w:p>
    <w:p w14:paraId="6F2DB2E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根据核实，</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围堰施工位于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饮用水水源一级保护区内</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水域</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围堰施工临时道路位于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饮用水水源一级保护区内</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陆域</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，项目施工时应严格遵守《中华人民共和国水污染防治法》等饮用水水源保护区的相关要求，施工前制定风险应急预案，并征求主管部门意见，接受主管部门监管，保证区域的用水安全。</w:t>
      </w:r>
    </w:p>
    <w:p w14:paraId="2270687D">
      <w:pPr>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en-US" w:eastAsia="zh-CN"/>
        </w:rPr>
        <w:t>本项目水库大坝除险加固不涉及饮用水源保护区水下施工及占用水域面积，不向廊洞水库、宜阳河内排放废水，在采取相应水污染防治措施后，</w:t>
      </w:r>
      <w:r>
        <w:rPr>
          <w:rFonts w:hint="default" w:ascii="Times New Roman" w:hAnsi="Times New Roman" w:cs="Times New Roman"/>
          <w:color w:val="auto"/>
          <w:u w:val="none" w:color="auto"/>
          <w:lang w:val="zh-CN"/>
        </w:rPr>
        <w:t>不会对</w:t>
      </w:r>
      <w:r>
        <w:rPr>
          <w:rFonts w:hint="default" w:ascii="Times New Roman" w:hAnsi="Times New Roman" w:cs="Times New Roman"/>
          <w:color w:val="auto"/>
          <w:u w:val="none" w:color="auto"/>
          <w:lang w:val="en-US" w:eastAsia="zh-CN"/>
        </w:rPr>
        <w:t>饮用水源保护区</w:t>
      </w:r>
      <w:r>
        <w:rPr>
          <w:rFonts w:hint="default" w:ascii="Times New Roman" w:hAnsi="Times New Roman" w:cs="Times New Roman"/>
          <w:color w:val="auto"/>
          <w:u w:val="none" w:color="auto"/>
          <w:lang w:val="zh-CN"/>
        </w:rPr>
        <w:t>产生</w:t>
      </w:r>
      <w:r>
        <w:rPr>
          <w:rFonts w:hint="default" w:ascii="Times New Roman" w:hAnsi="Times New Roman" w:cs="Times New Roman"/>
          <w:color w:val="auto"/>
          <w:u w:val="none" w:color="auto"/>
          <w:lang w:val="en-US" w:eastAsia="zh-CN"/>
        </w:rPr>
        <w:t>污染</w:t>
      </w:r>
      <w:r>
        <w:rPr>
          <w:rFonts w:hint="default" w:ascii="Times New Roman" w:hAnsi="Times New Roman" w:cs="Times New Roman"/>
          <w:color w:val="auto"/>
          <w:u w:val="none" w:color="auto"/>
          <w:lang w:val="zh-CN"/>
        </w:rPr>
        <w:t>影响。</w:t>
      </w:r>
    </w:p>
    <w:p w14:paraId="306B8496">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2、工程与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饮用水水源保护区取水口的位置关系</w:t>
      </w:r>
    </w:p>
    <w:p w14:paraId="1CCF7834">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饮用水水源保护区取水口位于电站压力前池，</w:t>
      </w:r>
      <w:r>
        <w:rPr>
          <w:rFonts w:hint="default" w:ascii="Times New Roman" w:hAnsi="Times New Roman" w:cs="Times New Roman"/>
          <w:color w:val="auto"/>
          <w:u w:val="none" w:color="auto"/>
          <w:lang w:val="zh-CN" w:bidi="zh-CN"/>
        </w:rPr>
        <w:t>工程施工对取水口的影响较小</w:t>
      </w:r>
      <w:r>
        <w:rPr>
          <w:rFonts w:hint="default" w:ascii="Times New Roman" w:hAnsi="Times New Roman" w:cs="Times New Roman"/>
          <w:color w:val="auto"/>
          <w:spacing w:val="-3"/>
          <w:u w:val="none" w:color="auto"/>
          <w:lang w:val="zh-CN" w:bidi="zh-CN"/>
        </w:rPr>
        <w:t>。</w:t>
      </w:r>
    </w:p>
    <w:p w14:paraId="7E43B0B9">
      <w:pPr>
        <w:tabs>
          <w:tab w:val="left" w:pos="118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rPr>
        <w:t>3、</w:t>
      </w:r>
      <w:r>
        <w:rPr>
          <w:rFonts w:hint="default" w:ascii="Times New Roman" w:hAnsi="Times New Roman" w:cs="Times New Roman"/>
          <w:color w:val="auto"/>
          <w:u w:val="none" w:color="auto"/>
          <w:lang w:val="zh-CN" w:bidi="zh-CN"/>
        </w:rPr>
        <w:t>施工期对水源保护区的影响</w:t>
      </w:r>
    </w:p>
    <w:p w14:paraId="43FBE2A8">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bidi="zh-CN"/>
        </w:rPr>
        <w:t>①</w:t>
      </w:r>
      <w:r>
        <w:rPr>
          <w:rFonts w:hint="default" w:ascii="Times New Roman" w:hAnsi="Times New Roman" w:cs="Times New Roman"/>
          <w:color w:val="auto"/>
          <w:u w:val="none" w:color="auto"/>
          <w:lang w:val="zh-CN" w:bidi="zh-CN"/>
        </w:rPr>
        <w:t>施工布置对水源保护区的影响</w:t>
      </w:r>
    </w:p>
    <w:p w14:paraId="5CFDFE88">
      <w:pPr>
        <w:autoSpaceDE w:val="0"/>
        <w:autoSpaceDN w:val="0"/>
        <w:snapToGrid w:val="0"/>
        <w:ind w:right="235" w:firstLine="468"/>
        <w:rPr>
          <w:rFonts w:hint="default" w:ascii="Times New Roman" w:hAnsi="Times New Roman" w:cs="Times New Roman"/>
          <w:color w:val="auto"/>
          <w:u w:val="none" w:color="auto"/>
          <w:lang w:bidi="zh-CN"/>
        </w:rPr>
      </w:pPr>
      <w:r>
        <w:rPr>
          <w:rFonts w:hint="default" w:ascii="Times New Roman" w:hAnsi="Times New Roman" w:cs="Times New Roman"/>
          <w:color w:val="auto"/>
          <w:spacing w:val="-6"/>
          <w:u w:val="none" w:color="auto"/>
          <w:lang w:val="zh-CN" w:bidi="zh-CN"/>
        </w:rPr>
        <w:t>工程在初步设计阶段，设置</w:t>
      </w:r>
      <w:r>
        <w:rPr>
          <w:rFonts w:hint="default" w:ascii="Times New Roman" w:hAnsi="Times New Roman" w:cs="Times New Roman"/>
          <w:color w:val="auto"/>
          <w:u w:val="none" w:color="auto"/>
          <w:lang w:eastAsia="zh-CN"/>
        </w:rPr>
        <w:t>施工工厂、施工仓库</w:t>
      </w:r>
      <w:r>
        <w:rPr>
          <w:rFonts w:hint="default" w:ascii="Times New Roman" w:hAnsi="Times New Roman" w:cs="Times New Roman"/>
          <w:color w:val="auto"/>
          <w:spacing w:val="-1"/>
          <w:u w:val="none" w:color="auto"/>
          <w:lang w:val="zh-CN" w:bidi="zh-CN"/>
        </w:rPr>
        <w:t>，弃渣场</w:t>
      </w:r>
      <w:r>
        <w:rPr>
          <w:rFonts w:hint="default" w:ascii="Times New Roman" w:hAnsi="Times New Roman" w:cs="Times New Roman"/>
          <w:color w:val="auto"/>
          <w:spacing w:val="-1"/>
          <w:u w:val="none" w:color="auto"/>
          <w:lang w:bidi="zh-CN"/>
        </w:rPr>
        <w:t>均不在饮用水水源一、二级保护区内和水库集水范围内，因此，临时工程布置不会对水源保护区产生明显影响。</w:t>
      </w:r>
    </w:p>
    <w:p w14:paraId="49915417">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②施工生活、生产废水影响</w:t>
      </w:r>
    </w:p>
    <w:p w14:paraId="1BE4589B">
      <w:pPr>
        <w:snapToGrid w:val="0"/>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本项目施工人员生活污水经化粪池处理后用于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r>
        <w:rPr>
          <w:rFonts w:hint="default" w:ascii="Times New Roman" w:hAnsi="Times New Roman" w:cs="Times New Roman"/>
          <w:color w:val="auto"/>
          <w:kern w:val="0"/>
          <w:u w:val="none" w:color="auto"/>
          <w:lang w:bidi="ar"/>
        </w:rPr>
        <w:t>。</w:t>
      </w:r>
      <w:r>
        <w:rPr>
          <w:rFonts w:hint="default" w:ascii="Times New Roman" w:hAnsi="Times New Roman" w:cs="Times New Roman"/>
          <w:color w:val="auto"/>
          <w:spacing w:val="-13"/>
          <w:u w:val="none" w:color="auto"/>
          <w:lang w:val="zh-CN" w:bidi="zh-CN"/>
        </w:rPr>
        <w:t>施工生活污水不会直接进入水源保护区对水质造成影响。</w:t>
      </w:r>
    </w:p>
    <w:p w14:paraId="1553898D">
      <w:pPr>
        <w:pStyle w:val="181"/>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拟设临时机械、车辆冲洗废水处理池，经隔油、沉淀处理后回用</w:t>
      </w:r>
      <w:r>
        <w:rPr>
          <w:rFonts w:hint="eastAsia" w:ascii="Times New Roman" w:hAnsi="Times New Roman" w:cs="Times New Roman"/>
          <w:color w:val="auto"/>
          <w:highlight w:val="none"/>
          <w:u w:val="none" w:color="auto"/>
          <w:lang w:val="en-US" w:eastAsia="zh-CN"/>
        </w:rPr>
        <w:t>于</w:t>
      </w:r>
      <w:r>
        <w:rPr>
          <w:rFonts w:hint="default" w:ascii="Times New Roman" w:hAnsi="Times New Roman" w:cs="Times New Roman"/>
          <w:color w:val="auto"/>
          <w:highlight w:val="none"/>
          <w:u w:val="none" w:color="auto"/>
          <w:lang w:eastAsia="zh-CN"/>
        </w:rPr>
        <w:t>机械、车辆冲洗，</w:t>
      </w:r>
      <w:r>
        <w:rPr>
          <w:rFonts w:hint="eastAsia" w:ascii="Times New Roman" w:hAnsi="Times New Roman" w:cs="Times New Roman"/>
          <w:color w:val="auto"/>
          <w:highlight w:val="none"/>
          <w:u w:val="none" w:color="auto"/>
          <w:lang w:val="en-US" w:eastAsia="zh-CN"/>
        </w:rPr>
        <w:t>不外排；</w:t>
      </w:r>
      <w:r>
        <w:rPr>
          <w:rFonts w:hint="default" w:ascii="Times New Roman" w:hAnsi="Times New Roman" w:cs="Times New Roman"/>
          <w:color w:val="auto"/>
          <w:u w:val="none" w:color="auto"/>
        </w:rPr>
        <w:t>基坑废水经沉淀池处理后回用于场区洒水降尘，不外排；灌浆施工废水经沉淀池处理后回用于场区洒水降尘，不外排；混凝土</w:t>
      </w:r>
      <w:r>
        <w:rPr>
          <w:rFonts w:hint="eastAsia" w:cs="Times New Roman"/>
          <w:color w:val="auto"/>
          <w:u w:val="none" w:color="auto"/>
          <w:lang w:eastAsia="zh-CN"/>
        </w:rPr>
        <w:t>拌合</w:t>
      </w:r>
      <w:r>
        <w:rPr>
          <w:rFonts w:hint="default" w:ascii="Times New Roman" w:hAnsi="Times New Roman" w:cs="Times New Roman"/>
          <w:color w:val="auto"/>
          <w:u w:val="none" w:color="auto"/>
        </w:rPr>
        <w:t>废水经沉淀池处理后回用于混凝土</w:t>
      </w:r>
      <w:r>
        <w:rPr>
          <w:rFonts w:hint="eastAsia" w:cs="Times New Roman"/>
          <w:color w:val="auto"/>
          <w:u w:val="none" w:color="auto"/>
          <w:lang w:eastAsia="zh-CN"/>
        </w:rPr>
        <w:t>拌合</w:t>
      </w:r>
      <w:r>
        <w:rPr>
          <w:rFonts w:hint="default" w:ascii="Times New Roman" w:hAnsi="Times New Roman" w:cs="Times New Roman"/>
          <w:color w:val="auto"/>
          <w:u w:val="none" w:color="auto"/>
        </w:rPr>
        <w:t>，不外排；生活污水经化粪池处理后用于</w:t>
      </w:r>
      <w:r>
        <w:rPr>
          <w:rFonts w:hint="eastAsia" w:cs="Times New Roman"/>
          <w:color w:val="auto"/>
          <w:u w:val="none" w:color="auto"/>
          <w:lang w:eastAsia="zh-CN"/>
        </w:rPr>
        <w:t>场区内绿化</w:t>
      </w:r>
      <w:r>
        <w:rPr>
          <w:rFonts w:hint="default" w:ascii="Times New Roman" w:hAnsi="Times New Roman" w:cs="Times New Roman"/>
          <w:color w:val="auto"/>
          <w:u w:val="none" w:color="auto"/>
        </w:rPr>
        <w:t>，不外排。</w:t>
      </w:r>
      <w:r>
        <w:rPr>
          <w:rFonts w:hint="default" w:ascii="Times New Roman" w:hAnsi="Times New Roman" w:cs="Times New Roman"/>
          <w:color w:val="auto"/>
          <w:u w:val="none" w:color="auto"/>
          <w:lang w:val="zh-CN" w:bidi="zh-CN"/>
        </w:rPr>
        <w:t>因此，生产废水不会对于水源保护区水质构成影响。</w:t>
      </w:r>
    </w:p>
    <w:p w14:paraId="28EFDAD8">
      <w:pPr>
        <w:tabs>
          <w:tab w:val="left" w:pos="943"/>
        </w:tabs>
        <w:autoSpaceDE w:val="0"/>
        <w:autoSpaceDN w:val="0"/>
        <w:snapToGrid w:val="0"/>
        <w:ind w:firstLine="480"/>
        <w:jc w:val="left"/>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③工程施工对水源保护区及取水口影响综合分析</w:t>
      </w:r>
    </w:p>
    <w:p w14:paraId="2F6A0D8D">
      <w:pPr>
        <w:pStyle w:val="181"/>
        <w:ind w:firstLine="480"/>
        <w:rPr>
          <w:rFonts w:hint="default" w:ascii="Times New Roman" w:hAnsi="Times New Roman" w:cs="Times New Roman"/>
          <w:color w:val="auto"/>
          <w:u w:val="none" w:color="auto"/>
          <w:lang w:val="zh-CN" w:bidi="zh-CN"/>
        </w:rPr>
      </w:pPr>
      <w:r>
        <w:rPr>
          <w:rFonts w:hint="default" w:ascii="Times New Roman" w:hAnsi="Times New Roman" w:cs="Times New Roman"/>
          <w:color w:val="auto"/>
          <w:u w:val="none" w:color="auto"/>
          <w:lang w:val="zh-CN" w:bidi="zh-CN"/>
        </w:rPr>
        <w:t>工程生产废水均经处理后用于施工厂区洒水抑尘，不排至廊洞水库，对廊洞水库饮用水源保护区不构成影响。临时工程均不在饮用水水源一、二级保护区内和水库集水范围内，不会对水源保护区产生明显影响。</w:t>
      </w:r>
    </w:p>
    <w:p w14:paraId="5B4E5CE5">
      <w:pPr>
        <w:pStyle w:val="181"/>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围堰施工位于</w:t>
      </w: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饮用水水源一级保护区内</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施工期间临时水泵</w:t>
      </w:r>
      <w:r>
        <w:rPr>
          <w:rFonts w:hint="eastAsia"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pacing w:val="1"/>
          <w:sz w:val="24"/>
          <w:szCs w:val="24"/>
          <w:u w:val="none" w:color="auto"/>
          <w:lang w:val="en-US" w:eastAsia="zh-CN"/>
        </w:rPr>
        <w:t>3</w:t>
      </w:r>
      <w:r>
        <w:rPr>
          <w:rFonts w:hint="default" w:ascii="Times New Roman" w:hAnsi="Times New Roman" w:eastAsia="宋体" w:cs="Times New Roman"/>
          <w:color w:val="auto"/>
          <w:spacing w:val="-3"/>
          <w:sz w:val="24"/>
          <w:szCs w:val="24"/>
          <w:u w:val="none" w:color="auto"/>
        </w:rPr>
        <w:t>台SLB300-50B型水泵，扬程</w:t>
      </w:r>
      <w:r>
        <w:rPr>
          <w:rFonts w:hint="default" w:ascii="Times New Roman" w:hAnsi="Times New Roman" w:eastAsia="宋体" w:cs="Times New Roman"/>
          <w:color w:val="auto"/>
          <w:sz w:val="24"/>
          <w:szCs w:val="24"/>
          <w:u w:val="none" w:color="auto"/>
        </w:rPr>
        <w:t>H</w:t>
      </w:r>
      <w:r>
        <w:rPr>
          <w:rFonts w:hint="default" w:ascii="Times New Roman" w:hAnsi="Times New Roman" w:eastAsia="宋体" w:cs="Times New Roman"/>
          <w:color w:val="auto"/>
          <w:spacing w:val="-3"/>
          <w:sz w:val="24"/>
          <w:szCs w:val="24"/>
          <w:u w:val="none" w:color="auto"/>
        </w:rPr>
        <w:t>38m，</w:t>
      </w:r>
      <w:r>
        <w:rPr>
          <w:rFonts w:hint="default" w:ascii="Times New Roman" w:hAnsi="Times New Roman" w:eastAsia="宋体" w:cs="Times New Roman"/>
          <w:color w:val="auto"/>
          <w:sz w:val="24"/>
          <w:szCs w:val="24"/>
          <w:u w:val="none" w:color="auto"/>
        </w:rPr>
        <w:t>Q</w:t>
      </w:r>
      <w:r>
        <w:rPr>
          <w:rFonts w:hint="default" w:ascii="Times New Roman" w:hAnsi="Times New Roman" w:eastAsia="宋体" w:cs="Times New Roman"/>
          <w:color w:val="auto"/>
          <w:spacing w:val="-3"/>
          <w:sz w:val="24"/>
          <w:szCs w:val="24"/>
          <w:u w:val="none" w:color="auto"/>
        </w:rPr>
        <w:t>流量169.3</w:t>
      </w:r>
      <w:r>
        <w:rPr>
          <w:rFonts w:hint="default" w:ascii="Times New Roman" w:hAnsi="Times New Roman" w:cs="Times New Roman"/>
          <w:color w:val="auto"/>
          <w:spacing w:val="-3"/>
          <w:sz w:val="24"/>
          <w:szCs w:val="24"/>
          <w:u w:val="none" w:color="auto"/>
          <w:lang w:eastAsia="zh-CN"/>
        </w:rPr>
        <w:t>m³</w:t>
      </w:r>
      <w:r>
        <w:rPr>
          <w:rFonts w:hint="default" w:ascii="Times New Roman" w:hAnsi="Times New Roman" w:eastAsia="宋体" w:cs="Times New Roman"/>
          <w:color w:val="auto"/>
          <w:spacing w:val="-3"/>
          <w:sz w:val="24"/>
          <w:szCs w:val="24"/>
          <w:u w:val="none" w:color="auto"/>
        </w:rPr>
        <w:t>/h，功率90kW，</w:t>
      </w:r>
      <w:r>
        <w:rPr>
          <w:rFonts w:hint="default" w:ascii="Times New Roman" w:hAnsi="Times New Roman" w:eastAsia="宋体" w:cs="Times New Roman"/>
          <w:color w:val="auto"/>
          <w:spacing w:val="-3"/>
          <w:sz w:val="24"/>
          <w:szCs w:val="24"/>
          <w:u w:val="none" w:color="auto"/>
          <w:lang w:val="en-US" w:eastAsia="zh-CN"/>
        </w:rPr>
        <w:t>2</w:t>
      </w:r>
      <w:r>
        <w:rPr>
          <w:rFonts w:hint="default" w:ascii="Times New Roman" w:hAnsi="Times New Roman" w:eastAsia="宋体" w:cs="Times New Roman"/>
          <w:color w:val="auto"/>
          <w:spacing w:val="-3"/>
          <w:sz w:val="24"/>
          <w:szCs w:val="24"/>
          <w:u w:val="none" w:color="auto"/>
        </w:rPr>
        <w:t>用1备</w:t>
      </w:r>
      <w:r>
        <w:rPr>
          <w:rFonts w:hint="eastAsia"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，从</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引水至</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坝后电站旁的现有泵房，由现有泵房抽水至水厂，实现临时供水，以满足下游供水需求。</w:t>
      </w:r>
      <w:r>
        <w:rPr>
          <w:rFonts w:hint="default" w:ascii="Times New Roman" w:hAnsi="Times New Roman" w:eastAsia="宋体" w:cs="Times New Roman"/>
          <w:color w:val="auto"/>
          <w:sz w:val="24"/>
          <w:szCs w:val="24"/>
          <w:u w:val="none" w:color="auto"/>
          <w:lang w:eastAsia="zh-CN"/>
        </w:rPr>
        <w:t>大坝</w:t>
      </w:r>
      <w:r>
        <w:rPr>
          <w:rFonts w:hint="default" w:ascii="Times New Roman" w:hAnsi="Times New Roman" w:eastAsia="宋体" w:cs="Times New Roman"/>
          <w:color w:val="auto"/>
          <w:sz w:val="24"/>
          <w:szCs w:val="24"/>
          <w:u w:val="none" w:color="auto"/>
        </w:rPr>
        <w:t>高涵、低涵施工完毕，恢复正常运行，通过高涵引水即可保障下游供水。通过与</w:t>
      </w:r>
      <w:r>
        <w:rPr>
          <w:rFonts w:hint="default" w:ascii="Times New Roman" w:hAnsi="Times New Roman" w:eastAsia="宋体" w:cs="Times New Roman"/>
          <w:color w:val="auto"/>
          <w:sz w:val="24"/>
          <w:szCs w:val="24"/>
          <w:u w:val="none" w:color="auto"/>
          <w:lang w:eastAsia="zh-CN"/>
        </w:rPr>
        <w:t>廊洞水库</w:t>
      </w:r>
      <w:r>
        <w:rPr>
          <w:rFonts w:hint="default" w:ascii="Times New Roman" w:hAnsi="Times New Roman" w:eastAsia="宋体" w:cs="Times New Roman"/>
          <w:color w:val="auto"/>
          <w:sz w:val="24"/>
          <w:szCs w:val="24"/>
          <w:u w:val="none" w:color="auto"/>
        </w:rPr>
        <w:t>管理所及坝后水厂的</w:t>
      </w:r>
      <w:r>
        <w:rPr>
          <w:rFonts w:hint="default" w:ascii="Times New Roman" w:hAnsi="Times New Roman" w:cs="Times New Roman"/>
          <w:color w:val="auto"/>
          <w:u w:val="none" w:color="auto"/>
        </w:rPr>
        <w:t>负责人沟通了解到，工程施工期需要按每日供水量为</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000</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考虑水库下游居民用水需求。经复核，临时供水方案满足供水量需求。本环评要求建设方，在临时供水方案实施前对</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施工结束后对</w:t>
      </w:r>
      <w:r>
        <w:rPr>
          <w:rFonts w:hint="default" w:ascii="Times New Roman" w:hAnsi="Times New Roman" w:cs="Times New Roman"/>
          <w:color w:val="auto"/>
          <w:u w:val="none" w:color="auto"/>
          <w:lang w:eastAsia="zh-CN"/>
        </w:rPr>
        <w:t>大坝</w:t>
      </w:r>
      <w:r>
        <w:rPr>
          <w:rFonts w:hint="default" w:ascii="Times New Roman" w:hAnsi="Times New Roman" w:cs="Times New Roman"/>
          <w:color w:val="auto"/>
          <w:u w:val="none" w:color="auto"/>
        </w:rPr>
        <w:t>取水口附近水质进行检测，同时制定相关的应急预案。</w:t>
      </w:r>
    </w:p>
    <w:p w14:paraId="03080B7C">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rPr>
        <w:t>在采取上述措施后，工程施工不会对水源保护区及取水口构成影响</w:t>
      </w:r>
      <w:r>
        <w:rPr>
          <w:rFonts w:hint="default" w:ascii="Times New Roman" w:hAnsi="Times New Roman" w:cs="Times New Roman"/>
          <w:color w:val="auto"/>
          <w:u w:val="none" w:color="auto"/>
          <w:lang w:val="en-US" w:eastAsia="zh-CN"/>
        </w:rPr>
        <w:t>。</w:t>
      </w:r>
    </w:p>
    <w:p w14:paraId="21811D70">
      <w:pPr>
        <w:pStyle w:val="4"/>
        <w:bidi w:val="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lang w:val="en-US" w:eastAsia="zh-CN"/>
        </w:rPr>
        <w:t>对国控、省控断面的影响</w:t>
      </w:r>
    </w:p>
    <w:p w14:paraId="62500F1A">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项目施工河段影响范围内无国控断面、省控断面。</w:t>
      </w:r>
    </w:p>
    <w:p w14:paraId="7DD284E1">
      <w:pPr>
        <w:pStyle w:val="3"/>
        <w:bidi w:val="0"/>
        <w:rPr>
          <w:rFonts w:hint="default" w:ascii="Times New Roman" w:hAnsi="Times New Roman" w:cs="Times New Roman"/>
          <w:color w:val="auto"/>
          <w:u w:val="none" w:color="auto"/>
        </w:rPr>
      </w:pPr>
      <w:bookmarkStart w:id="213" w:name="_Toc3670"/>
      <w:r>
        <w:rPr>
          <w:rFonts w:hint="default" w:ascii="Times New Roman" w:hAnsi="Times New Roman" w:cs="Times New Roman"/>
          <w:color w:val="auto"/>
          <w:u w:val="none" w:color="auto"/>
        </w:rPr>
        <w:t>水土</w:t>
      </w:r>
      <w:r>
        <w:rPr>
          <w:rFonts w:hint="default" w:ascii="Times New Roman" w:hAnsi="Times New Roman" w:cs="Times New Roman"/>
          <w:color w:val="auto"/>
          <w:u w:val="none" w:color="auto"/>
          <w:lang w:val="en-US" w:eastAsia="zh-CN"/>
        </w:rPr>
        <w:t>保持影响</w:t>
      </w:r>
      <w:r>
        <w:rPr>
          <w:rFonts w:hint="default" w:ascii="Times New Roman" w:hAnsi="Times New Roman" w:cs="Times New Roman"/>
          <w:color w:val="auto"/>
          <w:u w:val="none" w:color="auto"/>
        </w:rPr>
        <w:t>分析</w:t>
      </w:r>
      <w:bookmarkEnd w:id="213"/>
    </w:p>
    <w:p w14:paraId="2816ECBB">
      <w:pPr>
        <w:keepNext w:val="0"/>
        <w:keepLines w:val="0"/>
        <w:widowControl/>
        <w:suppressLineNumbers w:val="0"/>
        <w:jc w:val="left"/>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kern w:val="0"/>
          <w:sz w:val="24"/>
          <w:szCs w:val="24"/>
          <w:u w:val="none" w:color="auto"/>
          <w:lang w:val="en-US" w:eastAsia="zh-CN" w:bidi="ar"/>
        </w:rPr>
        <w:t>工程无新增淹没及新增永久占地。</w:t>
      </w:r>
      <w:r>
        <w:rPr>
          <w:rFonts w:hint="default" w:ascii="Times New Roman" w:hAnsi="Times New Roman" w:eastAsia="宋体" w:cs="Times New Roman"/>
          <w:color w:val="auto"/>
          <w:u w:val="none" w:color="auto"/>
          <w:lang w:val="en-US" w:eastAsia="zh-CN"/>
        </w:rPr>
        <w:t>临时用地</w:t>
      </w:r>
      <w:r>
        <w:rPr>
          <w:rFonts w:hint="default" w:ascii="Times New Roman" w:hAnsi="Times New Roman" w:cs="Times New Roman"/>
          <w:color w:val="auto"/>
          <w:u w:val="none" w:color="auto"/>
        </w:rPr>
        <w:t>生产建设期由于形成新的开挖面，扰动原有地貌，并改变土地结构，毁坏水保林、草，新增水土流失面积</w:t>
      </w:r>
      <w:r>
        <w:rPr>
          <w:rFonts w:hint="default" w:ascii="Times New Roman" w:hAnsi="Times New Roman" w:cs="Times New Roman"/>
          <w:color w:val="auto"/>
          <w:u w:val="none" w:color="auto"/>
          <w:lang w:val="en-US" w:eastAsia="zh-CN"/>
        </w:rPr>
        <w:t>0.709</w:t>
      </w:r>
      <w:r>
        <w:rPr>
          <w:rFonts w:hint="default" w:ascii="Times New Roman" w:hAnsi="Times New Roman" w:cs="Times New Roman"/>
          <w:color w:val="auto"/>
          <w:u w:val="none" w:color="auto"/>
        </w:rPr>
        <w:t>h</w:t>
      </w:r>
      <w:r>
        <w:rPr>
          <w:rFonts w:hint="eastAsia" w:cs="Times New Roman"/>
          <w:color w:val="auto"/>
          <w:u w:val="none" w:color="auto"/>
          <w:lang w:eastAsia="zh-CN"/>
        </w:rPr>
        <w:t>m</w:t>
      </w:r>
      <w:r>
        <w:rPr>
          <w:rFonts w:hint="eastAsia" w:cs="Times New Roman"/>
          <w:color w:val="auto"/>
          <w:u w:val="none" w:color="auto"/>
          <w:vertAlign w:val="superscript"/>
          <w:lang w:eastAsia="zh-CN"/>
        </w:rPr>
        <w:t>2</w:t>
      </w:r>
      <w:r>
        <w:rPr>
          <w:rFonts w:hint="default" w:ascii="Times New Roman" w:hAnsi="Times New Roman" w:cs="Times New Roman"/>
          <w:color w:val="auto"/>
          <w:u w:val="none" w:color="auto"/>
        </w:rPr>
        <w:t>，使土壤侵蚀强度增加，区域水土流失加重，毁损植被，造成人为的生态环境的破坏；建设中形成的成片裸露地及闲置地，也对区域景观造成了一定程度的破坏</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通过采取适当的水土保持措施，减少施工期水土流失，并在施工结束后恢复被破坏的地表。</w:t>
      </w:r>
    </w:p>
    <w:p w14:paraId="679C7B86">
      <w:pPr>
        <w:pStyle w:val="3"/>
        <w:rPr>
          <w:rFonts w:hint="default" w:ascii="Times New Roman" w:hAnsi="Times New Roman" w:cs="Times New Roman"/>
          <w:color w:val="auto"/>
          <w:u w:val="none" w:color="auto"/>
        </w:rPr>
      </w:pPr>
      <w:bookmarkStart w:id="214" w:name="_Toc28203"/>
      <w:bookmarkStart w:id="215" w:name="_Toc24683"/>
      <w:bookmarkStart w:id="216" w:name="_Toc12775"/>
      <w:bookmarkStart w:id="217" w:name="_Toc18568"/>
      <w:bookmarkStart w:id="218" w:name="_Toc494049374"/>
      <w:bookmarkStart w:id="219" w:name="_Toc4702"/>
      <w:r>
        <w:rPr>
          <w:rFonts w:hint="default" w:ascii="Times New Roman" w:hAnsi="Times New Roman" w:cs="Times New Roman"/>
          <w:color w:val="auto"/>
          <w:u w:val="none" w:color="auto"/>
        </w:rPr>
        <w:t>运营期环境影响分析</w:t>
      </w:r>
      <w:bookmarkEnd w:id="214"/>
      <w:bookmarkEnd w:id="215"/>
      <w:bookmarkEnd w:id="216"/>
      <w:bookmarkEnd w:id="217"/>
      <w:bookmarkEnd w:id="218"/>
      <w:bookmarkEnd w:id="219"/>
    </w:p>
    <w:p w14:paraId="7D248BDB">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水环境影响分析</w:t>
      </w:r>
    </w:p>
    <w:p w14:paraId="6E7D998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对水文情势的影响</w:t>
      </w:r>
    </w:p>
    <w:p w14:paraId="289201C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廊洞水库为多年调节水库，是一座以灌溉为主的中型水利工程。起调水位采用正常蓄水位289.85m，无闸门控制，根据泄流能力下泄，当来流量小于泄流能力，来多少泄多少；当来流量大于下泄流量时，水位壅高，按泄流能力下泄。</w:t>
      </w:r>
    </w:p>
    <w:p w14:paraId="7405575D">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是水库除险加固工程，不改变坝体位置，不改变水库设计正常蓄水位，不改变水库运行调度原则，本工程不进行增容，除险加固后，可保障水库蓄水位提高到正常蓄水位，水位变化不大，对库区的水温结构、流速等影响较小；本项目对现有大坝进行除险加固后，运营期不会影响已形成平衡的廊洞水库水生生态系统及下游宜阳河的水面面积、水量、水温等水域形态，不影响宜阳河水流正常的径流过程、水位、水深、流速、水面宽、冲淤变化等水力条件。</w:t>
      </w:r>
    </w:p>
    <w:p w14:paraId="0AC6CB97">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大坝除险加固属于民生工程，项目建成后可有效减缓雨季洪水泛滥带来的各种问题，确保宜阳河水流能按照现有的河道范围流淌，对宜阳河水文要素的影响是朝着有利的方向而改变的。从长期来看，本项目仅对水库进行除险加固，不改变水库现有库容，施工结束后水库水位逐渐恢复正常，改建完成后</w:t>
      </w:r>
      <w:r>
        <w:rPr>
          <w:rFonts w:hint="default" w:ascii="Times New Roman" w:hAnsi="Times New Roman" w:cs="Times New Roman"/>
          <w:color w:val="auto"/>
          <w:u w:val="none" w:color="auto"/>
        </w:rPr>
        <w:t>对</w:t>
      </w:r>
      <w:r>
        <w:rPr>
          <w:rFonts w:hint="default" w:ascii="Times New Roman" w:hAnsi="Times New Roman" w:cs="Times New Roman"/>
          <w:color w:val="auto"/>
          <w:u w:val="none" w:color="auto"/>
          <w:lang w:val="en-US" w:eastAsia="zh-CN"/>
        </w:rPr>
        <w:t>廊洞水库及宜阳河</w:t>
      </w:r>
      <w:r>
        <w:rPr>
          <w:rFonts w:hint="default" w:ascii="Times New Roman" w:hAnsi="Times New Roman" w:cs="Times New Roman"/>
          <w:color w:val="auto"/>
          <w:u w:val="none" w:color="auto"/>
        </w:rPr>
        <w:t>水位无影响。</w:t>
      </w:r>
    </w:p>
    <w:p w14:paraId="3999048A">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水温影响分析</w:t>
      </w:r>
    </w:p>
    <w:p w14:paraId="714B9946">
      <w:pPr>
        <w:bidi w:val="0"/>
        <w:rPr>
          <w:rFonts w:ascii="宋体" w:hAnsi="宋体" w:eastAsia="宋体" w:cs="宋体"/>
          <w:spacing w:val="-1"/>
          <w:sz w:val="24"/>
          <w:szCs w:val="24"/>
        </w:rPr>
      </w:pPr>
      <w:r>
        <w:rPr>
          <w:rFonts w:hint="default" w:ascii="Times New Roman" w:hAnsi="Times New Roman" w:cs="Times New Roman"/>
          <w:color w:val="auto"/>
          <w:u w:val="none" w:color="auto"/>
        </w:rPr>
        <w:t>本工程</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为中型水库，属于</w:t>
      </w:r>
      <w:r>
        <w:rPr>
          <w:rFonts w:ascii="宋体" w:hAnsi="宋体" w:eastAsia="宋体" w:cs="宋体"/>
          <w:color w:val="000000" w:themeColor="text1"/>
          <w:spacing w:val="1"/>
          <w:sz w:val="24"/>
          <w:szCs w:val="24"/>
          <w14:textFill>
            <w14:solidFill>
              <w14:schemeClr w14:val="tx1"/>
            </w14:solidFill>
          </w14:textFill>
        </w:rPr>
        <w:t>分层型</w:t>
      </w:r>
      <w:r>
        <w:rPr>
          <w:rFonts w:hint="default" w:ascii="Times New Roman" w:hAnsi="Times New Roman" w:cs="Times New Roman"/>
          <w:color w:val="auto"/>
          <w:u w:val="none" w:color="auto"/>
        </w:rPr>
        <w:t>水库，</w:t>
      </w:r>
      <w:r>
        <w:rPr>
          <w:rFonts w:hint="default" w:ascii="Times New Roman" w:hAnsi="Times New Roman" w:cs="Times New Roman"/>
          <w:color w:val="auto"/>
          <w:u w:val="none" w:color="auto"/>
          <w:lang w:val="en-US" w:eastAsia="zh-CN"/>
        </w:rPr>
        <w:t>目前主要</w:t>
      </w:r>
      <w:r>
        <w:rPr>
          <w:rFonts w:hint="default" w:ascii="Times New Roman" w:hAnsi="Times New Roman" w:cs="Times New Roman"/>
          <w:color w:val="auto"/>
          <w:u w:val="none" w:color="auto"/>
        </w:rPr>
        <w:t>以</w:t>
      </w:r>
      <w:r>
        <w:rPr>
          <w:rFonts w:hint="default" w:ascii="Times New Roman" w:hAnsi="Times New Roman" w:cs="Times New Roman"/>
          <w:color w:val="auto"/>
          <w:u w:val="none" w:color="auto"/>
          <w:lang w:eastAsia="zh-CN"/>
        </w:rPr>
        <w:t>灌溉为主，兼顾防洪、发电等</w:t>
      </w:r>
      <w:r>
        <w:rPr>
          <w:rFonts w:hint="default" w:ascii="Times New Roman" w:hAnsi="Times New Roman" w:cs="Times New Roman"/>
          <w:color w:val="auto"/>
          <w:u w:val="none" w:color="auto"/>
        </w:rPr>
        <w:t>综合效益</w:t>
      </w:r>
      <w:r>
        <w:rPr>
          <w:rFonts w:hint="eastAsia" w:cs="Times New Roman"/>
          <w:color w:val="auto"/>
          <w:u w:val="none" w:color="auto"/>
          <w:lang w:eastAsia="zh-CN"/>
        </w:rPr>
        <w:t>的</w:t>
      </w:r>
      <w:r>
        <w:rPr>
          <w:rFonts w:hint="default" w:ascii="Times New Roman" w:hAnsi="Times New Roman" w:cs="Times New Roman"/>
          <w:color w:val="auto"/>
          <w:u w:val="none" w:color="auto"/>
          <w:lang w:val="en-US" w:eastAsia="zh-CN"/>
        </w:rPr>
        <w:t>功能，本次分析灌溉使用时水温对下游农作物的影响。下游农业灌溉用水主要以早晚水稻、玉米和果树等作物为主。根据《</w:t>
      </w:r>
      <w:r>
        <w:rPr>
          <w:rFonts w:hint="eastAsia" w:cs="Times New Roman"/>
          <w:color w:val="auto"/>
          <w:u w:val="none" w:color="auto"/>
          <w:lang w:val="en-US" w:eastAsia="zh-CN"/>
        </w:rPr>
        <w:t>农田灌溉水质标准</w:t>
      </w:r>
      <w:r>
        <w:rPr>
          <w:rFonts w:hint="default" w:ascii="Times New Roman" w:hAnsi="Times New Roman" w:cs="Times New Roman"/>
          <w:color w:val="auto"/>
          <w:u w:val="none" w:color="auto"/>
          <w:lang w:val="en-US" w:eastAsia="zh-CN"/>
        </w:rPr>
        <w:t>》</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GB5084-2021</w:t>
      </w:r>
      <w:r>
        <w:rPr>
          <w:rFonts w:hint="eastAsia" w:ascii="Times New Roman" w:hAnsi="Times New Roman" w:cs="Times New Roman"/>
          <w:color w:val="auto"/>
          <w:u w:val="none" w:color="auto"/>
          <w:lang w:val="en-US" w:eastAsia="zh-CN"/>
        </w:rPr>
        <w:t>)</w:t>
      </w:r>
      <w:r>
        <w:rPr>
          <w:rFonts w:hint="default" w:ascii="Times New Roman" w:hAnsi="Times New Roman" w:cs="Times New Roman"/>
          <w:color w:val="auto"/>
          <w:u w:val="none" w:color="auto"/>
          <w:lang w:val="en-US" w:eastAsia="zh-CN"/>
        </w:rPr>
        <w:t>，农业灌溉最高水温在35℃，对最低水温没有要求。根据调查，坝址下游的各村落灌溉用水一般集中在6月~8月，根据农作物对灌溉水温的要求，旱作物一般在15～25℃，水稻不低于20℃。廊洞水库大坝出水口处水温低于库表水温和区域气温，但沿途经过气温的增温效应，水在坝址下游河道沿程流动与河间块石摩擦过程、与大气进行热交换以及太阳辐射中是升温过程，水温能得到较快速度的恢复，满足作物对灌溉水温的要求。综合上述分析，本工程的低温水对灌溉影响较小，对水稻等农作物的正常生长影响较小。</w:t>
      </w:r>
      <w:r>
        <w:rPr>
          <w:rFonts w:ascii="宋体" w:hAnsi="宋体" w:eastAsia="宋体" w:cs="宋体"/>
          <w:spacing w:val="-2"/>
          <w:sz w:val="24"/>
          <w:szCs w:val="24"/>
        </w:rPr>
        <w:t>采取工程措施</w:t>
      </w:r>
      <w:r>
        <w:rPr>
          <w:rFonts w:ascii="宋体" w:hAnsi="宋体" w:eastAsia="宋体" w:cs="宋体"/>
          <w:spacing w:val="-1"/>
          <w:sz w:val="24"/>
          <w:szCs w:val="24"/>
        </w:rPr>
        <w:t>，减缓低温水影响。</w:t>
      </w:r>
    </w:p>
    <w:p w14:paraId="43547BC1">
      <w:pPr>
        <w:bidi w:val="0"/>
        <w:rPr>
          <w:rFonts w:hint="default" w:ascii="宋体" w:hAnsi="宋体" w:eastAsia="宋体" w:cs="宋体"/>
          <w:spacing w:val="-1"/>
          <w:sz w:val="24"/>
          <w:szCs w:val="24"/>
          <w:lang w:val="en-US" w:eastAsia="zh-CN"/>
        </w:rPr>
      </w:pPr>
      <w:r>
        <w:rPr>
          <w:rFonts w:hint="eastAsia" w:ascii="宋体" w:hAnsi="宋体" w:cs="宋体"/>
          <w:spacing w:val="-1"/>
          <w:sz w:val="24"/>
          <w:szCs w:val="24"/>
          <w:lang w:val="en-US" w:eastAsia="zh-CN"/>
        </w:rPr>
        <w:t>本次新建的取水构筑物采用4层取水的方式，</w:t>
      </w:r>
      <w:r>
        <w:rPr>
          <w:rFonts w:hint="default" w:ascii="宋体" w:hAnsi="宋体" w:eastAsia="宋体" w:cs="宋体"/>
          <w:spacing w:val="-1"/>
          <w:sz w:val="24"/>
          <w:szCs w:val="24"/>
          <w:lang w:val="en-US" w:eastAsia="zh-CN"/>
        </w:rPr>
        <w:t>新建取水塔结构为C30钢筋砼，内径为3.8m，外径为5.0m，筒壁厚度1.2m。取水塔顶高程294.17m，底高程256.73m。新建取水塔由表层、中层和底层4根钢管分层取水，管底高程分别为257.33m、265.33m、273.33m、281.33m，取水管内径均为1.2m，取水管前端设莲蓬头拦污。各层取水管依次设1个手动检修蝶阀和1个手电两用工作蝶阀。塔内设四层楼板，楼板顶高程分别为264.73m、272.73m、280.73m、287.53m，板厚0.2m，根据相应尺寸预留楼梯、吊物、通气及渗漏排水管等孔洞。同时结合维护检修，在最隧洞进水口前设检修闸门，采用固定卷扬式启闭机启闭。</w:t>
      </w:r>
    </w:p>
    <w:p w14:paraId="18E062C7">
      <w:pPr>
        <w:bidi w:val="0"/>
        <w:rPr>
          <w:rFonts w:hint="default" w:ascii="宋体" w:hAnsi="宋体" w:eastAsia="宋体" w:cs="宋体"/>
          <w:spacing w:val="-1"/>
          <w:sz w:val="24"/>
          <w:szCs w:val="24"/>
          <w:lang w:val="en-US" w:eastAsia="zh-CN"/>
        </w:rPr>
      </w:pPr>
      <w:r>
        <w:rPr>
          <w:rFonts w:hint="default" w:ascii="宋体" w:hAnsi="宋体" w:eastAsia="宋体" w:cs="宋体"/>
          <w:spacing w:val="-1"/>
          <w:sz w:val="24"/>
          <w:szCs w:val="24"/>
          <w:lang w:val="en-US" w:eastAsia="zh-CN"/>
        </w:rPr>
        <w:t>随着水库蓄水水位不断变化，开启不同高度放水水闸放水，对下游翟溉进行灌，只有当用水旺季，需要同时启动最上层的1-2两个水闸放水，出水口处水温低于库表水温和区域气温，但取水塔取水后，优先进入</w:t>
      </w:r>
      <w:r>
        <w:rPr>
          <w:rFonts w:hint="eastAsia" w:ascii="宋体" w:hAnsi="宋体" w:cs="宋体"/>
          <w:spacing w:val="-1"/>
          <w:sz w:val="24"/>
          <w:szCs w:val="24"/>
          <w:lang w:val="en-US" w:eastAsia="zh-CN"/>
        </w:rPr>
        <w:t>水厂及</w:t>
      </w:r>
      <w:r>
        <w:rPr>
          <w:rFonts w:hint="default" w:ascii="宋体" w:hAnsi="宋体" w:eastAsia="宋体" w:cs="宋体"/>
          <w:spacing w:val="-1"/>
          <w:sz w:val="24"/>
          <w:szCs w:val="24"/>
          <w:lang w:val="en-US" w:eastAsia="zh-CN"/>
        </w:rPr>
        <w:t>电站用于电站发电使用，发电后的尾水进入区，直接取水进入灌溉渠道内，此过程可有效降低低温下泄水对水体影响。另外，渠道到入田还有一定距离，灌溉用水流量较小，水在坝址下游河道沿程流动与河间块石摩擦过程、与大气进行热交换以及太阳辐射中是升温过程，水温能得到较快速度的恢复；灌季节为一般为夏季，区域气温较高经过外界气温影响，以及流动过程中的撞击，在灌过程中水温将得到回升，在最终进行灌测时，灌溉水温较灌溉取水口处要高，灌溉水温能达到灌区水稻生长发育需求。</w:t>
      </w:r>
    </w:p>
    <w:p w14:paraId="410D052F">
      <w:pPr>
        <w:bidi w:val="0"/>
        <w:rPr>
          <w:rFonts w:hint="default" w:ascii="宋体" w:hAnsi="宋体" w:eastAsia="宋体" w:cs="宋体"/>
          <w:spacing w:val="-1"/>
          <w:sz w:val="24"/>
          <w:szCs w:val="24"/>
          <w:lang w:val="en-US" w:eastAsia="zh-CN"/>
        </w:rPr>
      </w:pPr>
      <w:r>
        <w:rPr>
          <w:rFonts w:hint="default" w:ascii="宋体" w:hAnsi="宋体" w:eastAsia="宋体" w:cs="宋体"/>
          <w:spacing w:val="-1"/>
          <w:sz w:val="24"/>
          <w:szCs w:val="24"/>
          <w:lang w:val="en-US" w:eastAsia="zh-CN"/>
        </w:rPr>
        <w:t>因此，</w:t>
      </w:r>
      <w:r>
        <w:rPr>
          <w:rFonts w:hint="eastAsia" w:ascii="宋体" w:hAnsi="宋体" w:cs="宋体"/>
          <w:spacing w:val="-1"/>
          <w:sz w:val="24"/>
          <w:szCs w:val="24"/>
          <w:lang w:val="en-US" w:eastAsia="zh-CN"/>
        </w:rPr>
        <w:t>廊洞</w:t>
      </w:r>
      <w:r>
        <w:rPr>
          <w:rFonts w:hint="default" w:ascii="宋体" w:hAnsi="宋体" w:eastAsia="宋体" w:cs="宋体"/>
          <w:spacing w:val="-1"/>
          <w:sz w:val="24"/>
          <w:szCs w:val="24"/>
          <w:lang w:val="en-US" w:eastAsia="zh-CN"/>
        </w:rPr>
        <w:t>水库灌溉水温对当地农作物生长影响较小，可以满足农业生产要求，对农业生产产量和品质影响较小。</w:t>
      </w:r>
    </w:p>
    <w:p w14:paraId="0D7E9E1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对水质的影响</w:t>
      </w:r>
    </w:p>
    <w:p w14:paraId="7AFA2F3C">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根据现场调查和收集到的资料，廊洞水库所在地区为农村地区，库区及坝址上游汇水范围内无工业污染源、规模畜禽养殖污染源、集中式污水处理厂尾水污染源等。</w:t>
      </w:r>
    </w:p>
    <w:p w14:paraId="7524FE3A">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次除险加固工程完成后，水库运行本身不产生水污染物，本项目在营运期对地表水环境的影响主要是水库电站管理所管理人员日常工作和生活中产生的生活污水，但此排污是原来就存在的，并不是项目改造后的新增排污，生活污水经化粪池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，本工程的建设对下游水质基本无影响。</w:t>
      </w:r>
    </w:p>
    <w:p w14:paraId="76B48B5D">
      <w:pPr>
        <w:pStyle w:val="5"/>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生态流量</w:t>
      </w:r>
      <w:r>
        <w:rPr>
          <w:rFonts w:hint="default" w:ascii="Times New Roman" w:hAnsi="Times New Roman" w:cs="Times New Roman"/>
          <w:color w:val="auto"/>
          <w:u w:val="none" w:color="auto"/>
          <w:lang w:val="en-US" w:eastAsia="zh-CN"/>
        </w:rPr>
        <w:t>影响</w:t>
      </w:r>
      <w:r>
        <w:rPr>
          <w:rFonts w:hint="eastAsia" w:cs="Times New Roman"/>
          <w:color w:val="auto"/>
          <w:u w:val="none" w:color="auto"/>
          <w:lang w:val="en-US" w:eastAsia="zh-CN"/>
        </w:rPr>
        <w:t>分析</w:t>
      </w:r>
    </w:p>
    <w:p w14:paraId="1A65C8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w:t>
      </w:r>
      <w:r>
        <w:rPr>
          <w:rFonts w:hint="default"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地表水环境》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HJ2.3-2018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河流生态环境需水包括水生生态需水、水环境需水、湿地需水、景观需水、河口压咸需水等。根据项目初步设计报告</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下游冲沟无特定的用水要求</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下泄流量仅需满足下游的生态</w:t>
      </w:r>
      <w:r>
        <w:rPr>
          <w:rFonts w:hint="default" w:ascii="Times New Roman" w:hAnsi="Times New Roman" w:cs="Times New Roman"/>
          <w:color w:val="auto"/>
          <w:highlight w:val="none"/>
          <w:u w:val="none" w:color="auto"/>
        </w:rPr>
        <w:t>需水</w:t>
      </w:r>
      <w:r>
        <w:rPr>
          <w:rFonts w:hint="default" w:ascii="Times New Roman" w:hAnsi="Times New Roman" w:cs="Times New Roman"/>
          <w:color w:val="auto"/>
          <w:u w:val="none" w:color="auto"/>
        </w:rPr>
        <w:t>。生态流量确定关联环境因素见下表所示。</w:t>
      </w:r>
    </w:p>
    <w:p w14:paraId="147D7817">
      <w:pPr>
        <w:ind w:left="0" w:leftChars="0" w:firstLine="0" w:firstLineChars="0"/>
        <w:jc w:val="center"/>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6.</w:t>
      </w:r>
      <w:r>
        <w:rPr>
          <w:rFonts w:hint="eastAsia" w:cs="Times New Roman"/>
          <w:b/>
          <w:bCs/>
          <w:color w:val="auto"/>
          <w:sz w:val="21"/>
          <w:szCs w:val="21"/>
          <w:u w:val="none" w:color="auto"/>
          <w:lang w:val="en-US" w:eastAsia="zh-CN"/>
        </w:rPr>
        <w:t>4</w:t>
      </w:r>
      <w:r>
        <w:rPr>
          <w:rFonts w:hint="default" w:ascii="Times New Roman" w:hAnsi="Times New Roman" w:cs="Times New Roman"/>
          <w:b/>
          <w:bCs/>
          <w:color w:val="auto"/>
          <w:sz w:val="21"/>
          <w:szCs w:val="21"/>
          <w:u w:val="none" w:color="auto"/>
          <w:lang w:val="en-US" w:eastAsia="zh-CN"/>
        </w:rPr>
        <w:t>-</w:t>
      </w:r>
      <w:r>
        <w:rPr>
          <w:rFonts w:hint="eastAsia" w:cs="Times New Roman"/>
          <w:b/>
          <w:bCs/>
          <w:color w:val="auto"/>
          <w:sz w:val="21"/>
          <w:szCs w:val="21"/>
          <w:u w:val="none" w:color="auto"/>
          <w:lang w:val="en-US" w:eastAsia="zh-CN"/>
        </w:rPr>
        <w:t>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lang w:eastAsia="zh-CN"/>
        </w:rPr>
        <w:t>廊洞水库</w:t>
      </w:r>
      <w:r>
        <w:rPr>
          <w:rFonts w:hint="default" w:ascii="Times New Roman" w:hAnsi="Times New Roman" w:cs="Times New Roman"/>
          <w:b/>
          <w:bCs/>
          <w:color w:val="auto"/>
          <w:sz w:val="21"/>
          <w:szCs w:val="21"/>
          <w:u w:val="none" w:color="auto"/>
        </w:rPr>
        <w:t>生态流量确定关联因素对照表</w:t>
      </w:r>
    </w:p>
    <w:tbl>
      <w:tblPr>
        <w:tblStyle w:val="162"/>
        <w:tblW w:w="8557" w:type="dxa"/>
        <w:tblInd w:w="0"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3326"/>
        <w:gridCol w:w="3276"/>
        <w:gridCol w:w="1955"/>
      </w:tblGrid>
      <w:tr w14:paraId="3922E203">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1" w:hRule="atLeast"/>
        </w:trPr>
        <w:tc>
          <w:tcPr>
            <w:tcW w:w="3326" w:type="dxa"/>
            <w:vAlign w:val="center"/>
          </w:tcPr>
          <w:p w14:paraId="2BB4627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有关规范性文件的要求</w:t>
            </w:r>
          </w:p>
        </w:tc>
        <w:tc>
          <w:tcPr>
            <w:tcW w:w="3276" w:type="dxa"/>
            <w:vAlign w:val="center"/>
          </w:tcPr>
          <w:p w14:paraId="4CD7306B">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本水库情况</w:t>
            </w:r>
          </w:p>
        </w:tc>
        <w:tc>
          <w:tcPr>
            <w:tcW w:w="1955" w:type="dxa"/>
            <w:vAlign w:val="center"/>
          </w:tcPr>
          <w:p w14:paraId="49A9A2F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执行情况</w:t>
            </w:r>
          </w:p>
        </w:tc>
      </w:tr>
      <w:tr w14:paraId="2779AC85">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821" w:hRule="atLeast"/>
        </w:trPr>
        <w:tc>
          <w:tcPr>
            <w:tcW w:w="3326" w:type="dxa"/>
            <w:vAlign w:val="center"/>
          </w:tcPr>
          <w:p w14:paraId="5DD4BB5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国家级自然保护区下泄量不得低于河道天然</w:t>
            </w:r>
            <w:r>
              <w:rPr>
                <w:rFonts w:hint="default" w:ascii="Times New Roman" w:hAnsi="Times New Roman" w:cs="Times New Roman"/>
                <w:color w:val="auto"/>
                <w:sz w:val="21"/>
                <w:szCs w:val="21"/>
                <w:highlight w:val="none"/>
                <w:u w:val="none" w:color="auto"/>
              </w:rPr>
              <w:t>同期</w:t>
            </w:r>
            <w:r>
              <w:rPr>
                <w:rFonts w:hint="default" w:ascii="Times New Roman" w:hAnsi="Times New Roman" w:cs="Times New Roman"/>
                <w:color w:val="auto"/>
                <w:sz w:val="21"/>
                <w:szCs w:val="21"/>
                <w:u w:val="none" w:color="auto"/>
              </w:rPr>
              <w:t>多年平均流量的18%</w:t>
            </w:r>
          </w:p>
        </w:tc>
        <w:tc>
          <w:tcPr>
            <w:tcW w:w="3276" w:type="dxa"/>
            <w:vAlign w:val="center"/>
          </w:tcPr>
          <w:p w14:paraId="213F9B6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不涉及</w:t>
            </w:r>
          </w:p>
        </w:tc>
        <w:tc>
          <w:tcPr>
            <w:tcW w:w="1955" w:type="dxa"/>
            <w:vAlign w:val="center"/>
          </w:tcPr>
          <w:p w14:paraId="1CC54EF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w:t>
            </w:r>
          </w:p>
        </w:tc>
      </w:tr>
      <w:tr w14:paraId="2F9A68F5">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094" w:hRule="atLeast"/>
        </w:trPr>
        <w:tc>
          <w:tcPr>
            <w:tcW w:w="3326" w:type="dxa"/>
            <w:vAlign w:val="center"/>
          </w:tcPr>
          <w:p w14:paraId="4B02DE7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省、市</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州</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、县</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市、区</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cs="Times New Roman"/>
                <w:color w:val="auto"/>
                <w:sz w:val="21"/>
                <w:szCs w:val="21"/>
                <w:u w:val="none" w:color="auto"/>
              </w:rPr>
              <w:t>级自然保护区内的水电站下泄生态流量不得低于河道天然</w:t>
            </w:r>
            <w:r>
              <w:rPr>
                <w:rFonts w:hint="default" w:ascii="Times New Roman" w:hAnsi="Times New Roman" w:cs="Times New Roman"/>
                <w:color w:val="auto"/>
                <w:sz w:val="21"/>
                <w:szCs w:val="21"/>
                <w:highlight w:val="none"/>
                <w:u w:val="none" w:color="auto"/>
              </w:rPr>
              <w:t>同期</w:t>
            </w:r>
            <w:r>
              <w:rPr>
                <w:rFonts w:hint="default" w:ascii="Times New Roman" w:hAnsi="Times New Roman" w:cs="Times New Roman"/>
                <w:color w:val="auto"/>
                <w:sz w:val="21"/>
                <w:szCs w:val="21"/>
                <w:u w:val="none" w:color="auto"/>
              </w:rPr>
              <w:t>多年平均流量的15%。</w:t>
            </w:r>
          </w:p>
        </w:tc>
        <w:tc>
          <w:tcPr>
            <w:tcW w:w="3276" w:type="dxa"/>
            <w:vAlign w:val="center"/>
          </w:tcPr>
          <w:p w14:paraId="722A1F27">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不涉及</w:t>
            </w:r>
          </w:p>
        </w:tc>
        <w:tc>
          <w:tcPr>
            <w:tcW w:w="1955" w:type="dxa"/>
            <w:vAlign w:val="center"/>
          </w:tcPr>
          <w:p w14:paraId="08246FD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w:t>
            </w:r>
          </w:p>
        </w:tc>
      </w:tr>
      <w:tr w14:paraId="69191971">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637" w:hRule="atLeast"/>
        </w:trPr>
        <w:tc>
          <w:tcPr>
            <w:tcW w:w="3326" w:type="dxa"/>
            <w:vAlign w:val="center"/>
          </w:tcPr>
          <w:p w14:paraId="3BA8321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涉及国家和地方重点保护水生野生动物和珍稀濒危物种或开发区域等有特殊用水要求的河段</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应专题论证确定其生态流量。</w:t>
            </w:r>
          </w:p>
        </w:tc>
        <w:tc>
          <w:tcPr>
            <w:tcW w:w="3276" w:type="dxa"/>
            <w:vAlign w:val="center"/>
          </w:tcPr>
          <w:p w14:paraId="77D99B3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水库取水影响河段无国家和地方重点保护水生野生动物和珍稀濒危物种</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亦不属于开发区域等有特殊用水要求的河段。</w:t>
            </w:r>
          </w:p>
        </w:tc>
        <w:tc>
          <w:tcPr>
            <w:tcW w:w="1955" w:type="dxa"/>
            <w:vAlign w:val="center"/>
          </w:tcPr>
          <w:p w14:paraId="115FA3BC">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不进行该项分析计算</w:t>
            </w:r>
          </w:p>
        </w:tc>
      </w:tr>
      <w:tr w14:paraId="49AD09A8">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1637" w:hRule="atLeast"/>
        </w:trPr>
        <w:tc>
          <w:tcPr>
            <w:tcW w:w="3326" w:type="dxa"/>
            <w:vAlign w:val="center"/>
          </w:tcPr>
          <w:p w14:paraId="762360A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河道外植被生态需水量</w:t>
            </w:r>
          </w:p>
        </w:tc>
        <w:tc>
          <w:tcPr>
            <w:tcW w:w="3276" w:type="dxa"/>
            <w:vAlign w:val="center"/>
          </w:tcPr>
          <w:p w14:paraId="34C79E0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根据现场调查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减水河段两岸无人工生态林、国有林恢复工程</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即无植被生态需水需求</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河道外植被生态需水基本由大气降水补给</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与河道内水体的关联很小。</w:t>
            </w:r>
          </w:p>
        </w:tc>
        <w:tc>
          <w:tcPr>
            <w:tcW w:w="1955" w:type="dxa"/>
            <w:vAlign w:val="center"/>
          </w:tcPr>
          <w:p w14:paraId="5B091DC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不进行河道外植被生态需水量计算</w:t>
            </w:r>
          </w:p>
        </w:tc>
      </w:tr>
      <w:tr w14:paraId="1E2B11AB">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49" w:hRule="atLeast"/>
        </w:trPr>
        <w:tc>
          <w:tcPr>
            <w:tcW w:w="3326" w:type="dxa"/>
            <w:vAlign w:val="center"/>
          </w:tcPr>
          <w:p w14:paraId="5E161739">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维持水生生态系统稳定所需水量计算</w:t>
            </w:r>
          </w:p>
        </w:tc>
        <w:tc>
          <w:tcPr>
            <w:tcW w:w="3276" w:type="dxa"/>
            <w:vAlign w:val="center"/>
          </w:tcPr>
          <w:p w14:paraId="761601F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涉及该问题</w:t>
            </w:r>
          </w:p>
        </w:tc>
        <w:tc>
          <w:tcPr>
            <w:tcW w:w="1955" w:type="dxa"/>
            <w:vAlign w:val="center"/>
          </w:tcPr>
          <w:p w14:paraId="026FF35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按照坝址多年平均流量的15%确定生态流量</w:t>
            </w:r>
          </w:p>
        </w:tc>
      </w:tr>
      <w:tr w14:paraId="4C69833C">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49" w:hRule="atLeast"/>
        </w:trPr>
        <w:tc>
          <w:tcPr>
            <w:tcW w:w="3326" w:type="dxa"/>
            <w:vAlign w:val="center"/>
          </w:tcPr>
          <w:p w14:paraId="4AA1DE86">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河道输沙需水情况</w:t>
            </w:r>
          </w:p>
        </w:tc>
        <w:tc>
          <w:tcPr>
            <w:tcW w:w="3276" w:type="dxa"/>
            <w:vAlign w:val="center"/>
          </w:tcPr>
          <w:p w14:paraId="0D23342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经调查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该减水河段无河道输沙要求。</w:t>
            </w:r>
          </w:p>
        </w:tc>
        <w:tc>
          <w:tcPr>
            <w:tcW w:w="1955" w:type="dxa"/>
            <w:vAlign w:val="center"/>
          </w:tcPr>
          <w:p w14:paraId="7683C417">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38602ACA">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2" w:hRule="atLeast"/>
        </w:trPr>
        <w:tc>
          <w:tcPr>
            <w:tcW w:w="3326" w:type="dxa"/>
            <w:vAlign w:val="center"/>
          </w:tcPr>
          <w:p w14:paraId="2B265C8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维持河流水环境质量的最小</w:t>
            </w:r>
          </w:p>
        </w:tc>
        <w:tc>
          <w:tcPr>
            <w:tcW w:w="3276" w:type="dxa"/>
            <w:vAlign w:val="center"/>
          </w:tcPr>
          <w:p w14:paraId="2990E06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经调查</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该减水河段未设置</w:t>
            </w:r>
          </w:p>
        </w:tc>
        <w:tc>
          <w:tcPr>
            <w:tcW w:w="1955" w:type="dxa"/>
            <w:vAlign w:val="center"/>
          </w:tcPr>
          <w:p w14:paraId="04FF4E83">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7334601F">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81" w:hRule="atLeast"/>
        </w:trPr>
        <w:tc>
          <w:tcPr>
            <w:tcW w:w="3326" w:type="dxa"/>
            <w:vAlign w:val="center"/>
          </w:tcPr>
          <w:p w14:paraId="3A19F2AF">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稀释净化水量</w:t>
            </w:r>
          </w:p>
        </w:tc>
        <w:tc>
          <w:tcPr>
            <w:tcW w:w="3276" w:type="dxa"/>
            <w:vAlign w:val="center"/>
          </w:tcPr>
          <w:p w14:paraId="3D69586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排污口</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rPr>
              <w:t>无稀释用水要求。</w:t>
            </w:r>
          </w:p>
        </w:tc>
        <w:tc>
          <w:tcPr>
            <w:tcW w:w="1955" w:type="dxa"/>
            <w:vAlign w:val="center"/>
          </w:tcPr>
          <w:p w14:paraId="11C8677E">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r w14:paraId="4212B639">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819" w:hRule="atLeast"/>
        </w:trPr>
        <w:tc>
          <w:tcPr>
            <w:tcW w:w="3326" w:type="dxa"/>
            <w:vAlign w:val="center"/>
          </w:tcPr>
          <w:p w14:paraId="47D1DFE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减水河段工农业及其他用水情况</w:t>
            </w:r>
          </w:p>
        </w:tc>
        <w:tc>
          <w:tcPr>
            <w:tcW w:w="3276" w:type="dxa"/>
            <w:vAlign w:val="center"/>
          </w:tcPr>
          <w:p w14:paraId="224CCFDD">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涉及农业灌溉用水</w:t>
            </w:r>
          </w:p>
        </w:tc>
        <w:tc>
          <w:tcPr>
            <w:tcW w:w="1955" w:type="dxa"/>
            <w:vAlign w:val="center"/>
          </w:tcPr>
          <w:p w14:paraId="117B7E15">
            <w:pPr>
              <w:bidi w:val="0"/>
              <w:spacing w:line="240" w:lineRule="auto"/>
              <w:ind w:left="0" w:leftChars="0"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cs="Times New Roman"/>
                <w:color w:val="auto"/>
                <w:sz w:val="21"/>
                <w:szCs w:val="21"/>
                <w:u w:val="none" w:color="auto"/>
              </w:rPr>
              <w:t>根据</w:t>
            </w:r>
            <w:r>
              <w:rPr>
                <w:rFonts w:hint="default" w:ascii="Times New Roman" w:hAnsi="Times New Roman" w:cs="Times New Roman"/>
                <w:color w:val="auto"/>
                <w:sz w:val="21"/>
                <w:szCs w:val="21"/>
                <w:u w:val="none" w:color="auto"/>
                <w:lang w:val="en-US" w:eastAsia="zh-CN"/>
              </w:rPr>
              <w:t>湖南</w:t>
            </w:r>
            <w:r>
              <w:rPr>
                <w:rFonts w:hint="eastAsia" w:cs="Times New Roman"/>
                <w:color w:val="auto"/>
                <w:sz w:val="21"/>
                <w:szCs w:val="21"/>
                <w:u w:val="none" w:color="auto"/>
                <w:lang w:val="en-US" w:eastAsia="zh-CN"/>
              </w:rPr>
              <w:t>地方标准</w:t>
            </w:r>
            <w:r>
              <w:rPr>
                <w:rFonts w:hint="default" w:ascii="Times New Roman" w:hAnsi="Times New Roman" w:cs="Times New Roman"/>
                <w:color w:val="auto"/>
                <w:sz w:val="21"/>
                <w:szCs w:val="21"/>
                <w:u w:val="none" w:color="auto"/>
              </w:rPr>
              <w:t>《用水定额》</w:t>
            </w:r>
            <w:r>
              <w:rPr>
                <w:rFonts w:hint="default" w:ascii="Times New Roman" w:hAnsi="Times New Roman" w:cs="Times New Roman"/>
                <w:color w:val="auto"/>
                <w:sz w:val="21"/>
                <w:szCs w:val="21"/>
                <w:u w:val="none" w:color="auto"/>
                <w:lang w:eastAsia="zh-CN"/>
              </w:rPr>
              <w:t>(</w:t>
            </w:r>
            <w:r>
              <w:rPr>
                <w:rFonts w:hint="default" w:ascii="Times New Roman" w:hAnsi="Times New Roman" w:cs="Times New Roman"/>
                <w:color w:val="auto"/>
                <w:sz w:val="21"/>
                <w:szCs w:val="21"/>
                <w:u w:val="none" w:color="auto"/>
                <w:lang w:val="en-US" w:eastAsia="zh-CN"/>
              </w:rPr>
              <w:t>DB43/T388-2020</w:t>
            </w:r>
            <w:r>
              <w:rPr>
                <w:rFonts w:hint="default" w:ascii="Times New Roman" w:hAnsi="Times New Roman" w:cs="Times New Roman"/>
                <w:color w:val="auto"/>
                <w:sz w:val="21"/>
                <w:szCs w:val="21"/>
                <w:u w:val="none" w:color="auto"/>
                <w:lang w:eastAsia="zh-CN"/>
              </w:rPr>
              <w:t>)</w:t>
            </w:r>
          </w:p>
          <w:p w14:paraId="039705F4">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核定</w:t>
            </w:r>
          </w:p>
        </w:tc>
      </w:tr>
      <w:tr w14:paraId="6FAF3332">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553" w:hRule="atLeast"/>
        </w:trPr>
        <w:tc>
          <w:tcPr>
            <w:tcW w:w="3326" w:type="dxa"/>
            <w:vAlign w:val="center"/>
          </w:tcPr>
          <w:p w14:paraId="5D932D8A">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过鱼设施环境影响评价</w:t>
            </w:r>
          </w:p>
        </w:tc>
        <w:tc>
          <w:tcPr>
            <w:tcW w:w="3276" w:type="dxa"/>
            <w:vAlign w:val="center"/>
          </w:tcPr>
          <w:p w14:paraId="1FFC59C0">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据调查</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取水影响河段无珍稀保护鱼类三场。</w:t>
            </w:r>
          </w:p>
        </w:tc>
        <w:tc>
          <w:tcPr>
            <w:tcW w:w="1955" w:type="dxa"/>
            <w:vAlign w:val="center"/>
          </w:tcPr>
          <w:p w14:paraId="501BF8E5">
            <w:pPr>
              <w:bidi w:val="0"/>
              <w:spacing w:line="240" w:lineRule="auto"/>
              <w:ind w:left="0" w:leftChars="0" w:firstLine="0" w:firstLineChars="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不进行该项评价</w:t>
            </w:r>
          </w:p>
        </w:tc>
      </w:tr>
    </w:tbl>
    <w:p w14:paraId="35F9363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根据上表可知</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生态流量应考虑下游河段水生生态需水和农业灌溉用水。</w:t>
      </w:r>
    </w:p>
    <w:p w14:paraId="050916AC">
      <w:pPr>
        <w:rPr>
          <w:rFonts w:hint="eastAsia"/>
          <w:color w:val="000000" w:themeColor="text1"/>
          <w:highlight w:val="none"/>
          <w14:textFill>
            <w14:solidFill>
              <w14:schemeClr w14:val="tx1"/>
            </w14:solidFill>
          </w14:textFill>
        </w:rPr>
      </w:pPr>
      <w:r>
        <w:rPr>
          <w:rFonts w:hint="default" w:ascii="Times New Roman" w:hAnsi="Times New Roman" w:cs="Times New Roman" w:eastAsiaTheme="minorEastAsia"/>
          <w:color w:val="auto"/>
          <w:sz w:val="24"/>
          <w:szCs w:val="24"/>
          <w:u w:val="none" w:color="auto"/>
        </w:rPr>
        <w:t>根据生态流量下泄原则，采用Tennant法计算，生态流量不得小于多年平均径流量的1/10确定。根据水文专业复核，</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坝址多年平均径流总量3043.51万m³，多年平</w:t>
      </w:r>
      <w:r>
        <w:rPr>
          <w:rFonts w:hint="default" w:ascii="Times New Roman" w:hAnsi="Times New Roman" w:cs="Times New Roman" w:eastAsiaTheme="minorEastAsia"/>
          <w:color w:val="auto"/>
          <w:sz w:val="24"/>
          <w:szCs w:val="24"/>
          <w:highlight w:val="none"/>
          <w:u w:val="none" w:color="auto"/>
        </w:rPr>
        <w:t>均</w:t>
      </w:r>
      <w:r>
        <w:rPr>
          <w:rFonts w:hint="default" w:ascii="Times New Roman" w:hAnsi="Times New Roman" w:cs="Times New Roman" w:eastAsiaTheme="minorEastAsia"/>
          <w:color w:val="auto"/>
          <w:sz w:val="24"/>
          <w:szCs w:val="24"/>
          <w:u w:val="none" w:color="auto"/>
        </w:rPr>
        <w:t>流量为</w:t>
      </w:r>
      <w:r>
        <w:rPr>
          <w:rFonts w:hint="default" w:ascii="Times New Roman" w:hAnsi="Times New Roman" w:cs="Times New Roman" w:eastAsiaTheme="minorEastAsia"/>
          <w:color w:val="auto"/>
          <w:spacing w:val="-2"/>
          <w:sz w:val="24"/>
          <w:szCs w:val="24"/>
          <w:u w:val="none" w:color="auto"/>
        </w:rPr>
        <w:t>0.965</w:t>
      </w:r>
      <w:r>
        <w:rPr>
          <w:rFonts w:hint="default" w:ascii="Times New Roman" w:hAnsi="Times New Roman" w:cs="Times New Roman" w:eastAsiaTheme="minorEastAsia"/>
          <w:color w:val="auto"/>
          <w:sz w:val="24"/>
          <w:szCs w:val="24"/>
          <w:u w:val="none" w:color="auto"/>
        </w:rPr>
        <w:t>m³/s</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则</w:t>
      </w:r>
      <w:r>
        <w:rPr>
          <w:rFonts w:hint="default" w:ascii="Times New Roman" w:hAnsi="Times New Roman" w:cs="Times New Roman" w:eastAsiaTheme="minorEastAsia"/>
          <w:color w:val="auto"/>
          <w:spacing w:val="-1"/>
          <w:sz w:val="24"/>
          <w:szCs w:val="24"/>
          <w:u w:val="none" w:color="auto"/>
        </w:rPr>
        <w:t>生态流量不小于0.097</w:t>
      </w:r>
      <w:r>
        <w:rPr>
          <w:rFonts w:hint="default" w:ascii="Times New Roman" w:hAnsi="Times New Roman" w:cs="Times New Roman" w:eastAsiaTheme="minorEastAsia"/>
          <w:color w:val="auto"/>
          <w:sz w:val="24"/>
          <w:szCs w:val="24"/>
          <w:u w:val="none" w:color="auto"/>
        </w:rPr>
        <w:t>m³</w:t>
      </w:r>
      <w:r>
        <w:rPr>
          <w:rFonts w:hint="default" w:ascii="Times New Roman" w:hAnsi="Times New Roman" w:cs="Times New Roman" w:eastAsiaTheme="minorEastAsia"/>
          <w:color w:val="auto"/>
          <w:spacing w:val="-1"/>
          <w:sz w:val="24"/>
          <w:szCs w:val="24"/>
          <w:u w:val="none" w:color="auto"/>
        </w:rPr>
        <w:t>/s</w:t>
      </w:r>
      <w:r>
        <w:rPr>
          <w:rFonts w:hint="default" w:ascii="Times New Roman" w:hAnsi="Times New Roman" w:cs="Times New Roman" w:eastAsiaTheme="minorEastAsia"/>
          <w:color w:val="auto"/>
          <w:sz w:val="24"/>
          <w:szCs w:val="24"/>
          <w:u w:val="none" w:color="auto"/>
        </w:rPr>
        <w:t>。当上游来水大于生态基流时按照生态基流下放，当上游来水小于生态基流时，上游来多少放多少。</w:t>
      </w:r>
      <w:r>
        <w:rPr>
          <w:rFonts w:hint="eastAsia" w:ascii="Times New Roman" w:hAnsi="Times New Roman" w:eastAsia="宋体" w:cs="Times New Roman"/>
          <w:caps w:val="0"/>
          <w:smallCaps w:val="0"/>
          <w:color w:val="auto"/>
          <w:spacing w:val="0"/>
          <w:w w:val="100"/>
          <w:kern w:val="0"/>
          <w:position w:val="0"/>
          <w:sz w:val="24"/>
          <w:szCs w:val="24"/>
          <w:lang w:val="en-US" w:eastAsia="zh-CN"/>
        </w:rPr>
        <w:t>施工期根据下游灌溉放水计划及生态流量放水要求，利用放水涵管放水，能保证坝下河道最小生态流量的下泄</w:t>
      </w:r>
      <w:r>
        <w:rPr>
          <w:rFonts w:hint="eastAsia" w:cs="Times New Roman"/>
          <w:caps w:val="0"/>
          <w:smallCaps w:val="0"/>
          <w:color w:val="auto"/>
          <w:spacing w:val="0"/>
          <w:w w:val="100"/>
          <w:kern w:val="0"/>
          <w:position w:val="0"/>
          <w:sz w:val="24"/>
          <w:szCs w:val="24"/>
          <w:lang w:val="en-US" w:eastAsia="zh-CN"/>
        </w:rPr>
        <w:t>。</w:t>
      </w:r>
      <w:r>
        <w:rPr>
          <w:rFonts w:hint="eastAsia"/>
          <w:color w:val="000000" w:themeColor="text1"/>
          <w:highlight w:val="none"/>
          <w14:textFill>
            <w14:solidFill>
              <w14:schemeClr w14:val="tx1"/>
            </w14:solidFill>
          </w14:textFill>
        </w:rPr>
        <w:t>在</w:t>
      </w:r>
      <w:r>
        <w:rPr>
          <w:rFonts w:hint="default" w:ascii="Times New Roman" w:hAnsi="Times New Roman" w:cs="Times New Roman"/>
          <w:color w:val="auto"/>
          <w:u w:val="none" w:color="auto"/>
        </w:rPr>
        <w:t>大坝</w:t>
      </w:r>
      <w:r>
        <w:rPr>
          <w:rFonts w:hint="eastAsia"/>
          <w:color w:val="000000" w:themeColor="text1"/>
          <w:highlight w:val="none"/>
          <w14:textFill>
            <w14:solidFill>
              <w14:schemeClr w14:val="tx1"/>
            </w14:solidFill>
          </w14:textFill>
        </w:rPr>
        <w:t>下游设置</w:t>
      </w:r>
      <w:r>
        <w:rPr>
          <w:rFonts w:hint="eastAsia"/>
          <w:color w:val="000000" w:themeColor="text1"/>
          <w:highlight w:val="none"/>
          <w:lang w:val="en-US" w:eastAsia="zh-CN"/>
          <w14:textFill>
            <w14:solidFill>
              <w14:schemeClr w14:val="tx1"/>
            </w14:solidFill>
          </w14:textFill>
        </w:rPr>
        <w:t>了</w:t>
      </w:r>
      <w:r>
        <w:rPr>
          <w:rFonts w:hint="eastAsia"/>
          <w:color w:val="000000" w:themeColor="text1"/>
          <w:highlight w:val="none"/>
          <w14:textFill>
            <w14:solidFill>
              <w14:schemeClr w14:val="tx1"/>
            </w14:solidFill>
          </w14:textFill>
        </w:rPr>
        <w:t>1套河道生态流量监测系统-超声波流量计进行在线监测，并通过光纤接入水库计算机监控系统及先关监管部门，当坝址下游生态流量监测设施显示下泄流量低于生态流量时，能够及时报警。生态流量在线监控采用图像监视系统，对生态流量泄放情况的实时监控。</w:t>
      </w:r>
    </w:p>
    <w:p w14:paraId="7063C6EF">
      <w:pPr>
        <w:keepNext w:val="0"/>
        <w:keepLines w:val="0"/>
        <w:pageBreakBefore w:val="0"/>
        <w:widowControl w:val="0"/>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此次除险加固需对大坝坝体、坝基、坝肩防渗加固处理、上游坝坡局部塌坡整修、大坝下游排水沟延伸重建、溢洪道加固、新建塔式取水设施以及原隧洞加固。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的下游生态流量下泄可通过大坝下游的一级电站发电尾水或开启坝身进口闸门下泄生态流量</w:t>
      </w:r>
      <w:r>
        <w:rPr>
          <w:rFonts w:hint="default" w:ascii="Times New Roman" w:hAnsi="Times New Roman" w:cs="Times New Roman"/>
          <w:color w:val="auto"/>
          <w:u w:val="none" w:color="auto"/>
          <w:lang w:eastAsia="zh-CN"/>
        </w:rPr>
        <w:t>。</w:t>
      </w:r>
    </w:p>
    <w:p w14:paraId="4FDF9E1A">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对地下水的影响</w:t>
      </w:r>
    </w:p>
    <w:p w14:paraId="0DFD0B3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本工程主要对廊洞水库大坝进行除险加固，运行期不会改变水库的规模，不会对周边地下水水位、流场产生影响。</w:t>
      </w:r>
    </w:p>
    <w:p w14:paraId="37918C92">
      <w:pPr>
        <w:pStyle w:val="181"/>
        <w:ind w:firstLine="480"/>
        <w:rPr>
          <w:rFonts w:hint="default" w:ascii="Times New Roman" w:hAnsi="Times New Roman" w:cs="Times New Roman"/>
          <w:color w:val="auto"/>
        </w:rPr>
      </w:pPr>
      <w:r>
        <w:rPr>
          <w:rFonts w:hint="default" w:ascii="Times New Roman" w:hAnsi="Times New Roman" w:cs="Times New Roman"/>
          <w:color w:val="auto"/>
        </w:rPr>
        <w:t>评价区域地下水涵养量主要补给途径为大气降水。本工程建设基本是在现有工程范围内，无新增建筑物，不增加不透水地表面积，对地下水涵养量影响小。另外，工程用水来源主要为地表水，因此，项目建设对地下水水量影响不大。</w:t>
      </w:r>
    </w:p>
    <w:p w14:paraId="4200B1B4">
      <w:pPr>
        <w:pStyle w:val="181"/>
        <w:ind w:firstLine="480"/>
        <w:rPr>
          <w:rFonts w:hint="default" w:ascii="Times New Roman" w:hAnsi="Times New Roman" w:cs="Times New Roman"/>
          <w:color w:val="auto"/>
        </w:rPr>
      </w:pPr>
      <w:r>
        <w:rPr>
          <w:rFonts w:hint="default" w:ascii="Times New Roman" w:hAnsi="Times New Roman" w:cs="Times New Roman"/>
          <w:color w:val="auto"/>
        </w:rPr>
        <w:t xml:space="preserve">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 </w:t>
      </w:r>
    </w:p>
    <w:p w14:paraId="56D14677">
      <w:pPr>
        <w:bidi w:val="0"/>
        <w:rPr>
          <w:rFonts w:hint="default" w:ascii="Times New Roman" w:hAnsi="Times New Roman" w:cs="Times New Roman"/>
          <w:color w:val="auto"/>
          <w:u w:val="none" w:color="auto"/>
        </w:rPr>
      </w:pPr>
      <w:r>
        <w:rPr>
          <w:rFonts w:hint="default" w:ascii="Times New Roman" w:hAnsi="Times New Roman" w:cs="Times New Roman"/>
          <w:color w:val="auto"/>
        </w:rPr>
        <w:t>根据同类项目类比可知，本工程管理人员生活污水若未能全部收集，或管网出现破损，或生活污水处理系统出现渗漏，将造成地下水污染。本项目管理人员生活污水处理设施和排水管道采取可靠的防渗防漏措施，对地下水水质造成影响较小</w:t>
      </w:r>
      <w:r>
        <w:rPr>
          <w:rFonts w:hint="default" w:ascii="Times New Roman" w:hAnsi="Times New Roman" w:cs="Times New Roman"/>
          <w:color w:val="auto"/>
          <w:u w:val="none" w:color="auto"/>
          <w:lang w:val="en-US" w:eastAsia="zh-CN"/>
        </w:rPr>
        <w:t>。</w:t>
      </w:r>
    </w:p>
    <w:p w14:paraId="02CFB686">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大气环境影响分析</w:t>
      </w:r>
    </w:p>
    <w:p w14:paraId="08F34A9F">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库除险加固施工完成后，运行期本身无废气污染物产生，营运期废气主要为原水库管理人员饮食烹饪过程产生的油烟。管理人员的日常生活使用清洁电能，对大气环境基本无影响，但烹饪时将产生一定量油烟，食堂油烟经油烟机处理后无组织排放。</w:t>
      </w:r>
      <w:r>
        <w:rPr>
          <w:rFonts w:hint="default" w:ascii="Times New Roman" w:hAnsi="Times New Roman" w:cs="Times New Roman"/>
          <w:color w:val="auto"/>
          <w:kern w:val="0"/>
          <w:sz w:val="24"/>
          <w:szCs w:val="24"/>
          <w:u w:val="none" w:color="auto"/>
          <w:lang w:val="en-US" w:eastAsia="zh-CN" w:bidi="ar"/>
        </w:rPr>
        <w:t>廊洞水库</w:t>
      </w:r>
      <w:r>
        <w:rPr>
          <w:rFonts w:hint="default" w:ascii="Times New Roman" w:hAnsi="Times New Roman" w:eastAsia="宋体" w:cs="Times New Roman"/>
          <w:color w:val="auto"/>
          <w:kern w:val="0"/>
          <w:sz w:val="24"/>
          <w:szCs w:val="24"/>
          <w:u w:val="none" w:color="auto"/>
          <w:lang w:val="en-US" w:eastAsia="zh-CN" w:bidi="ar"/>
        </w:rPr>
        <w:t>所在区域植被茂密，大气污染少，大气环境容量大，油烟又是间断排放，故项目排放油烟对周边大气环境影响不大。</w:t>
      </w:r>
    </w:p>
    <w:p w14:paraId="0342AF9F">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声环境影响分析</w:t>
      </w:r>
    </w:p>
    <w:p w14:paraId="3DF47570">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库除险加固施工完成后，运行期本身无新增噪声产生，与工程建设前无重大变化，噪声仍主要是工作闸门、启闭机、水泵、设备机房产生的噪声，设备大部分位于室内。此外，堤顶防汛道路不允许无关车辆进入，且考虑一般农用车辆行驶速度较低，运行期交通噪声源强一般小于60dB</w:t>
      </w:r>
      <w:r>
        <w:rPr>
          <w:rFonts w:hint="default" w:ascii="Times New Roman" w:hAnsi="Times New Roman"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对周边环境影响</w:t>
      </w:r>
      <w:r>
        <w:rPr>
          <w:rFonts w:hint="default" w:ascii="Times New Roman" w:hAnsi="Times New Roman" w:cs="Times New Roman"/>
          <w:color w:val="auto"/>
          <w:kern w:val="0"/>
          <w:sz w:val="24"/>
          <w:szCs w:val="24"/>
          <w:u w:val="none" w:color="auto"/>
          <w:lang w:val="en-US" w:eastAsia="zh-CN" w:bidi="ar"/>
        </w:rPr>
        <w:t>较小</w:t>
      </w:r>
      <w:r>
        <w:rPr>
          <w:rFonts w:hint="default" w:ascii="Times New Roman" w:hAnsi="Times New Roman" w:eastAsia="宋体" w:cs="Times New Roman"/>
          <w:color w:val="auto"/>
          <w:kern w:val="0"/>
          <w:sz w:val="24"/>
          <w:szCs w:val="24"/>
          <w:u w:val="none" w:color="auto"/>
          <w:lang w:val="en-US" w:eastAsia="zh-CN" w:bidi="ar"/>
        </w:rPr>
        <w:t>。</w:t>
      </w:r>
    </w:p>
    <w:p w14:paraId="5FF44928">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固体废物环境影响分析</w:t>
      </w:r>
    </w:p>
    <w:p w14:paraId="3076DBE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水库除险加固施工完成后，运行期本身无固体废物产生，主要是管理人员的生活垃圾，统一由环卫部门清运，不会对环境造成不利影响。</w:t>
      </w:r>
    </w:p>
    <w:p w14:paraId="0EDA650F">
      <w:pPr>
        <w:pStyle w:val="4"/>
        <w:bidi w:val="0"/>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生态环境影响分析</w:t>
      </w:r>
    </w:p>
    <w:p w14:paraId="774B37D7">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陆生生态环境影响分析</w:t>
      </w:r>
    </w:p>
    <w:p w14:paraId="6E21DEDC">
      <w:pPr>
        <w:pStyle w:val="181"/>
        <w:ind w:firstLine="480"/>
        <w:rPr>
          <w:rFonts w:hint="default" w:ascii="Times New Roman" w:hAnsi="Times New Roman" w:cs="Times New Roman"/>
          <w:color w:val="auto"/>
        </w:rPr>
      </w:pPr>
      <w:r>
        <w:rPr>
          <w:rFonts w:hint="default" w:ascii="Times New Roman" w:hAnsi="Times New Roman" w:cs="Times New Roman"/>
          <w:color w:val="auto"/>
        </w:rPr>
        <w:t>1、对生态系统完整性的影响</w:t>
      </w:r>
    </w:p>
    <w:p w14:paraId="3721C91F">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对生物量的影响</w:t>
      </w:r>
    </w:p>
    <w:p w14:paraId="64BCE31E">
      <w:pPr>
        <w:pStyle w:val="181"/>
        <w:ind w:firstLine="480"/>
        <w:rPr>
          <w:rFonts w:hint="default" w:ascii="Times New Roman" w:hAnsi="Times New Roman" w:cs="Times New Roman"/>
          <w:color w:val="auto"/>
        </w:rPr>
      </w:pPr>
      <w:r>
        <w:rPr>
          <w:rFonts w:hint="default" w:ascii="Times New Roman" w:hAnsi="Times New Roman" w:cs="Times New Roman"/>
          <w:color w:val="auto"/>
        </w:rPr>
        <w:t>根据前章节可知，项目仅是对大坝进行加固处理，及相关设施进行维护及修缮，不新增占地，加固过程影响的植被均为常见种，对生物量损失量及物种的多样性影响总体较小，评价区生态系统是可以承受的，区域生态系统可得到一定程度的补偿。</w:t>
      </w:r>
    </w:p>
    <w:p w14:paraId="54744EC6">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对生态系统稳定性的影响</w:t>
      </w:r>
    </w:p>
    <w:p w14:paraId="4F3AEC41">
      <w:pPr>
        <w:pStyle w:val="181"/>
        <w:ind w:firstLine="480"/>
        <w:rPr>
          <w:rFonts w:hint="default" w:ascii="Times New Roman" w:hAnsi="Times New Roman" w:cs="Times New Roman"/>
          <w:color w:val="auto"/>
        </w:rPr>
      </w:pPr>
      <w:r>
        <w:rPr>
          <w:rFonts w:hint="default" w:ascii="Times New Roman" w:hAnsi="Times New Roman" w:cs="Times New Roman"/>
          <w:color w:val="auto"/>
        </w:rPr>
        <w:t>对区域内自然景观体系恢复稳定性的度量，可通过度量植被生物量来进行。水库工程的建设将影响区域内的自然景观体系，生物量和生产力有所降低，但因工程规模不大，影响范围和时段均有限，故影响程度较小。工程建成后，评价区内自然景观体系的生物量及生产力不会发生明显的变化，通过采取一定的措施，经过一段时间后，有能力从工程造成的干扰中恢复至生态系统的正常状况。</w:t>
      </w:r>
    </w:p>
    <w:p w14:paraId="4F54644F">
      <w:pPr>
        <w:bidi w:val="0"/>
        <w:rPr>
          <w:rFonts w:hint="default" w:ascii="Times New Roman" w:hAnsi="Times New Roman" w:cs="Times New Roman"/>
          <w:color w:val="auto"/>
          <w:lang w:val="en-US" w:eastAsia="zh-CN"/>
        </w:rPr>
      </w:pPr>
      <w:r>
        <w:rPr>
          <w:rFonts w:hint="default" w:ascii="Times New Roman" w:hAnsi="Times New Roman" w:cs="Times New Roman"/>
          <w:color w:val="auto"/>
        </w:rPr>
        <w:t>对自然景观体系抗干扰稳定性的度量可通过植被异质性的改变程度来度量。异质性就是特征多样性程度，它表现在动植物已占据生态位和可能占据的潜在生态位的多样化程度。自然景观体系中有复杂和微妙的条件在保证生物栖息地、种群和群落的相对稳定。由于本工程施工均在原坝址及附近进行施工，不新增加占地，不会造成区域土地用地类型的改变，工程施工影响区域外仍有较多相同的生境存在，工程对整个生态系统具有主控能力的植被组分影响不大。虽然工程建成后优势度值略有降低，但对生态系统的稳定性影响不大。因此，工程的建设基本不会对区域自然景观体系中模地组分的异质化造成影响。</w:t>
      </w:r>
    </w:p>
    <w:p w14:paraId="49002375">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对陆生植被植物的影响</w:t>
      </w:r>
    </w:p>
    <w:p w14:paraId="12DA06F8">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大坝加固工程结束后，不会新增淹没区，同时会对坝体及周边进行绿化，使周边绿化率进一步提高，运营过程基本不会对陆生植被造成影响</w:t>
      </w:r>
      <w:r>
        <w:rPr>
          <w:rFonts w:hint="default" w:ascii="Times New Roman" w:hAnsi="Times New Roman" w:cs="Times New Roman"/>
          <w:color w:val="auto"/>
          <w:u w:val="none" w:color="auto"/>
          <w:lang w:val="en-US" w:eastAsia="zh-CN"/>
        </w:rPr>
        <w:t>。</w:t>
      </w:r>
    </w:p>
    <w:p w14:paraId="5078CFD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对陆生动物的影响</w:t>
      </w:r>
    </w:p>
    <w:p w14:paraId="0E8B7671">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工程结束后，对坝体坡面及坝体周边进行绿化，坝体及坝体周边基本恢复为原有生态类型。人类活动的减少，原有施工中迁移的陆生动物将会逐渐回到原有的栖息地进行生活与觅食，陆生动物将会逐渐增多，恢复原有生境，基本不会对陆生动物造成影响</w:t>
      </w:r>
      <w:r>
        <w:rPr>
          <w:rFonts w:hint="default" w:ascii="Times New Roman" w:hAnsi="Times New Roman" w:cs="Times New Roman"/>
          <w:color w:val="auto"/>
          <w:u w:val="none" w:color="auto"/>
          <w:lang w:val="en-US" w:eastAsia="zh-CN"/>
        </w:rPr>
        <w:t>。</w:t>
      </w:r>
    </w:p>
    <w:p w14:paraId="18311DF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对景观生态体系的影响</w:t>
      </w:r>
    </w:p>
    <w:p w14:paraId="06015524">
      <w:pPr>
        <w:bidi w:val="0"/>
        <w:rPr>
          <w:rFonts w:hint="default" w:ascii="Times New Roman" w:hAnsi="Times New Roman" w:cs="Times New Roman"/>
          <w:color w:val="auto"/>
          <w:u w:val="none" w:color="auto"/>
        </w:rPr>
      </w:pPr>
      <w:r>
        <w:rPr>
          <w:rFonts w:hint="default" w:ascii="Times New Roman" w:hAnsi="Times New Roman" w:cs="Times New Roman"/>
          <w:color w:val="auto"/>
        </w:rPr>
        <w:t>本项目仅是对大坝加固及相关设施进行修缮，不新增占地，因此不会增加新的景观类型，同时工程通过对水库大坝各个设施的修缮和维护，对围坝、隔坝、截渗沟进行护砌，对原基础设施进行防锈喷漆，剥蚀部位进行补修加固，围坝及隔坝两侧进行绿化后使整个大坝面貌焕然一新，从而增加景观美学价值。因此项目施工运营后，不会对周边景观造成影响</w:t>
      </w:r>
      <w:r>
        <w:rPr>
          <w:rFonts w:hint="default" w:ascii="Times New Roman" w:hAnsi="Times New Roman" w:cs="Times New Roman"/>
          <w:color w:val="auto"/>
          <w:u w:val="none" w:color="auto"/>
          <w:lang w:val="en-US" w:eastAsia="zh-CN"/>
        </w:rPr>
        <w:t>。</w:t>
      </w:r>
    </w:p>
    <w:p w14:paraId="565D0E7D">
      <w:pPr>
        <w:pStyle w:val="5"/>
        <w:bidi w:val="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水生生态环境影响分析</w:t>
      </w:r>
    </w:p>
    <w:p w14:paraId="417E5C9B">
      <w:pPr>
        <w:bidi w:val="0"/>
        <w:rPr>
          <w:rFonts w:hint="default" w:ascii="Times New Roman" w:hAnsi="Times New Roman" w:cs="Times New Roman"/>
          <w:color w:val="auto"/>
          <w:u w:val="none" w:color="auto"/>
        </w:rPr>
      </w:pPr>
      <w:r>
        <w:rPr>
          <w:rFonts w:hint="default" w:ascii="Times New Roman" w:hAnsi="Times New Roman" w:cs="Times New Roman"/>
          <w:color w:val="auto"/>
        </w:rPr>
        <w:t>大坝加工程结束后，对库区内及库区下游水的扰动结束，水质及水流量基本保持原有水库运营情况相似，基本恢复了原有水生生境，因此大坝加工程结束后，库区的运营基本不会对库区及下游的浮游动植物、底栖动物、水生维管束植物及鱼类造成影响</w:t>
      </w:r>
      <w:r>
        <w:rPr>
          <w:rFonts w:hint="default" w:ascii="Times New Roman" w:hAnsi="Times New Roman" w:cs="Times New Roman"/>
          <w:color w:val="auto"/>
          <w:u w:val="none" w:color="auto"/>
          <w:lang w:val="en-US" w:eastAsia="zh-CN"/>
        </w:rPr>
        <w:t>。</w:t>
      </w:r>
    </w:p>
    <w:p w14:paraId="2C0A850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工程是非污染型项目，工程运行期不产生污染，工程建设后不改变水库原功能，不改变库区正常蓄水位，实际运行时，河道内水位、流速较工程实施前基本没有变化，水生生境基本维持原状。因此本工程运行对评价范围内及上下游水生生态环境不会造成影响。</w:t>
      </w:r>
    </w:p>
    <w:p w14:paraId="4AEE685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通过实地考察，评价区内人类活动频繁，使得在这一河段区域无重要陆生脊椎动物活动，所以减水不会对生活在评价区范围内的陆生脊椎动物的物种丰富度和多度产生影响。当水库泄洪时，由于河床的水位上涨，对一些常到岸边活动的喜湿性动物可产生间接的影响，如蛙类、蛇类等，但这些动物均有一定的运动能力和游泳能力，它们可以通过自身的活动逃离淹没区，因此，这种间接影响可不予考虑。</w:t>
      </w:r>
    </w:p>
    <w:p w14:paraId="6B7F673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综上所述，廊洞水库已经建成蓄水已有46年，附近的动植物已经适应了水库的运行规律，本项目营运期不改变以往水库运行，不产生新的生态影响。</w:t>
      </w:r>
    </w:p>
    <w:p w14:paraId="2E4AAAE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对永久基本农田的影响</w:t>
      </w:r>
    </w:p>
    <w:p w14:paraId="37020E0B">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本项目</w:t>
      </w:r>
      <w:r>
        <w:rPr>
          <w:rFonts w:hint="eastAsia" w:cs="Times New Roman"/>
          <w:color w:val="auto"/>
          <w:u w:val="none" w:color="auto"/>
          <w:lang w:val="en-US" w:eastAsia="zh-CN"/>
        </w:rPr>
        <w:t>永久占地及临时占地均</w:t>
      </w:r>
      <w:r>
        <w:rPr>
          <w:rFonts w:hint="default" w:ascii="Times New Roman" w:hAnsi="Times New Roman" w:cs="Times New Roman"/>
          <w:color w:val="auto"/>
          <w:u w:val="none" w:color="auto"/>
          <w:lang w:val="en-US" w:eastAsia="zh-CN"/>
        </w:rPr>
        <w:t>不占用生态保护红线</w:t>
      </w:r>
      <w:r>
        <w:rPr>
          <w:rFonts w:hint="eastAsia" w:cs="Times New Roman"/>
          <w:color w:val="auto"/>
          <w:u w:val="none" w:color="auto"/>
          <w:lang w:val="en-US" w:eastAsia="zh-CN"/>
        </w:rPr>
        <w:t>及基本农田</w:t>
      </w:r>
      <w:r>
        <w:rPr>
          <w:rFonts w:hint="default" w:ascii="Times New Roman" w:hAnsi="Times New Roman" w:cs="Times New Roman"/>
          <w:color w:val="auto"/>
          <w:u w:val="none" w:color="auto"/>
          <w:lang w:val="en-US" w:eastAsia="zh-CN"/>
        </w:rPr>
        <w:t>，但水库大坝紧邻永久基本农田，在施工前界定施工红线，保证施工活动要在征地范围内进行，确保施工区在生态</w:t>
      </w:r>
      <w:r>
        <w:rPr>
          <w:rFonts w:hint="default" w:ascii="Times New Roman" w:hAnsi="Times New Roman" w:cs="Times New Roman"/>
          <w:color w:val="auto"/>
          <w:highlight w:val="none"/>
          <w:u w:val="none" w:color="auto"/>
          <w:lang w:val="en-US" w:eastAsia="zh-CN"/>
        </w:rPr>
        <w:t>红外</w:t>
      </w:r>
      <w:r>
        <w:rPr>
          <w:rFonts w:hint="default" w:ascii="Times New Roman" w:hAnsi="Times New Roman" w:cs="Times New Roman"/>
          <w:color w:val="auto"/>
          <w:u w:val="none" w:color="auto"/>
          <w:lang w:val="en-US" w:eastAsia="zh-CN"/>
        </w:rPr>
        <w:t>外，工程建成后对临时占地进行生态恢复，则对永久基本农田的影响是可接受的。</w:t>
      </w:r>
    </w:p>
    <w:p w14:paraId="233C5A71">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对饮用水源保护区的影响</w:t>
      </w:r>
    </w:p>
    <w:p w14:paraId="2C5340FC">
      <w:pPr>
        <w:keepNext w:val="0"/>
        <w:keepLines w:val="0"/>
        <w:widowControl/>
        <w:suppressLineNumbers w:val="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项目本身为输水工程，建成后不会向水体排污，因此本工程运行期不会对水源保护区造成不利影响。</w:t>
      </w:r>
    </w:p>
    <w:p w14:paraId="2B96B521">
      <w:pPr>
        <w:pStyle w:val="4"/>
        <w:bidi w:val="0"/>
        <w:rPr>
          <w:rFonts w:hint="default"/>
          <w:lang w:val="en-US" w:eastAsia="zh-CN"/>
        </w:rPr>
      </w:pPr>
      <w:r>
        <w:rPr>
          <w:rFonts w:hint="default"/>
          <w:lang w:val="en-US" w:eastAsia="zh-CN"/>
        </w:rPr>
        <w:t>运行期土壤环境影响分析</w:t>
      </w:r>
    </w:p>
    <w:p w14:paraId="44BF1862">
      <w:pPr>
        <w:keepNext w:val="0"/>
        <w:keepLines w:val="0"/>
        <w:widowControl/>
        <w:suppressLineNumbers w:val="0"/>
        <w:jc w:val="left"/>
        <w:rPr>
          <w:rFonts w:hint="default" w:ascii="Times New Roman" w:hAnsi="Times New Roman" w:eastAsia="宋体" w:cs="Times New Roman"/>
          <w:color w:val="auto"/>
          <w:kern w:val="0"/>
          <w:sz w:val="24"/>
          <w:szCs w:val="24"/>
          <w:u w:val="none" w:color="auto"/>
          <w:lang w:val="en-US" w:eastAsia="zh-CN" w:bidi="ar"/>
        </w:rPr>
        <w:sectPr>
          <w:headerReference r:id="rId17" w:type="default"/>
          <w:footerReference r:id="rId18" w:type="default"/>
          <w:pgSz w:w="11911" w:h="16838"/>
          <w:pgMar w:top="1440" w:right="1800" w:bottom="1440" w:left="1800"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kern w:val="0"/>
          <w:sz w:val="24"/>
          <w:szCs w:val="24"/>
          <w:u w:val="none" w:color="auto"/>
          <w:lang w:val="en-US" w:eastAsia="zh-CN" w:bidi="ar"/>
        </w:rPr>
        <w:t>本项目为水库除险加固工程，建设前后水库库容不变，项目本身不排放污染物，不会加重区域土壤污染，因此，对土壤环境影响较小。</w:t>
      </w:r>
    </w:p>
    <w:p w14:paraId="649FA448">
      <w:pPr>
        <w:pStyle w:val="2"/>
        <w:bidi w:val="0"/>
        <w:rPr>
          <w:rFonts w:hint="default"/>
        </w:rPr>
      </w:pPr>
      <w:bookmarkStart w:id="220" w:name="_Toc8695"/>
      <w:bookmarkStart w:id="221" w:name="_Toc494049381"/>
      <w:bookmarkStart w:id="222" w:name="_Toc12363"/>
      <w:bookmarkStart w:id="223" w:name="_Toc494233811"/>
      <w:bookmarkStart w:id="224" w:name="_Toc18111"/>
      <w:r>
        <w:rPr>
          <w:rFonts w:hint="default"/>
        </w:rPr>
        <w:t>环境风险</w:t>
      </w:r>
      <w:bookmarkEnd w:id="220"/>
      <w:bookmarkEnd w:id="221"/>
      <w:bookmarkEnd w:id="222"/>
      <w:bookmarkEnd w:id="223"/>
      <w:r>
        <w:rPr>
          <w:rFonts w:hint="default"/>
        </w:rPr>
        <w:t>评价</w:t>
      </w:r>
      <w:bookmarkEnd w:id="224"/>
    </w:p>
    <w:p w14:paraId="53DCFBA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，环境风险评价基本内容包括风险调查、环境风险潜势初判、风险识别、风险事故情形分析、风险预测与评价、环境风险管理等。</w:t>
      </w:r>
    </w:p>
    <w:p w14:paraId="1EED96B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调查分析建设项目物质及工艺系统危险性和环境敏感性，进行风险潜势判断，确定风险评价等级。</w:t>
      </w:r>
    </w:p>
    <w:p w14:paraId="5F733B75">
      <w:pPr>
        <w:pStyle w:val="3"/>
        <w:bidi w:val="0"/>
        <w:rPr>
          <w:rFonts w:hint="default"/>
        </w:rPr>
      </w:pPr>
      <w:bookmarkStart w:id="225" w:name="_Toc39"/>
      <w:r>
        <w:rPr>
          <w:rFonts w:hint="default"/>
        </w:rPr>
        <w:t>环境风险评价总则</w:t>
      </w:r>
      <w:bookmarkEnd w:id="225"/>
    </w:p>
    <w:p w14:paraId="316C0E25">
      <w:pPr>
        <w:bidi w:val="0"/>
        <w:rPr>
          <w:rFonts w:hint="default"/>
        </w:rPr>
      </w:pPr>
      <w:r>
        <w:rPr>
          <w:rFonts w:hint="default"/>
        </w:rPr>
        <w:t>根据《建设项目环境风险评价技术导则》（HJ169-2018）和国家环境保护总局《关于进一步加强环境影响评价管理防范环境风险的通知》、《关于切实加强风险防范严格环境影响评价管理的通知》，项目实施后环境风险评价的基本内容包括风险调查、环境风险潜势初判、风险识别、风险事故情形分析、风险预测与评价、环境风险管理等。环境风险评价工作程序见图</w:t>
      </w:r>
      <w:r>
        <w:rPr>
          <w:rFonts w:hint="eastAsia"/>
          <w:lang w:val="en-US" w:eastAsia="zh-CN"/>
        </w:rPr>
        <w:t>7</w:t>
      </w:r>
      <w:r>
        <w:rPr>
          <w:rFonts w:hint="default"/>
        </w:rPr>
        <w:t>.1-1。</w:t>
      </w:r>
    </w:p>
    <w:p w14:paraId="4DCB0A16">
      <w:pPr>
        <w:pStyle w:val="106"/>
        <w:bidi w:val="0"/>
      </w:pPr>
      <w:r>
        <w:drawing>
          <wp:inline distT="0" distB="0" distL="0" distR="0">
            <wp:extent cx="4391660" cy="4490720"/>
            <wp:effectExtent l="0" t="0" r="8890" b="508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80"/>
                    <a:stretch>
                      <a:fillRect/>
                    </a:stretch>
                  </pic:blipFill>
                  <pic:spPr>
                    <a:xfrm>
                      <a:off x="0" y="0"/>
                      <a:ext cx="4392168" cy="4491228"/>
                    </a:xfrm>
                    <a:prstGeom prst="rect">
                      <a:avLst/>
                    </a:prstGeom>
                  </pic:spPr>
                </pic:pic>
              </a:graphicData>
            </a:graphic>
          </wp:inline>
        </w:drawing>
      </w:r>
    </w:p>
    <w:p w14:paraId="7BCD0332">
      <w:pPr>
        <w:pStyle w:val="48"/>
        <w:bidi w:val="0"/>
        <w:rPr>
          <w:rFonts w:hint="default"/>
        </w:rPr>
      </w:pPr>
      <w:r>
        <w:rPr>
          <w:rFonts w:hint="default"/>
        </w:rPr>
        <w:t>图</w:t>
      </w:r>
      <w:r>
        <w:rPr>
          <w:rFonts w:hint="eastAsia"/>
          <w:lang w:val="en-US" w:eastAsia="zh-CN"/>
        </w:rPr>
        <w:t>7</w:t>
      </w:r>
      <w:r>
        <w:rPr>
          <w:rFonts w:hint="default"/>
        </w:rPr>
        <w:t>.1-1  环境风险评价工作程序</w:t>
      </w:r>
    </w:p>
    <w:p w14:paraId="15F87DD5">
      <w:pPr>
        <w:pStyle w:val="3"/>
        <w:bidi w:val="0"/>
        <w:rPr>
          <w:rFonts w:hint="default"/>
        </w:rPr>
      </w:pPr>
      <w:bookmarkStart w:id="226" w:name="_Toc18554"/>
      <w:r>
        <w:rPr>
          <w:rFonts w:hint="eastAsia"/>
          <w:lang w:val="en-US" w:eastAsia="zh-CN"/>
        </w:rPr>
        <w:t>风险</w:t>
      </w:r>
      <w:r>
        <w:rPr>
          <w:rFonts w:hint="default"/>
        </w:rPr>
        <w:t>调查</w:t>
      </w:r>
      <w:bookmarkEnd w:id="226"/>
    </w:p>
    <w:p w14:paraId="5CB01C47">
      <w:pPr>
        <w:pStyle w:val="4"/>
        <w:bidi w:val="0"/>
        <w:rPr>
          <w:rFonts w:hint="default"/>
          <w:lang w:val="en-US" w:eastAsia="zh-CN"/>
        </w:rPr>
      </w:pPr>
      <w:r>
        <w:rPr>
          <w:rFonts w:hint="default"/>
          <w:lang w:val="en-US" w:eastAsia="zh-CN"/>
        </w:rPr>
        <w:t>建设项目风险源调查</w:t>
      </w:r>
    </w:p>
    <w:p w14:paraId="719F075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根据《建设项目环境风险评价技术导则》（HJ169-2018），本项目环境风险物质主要是施工机械所使用的柴油、汽油。</w:t>
      </w:r>
    </w:p>
    <w:p w14:paraId="2FC57C88">
      <w:pPr>
        <w:pStyle w:val="4"/>
        <w:bidi w:val="0"/>
        <w:rPr>
          <w:rFonts w:hint="default"/>
        </w:rPr>
      </w:pPr>
      <w:r>
        <w:rPr>
          <w:rFonts w:hint="default"/>
        </w:rPr>
        <w:t>环境敏感目标调查</w:t>
      </w:r>
    </w:p>
    <w:p w14:paraId="1B6CC91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依据确定的项目环境风险评价等级和评价范围，对风险评价范围内的环境敏感点进行现状调查，评价范围内的环境敏感目标情况主要为保护区水域、动植物资源及生态环境。本项目周边环境情况环境敏感目标见</w:t>
      </w:r>
      <w:r>
        <w:rPr>
          <w:rFonts w:hint="default"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表</w:t>
      </w:r>
      <w:r>
        <w:rPr>
          <w:rFonts w:hint="default" w:ascii="Times New Roman" w:hAnsi="Times New Roman" w:cs="Times New Roman"/>
          <w:color w:val="auto"/>
          <w:u w:val="none" w:color="auto"/>
        </w:rPr>
        <w:t>2.7-1环境保护目标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w:t>
      </w:r>
    </w:p>
    <w:p w14:paraId="0DCA0F48">
      <w:pPr>
        <w:pStyle w:val="3"/>
        <w:bidi w:val="0"/>
        <w:rPr>
          <w:rFonts w:hint="default"/>
          <w:lang w:val="en-US" w:eastAsia="zh-CN"/>
        </w:rPr>
      </w:pPr>
      <w:bookmarkStart w:id="227" w:name="_Toc8144"/>
      <w:r>
        <w:rPr>
          <w:rFonts w:hint="default"/>
          <w:lang w:val="en-US" w:eastAsia="zh-CN"/>
        </w:rPr>
        <w:t>环境风险潜势初判及评价等级</w:t>
      </w:r>
      <w:bookmarkEnd w:id="227"/>
    </w:p>
    <w:p w14:paraId="482F315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危险物质数量与临界量比值（Q）值的确定</w:t>
      </w:r>
    </w:p>
    <w:p w14:paraId="50B3F50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附录C，只涉及一种危险物质时，计算该物质的总量</w:t>
      </w:r>
      <w:r>
        <w:rPr>
          <w:rFonts w:hint="default" w:ascii="Times New Roman" w:hAnsi="Times New Roman" w:cs="Times New Roman"/>
          <w:color w:val="auto"/>
          <w:u w:val="none" w:color="auto"/>
          <w:lang w:eastAsia="zh-CN"/>
        </w:rPr>
        <w:t>以其</w:t>
      </w:r>
      <w:r>
        <w:rPr>
          <w:rFonts w:hint="default" w:ascii="Times New Roman" w:hAnsi="Times New Roman" w:cs="Times New Roman"/>
          <w:color w:val="auto"/>
          <w:u w:val="none" w:color="auto"/>
        </w:rPr>
        <w:t>临界量比值，即为Q，当存在多种危险物质时，则按下式计算物质总量与其临界量比值</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6FE60AE4">
      <w:pPr>
        <w:pStyle w:val="16"/>
        <w:ind w:firstLine="48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1730375" cy="629920"/>
            <wp:effectExtent l="0" t="0" r="3175" b="17780"/>
            <wp:docPr id="20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1"/>
                    <pic:cNvPicPr>
                      <a:picLocks noChangeAspect="1"/>
                    </pic:cNvPicPr>
                  </pic:nvPicPr>
                  <pic:blipFill>
                    <a:blip r:embed="rId24"/>
                    <a:stretch>
                      <a:fillRect/>
                    </a:stretch>
                  </pic:blipFill>
                  <pic:spPr>
                    <a:xfrm>
                      <a:off x="0" y="0"/>
                      <a:ext cx="1730375" cy="629920"/>
                    </a:xfrm>
                    <a:prstGeom prst="rect">
                      <a:avLst/>
                    </a:prstGeom>
                    <a:noFill/>
                    <a:ln>
                      <a:noFill/>
                    </a:ln>
                  </pic:spPr>
                </pic:pic>
              </a:graphicData>
            </a:graphic>
          </wp:inline>
        </w:drawing>
      </w:r>
    </w:p>
    <w:p w14:paraId="7CC5C1F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式中</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每种环境风险物质的最大存在总量，t；</w:t>
      </w:r>
    </w:p>
    <w:p w14:paraId="3B56999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1</w:t>
      </w:r>
      <w:r>
        <w:rPr>
          <w:rFonts w:hint="default" w:ascii="Times New Roman" w:hAnsi="Times New Roman" w:cs="Times New Roman"/>
          <w:color w:val="auto"/>
          <w:u w:val="none" w:color="auto"/>
        </w:rPr>
        <w:t>、Q</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、···Qn</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每种环境风险物质相对应的临界量，t。</w:t>
      </w:r>
    </w:p>
    <w:p w14:paraId="2115D03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当Q&lt;1时，项目风险潜势为I；</w:t>
      </w:r>
    </w:p>
    <w:p w14:paraId="322DE49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当Q≥1时，将Q值划分为</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1≤Q&lt;10，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10≤Q&lt;100，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Q≥100。</w:t>
      </w:r>
    </w:p>
    <w:p w14:paraId="3E73D76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项目涉及的环境风险物质其Q值计算如下。</w:t>
      </w:r>
    </w:p>
    <w:p w14:paraId="07CD918C">
      <w:pPr>
        <w:pStyle w:val="118"/>
        <w:bidi w:val="0"/>
        <w:rPr>
          <w:rFonts w:hint="default"/>
        </w:rPr>
      </w:pPr>
      <w:r>
        <w:rPr>
          <w:rFonts w:hint="default"/>
        </w:rPr>
        <w:t>表</w:t>
      </w:r>
      <w:r>
        <w:rPr>
          <w:rFonts w:hint="eastAsia"/>
          <w:lang w:val="en-US" w:eastAsia="zh-CN"/>
        </w:rPr>
        <w:t>7.3</w:t>
      </w:r>
      <w:r>
        <w:rPr>
          <w:rFonts w:hint="default"/>
        </w:rPr>
        <w:t>-1  项目Q值计算</w:t>
      </w:r>
    </w:p>
    <w:tbl>
      <w:tblPr>
        <w:tblStyle w:val="16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2"/>
        <w:gridCol w:w="1998"/>
        <w:gridCol w:w="1984"/>
        <w:gridCol w:w="1770"/>
        <w:gridCol w:w="1680"/>
      </w:tblGrid>
      <w:tr w14:paraId="124640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531" w:type="pct"/>
            <w:vAlign w:val="top"/>
          </w:tcPr>
          <w:p w14:paraId="366DEF71">
            <w:pPr>
              <w:pStyle w:val="49"/>
              <w:bidi w:val="0"/>
            </w:pPr>
            <w:r>
              <w:t>序号</w:t>
            </w:r>
          </w:p>
        </w:tc>
        <w:tc>
          <w:tcPr>
            <w:tcW w:w="1201" w:type="pct"/>
            <w:vAlign w:val="top"/>
          </w:tcPr>
          <w:p w14:paraId="348C2D0A">
            <w:pPr>
              <w:pStyle w:val="49"/>
              <w:bidi w:val="0"/>
            </w:pPr>
            <w:r>
              <w:t>物质名称</w:t>
            </w:r>
          </w:p>
        </w:tc>
        <w:tc>
          <w:tcPr>
            <w:tcW w:w="1193" w:type="pct"/>
            <w:vAlign w:val="top"/>
          </w:tcPr>
          <w:p w14:paraId="075C5578">
            <w:pPr>
              <w:pStyle w:val="49"/>
              <w:bidi w:val="0"/>
            </w:pPr>
            <w:r>
              <w:t>最大储量t</w:t>
            </w:r>
          </w:p>
        </w:tc>
        <w:tc>
          <w:tcPr>
            <w:tcW w:w="1062" w:type="pct"/>
            <w:vAlign w:val="top"/>
          </w:tcPr>
          <w:p w14:paraId="0CE258CF">
            <w:pPr>
              <w:pStyle w:val="49"/>
              <w:bidi w:val="0"/>
            </w:pPr>
            <w:r>
              <w:t>临界量t</w:t>
            </w:r>
          </w:p>
        </w:tc>
        <w:tc>
          <w:tcPr>
            <w:tcW w:w="1010" w:type="pct"/>
            <w:vAlign w:val="top"/>
          </w:tcPr>
          <w:p w14:paraId="2D39C35D">
            <w:pPr>
              <w:pStyle w:val="49"/>
              <w:bidi w:val="0"/>
            </w:pPr>
            <w:r>
              <w:t>比值Q</w:t>
            </w:r>
          </w:p>
        </w:tc>
      </w:tr>
      <w:tr w14:paraId="39F04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531" w:type="pct"/>
            <w:vAlign w:val="top"/>
          </w:tcPr>
          <w:p w14:paraId="48D0582F">
            <w:pPr>
              <w:pStyle w:val="49"/>
              <w:bidi w:val="0"/>
            </w:pPr>
            <w:r>
              <w:t>1</w:t>
            </w:r>
          </w:p>
        </w:tc>
        <w:tc>
          <w:tcPr>
            <w:tcW w:w="1201" w:type="pct"/>
            <w:vAlign w:val="top"/>
          </w:tcPr>
          <w:p w14:paraId="4D64BDB1">
            <w:pPr>
              <w:pStyle w:val="49"/>
              <w:bidi w:val="0"/>
            </w:pPr>
            <w:r>
              <w:t>柴油和汽油</w:t>
            </w:r>
          </w:p>
        </w:tc>
        <w:tc>
          <w:tcPr>
            <w:tcW w:w="1193" w:type="pct"/>
            <w:vAlign w:val="top"/>
          </w:tcPr>
          <w:p w14:paraId="11DF9D1C">
            <w:pPr>
              <w:pStyle w:val="49"/>
              <w:bidi w:val="0"/>
            </w:pPr>
            <w:r>
              <w:t>0.5</w:t>
            </w:r>
          </w:p>
        </w:tc>
        <w:tc>
          <w:tcPr>
            <w:tcW w:w="1062" w:type="pct"/>
            <w:vAlign w:val="top"/>
          </w:tcPr>
          <w:p w14:paraId="66553DE1">
            <w:pPr>
              <w:pStyle w:val="49"/>
              <w:bidi w:val="0"/>
            </w:pPr>
            <w:r>
              <w:t>2500</w:t>
            </w:r>
          </w:p>
        </w:tc>
        <w:tc>
          <w:tcPr>
            <w:tcW w:w="1010" w:type="pct"/>
            <w:vAlign w:val="top"/>
          </w:tcPr>
          <w:p w14:paraId="5568E3C4">
            <w:pPr>
              <w:pStyle w:val="49"/>
              <w:bidi w:val="0"/>
            </w:pPr>
            <w:r>
              <w:t>0.0002</w:t>
            </w:r>
          </w:p>
        </w:tc>
      </w:tr>
      <w:tr w14:paraId="5A294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3989" w:type="pct"/>
            <w:gridSpan w:val="4"/>
            <w:vAlign w:val="top"/>
          </w:tcPr>
          <w:p w14:paraId="5D2D09E8">
            <w:pPr>
              <w:pStyle w:val="49"/>
              <w:bidi w:val="0"/>
            </w:pPr>
            <w:r>
              <w:t>合计</w:t>
            </w:r>
          </w:p>
        </w:tc>
        <w:tc>
          <w:tcPr>
            <w:tcW w:w="1010" w:type="pct"/>
            <w:vAlign w:val="top"/>
          </w:tcPr>
          <w:p w14:paraId="0CF6AF1D">
            <w:pPr>
              <w:pStyle w:val="49"/>
              <w:bidi w:val="0"/>
            </w:pPr>
            <w:r>
              <w:t>0.0002</w:t>
            </w:r>
          </w:p>
        </w:tc>
      </w:tr>
    </w:tbl>
    <w:p w14:paraId="66F8BAB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HJ169-2018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附录C，当Q&lt;1时，直接判定项目环境风险潜势为Ⅰ。因此，本项目的风险潜势为Ⅰ。</w:t>
      </w:r>
    </w:p>
    <w:p w14:paraId="696A814C">
      <w:pPr>
        <w:bidi w:val="0"/>
        <w:rPr>
          <w:rFonts w:hint="eastAsia" w:cs="Times New Roman"/>
          <w:color w:val="auto"/>
          <w:u w:val="none" w:color="auto"/>
          <w:lang w:val="en-US" w:eastAsia="zh-CN"/>
        </w:rPr>
      </w:pPr>
      <w:r>
        <w:rPr>
          <w:rFonts w:hint="eastAsia" w:cs="Times New Roman"/>
          <w:color w:val="auto"/>
          <w:u w:val="none" w:color="auto"/>
          <w:lang w:val="en-US" w:eastAsia="zh-CN"/>
        </w:rPr>
        <w:t>2、环境风险评价等级确定</w:t>
      </w:r>
    </w:p>
    <w:p w14:paraId="21CFABE4">
      <w:pPr>
        <w:bidi w:val="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根据《建设项目环境风险评价技术导则》（HJ169-2018）附录C，本项目环境风险潜势为Ⅰ，故本项目风险评价等级为“简单分析”。</w:t>
      </w:r>
    </w:p>
    <w:p w14:paraId="2E13F553">
      <w:pPr>
        <w:pStyle w:val="3"/>
        <w:bidi w:val="0"/>
        <w:rPr>
          <w:rFonts w:hint="default"/>
        </w:rPr>
      </w:pPr>
      <w:bookmarkStart w:id="228" w:name="_Toc7951"/>
      <w:r>
        <w:rPr>
          <w:rFonts w:hint="default"/>
        </w:rPr>
        <w:t>风险识别</w:t>
      </w:r>
      <w:bookmarkEnd w:id="228"/>
    </w:p>
    <w:p w14:paraId="505592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根据《建设项目环境风险评价技术导则》（HJ169-2018），环境风险识别内容主要为物质危险性识别、生产系统危险性识别和危险物质向环境转移的途径识别。</w:t>
      </w:r>
    </w:p>
    <w:p w14:paraId="5BA458FA">
      <w:pPr>
        <w:pStyle w:val="4"/>
        <w:bidi w:val="0"/>
        <w:rPr>
          <w:rFonts w:hint="default"/>
        </w:rPr>
      </w:pPr>
      <w:r>
        <w:rPr>
          <w:rFonts w:hint="default"/>
        </w:rPr>
        <w:t>施工期环境风险识别</w:t>
      </w:r>
    </w:p>
    <w:p w14:paraId="54613AC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1、物质风险识别</w:t>
      </w:r>
    </w:p>
    <w:p w14:paraId="4C4D8A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物质危险性识别包括主要原辅材料、燃料、中间产品、副产品、最终产品、污染物、火灾和爆炸伴生/次生物等。</w:t>
      </w:r>
    </w:p>
    <w:p w14:paraId="4FEB024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本项目使用柴油、汽油作为施工机械、车辆的燃料，主要环境风险为油料泄漏及其引发的火灾、爆炸事故。</w:t>
      </w:r>
    </w:p>
    <w:p w14:paraId="0A387E4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2、生产系统危险性识别</w:t>
      </w:r>
    </w:p>
    <w:p w14:paraId="3CF3841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生产系统危险性识别包括主要生产装置、储运装置、公用工程和辅助生产设施，以及环境保护设施等。</w:t>
      </w:r>
    </w:p>
    <w:p w14:paraId="6960089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本项目环保设施的潜在风险主要为污水处理设施未按正常情况运用，导致废水超标排放，进而对地下水、地表水、土壤造成一定影响。</w:t>
      </w:r>
    </w:p>
    <w:p w14:paraId="382F91EF">
      <w:pPr>
        <w:pStyle w:val="4"/>
        <w:bidi w:val="0"/>
        <w:rPr>
          <w:rFonts w:hint="default"/>
        </w:rPr>
      </w:pPr>
      <w:r>
        <w:rPr>
          <w:rFonts w:hint="default"/>
        </w:rPr>
        <w:t>溃坝风险识别</w:t>
      </w:r>
    </w:p>
    <w:p w14:paraId="306EFB3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由于坝体溃决通常是在瞬间溃决，坝体一旦溃决，对大坝上下游影响很大。在大坝上游，因大量水体突然下泄，使库内水体由于坝前水位陡降，易造成沿岸失稳，出现坍岸，坍岸造成的涌浪会加剧对坝体的冲击。</w:t>
      </w:r>
    </w:p>
    <w:p w14:paraId="4B97DAEE">
      <w:pPr>
        <w:pStyle w:val="3"/>
        <w:bidi w:val="0"/>
        <w:rPr>
          <w:rFonts w:hint="default"/>
          <w:lang w:eastAsia="zh-CN"/>
        </w:rPr>
      </w:pPr>
      <w:bookmarkStart w:id="229" w:name="_Toc3839"/>
      <w:r>
        <w:rPr>
          <w:rFonts w:hint="default"/>
          <w:lang w:eastAsia="zh-CN"/>
        </w:rPr>
        <w:t>环境风险分析</w:t>
      </w:r>
      <w:bookmarkEnd w:id="229"/>
    </w:p>
    <w:p w14:paraId="5981608A">
      <w:pPr>
        <w:pStyle w:val="4"/>
        <w:bidi w:val="0"/>
        <w:rPr>
          <w:rFonts w:hint="default"/>
          <w:lang w:eastAsia="zh-CN"/>
        </w:rPr>
      </w:pPr>
      <w:r>
        <w:rPr>
          <w:rFonts w:hint="default"/>
          <w:lang w:eastAsia="zh-CN"/>
        </w:rPr>
        <w:t>施工期环境风险分析</w:t>
      </w:r>
    </w:p>
    <w:p w14:paraId="51A190F8">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1、施工期溢油污染事故</w:t>
      </w:r>
    </w:p>
    <w:p w14:paraId="2612794E">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项目施工机械、车辆包括挖掘机、推土机、自卸汽车等，由于进出机械设备、车辆较多，机械设备不及时维修保养，可能发生车辆碰撞、侧翻等交通事故造成石油类泄漏，或施工机械在施工作业及行进过程中，尤其是库内侧施工的车辆机械发生侧翻事故，一旦发生溢油污染事故，将对一定范围内的水域造成污染，还可能污染水库，对库区内的水生生物和以水库为用水的农业灌溉影响较大。</w:t>
      </w:r>
    </w:p>
    <w:p w14:paraId="04F8A87D">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以石油污染为例，其危害是由石油的化学成分、特性及其在库区内的存在形式决定。在石油不同组分中，低沸点的芳香烃对一切生物均有毒性，而高沸点的芳香烃则是长效毒性，会对水生生物生命构成威胁，甚至死亡。</w:t>
      </w:r>
    </w:p>
    <w:p w14:paraId="18A1AF1D">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根据相关研究结果得出，石油类污染带瞬时高浓度排放（即事故性排放）可导致急性中毒死鱼事故，此外，当油在水面形成油膜后，影响氧气进入水体，对鱼类造成危害。</w:t>
      </w:r>
    </w:p>
    <w:p w14:paraId="60D094B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石油类污染物藻鱼体中的积累和残留可引起鱼类慢性中毒而带来长效应的污染影响，这种影响不仅可引起鱼类资源的变动，甚至会造成鱼类种质的变异。鱼类一旦与油分子接触就会在短时间内发生油臭，从而影响其食用价值。</w:t>
      </w:r>
    </w:p>
    <w:p w14:paraId="4ABBD1AB">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2、施工期废水事故性排放</w:t>
      </w:r>
    </w:p>
    <w:p w14:paraId="5A8D52F6">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若工程施工时，未按环保措施要求施工，没有及时采取相应拦挡等措施防护，产生的施工废污水不慎进入水库将对附近水体水质产生不利影响；如若本项目废水处理设施出现破裂或设备故障，导致废污水未经处理或处理不达标外排，将影响周围环境质量。</w:t>
      </w:r>
    </w:p>
    <w:p w14:paraId="28EE0FE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3、火灾、爆炸事故</w:t>
      </w:r>
    </w:p>
    <w:p w14:paraId="12B54F22">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本项目柴油、汽油属于易燃易爆物质，易引发火灾、爆炸；如发生交通事故也可能引起火灾、爆炸事故；工程周围植被较多，在非雨季的季节很容易发生火灾，从而影响周围大气环境。</w:t>
      </w:r>
    </w:p>
    <w:p w14:paraId="2D7AD18E">
      <w:pPr>
        <w:pStyle w:val="4"/>
        <w:bidi w:val="0"/>
        <w:rPr>
          <w:rFonts w:hint="default"/>
          <w:lang w:eastAsia="zh-CN"/>
        </w:rPr>
      </w:pPr>
      <w:r>
        <w:rPr>
          <w:rFonts w:hint="default"/>
          <w:lang w:eastAsia="zh-CN"/>
        </w:rPr>
        <w:t>溃坝环境风险分析</w:t>
      </w:r>
    </w:p>
    <w:p w14:paraId="27931EA1">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1）对自然生态系统的影响。溃坝洪水具有峰高量大、历时较短、破坏性极大的特点。其对自然生态系统的影响，最主要的是水土流失问题。溃坝洪水所经地段，土壤表层被冲蚀，带走大量氮、磷、钾等养分，使得土壤肥力指标降低。</w:t>
      </w:r>
    </w:p>
    <w:p w14:paraId="08EFEAD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eastAsia="zh-CN"/>
        </w:rPr>
        <w:t>（2）溃坝洪水对水质的影响。溃坝洪水发生后，溃坝洪水所经之处表层土壤受到极大冲蚀，使得大量泥沙随之冲刷进入水体，并携带大量地表松散残留堆积物、废渣等污染物，从而导致水体污染物总量增加，使水体浑浊度及悬浮物剧增。</w:t>
      </w:r>
    </w:p>
    <w:p w14:paraId="36877EFB">
      <w:pPr>
        <w:pStyle w:val="3"/>
        <w:bidi w:val="0"/>
        <w:rPr>
          <w:rFonts w:hint="default"/>
          <w:lang w:eastAsia="zh-CN"/>
        </w:rPr>
      </w:pPr>
      <w:bookmarkStart w:id="230" w:name="_Toc15828"/>
      <w:r>
        <w:rPr>
          <w:rFonts w:hint="default"/>
          <w:lang w:eastAsia="zh-CN"/>
        </w:rPr>
        <w:t>风险防范措施</w:t>
      </w:r>
      <w:bookmarkEnd w:id="230"/>
    </w:p>
    <w:p w14:paraId="3CB66E8C">
      <w:pPr>
        <w:pStyle w:val="4"/>
        <w:bidi w:val="0"/>
        <w:rPr>
          <w:rFonts w:hint="default"/>
          <w:lang w:val="en-US" w:eastAsia="zh-CN"/>
        </w:rPr>
      </w:pPr>
      <w:r>
        <w:rPr>
          <w:rFonts w:hint="eastAsia"/>
          <w:lang w:val="en-US" w:eastAsia="zh-CN"/>
        </w:rPr>
        <w:t>施工期防范措施</w:t>
      </w:r>
    </w:p>
    <w:p w14:paraId="16C45E9A">
      <w:pPr>
        <w:bidi w:val="0"/>
        <w:rPr>
          <w:rFonts w:hint="default"/>
        </w:rPr>
      </w:pPr>
      <w:r>
        <w:rPr>
          <w:rFonts w:hint="eastAsia"/>
          <w:lang w:val="en-US" w:eastAsia="zh-CN"/>
        </w:rPr>
        <w:t>1、</w:t>
      </w:r>
      <w:r>
        <w:rPr>
          <w:rFonts w:hint="default"/>
        </w:rPr>
        <w:t>油料防范措施</w:t>
      </w:r>
    </w:p>
    <w:p w14:paraId="0C9C9CF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建立以工程建设环境保护领导小组为核心的责任制，层层签订责任书，明确各级环保人员应承担的环境风险管理责任；</w:t>
      </w:r>
    </w:p>
    <w:p w14:paraId="7BDFD77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环境保护领导小组应加强各施工队伍的环境风险意识的宣传教育，并与运输油料的承包方签订事故责任合同，确保运输风险减免措施得到落实；</w:t>
      </w:r>
    </w:p>
    <w:p w14:paraId="7CEF4C2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对属于业主管理的储油临时堆放点等易发生环境事故的工程设施，应建立岗位责任制，并明确管理者责任；</w:t>
      </w:r>
    </w:p>
    <w:p w14:paraId="2934B52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运输油类等有毒有害物质，必须事先申请并经公安、环保等有关部门批准、登记并设置防渗、防漏、防溢设施，经有关部门批准后方可按照规定运输；</w:t>
      </w:r>
    </w:p>
    <w:p w14:paraId="297D428A">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运输过程中严格遵守《汽车危险货物运输规则</w:t>
      </w:r>
      <w:r>
        <w:rPr>
          <w:rFonts w:hint="default" w:ascii="Times New Roman" w:hAnsi="Times New Roman" w:cs="Times New Roman"/>
          <w:color w:val="auto"/>
          <w:highlight w:val="none"/>
          <w:u w:val="none" w:color="auto"/>
        </w:rPr>
        <w:t>》、《</w:t>
      </w:r>
      <w:r>
        <w:rPr>
          <w:rFonts w:hint="default" w:ascii="Times New Roman" w:hAnsi="Times New Roman" w:cs="Times New Roman"/>
          <w:color w:val="auto"/>
          <w:u w:val="none" w:color="auto"/>
        </w:rPr>
        <w:t>汽车危险货物运输、装卸作业规程》等危险货物运输的有关规定，运输油料的车辆必须采用密闭性能优越的储油罐，确保不造成环境危害；</w:t>
      </w:r>
    </w:p>
    <w:p w14:paraId="65D50A60">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油料临时堆放点严格按照安全防护距离要求，并会同地方管理部门进行具体的现场选点，装运和发送必须严格遵照《危险化学品安全管理条例》，严格火源控制，并配备相应的消防器材；</w:t>
      </w:r>
    </w:p>
    <w:p w14:paraId="1CE969F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加强油料临时堆放点的管理，由专业人员管理和维护，严禁无关人员进入，并采取切实有效的防火安全措施，制定应急预案，并且结合施工区地形条件使临时堆放点与停车场、修理车间之间保持一定的安全距离；在靠公路</w:t>
      </w:r>
      <w:r>
        <w:rPr>
          <w:rFonts w:hint="default" w:ascii="Times New Roman" w:hAnsi="Times New Roman" w:cs="Times New Roman"/>
          <w:color w:val="auto"/>
          <w:highlight w:val="none"/>
          <w:u w:val="none" w:color="auto"/>
        </w:rPr>
        <w:t>测</w:t>
      </w:r>
      <w:r>
        <w:rPr>
          <w:rFonts w:hint="default" w:ascii="Times New Roman" w:hAnsi="Times New Roman" w:cs="Times New Roman"/>
          <w:color w:val="auto"/>
          <w:u w:val="none" w:color="auto"/>
        </w:rPr>
        <w:t>修筑防护墙，以减少环境风险及其危害。</w:t>
      </w:r>
    </w:p>
    <w:p w14:paraId="206C4414">
      <w:pPr>
        <w:bidi w:val="0"/>
        <w:rPr>
          <w:rFonts w:hint="default"/>
        </w:rPr>
      </w:pPr>
      <w:r>
        <w:rPr>
          <w:rFonts w:hint="eastAsia"/>
          <w:lang w:val="en-US" w:eastAsia="zh-CN"/>
        </w:rPr>
        <w:t>2、</w:t>
      </w:r>
      <w:r>
        <w:rPr>
          <w:rFonts w:hint="default"/>
        </w:rPr>
        <w:t>废水事故排放防范措施</w:t>
      </w:r>
    </w:p>
    <w:p w14:paraId="3668FD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减小废水排放风险，工程环境管理部门应加强对废水处理的监控和管理，对操作人员实行培训上岗，发现事故排放造成的污染时应及时通知现场负责人和环境管理单位，并协助调查处理。针对各类废水处理系统的检修，提出完善的管理制度和施工安排；废水处理设施一旦出现故障，立即停止相关设备的运行，并将废水暂存，排除隐患后方可继续运行。</w:t>
      </w:r>
    </w:p>
    <w:p w14:paraId="069CB74D">
      <w:pPr>
        <w:bidi w:val="0"/>
        <w:rPr>
          <w:rFonts w:hint="default"/>
        </w:rPr>
      </w:pPr>
      <w:r>
        <w:rPr>
          <w:rFonts w:hint="eastAsia"/>
          <w:lang w:val="en-US" w:eastAsia="zh-CN"/>
        </w:rPr>
        <w:t>3、</w:t>
      </w:r>
      <w:r>
        <w:rPr>
          <w:rFonts w:hint="default"/>
        </w:rPr>
        <w:t>施工期帷幕灌浆溢漏风险</w:t>
      </w:r>
    </w:p>
    <w:p w14:paraId="04F272AB">
      <w:pPr>
        <w:bidi w:val="0"/>
        <w:rPr>
          <w:rFonts w:hint="default" w:ascii="Times New Roman" w:hAnsi="Times New Roman" w:cs="Times New Roman"/>
          <w:color w:val="auto"/>
          <w:lang w:eastAsia="zh-CN"/>
        </w:rPr>
      </w:pPr>
      <w:r>
        <w:rPr>
          <w:rFonts w:hint="default" w:ascii="Times New Roman" w:hAnsi="Times New Roman" w:cs="Times New Roman"/>
          <w:color w:val="auto"/>
        </w:rPr>
        <w:t>项目大坝加固选用帷幕灌浆施工工艺 ，帷幕灌浆平台设置于坝顶，采用循环式灌浆方式自下而上灌浆。若遇操作失误或极端天气，可能出现泥浆溢漏至水库内污染水质情况出现。项目在主副坝灌浆施工场地设置排放沟，出口处设置集水集浆池，收集废水、废浆，不会出现溢出现象。灌浆孔位于导墙槽内，发生渗漏也会在导墙槽内凝固，不会溢漏至外环境</w:t>
      </w:r>
      <w:r>
        <w:rPr>
          <w:rFonts w:hint="default" w:ascii="Times New Roman" w:hAnsi="Times New Roman" w:cs="Times New Roman"/>
          <w:color w:val="auto"/>
          <w:lang w:eastAsia="zh-CN"/>
        </w:rPr>
        <w:t>。</w:t>
      </w:r>
    </w:p>
    <w:p w14:paraId="6FBC3F71">
      <w:pPr>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制定施工期饮用水临时供水方案，确保施工期饮用水供水水量，同时在临时供水方案实施前对副坝临时取水口、主坝施工结束后均对主坝取水口附近水质进行检测，确保水质满足饮用水水质要求。同时施工前通知水厂，以便水厂及时应对水质变化情况。</w:t>
      </w:r>
    </w:p>
    <w:p w14:paraId="73AE12B1">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溃坝风险防范措施</w:t>
      </w:r>
    </w:p>
    <w:p w14:paraId="3DB015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了确保该项目大坝安全，除害兴利，充分发挥效益，努力避免垮坝灾害风险，该项目建设从勘测、设计、施工、运行全过程中应采取各种有效的防范和应急措施，做到防患未然，防微杜渐。针对可能引起溃坝的主要原因，提出如下防范和应急措施。</w:t>
      </w:r>
    </w:p>
    <w:p w14:paraId="2505B35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（1）加强工程地质勘测工作，进行详细的工程地质和地下水文调查。</w:t>
      </w:r>
    </w:p>
    <w:p w14:paraId="6B69853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（2）要重视地质勘测、水文气象及规划设计工作。合理选定作用及抗力的各种参数，对可能构成风险隐患的地方，在设计中应给予特别重视，进行专门分析和论证。</w:t>
      </w:r>
    </w:p>
    <w:p w14:paraId="666765D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加强工程施工质量管理。为确保防洪工程的安全运行，项目建设施工期必须树立“百年大计，质量第一”的观念，加强工程施工监理，组织工程质量监督、检查、评估和验收，做到施工工艺规范、施工用材合理和施工作业严格，并做好遗留尾工处理，保证工程质量，杜绝“豆腐渣”工程。</w:t>
      </w:r>
    </w:p>
    <w:p w14:paraId="4057746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（4）加强闸坝安全监测。要按照规定经常对闸坝进行安全监测，定期进行安全检查和鉴定。</w:t>
      </w:r>
    </w:p>
    <w:p w14:paraId="68F9FBF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（5）及时维修、加固和改造。</w:t>
      </w:r>
    </w:p>
    <w:p w14:paraId="2B276C1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加强水库的环境风险管理，在管理范围边界设置围栏。库区内应重视治理生活污水的点污染源和农田施用农药、化肥的面污染源。定期开展水质监测，制定应急预案，明确救援队伍、应急物资和专家技术支持等，从而使突发事故带来的危害降到最低。</w:t>
      </w:r>
    </w:p>
    <w:p w14:paraId="4641110D">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环境风险应急预案</w:t>
      </w:r>
    </w:p>
    <w:p w14:paraId="671459D4">
      <w:pPr>
        <w:pStyle w:val="5"/>
        <w:bidi w:val="0"/>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应急预案构成</w:t>
      </w:r>
    </w:p>
    <w:p w14:paraId="782AA45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1、应急组织机构 </w:t>
      </w:r>
    </w:p>
    <w:p w14:paraId="78A3E86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为应对环境风险事故的发生，建议成立环境风险应急处置指挥部，实施对突发事件应急处置工作的统一指挥。应急处置指挥部由各相关成员单位组成。 </w:t>
      </w:r>
    </w:p>
    <w:p w14:paraId="7367D5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2、应急通讯系统 </w:t>
      </w:r>
    </w:p>
    <w:p w14:paraId="4F63124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本工程环境风险应急通讯系统包括事故报警、应急指挥、应急信息发布三部分。其要求是：①报警系统平时应设立专用电话，做到24小时畅通；②指挥系统应由对外界相对保密的办公室电话、手机和对讲机组成，以避免应急期间受外界干扰。</w:t>
      </w:r>
    </w:p>
    <w:p w14:paraId="0CB8824F">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3、应急响应和行动</w:t>
      </w:r>
    </w:p>
    <w:p w14:paraId="5A8A29D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事故发生后，应立即启动应急措施，控制事故风险，减缓事故危害。同时，第一时间发布信息，引导社会舆论，为突发事件处理营造稳定的外部环境。</w:t>
      </w:r>
    </w:p>
    <w:p w14:paraId="554D38CD">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4、应急队伍和物资装备保障</w:t>
      </w:r>
    </w:p>
    <w:p w14:paraId="1E46BCA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由应急组织机构中的有关单位人员组成应急抢险队伍，建立应急抢险队伍资料库，一旦发生突发事件，由应急指挥部统一指挥，征调相关人员组成应急队伍实施应急抢险。应强化物资储备管理，加强维修保养，及时补充和更新，以满足应对突发事件时，抢险物资和装备的及时使用。</w:t>
      </w:r>
    </w:p>
    <w:p w14:paraId="0E18C2A3">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5、应急技术储备</w:t>
      </w:r>
    </w:p>
    <w:p w14:paraId="2E9E391B">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水库一旦发生了突发性事件，要真正做到快速有效的应急响应，除了要有一直常备不懈、素质优良的应急队伍外，还必须建立相应的应急技术储备，才能在应急响应时迅速选择简捷有效的应急处置技术和制定处置方案。</w:t>
      </w:r>
    </w:p>
    <w:p w14:paraId="042A5638">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6、应急培训和演习</w:t>
      </w:r>
    </w:p>
    <w:p w14:paraId="7FECE2AE">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对有关应急人员进行培训和演习，可检验和促进应急反应的速度和质量的提高。应急培训内容为：①事故安全防范常识；②应急计划的基本内容、应急响应程序；③各专业组相应的专业知识；④案例分析和经验交流等方面。</w:t>
      </w:r>
    </w:p>
    <w:p w14:paraId="2121FF53">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7、应急状态终止和善后处理</w:t>
      </w:r>
    </w:p>
    <w:p w14:paraId="44827BD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事故地点污染清理控制的结束，往往并不意味着风险事故的结束，还需要对水质进行事故后风险后果评价，识别出潜在的环境风险。</w:t>
      </w:r>
    </w:p>
    <w:p w14:paraId="43E070A4">
      <w:pPr>
        <w:pStyle w:val="5"/>
        <w:bidi w:val="0"/>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预警体系</w:t>
      </w:r>
    </w:p>
    <w:p w14:paraId="09675815">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1、工程安全监测预警体系</w:t>
      </w:r>
    </w:p>
    <w:p w14:paraId="6F571187">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工程安全监测可通过埋设布置相应的监测仪器对大坝的变形量、渗流量进行实时监测。根据监测数据成果，可以避免因安全隐患未及时发现，导致重大的安全事故而造成人财损失；有利于建设部门动态监控施工过程安全和质量；工程建设中安装安全监测系统后，能够及时地发现影响工程安全的隐患，及时制定处理方案，将事故消除在萌芽状态。</w:t>
      </w:r>
    </w:p>
    <w:p w14:paraId="5242485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2、水质监测预警系统</w:t>
      </w:r>
    </w:p>
    <w:p w14:paraId="6B9FC961">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①应充分利用国家、省、市各级环境监测网络资源，建立水源监测预警系统，并与供水单位建立联动预警机制。监测网络包括自动监测和监督性监测。自动监测包括风险源自动监控、流域地表水自动站监测、水源自动监测等。地表水监督性监测包括江河湖库等地表水国控、省控、市控断面例行监测、风险源废水排放例行监测。</w:t>
      </w:r>
    </w:p>
    <w:p w14:paraId="63BFC1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②预警信息研判与公告 </w:t>
      </w:r>
    </w:p>
    <w:p w14:paraId="52021C2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应结合水源特点研究制定预警标准，实施分级预警。建立预警研判模板，对来自各方面的预警信息汇总研判。建立预警工作联动机制，发现异常情况第一时间进行监察和监测核实。当水源水质受到或可能受到突发事件影响时，应建议当地政府立即启动预警系统，发布预警公告，设立警示牌，通报受污染水体沿岸污染信息和防范措施。 </w:t>
      </w:r>
    </w:p>
    <w:p w14:paraId="14ADD87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3、应急响应 </w:t>
      </w:r>
    </w:p>
    <w:p w14:paraId="6B490F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①应急处置 </w:t>
      </w:r>
    </w:p>
    <w:p w14:paraId="0C7F46B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事故发生后，应在总指挥的统一指挥下，各相关部门相互配合，完成应急工作。同时，第一时间发布信息，引导社会舆论，为</w:t>
      </w:r>
      <w:bookmarkStart w:id="294" w:name="_GoBack"/>
      <w:bookmarkEnd w:id="294"/>
      <w:r>
        <w:rPr>
          <w:rFonts w:hint="default" w:ascii="Times New Roman" w:hAnsi="Times New Roman" w:cs="Times New Roman"/>
          <w:color w:val="auto"/>
          <w:u w:val="none" w:color="auto"/>
        </w:rPr>
        <w:t xml:space="preserve">突发事件处理营造稳定的外部环境。 </w:t>
      </w:r>
    </w:p>
    <w:p w14:paraId="1F43A4E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②事后管理 </w:t>
      </w:r>
    </w:p>
    <w:p w14:paraId="266F455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突发事件发生并处理完毕后，应整理、归档该事件的相关资料。应急物资使用后，应按照</w:t>
      </w:r>
      <w:r>
        <w:rPr>
          <w:rFonts w:hint="eastAsia" w:cs="Times New Roman"/>
          <w:color w:val="auto"/>
          <w:u w:val="none" w:color="auto"/>
          <w:lang w:eastAsia="zh-CN"/>
        </w:rPr>
        <w:t>应急物资</w:t>
      </w:r>
      <w:r>
        <w:rPr>
          <w:rFonts w:hint="default" w:ascii="Times New Roman" w:hAnsi="Times New Roman" w:cs="Times New Roman"/>
          <w:color w:val="auto"/>
          <w:u w:val="none" w:color="auto"/>
        </w:rPr>
        <w:t>类别妥善处理。对重大或具有代表性的事件，要梳理事件发生和处置过程，利用影像资料和信息平台记录，结合相关模型模拟、再现事件发生演变过程，为事件的全面掌握提供资料。要吸取突发事件处理经验教训，形成书面总结报告。</w:t>
      </w:r>
    </w:p>
    <w:p w14:paraId="084F404D">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环境风险评价结论</w:t>
      </w:r>
    </w:p>
    <w:p w14:paraId="0B10E10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境风险潜势为Ⅰ。本工程根据工程施工及运行特点、周围环境特点以及工程与周围环境之间的关系，主要的环境风险为溢油污染风险、废水事故性排放和火灾、爆炸事故以及溃坝风险。经过风险分析和评价得出结论：项目事故风险水平较低，在进一步采取安全防范措施和事故应急措施后，基本满足国家有关环境保护和安全法规、标准的要求。</w:t>
      </w:r>
    </w:p>
    <w:p w14:paraId="12AF445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单位需按照要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1656283E">
      <w:pPr>
        <w:ind w:firstLine="480"/>
        <w:rPr>
          <w:rFonts w:hint="default" w:ascii="Times New Roman" w:hAnsi="Times New Roman" w:cs="Times New Roman"/>
          <w:color w:val="auto"/>
          <w:u w:val="none" w:color="auto"/>
        </w:rPr>
        <w:sectPr>
          <w:pgSz w:w="11911" w:h="16838"/>
          <w:pgMar w:top="1440" w:right="1800" w:bottom="1440" w:left="1800" w:header="1020" w:footer="1083" w:gutter="0"/>
          <w:pgBorders>
            <w:top w:val="none" w:sz="0" w:space="0"/>
            <w:left w:val="none" w:sz="0" w:space="0"/>
            <w:bottom w:val="none" w:sz="0" w:space="0"/>
            <w:right w:val="none" w:sz="0" w:space="0"/>
          </w:pgBorders>
          <w:pgNumType w:fmt="decimal"/>
          <w:cols w:space="720" w:num="1"/>
          <w:docGrid w:linePitch="312" w:charSpace="0"/>
        </w:sectPr>
      </w:pPr>
    </w:p>
    <w:p w14:paraId="477175D0">
      <w:pPr>
        <w:pStyle w:val="2"/>
        <w:rPr>
          <w:rFonts w:hint="default" w:ascii="Times New Roman" w:hAnsi="Times New Roman" w:cs="Times New Roman"/>
          <w:color w:val="auto"/>
          <w:u w:val="none" w:color="auto"/>
        </w:rPr>
      </w:pPr>
      <w:bookmarkStart w:id="231" w:name="_Toc32639"/>
      <w:bookmarkStart w:id="232" w:name="_Toc16657"/>
      <w:bookmarkStart w:id="233" w:name="_Toc494049375"/>
      <w:bookmarkStart w:id="234" w:name="_Toc17926"/>
      <w:bookmarkStart w:id="235" w:name="_Toc19730"/>
      <w:bookmarkStart w:id="236" w:name="_Toc7764"/>
      <w:r>
        <w:rPr>
          <w:rFonts w:hint="default" w:ascii="Times New Roman" w:hAnsi="Times New Roman" w:cs="Times New Roman"/>
          <w:color w:val="auto"/>
          <w:u w:val="none" w:color="auto"/>
        </w:rPr>
        <w:t>污染防治措施及其可行性论证</w:t>
      </w:r>
      <w:bookmarkEnd w:id="231"/>
      <w:bookmarkEnd w:id="232"/>
      <w:bookmarkEnd w:id="233"/>
      <w:bookmarkEnd w:id="234"/>
      <w:bookmarkEnd w:id="235"/>
      <w:bookmarkEnd w:id="236"/>
    </w:p>
    <w:p w14:paraId="3506327E">
      <w:pPr>
        <w:pStyle w:val="3"/>
        <w:bidi w:val="0"/>
        <w:rPr>
          <w:rFonts w:hint="default" w:ascii="Times New Roman" w:hAnsi="Times New Roman" w:cs="Times New Roman"/>
          <w:color w:val="auto"/>
          <w:u w:val="none" w:color="auto"/>
        </w:rPr>
      </w:pPr>
      <w:bookmarkStart w:id="237" w:name="_Toc15110"/>
      <w:r>
        <w:rPr>
          <w:rFonts w:hint="default" w:ascii="Times New Roman" w:hAnsi="Times New Roman" w:cs="Times New Roman"/>
          <w:color w:val="auto"/>
          <w:u w:val="none" w:color="auto"/>
        </w:rPr>
        <w:t>施工期</w:t>
      </w:r>
      <w:bookmarkEnd w:id="237"/>
    </w:p>
    <w:p w14:paraId="2EA30701">
      <w:pPr>
        <w:pStyle w:val="4"/>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8"/>
          <w:szCs w:val="28"/>
          <w:u w:val="none" w:color="auto"/>
          <w:lang w:val="en-US" w:eastAsia="zh-CN" w:bidi="ar"/>
        </w:rPr>
        <w:t>大气环境保护措施</w:t>
      </w:r>
      <w:r>
        <w:rPr>
          <w:rFonts w:hint="default" w:ascii="Times New Roman" w:hAnsi="Times New Roman" w:cs="Times New Roman"/>
          <w:color w:val="auto"/>
          <w:u w:val="none" w:color="auto"/>
          <w:lang w:val="en-US" w:eastAsia="zh-CN"/>
        </w:rPr>
        <w:t>及其可行性论证</w:t>
      </w:r>
    </w:p>
    <w:p w14:paraId="065A6EA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工程施工期废气主要为土石方工程粉尘、车辆行驶扬尘、机械燃油废气、爆破废气。</w:t>
      </w:r>
    </w:p>
    <w:p w14:paraId="402DBCA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土石方工程粉尘</w:t>
      </w:r>
    </w:p>
    <w:p w14:paraId="5DCE1921">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在施工阶段拟采取的大气污染防治措施如下</w:t>
      </w:r>
      <w:r>
        <w:rPr>
          <w:rFonts w:hint="eastAsia" w:cs="Times New Roman"/>
          <w:color w:val="auto"/>
          <w:u w:val="none" w:color="auto"/>
          <w:lang w:eastAsia="zh-CN"/>
        </w:rPr>
        <w:t>：</w:t>
      </w:r>
    </w:p>
    <w:p w14:paraId="073193F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施工防尘</w:t>
      </w:r>
    </w:p>
    <w:p w14:paraId="3B903621">
      <w:pPr>
        <w:pStyle w:val="181"/>
        <w:ind w:firstLine="480"/>
        <w:rPr>
          <w:rFonts w:hint="default" w:ascii="Times New Roman" w:hAnsi="Times New Roman" w:cs="Times New Roman"/>
          <w:color w:val="auto"/>
        </w:rPr>
      </w:pPr>
      <w:r>
        <w:rPr>
          <w:rFonts w:hint="default" w:ascii="Times New Roman" w:hAnsi="Times New Roman" w:cs="Times New Roman"/>
          <w:color w:val="auto"/>
        </w:rPr>
        <w:t xml:space="preserve">遇到干燥、易起尘的土方工程作业时，应辅以洒水抑尘，昼量缩短起尘操作时间。四级以上大风天气应停止土方作业，同时作业处覆盖防尘网。施工期间土方堆放不得高于2.5m。加强弃土场的管理，要制定弃土表面压实、定期喷水、覆盖等措施；不需要的余泥、建筑材料、弃土应及时清运，避免长时间堆积。土方运输车辆采用密闭式。 </w:t>
      </w:r>
    </w:p>
    <w:p w14:paraId="73B5BBA2">
      <w:pPr>
        <w:bidi w:val="0"/>
        <w:rPr>
          <w:rFonts w:hint="default" w:ascii="Times New Roman" w:hAnsi="Times New Roman" w:cs="Times New Roman"/>
          <w:color w:val="auto"/>
          <w:u w:val="none" w:color="auto"/>
        </w:rPr>
      </w:pPr>
      <w:r>
        <w:rPr>
          <w:rFonts w:hint="default" w:ascii="Times New Roman" w:hAnsi="Times New Roman" w:cs="Times New Roman"/>
          <w:color w:val="auto"/>
        </w:rPr>
        <w:t>露天装卸作业时，视情况可采取洒水或喷淋稳定剂等抑尘措施。对易产生扬尘的物料堆、弃土、建材等，应采用防尘网和防尘布覆盖，必要时进行喷淋、固化处理。临时性废弃物堆、物料堆、散货堆场，应设置高于废弃物堆的围挡、防风网、挡风屏等。施工作业人员必须配戴防尘口罩</w:t>
      </w:r>
      <w:r>
        <w:rPr>
          <w:rFonts w:hint="eastAsia" w:ascii="Times New Roman" w:hAnsi="Times New Roman" w:cs="Times New Roman"/>
          <w:color w:val="auto"/>
          <w:lang w:eastAsia="zh-CN"/>
        </w:rPr>
        <w:t>(</w:t>
      </w:r>
      <w:r>
        <w:rPr>
          <w:rFonts w:hint="default" w:ascii="Times New Roman" w:hAnsi="Times New Roman" w:cs="Times New Roman"/>
          <w:color w:val="auto"/>
        </w:rPr>
        <w:t>工作服、头盔、呼吸器、眼镜</w:t>
      </w:r>
      <w:r>
        <w:rPr>
          <w:rFonts w:hint="eastAsia" w:ascii="Times New Roman" w:hAnsi="Times New Roman" w:cs="Times New Roman"/>
          <w:color w:val="auto"/>
          <w:lang w:eastAsia="zh-CN"/>
        </w:rPr>
        <w:t>)</w:t>
      </w:r>
      <w:r>
        <w:rPr>
          <w:rFonts w:hint="default" w:ascii="Times New Roman" w:hAnsi="Times New Roman" w:cs="Times New Roman"/>
          <w:color w:val="auto"/>
        </w:rPr>
        <w:t>等个人防护用品</w:t>
      </w:r>
      <w:r>
        <w:rPr>
          <w:rFonts w:hint="default" w:ascii="Times New Roman" w:hAnsi="Times New Roman" w:cs="Times New Roman"/>
          <w:color w:val="auto"/>
          <w:u w:val="none" w:color="auto"/>
        </w:rPr>
        <w:t>。</w:t>
      </w:r>
    </w:p>
    <w:p w14:paraId="762CD5E1">
      <w:pPr>
        <w:pStyle w:val="5"/>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4"/>
          <w:szCs w:val="24"/>
          <w:u w:val="none" w:color="auto"/>
          <w:lang w:val="en-US" w:eastAsia="zh-CN" w:bidi="ar"/>
        </w:rPr>
        <w:t>车辆行驶扬尘</w:t>
      </w:r>
    </w:p>
    <w:p w14:paraId="511CBB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交通车辆扬尘主要来自路面尘土，只要有效</w:t>
      </w:r>
      <w:r>
        <w:rPr>
          <w:rFonts w:hint="default" w:ascii="Times New Roman" w:hAnsi="Times New Roman" w:cs="Times New Roman"/>
          <w:color w:val="auto"/>
          <w:highlight w:val="none"/>
          <w:u w:val="none" w:color="auto"/>
          <w:lang w:val="en-US" w:eastAsia="zh-CN"/>
        </w:rPr>
        <w:t>的</w:t>
      </w:r>
      <w:r>
        <w:rPr>
          <w:rFonts w:hint="default" w:ascii="Times New Roman" w:hAnsi="Times New Roman" w:cs="Times New Roman"/>
          <w:color w:val="auto"/>
          <w:u w:val="none" w:color="auto"/>
          <w:lang w:val="en-US" w:eastAsia="zh-CN"/>
        </w:rPr>
        <w:t>控制来源，就可以减少扬尘。</w:t>
      </w:r>
    </w:p>
    <w:p w14:paraId="44DFEB8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应加强道路管理和维护，保持路面平坦清洁，无雨日要勤洒水；配备公路养护、维修、清扫队伍，使道路常年处于良好的运用状态，削减车辆运输产生的扬尘。</w:t>
      </w:r>
    </w:p>
    <w:p w14:paraId="3542A8F1">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在物资运输过程中注意防止环境空气污染。采用敞篷车运输的应用篷布遮盖；装卸、堆放中应防止物料流散。</w:t>
      </w:r>
    </w:p>
    <w:p w14:paraId="389D8FB6">
      <w:pPr>
        <w:pStyle w:val="5"/>
        <w:bidi w:val="0"/>
        <w:rPr>
          <w:rFonts w:hint="default" w:ascii="Times New Roman" w:hAnsi="Times New Roman" w:eastAsia="宋体" w:cs="Times New Roman"/>
          <w:b/>
          <w:bCs/>
          <w:color w:val="auto"/>
          <w:kern w:val="0"/>
          <w:sz w:val="24"/>
          <w:szCs w:val="24"/>
          <w:u w:val="none" w:color="auto"/>
          <w:lang w:val="en-US" w:eastAsia="zh-CN" w:bidi="ar"/>
        </w:rPr>
      </w:pPr>
      <w:r>
        <w:rPr>
          <w:rFonts w:hint="default" w:ascii="Times New Roman" w:hAnsi="Times New Roman" w:eastAsia="宋体" w:cs="Times New Roman"/>
          <w:b/>
          <w:bCs/>
          <w:color w:val="auto"/>
          <w:kern w:val="0"/>
          <w:sz w:val="24"/>
          <w:szCs w:val="24"/>
          <w:u w:val="none" w:color="auto"/>
          <w:lang w:val="en-US" w:eastAsia="zh-CN" w:bidi="ar"/>
        </w:rPr>
        <w:t>物料堆积时的防尘</w:t>
      </w:r>
    </w:p>
    <w:p w14:paraId="2627BA6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土料堆积过程中，堆积边坡的角度不宜过大。晴朗多风天气对露天堆放的临时堆放的土料适当加湿，防止被风吹散。根据工程施工区布置特点，采用手推洒水车，在施工机械运行的交通要道巡回洒水，避免工程材料运输扬尘对道路两侧居民影响，施工区共布置2辆手推洒水车</w:t>
      </w:r>
      <w:r>
        <w:rPr>
          <w:rFonts w:hint="default" w:ascii="Times New Roman" w:hAnsi="Times New Roman" w:cs="Times New Roman"/>
          <w:color w:val="auto"/>
          <w:u w:val="none" w:color="auto"/>
          <w:lang w:eastAsia="zh-CN"/>
        </w:rPr>
        <w:t>。</w:t>
      </w:r>
    </w:p>
    <w:p w14:paraId="76BA419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使施工过程中产生的粉尘对周围环境空气的影响降低到最低程度。施工期应严格落实永州市“8个100%”和“十个严禁”扬尘污染防控措施，即“100%围挡、工地物料堆放100%覆盖、施工现场路面100%硬化、驶出工地车辆100%冲洗、拆迁工地100%湿法作业、渣土实施100%封闭运输、建筑垃圾100%规范管理、工程机械尾气排放100%达标”；“严禁渣土车、混凝土搅拌车、运砂车等各类车辆带泥上路，严禁违法倾倒渣土，严禁工地裸露黄土，严禁重污染天气下土石方施工，严禁燃烧散煤，严禁燃放烟花爆竹，严禁露天焚烧垃圾，严禁露天烧烤，严禁露天焚烧秸秆，严禁拖拉机等高排放车辆进城”。并立牌公示，明确监管部门、人员和联系方式。</w:t>
      </w:r>
    </w:p>
    <w:p w14:paraId="1303AC40">
      <w:pPr>
        <w:pStyle w:val="5"/>
        <w:bidi w:val="0"/>
        <w:rPr>
          <w:rFonts w:hint="default" w:ascii="Times New Roman" w:hAnsi="Times New Roman" w:cs="Times New Roman"/>
          <w:color w:val="auto"/>
          <w:u w:val="none" w:color="auto"/>
        </w:rPr>
      </w:pPr>
      <w:r>
        <w:rPr>
          <w:rFonts w:hint="default" w:ascii="Times New Roman" w:hAnsi="Times New Roman" w:eastAsia="宋体" w:cs="Times New Roman"/>
          <w:b/>
          <w:bCs/>
          <w:color w:val="auto"/>
          <w:kern w:val="0"/>
          <w:sz w:val="24"/>
          <w:szCs w:val="24"/>
          <w:u w:val="none" w:color="auto"/>
          <w:lang w:val="en-US" w:eastAsia="zh-CN" w:bidi="ar"/>
        </w:rPr>
        <w:t>机械燃油废气</w:t>
      </w:r>
    </w:p>
    <w:p w14:paraId="29B001CC">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选用符合国家有关标准的施工机械和运输车辆，对排烟量大的车辆安装尾气净化器，使用符合标准的油料或清洁能源，使其排放的废气能够达到国家标准。</w:t>
      </w:r>
    </w:p>
    <w:p w14:paraId="2249122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机械及运输车辆定期检修与保养，及时清洗、维修，确保施工机械及运输车辆始终处于良好的工作状态，减少有害气体排放量，确保施工机械废气排放符合环保要求。加强大型施工机械和车辆的管理，执行定期检查维护制度</w:t>
      </w:r>
      <w:r>
        <w:rPr>
          <w:rFonts w:hint="default" w:ascii="Times New Roman" w:hAnsi="Times New Roman" w:eastAsia="宋体" w:cs="Times New Roman"/>
          <w:color w:val="auto"/>
          <w:kern w:val="0"/>
          <w:sz w:val="24"/>
          <w:szCs w:val="24"/>
          <w:u w:val="none" w:color="auto"/>
          <w:lang w:val="en-US" w:eastAsia="zh-CN" w:bidi="ar"/>
        </w:rPr>
        <w:t>。</w:t>
      </w:r>
    </w:p>
    <w:p w14:paraId="16468F24">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水污染防治措施</w:t>
      </w:r>
      <w:r>
        <w:rPr>
          <w:rFonts w:hint="default" w:ascii="Times New Roman" w:hAnsi="Times New Roman" w:cs="Times New Roman"/>
          <w:color w:val="auto"/>
          <w:u w:val="none" w:color="auto"/>
          <w:lang w:val="en-US" w:eastAsia="zh-CN"/>
        </w:rPr>
        <w:t>及其可行性论证</w:t>
      </w:r>
    </w:p>
    <w:p w14:paraId="7FFD4F63">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生产废水</w:t>
      </w:r>
    </w:p>
    <w:p w14:paraId="1F4606D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施工期废水主要有基坑废水、砼搅拌系统废水、机械车辆维修冲洗含油废水、灌浆施工废水</w:t>
      </w:r>
      <w:r>
        <w:rPr>
          <w:rFonts w:hint="eastAsia" w:cs="Times New Roman"/>
          <w:color w:val="auto"/>
          <w:u w:val="none" w:color="auto"/>
          <w:lang w:val="en-US" w:eastAsia="zh-CN"/>
        </w:rPr>
        <w:t>等</w:t>
      </w:r>
      <w:r>
        <w:rPr>
          <w:rFonts w:hint="default" w:ascii="Times New Roman" w:hAnsi="Times New Roman" w:cs="Times New Roman"/>
          <w:color w:val="auto"/>
          <w:u w:val="none" w:color="auto"/>
          <w:lang w:val="en-US" w:eastAsia="zh-CN"/>
        </w:rPr>
        <w:t>。</w:t>
      </w:r>
    </w:p>
    <w:p w14:paraId="7941A6F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基坑排水</w:t>
      </w:r>
    </w:p>
    <w:p w14:paraId="2BE3B8D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处理目标</w:t>
      </w:r>
    </w:p>
    <w:p w14:paraId="62031FF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基坑废水处理后</w:t>
      </w:r>
      <w:r>
        <w:rPr>
          <w:rFonts w:hint="default" w:ascii="Times New Roman" w:hAnsi="Times New Roman" w:cs="Times New Roman"/>
          <w:color w:val="auto"/>
          <w:u w:val="none" w:color="auto"/>
        </w:rPr>
        <w:t>综合利用及回用于洒水降尘</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执行《污水综合排放标准》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GB8978-1996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的一级标准，SS排放浓度控制在70mg/L以下，</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控制在6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p>
    <w:p w14:paraId="22D7E0D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废水来源及成分</w:t>
      </w:r>
    </w:p>
    <w:p w14:paraId="1EBAED5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基坑废水主要由围堰、降水、渗水汇集而成，主要污染物为悬浮物，基坑废水中，</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值达11</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悬浮物浓度高达1500mg/L。</w:t>
      </w:r>
    </w:p>
    <w:p w14:paraId="712977F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③</w:t>
      </w:r>
      <w:r>
        <w:rPr>
          <w:rFonts w:hint="default" w:ascii="Times New Roman" w:hAnsi="Times New Roman" w:cs="Times New Roman"/>
          <w:color w:val="auto"/>
          <w:u w:val="none" w:color="auto"/>
        </w:rPr>
        <w:t>处理工艺及设施布置</w:t>
      </w:r>
    </w:p>
    <w:p w14:paraId="041DFD4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在基坑中设若干串行集水坑，向集水坑中投加聚丙烯酰胺絮凝剂，让基坑废水静置沉淀后</w:t>
      </w:r>
      <w:r>
        <w:rPr>
          <w:rFonts w:hint="default" w:ascii="Times New Roman" w:hAnsi="Times New Roman" w:cs="Times New Roman"/>
          <w:color w:val="auto"/>
        </w:rPr>
        <w:t>上层清液</w:t>
      </w:r>
      <w:r>
        <w:rPr>
          <w:rFonts w:hint="default" w:ascii="Times New Roman" w:hAnsi="Times New Roman" w:cs="Times New Roman"/>
          <w:color w:val="auto"/>
          <w:u w:val="none" w:color="auto"/>
        </w:rPr>
        <w:t>用于施工场地的洒水降尘等，剩余污泥定期人工清除</w:t>
      </w:r>
      <w:r>
        <w:rPr>
          <w:rFonts w:hint="default" w:ascii="Times New Roman" w:hAnsi="Times New Roman" w:cs="Times New Roman"/>
          <w:color w:val="auto"/>
        </w:rPr>
        <w:t>，运至弃渣场</w:t>
      </w:r>
      <w:r>
        <w:rPr>
          <w:rFonts w:hint="default" w:ascii="Times New Roman" w:hAnsi="Times New Roman" w:cs="Times New Roman"/>
          <w:color w:val="auto"/>
          <w:u w:val="none" w:color="auto"/>
        </w:rPr>
        <w:t>。</w:t>
      </w:r>
    </w:p>
    <w:p w14:paraId="600FBC19">
      <w:pPr>
        <w:bidi w:val="0"/>
        <w:ind w:left="0" w:leftChars="0" w:firstLine="0" w:firstLineChars="0"/>
        <w:rPr>
          <w:rFonts w:hint="default" w:ascii="Times New Roman" w:hAnsi="Times New Roman" w:cs="Times New Roman"/>
          <w:color w:val="auto"/>
          <w:u w:val="none" w:color="auto"/>
        </w:rPr>
      </w:pPr>
      <w:r>
        <w:rPr>
          <w:rFonts w:hint="default" w:ascii="Times New Roman" w:hAnsi="Times New Roman" w:cs="Times New Roman"/>
          <w:color w:val="auto"/>
        </w:rPr>
        <w:object>
          <v:shape id="_x0000_i1025" o:spt="75" type="#_x0000_t75" style="height:135.45pt;width:405.1pt;" o:ole="t" filled="f" o:preferrelative="t" stroked="f" coordsize="21600,21600">
            <v:path/>
            <v:fill on="f" alignshape="1" focussize="0,0"/>
            <v:stroke on="f"/>
            <v:imagedata r:id="rId82" o:title=""/>
            <o:lock v:ext="edit" aspectratio="t"/>
            <w10:wrap type="none"/>
            <w10:anchorlock/>
          </v:shape>
          <o:OLEObject Type="Embed" ProgID="Visio.Drawing.15" ShapeID="_x0000_i1025" DrawAspect="Content" ObjectID="_1468075726" r:id="rId81">
            <o:LockedField>false</o:LockedField>
          </o:OLEObject>
        </w:object>
      </w:r>
    </w:p>
    <w:p w14:paraId="0A4FEE25">
      <w:pPr>
        <w:bidi w:val="0"/>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基坑废水处理工艺流程图</w:t>
      </w:r>
    </w:p>
    <w:p w14:paraId="290B4CF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基坑废水静置沉淀后用于施工场地的洒水降尘等综合利用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措施可行。</w:t>
      </w:r>
    </w:p>
    <w:p w14:paraId="5FF25048">
      <w:pPr>
        <w:pStyle w:val="181"/>
        <w:ind w:firstLine="480"/>
        <w:rPr>
          <w:rFonts w:hint="default" w:ascii="Times New Roman" w:hAnsi="Times New Roman" w:cs="Times New Roman"/>
          <w:color w:val="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rPr>
        <w:t>灌浆施工废水</w:t>
      </w:r>
    </w:p>
    <w:p w14:paraId="42F572A1">
      <w:pPr>
        <w:pStyle w:val="181"/>
        <w:ind w:firstLine="480"/>
        <w:rPr>
          <w:rFonts w:hint="default" w:ascii="Times New Roman" w:hAnsi="Times New Roman" w:cs="Times New Roman"/>
          <w:color w:val="auto"/>
        </w:rPr>
      </w:pPr>
      <w:r>
        <w:rPr>
          <w:rFonts w:hint="default" w:ascii="Times New Roman" w:hAnsi="Times New Roman" w:cs="Times New Roman"/>
          <w:color w:val="auto"/>
        </w:rPr>
        <w:t>本次加固对大坝采用帷幕灌浆、高喷灌浆进行防渗加固处理。灌浆施工会产生一定量的碱性、浑浊度较高的施工废水。主要污染物</w:t>
      </w:r>
      <w:r>
        <w:rPr>
          <w:rFonts w:hint="default" w:ascii="Times New Roman" w:hAnsi="Times New Roman" w:cs="Times New Roman"/>
          <w:color w:val="auto"/>
          <w:lang w:eastAsia="zh-CN"/>
        </w:rPr>
        <w:t>pH</w:t>
      </w:r>
      <w:r>
        <w:rPr>
          <w:rFonts w:hint="default" w:ascii="Times New Roman" w:hAnsi="Times New Roman" w:cs="Times New Roman"/>
          <w:color w:val="auto"/>
        </w:rPr>
        <w:t>和SS，</w:t>
      </w:r>
      <w:r>
        <w:rPr>
          <w:rFonts w:hint="default" w:ascii="Times New Roman" w:hAnsi="Times New Roman" w:cs="Times New Roman"/>
          <w:color w:val="auto"/>
          <w:lang w:eastAsia="zh-CN"/>
        </w:rPr>
        <w:t>pH</w:t>
      </w:r>
      <w:r>
        <w:rPr>
          <w:rFonts w:hint="default" w:ascii="Times New Roman" w:hAnsi="Times New Roman" w:cs="Times New Roman"/>
          <w:color w:val="auto"/>
        </w:rPr>
        <w:t>值为11~12，SS浓度约5000mg/L。</w:t>
      </w:r>
    </w:p>
    <w:p w14:paraId="331EE621">
      <w:pPr>
        <w:pStyle w:val="181"/>
        <w:ind w:firstLine="480"/>
        <w:rPr>
          <w:rFonts w:hint="default" w:ascii="Times New Roman" w:hAnsi="Times New Roman" w:cs="Times New Roman"/>
          <w:color w:val="auto"/>
        </w:rPr>
      </w:pPr>
      <w:r>
        <w:rPr>
          <w:rFonts w:hint="default" w:ascii="Times New Roman" w:hAnsi="Times New Roman" w:cs="Times New Roman"/>
          <w:color w:val="auto"/>
        </w:rPr>
        <w:t>在主</w:t>
      </w:r>
      <w:r>
        <w:rPr>
          <w:rFonts w:hint="default" w:ascii="Times New Roman" w:hAnsi="Times New Roman" w:cs="Times New Roman"/>
          <w:color w:val="auto"/>
          <w:lang w:eastAsia="zh-CN"/>
        </w:rPr>
        <w:t>坝</w:t>
      </w:r>
      <w:r>
        <w:rPr>
          <w:rFonts w:hint="default" w:ascii="Times New Roman" w:hAnsi="Times New Roman" w:cs="Times New Roman"/>
          <w:color w:val="auto"/>
        </w:rPr>
        <w:t>灌浆施工场地设置排放沟，出口处设置集水集浆池，收集废水、废浆，经沉淀池沉淀处理后进入回用水池，上层清液回用于场区洒水降尘，不外排。污泥及时人工清除，运至弃渣场。</w:t>
      </w:r>
    </w:p>
    <w:p w14:paraId="342B1A16">
      <w:pPr>
        <w:pStyle w:val="181"/>
        <w:ind w:firstLine="480"/>
        <w:rPr>
          <w:rFonts w:hint="default" w:ascii="Times New Roman" w:hAnsi="Times New Roman" w:cs="Times New Roman"/>
          <w:color w:val="auto"/>
        </w:rPr>
      </w:pPr>
      <w:r>
        <w:rPr>
          <w:rFonts w:hint="default" w:ascii="Times New Roman" w:hAnsi="Times New Roman" w:cs="Times New Roman"/>
          <w:color w:val="auto"/>
        </w:rPr>
        <w:t>沉淀池设计停留时间4h，砖混结构，对池底及表面进行硬化，处理后的废水进入回用水池。灌浆施工废水沉淀池数量及规模见表</w:t>
      </w:r>
      <w:r>
        <w:rPr>
          <w:rFonts w:hint="eastAsia" w:cs="Times New Roman"/>
          <w:color w:val="auto"/>
          <w:lang w:val="en-US" w:eastAsia="zh-CN"/>
        </w:rPr>
        <w:t>8</w:t>
      </w:r>
      <w:r>
        <w:rPr>
          <w:rFonts w:hint="default" w:ascii="Times New Roman" w:hAnsi="Times New Roman" w:cs="Times New Roman"/>
          <w:color w:val="auto"/>
        </w:rPr>
        <w:t>.1-</w:t>
      </w:r>
      <w:r>
        <w:rPr>
          <w:rFonts w:hint="eastAsia" w:ascii="Times New Roman" w:hAnsi="Times New Roman" w:cs="Times New Roman"/>
          <w:color w:val="auto"/>
          <w:lang w:val="en-US" w:eastAsia="zh-CN"/>
        </w:rPr>
        <w:t>1</w:t>
      </w:r>
      <w:r>
        <w:rPr>
          <w:rFonts w:hint="default" w:ascii="Times New Roman" w:hAnsi="Times New Roman" w:cs="Times New Roman"/>
          <w:color w:val="auto"/>
        </w:rPr>
        <w:t>。</w:t>
      </w:r>
    </w:p>
    <w:p w14:paraId="0D7F51AA">
      <w:pPr>
        <w:pStyle w:val="179"/>
        <w:ind w:firstLine="422"/>
        <w:rPr>
          <w:rFonts w:hint="default" w:ascii="Times New Roman" w:hAnsi="Times New Roman" w:cs="Times New Roman"/>
          <w:color w:val="auto"/>
        </w:rPr>
      </w:pPr>
      <w:r>
        <w:rPr>
          <w:rFonts w:hint="default" w:ascii="Times New Roman" w:hAnsi="Times New Roman" w:cs="Times New Roman"/>
          <w:color w:val="auto"/>
        </w:rPr>
        <w:t>表</w:t>
      </w:r>
      <w:r>
        <w:rPr>
          <w:rFonts w:hint="eastAsia" w:hAnsi="Times New Roman" w:cs="Times New Roman"/>
          <w:color w:val="auto"/>
          <w:lang w:val="en-US" w:eastAsia="zh-CN"/>
        </w:rPr>
        <w:t>8</w:t>
      </w:r>
      <w:r>
        <w:rPr>
          <w:rFonts w:hint="default" w:ascii="Times New Roman" w:hAnsi="Times New Roman" w:cs="Times New Roman"/>
          <w:color w:val="auto"/>
        </w:rPr>
        <w:t>.1-</w:t>
      </w:r>
      <w:r>
        <w:rPr>
          <w:rFonts w:hint="eastAsia" w:ascii="Times New Roman" w:hAnsi="Times New Roman" w:cs="Times New Roman"/>
          <w:color w:val="auto"/>
          <w:lang w:val="en-US" w:eastAsia="zh-CN"/>
        </w:rPr>
        <w:t xml:space="preserve">1  </w:t>
      </w:r>
      <w:r>
        <w:rPr>
          <w:rFonts w:hint="default" w:ascii="Times New Roman" w:hAnsi="Times New Roman" w:cs="Times New Roman"/>
          <w:color w:val="auto"/>
        </w:rPr>
        <w:t>灌浆施工废水处理系统构筑物尺寸表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1"/>
        <w:gridCol w:w="2130"/>
        <w:gridCol w:w="2131"/>
      </w:tblGrid>
      <w:tr w14:paraId="08738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006A4EB9">
            <w:pPr>
              <w:pStyle w:val="180"/>
              <w:rPr>
                <w:rFonts w:hint="default" w:ascii="Times New Roman" w:hAnsi="Times New Roman" w:cs="Times New Roman"/>
                <w:color w:val="auto"/>
              </w:rPr>
            </w:pPr>
            <w:bookmarkStart w:id="238" w:name="_Hlk174973855"/>
            <w:r>
              <w:rPr>
                <w:rFonts w:hint="default" w:ascii="Times New Roman" w:hAnsi="Times New Roman" w:cs="Times New Roman"/>
                <w:color w:val="auto"/>
              </w:rPr>
              <w:t>构筑物名称</w:t>
            </w:r>
          </w:p>
        </w:tc>
        <w:tc>
          <w:tcPr>
            <w:tcW w:w="2132" w:type="dxa"/>
            <w:noWrap w:val="0"/>
            <w:vAlign w:val="center"/>
          </w:tcPr>
          <w:p w14:paraId="4D161E01">
            <w:pPr>
              <w:pStyle w:val="180"/>
              <w:rPr>
                <w:rFonts w:hint="eastAsia" w:ascii="Times New Roman" w:hAnsi="Times New Roman" w:eastAsia="宋体" w:cs="Times New Roman"/>
                <w:color w:val="auto"/>
                <w:lang w:eastAsia="zh-CN"/>
              </w:rPr>
            </w:pPr>
            <w:r>
              <w:rPr>
                <w:rFonts w:hint="default" w:ascii="Times New Roman" w:hAnsi="Times New Roman" w:cs="Times New Roman"/>
                <w:color w:val="auto"/>
              </w:rPr>
              <w:t>单池净尺寸</w:t>
            </w:r>
            <w:r>
              <w:rPr>
                <w:rFonts w:hint="eastAsia" w:ascii="Times New Roman" w:hAnsi="Times New Roman" w:cs="Times New Roman"/>
                <w:color w:val="auto"/>
                <w:lang w:eastAsia="zh-CN"/>
              </w:rPr>
              <w:t>(</w:t>
            </w:r>
            <w:r>
              <w:rPr>
                <w:rFonts w:hint="default" w:ascii="Times New Roman" w:hAnsi="Times New Roman" w:cs="Times New Roman"/>
                <w:color w:val="auto"/>
              </w:rPr>
              <w:t>mm</w:t>
            </w:r>
            <w:r>
              <w:rPr>
                <w:rFonts w:hint="eastAsia" w:ascii="Times New Roman" w:hAnsi="Times New Roman" w:cs="Times New Roman"/>
                <w:color w:val="auto"/>
                <w:lang w:eastAsia="zh-CN"/>
              </w:rPr>
              <w:t>)</w:t>
            </w:r>
          </w:p>
        </w:tc>
        <w:tc>
          <w:tcPr>
            <w:tcW w:w="2132" w:type="dxa"/>
            <w:noWrap w:val="0"/>
            <w:vAlign w:val="center"/>
          </w:tcPr>
          <w:p w14:paraId="5D72FACB">
            <w:pPr>
              <w:pStyle w:val="180"/>
              <w:rPr>
                <w:rFonts w:hint="eastAsia" w:ascii="Times New Roman" w:hAnsi="Times New Roman" w:eastAsia="宋体" w:cs="Times New Roman"/>
                <w:color w:val="auto"/>
                <w:lang w:eastAsia="zh-CN"/>
              </w:rPr>
            </w:pPr>
            <w:r>
              <w:rPr>
                <w:rFonts w:hint="default" w:ascii="Times New Roman" w:hAnsi="Times New Roman" w:cs="Times New Roman"/>
                <w:color w:val="auto"/>
              </w:rPr>
              <w:t>数量</w:t>
            </w:r>
            <w:r>
              <w:rPr>
                <w:rFonts w:hint="eastAsia" w:ascii="Times New Roman" w:hAnsi="Times New Roman" w:cs="Times New Roman"/>
                <w:color w:val="auto"/>
                <w:lang w:eastAsia="zh-CN"/>
              </w:rPr>
              <w:t>(</w:t>
            </w:r>
            <w:r>
              <w:rPr>
                <w:rFonts w:hint="default" w:ascii="Times New Roman" w:hAnsi="Times New Roman" w:cs="Times New Roman"/>
                <w:color w:val="auto"/>
              </w:rPr>
              <w:t>座</w:t>
            </w:r>
            <w:r>
              <w:rPr>
                <w:rFonts w:hint="eastAsia" w:ascii="Times New Roman" w:hAnsi="Times New Roman" w:cs="Times New Roman"/>
                <w:color w:val="auto"/>
                <w:lang w:eastAsia="zh-CN"/>
              </w:rPr>
              <w:t>)</w:t>
            </w:r>
          </w:p>
        </w:tc>
        <w:tc>
          <w:tcPr>
            <w:tcW w:w="2133" w:type="dxa"/>
            <w:noWrap w:val="0"/>
            <w:vAlign w:val="center"/>
          </w:tcPr>
          <w:p w14:paraId="33513CA6">
            <w:pPr>
              <w:pStyle w:val="180"/>
              <w:rPr>
                <w:rFonts w:hint="default" w:ascii="Times New Roman" w:hAnsi="Times New Roman" w:cs="Times New Roman"/>
                <w:color w:val="auto"/>
              </w:rPr>
            </w:pPr>
            <w:r>
              <w:rPr>
                <w:rFonts w:hint="default" w:ascii="Times New Roman" w:hAnsi="Times New Roman" w:cs="Times New Roman"/>
                <w:color w:val="auto"/>
              </w:rPr>
              <w:t>结构</w:t>
            </w:r>
          </w:p>
        </w:tc>
      </w:tr>
      <w:tr w14:paraId="7314B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356CF11F">
            <w:pPr>
              <w:pStyle w:val="180"/>
              <w:rPr>
                <w:rFonts w:hint="default" w:ascii="Times New Roman" w:hAnsi="Times New Roman" w:cs="Times New Roman"/>
                <w:color w:val="auto"/>
              </w:rPr>
            </w:pPr>
            <w:r>
              <w:rPr>
                <w:rFonts w:hint="default" w:ascii="Times New Roman" w:hAnsi="Times New Roman" w:cs="Times New Roman"/>
                <w:color w:val="auto"/>
              </w:rPr>
              <w:t>沉淀池</w:t>
            </w:r>
          </w:p>
        </w:tc>
        <w:tc>
          <w:tcPr>
            <w:tcW w:w="2132" w:type="dxa"/>
            <w:noWrap w:val="0"/>
            <w:vAlign w:val="center"/>
          </w:tcPr>
          <w:p w14:paraId="6920F55B">
            <w:pPr>
              <w:pStyle w:val="180"/>
              <w:rPr>
                <w:rFonts w:hint="default" w:ascii="Times New Roman" w:hAnsi="Times New Roman" w:cs="Times New Roman"/>
                <w:color w:val="auto"/>
              </w:rPr>
            </w:pPr>
            <w:r>
              <w:rPr>
                <w:rFonts w:hint="default" w:ascii="Times New Roman" w:hAnsi="Times New Roman" w:cs="Times New Roman"/>
                <w:color w:val="auto"/>
              </w:rPr>
              <w:t>5000×3000×2000</w:t>
            </w:r>
          </w:p>
        </w:tc>
        <w:tc>
          <w:tcPr>
            <w:tcW w:w="2132" w:type="dxa"/>
            <w:noWrap w:val="0"/>
            <w:vAlign w:val="center"/>
          </w:tcPr>
          <w:p w14:paraId="0507BA74">
            <w:pPr>
              <w:pStyle w:val="180"/>
              <w:rPr>
                <w:rFonts w:hint="default" w:ascii="Times New Roman" w:hAnsi="Times New Roman" w:cs="Times New Roman"/>
                <w:color w:val="auto"/>
              </w:rPr>
            </w:pPr>
            <w:r>
              <w:rPr>
                <w:rFonts w:hint="default" w:ascii="Times New Roman" w:hAnsi="Times New Roman" w:cs="Times New Roman"/>
                <w:color w:val="auto"/>
              </w:rPr>
              <w:t>2</w:t>
            </w:r>
          </w:p>
        </w:tc>
        <w:tc>
          <w:tcPr>
            <w:tcW w:w="2133" w:type="dxa"/>
            <w:noWrap w:val="0"/>
            <w:vAlign w:val="center"/>
          </w:tcPr>
          <w:p w14:paraId="74178E36">
            <w:pPr>
              <w:pStyle w:val="180"/>
              <w:rPr>
                <w:rFonts w:hint="default" w:ascii="Times New Roman" w:hAnsi="Times New Roman" w:cs="Times New Roman"/>
                <w:color w:val="auto"/>
              </w:rPr>
            </w:pPr>
            <w:r>
              <w:rPr>
                <w:rFonts w:hint="default" w:ascii="Times New Roman" w:hAnsi="Times New Roman" w:cs="Times New Roman"/>
                <w:color w:val="auto"/>
              </w:rPr>
              <w:t>砖混</w:t>
            </w:r>
          </w:p>
        </w:tc>
      </w:tr>
      <w:tr w14:paraId="7B5D7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2" w:type="dxa"/>
            <w:noWrap w:val="0"/>
            <w:vAlign w:val="center"/>
          </w:tcPr>
          <w:p w14:paraId="7D6F5950">
            <w:pPr>
              <w:pStyle w:val="180"/>
              <w:rPr>
                <w:rFonts w:hint="default" w:ascii="Times New Roman" w:hAnsi="Times New Roman" w:cs="Times New Roman"/>
                <w:color w:val="auto"/>
              </w:rPr>
            </w:pPr>
            <w:r>
              <w:rPr>
                <w:rFonts w:hint="default" w:ascii="Times New Roman" w:hAnsi="Times New Roman" w:cs="Times New Roman"/>
                <w:color w:val="auto"/>
              </w:rPr>
              <w:t>回用水池</w:t>
            </w:r>
          </w:p>
        </w:tc>
        <w:tc>
          <w:tcPr>
            <w:tcW w:w="2132" w:type="dxa"/>
            <w:noWrap w:val="0"/>
            <w:vAlign w:val="center"/>
          </w:tcPr>
          <w:p w14:paraId="111E1603">
            <w:pPr>
              <w:pStyle w:val="180"/>
              <w:rPr>
                <w:rFonts w:hint="default" w:ascii="Times New Roman" w:hAnsi="Times New Roman" w:cs="Times New Roman"/>
                <w:color w:val="auto"/>
              </w:rPr>
            </w:pPr>
            <w:r>
              <w:rPr>
                <w:rFonts w:hint="default" w:ascii="Times New Roman" w:hAnsi="Times New Roman" w:cs="Times New Roman"/>
                <w:color w:val="auto"/>
              </w:rPr>
              <w:t>5000×3000×2000</w:t>
            </w:r>
          </w:p>
        </w:tc>
        <w:tc>
          <w:tcPr>
            <w:tcW w:w="2132" w:type="dxa"/>
            <w:noWrap w:val="0"/>
            <w:vAlign w:val="center"/>
          </w:tcPr>
          <w:p w14:paraId="3DEAEE24">
            <w:pPr>
              <w:pStyle w:val="180"/>
              <w:rPr>
                <w:rFonts w:hint="default" w:ascii="Times New Roman" w:hAnsi="Times New Roman" w:cs="Times New Roman"/>
                <w:color w:val="auto"/>
              </w:rPr>
            </w:pPr>
            <w:r>
              <w:rPr>
                <w:rFonts w:hint="default" w:ascii="Times New Roman" w:hAnsi="Times New Roman" w:cs="Times New Roman"/>
                <w:color w:val="auto"/>
              </w:rPr>
              <w:t>2</w:t>
            </w:r>
          </w:p>
        </w:tc>
        <w:tc>
          <w:tcPr>
            <w:tcW w:w="2133" w:type="dxa"/>
            <w:noWrap w:val="0"/>
            <w:vAlign w:val="center"/>
          </w:tcPr>
          <w:p w14:paraId="22A43856">
            <w:pPr>
              <w:pStyle w:val="180"/>
              <w:rPr>
                <w:rFonts w:hint="default" w:ascii="Times New Roman" w:hAnsi="Times New Roman" w:cs="Times New Roman"/>
                <w:color w:val="auto"/>
              </w:rPr>
            </w:pPr>
            <w:r>
              <w:rPr>
                <w:rFonts w:hint="default" w:ascii="Times New Roman" w:hAnsi="Times New Roman" w:cs="Times New Roman"/>
                <w:color w:val="auto"/>
              </w:rPr>
              <w:t>砖混</w:t>
            </w:r>
          </w:p>
        </w:tc>
      </w:tr>
      <w:bookmarkEnd w:id="238"/>
    </w:tbl>
    <w:p w14:paraId="4AA2064C">
      <w:pPr>
        <w:pStyle w:val="181"/>
        <w:spacing w:before="120" w:beforeLines="50"/>
        <w:ind w:firstLine="480"/>
        <w:rPr>
          <w:rFonts w:hint="default" w:ascii="Times New Roman" w:hAnsi="Times New Roman" w:cs="Times New Roman"/>
          <w:color w:val="auto"/>
        </w:rPr>
      </w:pPr>
      <w:r>
        <w:rPr>
          <w:rFonts w:hint="default" w:ascii="Times New Roman" w:hAnsi="Times New Roman" w:cs="Times New Roman"/>
          <w:color w:val="auto"/>
        </w:rPr>
        <w:t>灌浆施工废水处理工艺如图所示。</w:t>
      </w:r>
    </w:p>
    <w:p w14:paraId="318C6637">
      <w:pPr>
        <w:pStyle w:val="181"/>
        <w:spacing w:line="240" w:lineRule="auto"/>
        <w:ind w:firstLine="0" w:firstLineChars="0"/>
        <w:jc w:val="center"/>
        <w:rPr>
          <w:rFonts w:hint="default" w:ascii="Times New Roman" w:hAnsi="Times New Roman" w:cs="Times New Roman"/>
          <w:color w:val="auto"/>
          <w:sz w:val="16"/>
          <w:szCs w:val="16"/>
        </w:rPr>
      </w:pPr>
      <w:r>
        <w:rPr>
          <w:rFonts w:hint="default" w:ascii="Times New Roman" w:hAnsi="Times New Roman" w:cs="Times New Roman"/>
          <w:color w:val="auto"/>
        </w:rPr>
        <w:object>
          <v:shape id="_x0000_i1026" o:spt="75" type="#_x0000_t75" style="height:91pt;width:411.1pt;" o:ole="t" filled="f" o:preferrelative="t" stroked="f" coordsize="21600,21600">
            <v:path/>
            <v:fill on="f" focussize="0,0"/>
            <v:stroke on="f"/>
            <v:imagedata r:id="rId84" o:title=""/>
            <o:lock v:ext="edit" aspectratio="t"/>
            <w10:wrap type="none"/>
            <w10:anchorlock/>
          </v:shape>
          <o:OLEObject Type="Embed" ProgID="Visio.Drawing.15" ShapeID="_x0000_i1026" DrawAspect="Content" ObjectID="_1468075727" r:id="rId83">
            <o:LockedField>false</o:LockedField>
          </o:OLEObject>
        </w:object>
      </w:r>
    </w:p>
    <w:p w14:paraId="51A0C930">
      <w:pPr>
        <w:pStyle w:val="181"/>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图</w:t>
      </w:r>
      <w:r>
        <w:rPr>
          <w:rFonts w:hint="eastAsia" w:cs="Times New Roman"/>
          <w:b/>
          <w:bCs/>
          <w:color w:val="auto"/>
          <w:lang w:val="en-US" w:eastAsia="zh-CN"/>
        </w:rPr>
        <w:t>8</w:t>
      </w:r>
      <w:r>
        <w:rPr>
          <w:rFonts w:hint="default" w:ascii="Times New Roman" w:hAnsi="Times New Roman" w:cs="Times New Roman"/>
          <w:b/>
          <w:bCs/>
          <w:color w:val="auto"/>
        </w:rPr>
        <w:t>.1-2 灌浆施工废水处理工艺图</w:t>
      </w:r>
    </w:p>
    <w:p w14:paraId="2AB712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施工机械及车辆冲洗废水</w:t>
      </w:r>
    </w:p>
    <w:p w14:paraId="3598285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本工程施工区内不设置机修厂，施工机械及车辆可就近送当地机修厂进行修理，施工区内只进行机械的维护和保养。</w:t>
      </w:r>
    </w:p>
    <w:p w14:paraId="3123E55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工程施工期间涉及自卸汽车、推土机等施工机械、车辆，在运行和清洗过程中会产生冲洗废水，含少量油污。施工期间机械车辆冲洗废水约为2m³/d。</w:t>
      </w:r>
    </w:p>
    <w:p w14:paraId="1FB19D3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处理目标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污水处理后回用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执行《污水综合排放标准》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GB8978-1996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的一级标准，SS排放浓度控制在70mg/L以下，</w:t>
      </w:r>
      <w:r>
        <w:rPr>
          <w:rFonts w:hint="default" w:ascii="Times New Roman" w:hAnsi="Times New Roman" w:cs="Times New Roman"/>
          <w:color w:val="auto"/>
          <w:u w:val="none" w:color="auto"/>
          <w:lang w:eastAsia="zh-CN"/>
        </w:rPr>
        <w:t>pH</w:t>
      </w:r>
      <w:r>
        <w:rPr>
          <w:rFonts w:hint="default" w:ascii="Times New Roman" w:hAnsi="Times New Roman" w:cs="Times New Roman"/>
          <w:color w:val="auto"/>
          <w:u w:val="none" w:color="auto"/>
        </w:rPr>
        <w:t>控制在6</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9。</w:t>
      </w:r>
    </w:p>
    <w:p w14:paraId="587CEE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处理方案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施工区出入口或机械停放场设置机械车辆冲洗废水处理设施，对施工机械冲洗产生的废水收集后进行隔油沉淀处理。作业地面和连接进出口的道路必须采取水泥硬化冲洗平台四周设置污水集水沟连接隔油沉淀池，设计沉淀时间为2h以上，为保证沉淀效果，可适当延长沉淀时间。在洗车台附近设置1个简易隔油沉淀池和清水池，尺寸2m×2m×1m</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长×宽×高</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p>
    <w:p w14:paraId="4D4C4ABC">
      <w:pPr>
        <w:bidi w:val="0"/>
        <w:ind w:left="0" w:leftChars="0" w:firstLine="0" w:firstLine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drawing>
          <wp:inline distT="0" distB="0" distL="114300" distR="114300">
            <wp:extent cx="5269865" cy="796290"/>
            <wp:effectExtent l="0" t="0" r="6985" b="381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85"/>
                    <a:stretch>
                      <a:fillRect/>
                    </a:stretch>
                  </pic:blipFill>
                  <pic:spPr>
                    <a:xfrm>
                      <a:off x="0" y="0"/>
                      <a:ext cx="5269865" cy="796290"/>
                    </a:xfrm>
                    <a:prstGeom prst="rect">
                      <a:avLst/>
                    </a:prstGeom>
                    <a:noFill/>
                    <a:ln>
                      <a:noFill/>
                    </a:ln>
                  </pic:spPr>
                </pic:pic>
              </a:graphicData>
            </a:graphic>
          </wp:inline>
        </w:drawing>
      </w:r>
    </w:p>
    <w:p w14:paraId="4AEB3AD1">
      <w:pPr>
        <w:bidi w:val="0"/>
        <w:ind w:left="0" w:leftChars="0" w:firstLine="0" w:firstLineChars="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图</w:t>
      </w:r>
      <w:r>
        <w:rPr>
          <w:rFonts w:hint="eastAsia" w:cs="Times New Roman"/>
          <w:b/>
          <w:bCs/>
          <w:color w:val="auto"/>
          <w:u w:val="none" w:color="auto"/>
          <w:lang w:val="en-US" w:eastAsia="zh-CN"/>
        </w:rPr>
        <w:t>8</w:t>
      </w:r>
      <w:r>
        <w:rPr>
          <w:rFonts w:hint="default" w:ascii="Times New Roman" w:hAnsi="Times New Roman" w:cs="Times New Roman"/>
          <w:b/>
          <w:bCs/>
          <w:color w:val="auto"/>
          <w:u w:val="none" w:color="auto"/>
          <w:lang w:val="en-US" w:eastAsia="zh-CN"/>
        </w:rPr>
        <w:t>.1</w:t>
      </w:r>
      <w:r>
        <w:rPr>
          <w:rFonts w:hint="default" w:ascii="Times New Roman" w:hAnsi="Times New Roman" w:cs="Times New Roman"/>
          <w:b/>
          <w:bCs/>
          <w:color w:val="auto"/>
          <w:u w:val="none" w:color="auto"/>
        </w:rPr>
        <w:t>-</w:t>
      </w:r>
      <w:r>
        <w:rPr>
          <w:rFonts w:hint="default" w:ascii="Times New Roman" w:hAnsi="Times New Roman" w:cs="Times New Roman"/>
          <w:b/>
          <w:bCs/>
          <w:color w:val="auto"/>
          <w:u w:val="none" w:color="auto"/>
          <w:lang w:val="en-US" w:eastAsia="zh-CN"/>
        </w:rPr>
        <w:t xml:space="preserve">3  </w:t>
      </w:r>
      <w:r>
        <w:rPr>
          <w:rFonts w:hint="default" w:ascii="Times New Roman" w:hAnsi="Times New Roman" w:cs="Times New Roman"/>
          <w:b/>
          <w:bCs/>
          <w:color w:val="auto"/>
          <w:u w:val="none" w:color="auto"/>
        </w:rPr>
        <w:t>机械车辆冲洗废水处理流程图</w:t>
      </w:r>
    </w:p>
    <w:p w14:paraId="3F89D58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清洗废水经沉淀池澄清后回用于机械车辆的冲洗，不外排</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措施可行</w:t>
      </w:r>
      <w:r>
        <w:rPr>
          <w:rFonts w:hint="default" w:ascii="Times New Roman" w:hAnsi="Times New Roman" w:cs="Times New Roman"/>
          <w:color w:val="auto"/>
          <w:u w:val="none" w:color="auto"/>
        </w:rPr>
        <w:t>。</w:t>
      </w:r>
    </w:p>
    <w:p w14:paraId="37B7A813">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4</w:t>
      </w:r>
      <w:r>
        <w:rPr>
          <w:rFonts w:hint="default" w:ascii="Times New Roman" w:hAnsi="Times New Roman" w:cs="Times New Roman"/>
          <w:color w:val="auto"/>
          <w:u w:val="none" w:color="auto"/>
        </w:rPr>
        <w:t>、砼搅拌系统废水</w:t>
      </w:r>
    </w:p>
    <w:p w14:paraId="3F5AD0C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混凝土拌和系统废水悬浮物浓度为5000mg/L左右，pH值在12左右，项目在拌合系统附近采用明沟集中将废水收集入初级处理池，初级处理池为平流式沉淀池，设计为两格，处理池总长度为2m，总宽度为2m，沉淀池有效水深为1.5m，沉淀时间不小于2h。经计算，初级处理池的日处理量均能满足混凝土废水处理要求，SS出水浓度小于70mg/L。沉淀泥沙由人工定期处理。处理后废水可用于道路和施工场地洒水，措施可行。</w:t>
      </w:r>
    </w:p>
    <w:p w14:paraId="7047B6C9">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生活污水</w:t>
      </w:r>
    </w:p>
    <w:p w14:paraId="74387A2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根据施工组织设计，</w:t>
      </w:r>
      <w:r>
        <w:rPr>
          <w:rFonts w:hint="default" w:ascii="Times New Roman" w:hAnsi="Times New Roman" w:cs="Times New Roman"/>
          <w:color w:val="auto"/>
        </w:rPr>
        <w:t>本项目</w:t>
      </w:r>
      <w:r>
        <w:rPr>
          <w:rFonts w:hint="eastAsia" w:cs="Times New Roman"/>
          <w:color w:val="auto"/>
          <w:lang w:val="en-US" w:eastAsia="zh-CN"/>
        </w:rPr>
        <w:t>不</w:t>
      </w:r>
      <w:r>
        <w:rPr>
          <w:rFonts w:hint="default" w:ascii="Times New Roman" w:hAnsi="Times New Roman" w:cs="Times New Roman"/>
          <w:color w:val="auto"/>
        </w:rPr>
        <w:t>设施工营地</w:t>
      </w:r>
      <w:r>
        <w:rPr>
          <w:rFonts w:hint="default"/>
        </w:rPr>
        <w:t>，临时办公和生活租用</w:t>
      </w:r>
      <w:r>
        <w:rPr>
          <w:rFonts w:hint="eastAsia"/>
          <w:lang w:val="en-US" w:eastAsia="zh-CN"/>
        </w:rPr>
        <w:t>廊洞管理所房屋</w:t>
      </w:r>
      <w:r>
        <w:rPr>
          <w:rFonts w:hint="default"/>
        </w:rPr>
        <w:t>解决。</w:t>
      </w:r>
      <w:r>
        <w:rPr>
          <w:rFonts w:hint="default" w:ascii="Times New Roman" w:hAnsi="Times New Roman" w:cs="Times New Roman"/>
          <w:color w:val="auto"/>
        </w:rPr>
        <w:t>施工期生活污水经</w:t>
      </w:r>
      <w:r>
        <w:rPr>
          <w:rFonts w:hint="eastAsia" w:cs="Times New Roman"/>
          <w:color w:val="auto"/>
          <w:lang w:val="en-US" w:eastAsia="zh-CN"/>
        </w:rPr>
        <w:t>管理所</w:t>
      </w:r>
      <w:r>
        <w:rPr>
          <w:rFonts w:hint="default" w:ascii="Times New Roman" w:hAnsi="Times New Roman" w:cs="Times New Roman"/>
          <w:color w:val="auto"/>
        </w:rPr>
        <w:t>化粪池处理后用于</w:t>
      </w:r>
      <w:r>
        <w:rPr>
          <w:rFonts w:hint="eastAsia" w:cs="Times New Roman"/>
          <w:color w:val="auto"/>
          <w:lang w:eastAsia="zh-CN"/>
        </w:rPr>
        <w:t>场区内绿化</w:t>
      </w:r>
      <w:r>
        <w:rPr>
          <w:rFonts w:hint="default" w:ascii="Times New Roman" w:hAnsi="Times New Roman" w:cs="Times New Roman"/>
          <w:color w:val="auto"/>
        </w:rPr>
        <w:t>，不外排</w:t>
      </w:r>
      <w:r>
        <w:rPr>
          <w:rFonts w:hint="default" w:ascii="Times New Roman" w:hAnsi="Times New Roman" w:cs="Times New Roman"/>
          <w:color w:val="auto"/>
          <w:u w:val="none" w:color="auto"/>
        </w:rPr>
        <w:t>，</w:t>
      </w:r>
      <w:r>
        <w:rPr>
          <w:rFonts w:hint="default" w:ascii="Times New Roman" w:hAnsi="Times New Roman" w:cs="Times New Roman"/>
          <w:color w:val="auto"/>
        </w:rPr>
        <w:t>化粪池</w:t>
      </w:r>
      <w:r>
        <w:rPr>
          <w:rFonts w:hint="default" w:ascii="Times New Roman" w:hAnsi="Times New Roman" w:cs="Times New Roman"/>
          <w:color w:val="auto"/>
          <w:u w:val="none" w:color="auto"/>
        </w:rPr>
        <w:t>禁止设置在饮用水水源保护区范围内。粪便在池内经过发酵分解，达到沉淀或杀灭粪便中寄生虫卵和肠道致病菌的目的，粪液最终成为优质肥料，</w:t>
      </w:r>
      <w:r>
        <w:rPr>
          <w:rFonts w:hint="eastAsia" w:cs="Times New Roman"/>
          <w:color w:val="auto"/>
          <w:u w:val="none" w:color="auto"/>
          <w:lang w:val="en-US" w:eastAsia="zh-CN"/>
        </w:rPr>
        <w:t>厂区内绿化</w:t>
      </w:r>
      <w:r>
        <w:rPr>
          <w:rFonts w:hint="default" w:ascii="Times New Roman" w:hAnsi="Times New Roman" w:cs="Times New Roman"/>
          <w:color w:val="auto"/>
          <w:u w:val="none" w:color="auto"/>
        </w:rPr>
        <w:t>肥田处理。</w:t>
      </w:r>
    </w:p>
    <w:p w14:paraId="74C01724">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处理目标</w:t>
      </w:r>
      <w:r>
        <w:rPr>
          <w:rFonts w:hint="eastAsia" w:cs="Times New Roman"/>
          <w:color w:val="auto"/>
          <w:u w:val="none" w:color="auto"/>
          <w:lang w:eastAsia="zh-CN"/>
        </w:rPr>
        <w:t>：</w:t>
      </w:r>
      <w:r>
        <w:rPr>
          <w:rFonts w:hint="default" w:ascii="Times New Roman" w:hAnsi="Times New Roman" w:cs="Times New Roman"/>
          <w:color w:val="auto"/>
          <w:u w:val="none" w:color="auto"/>
        </w:rPr>
        <w:t>经过处理后，达到沉淀或杀灭粪便中寄生虫卵和肠道致病菌的目的，粪液最终成为优质肥料，</w:t>
      </w:r>
      <w:r>
        <w:rPr>
          <w:rFonts w:hint="eastAsia" w:cs="Times New Roman"/>
          <w:color w:val="auto"/>
          <w:u w:val="none" w:color="auto"/>
          <w:lang w:val="en-US" w:eastAsia="zh-CN"/>
        </w:rPr>
        <w:t>厂区内绿化</w:t>
      </w:r>
      <w:r>
        <w:rPr>
          <w:rFonts w:hint="default" w:ascii="Times New Roman" w:hAnsi="Times New Roman" w:cs="Times New Roman"/>
          <w:color w:val="auto"/>
          <w:u w:val="none" w:color="auto"/>
        </w:rPr>
        <w:t>肥田处理，不外排</w:t>
      </w:r>
      <w:r>
        <w:rPr>
          <w:rFonts w:hint="default" w:ascii="Times New Roman" w:hAnsi="Times New Roman" w:cs="Times New Roman"/>
          <w:color w:val="auto"/>
          <w:u w:val="none" w:color="auto"/>
          <w:lang w:val="en-US" w:eastAsia="zh-CN"/>
        </w:rPr>
        <w:t>，措施可行。</w:t>
      </w:r>
    </w:p>
    <w:p w14:paraId="3285C54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对饮用水源保护区的保护措施</w:t>
      </w:r>
    </w:p>
    <w:p w14:paraId="08C865DE">
      <w:pPr>
        <w:bidi w:val="0"/>
        <w:rPr>
          <w:rFonts w:hint="eastAsia" w:cs="Times New Roman"/>
          <w:color w:val="auto"/>
          <w:u w:val="none" w:color="auto"/>
          <w:lang w:eastAsia="zh-CN"/>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大坝涉及</w:t>
      </w:r>
      <w:r>
        <w:rPr>
          <w:rFonts w:hint="default" w:ascii="Times New Roman" w:hAnsi="Times New Roman" w:cs="Times New Roman"/>
          <w:color w:val="auto"/>
          <w:u w:val="none" w:color="auto"/>
          <w:lang w:eastAsia="zh-CN"/>
        </w:rPr>
        <w:t>道县梅花镇廊洞水库饮用水水源保护区</w:t>
      </w:r>
      <w:r>
        <w:rPr>
          <w:rFonts w:hint="default" w:ascii="Times New Roman" w:hAnsi="Times New Roman" w:cs="Times New Roman"/>
          <w:color w:val="auto"/>
          <w:u w:val="none" w:color="auto"/>
        </w:rPr>
        <w:t>，在施工过程中严格按照《</w:t>
      </w:r>
      <w:r>
        <w:rPr>
          <w:rFonts w:hint="default" w:ascii="Times New Roman" w:hAnsi="Times New Roman" w:cs="Times New Roman"/>
          <w:color w:val="auto"/>
          <w:highlight w:val="none"/>
          <w:u w:val="none" w:color="auto"/>
        </w:rPr>
        <w:t>水污染防治法</w:t>
      </w:r>
      <w:r>
        <w:rPr>
          <w:rFonts w:hint="default" w:ascii="Times New Roman" w:hAnsi="Times New Roman" w:cs="Times New Roman"/>
          <w:color w:val="auto"/>
          <w:u w:val="none" w:color="auto"/>
        </w:rPr>
        <w:t>》中关于水质保护要求的内容执行，具体保护措施包括</w:t>
      </w:r>
      <w:r>
        <w:rPr>
          <w:rFonts w:hint="eastAsia" w:cs="Times New Roman"/>
          <w:color w:val="auto"/>
          <w:u w:val="none" w:color="auto"/>
          <w:lang w:eastAsia="zh-CN"/>
        </w:rPr>
        <w:t>：</w:t>
      </w:r>
    </w:p>
    <w:p w14:paraId="531A510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①</w:t>
      </w:r>
      <w:r>
        <w:rPr>
          <w:rFonts w:hint="default" w:ascii="Times New Roman" w:hAnsi="Times New Roman" w:cs="Times New Roman"/>
          <w:color w:val="auto"/>
          <w:u w:val="none" w:color="auto"/>
        </w:rPr>
        <w:t>在饮用水水源保护区内，禁止设置排污口；优化施工布置，施工临建设施禁止布置在饮用水水源保护区内；</w:t>
      </w:r>
    </w:p>
    <w:p w14:paraId="1BC411D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②</w:t>
      </w:r>
      <w:r>
        <w:rPr>
          <w:rFonts w:hint="default" w:ascii="Times New Roman" w:hAnsi="Times New Roman" w:cs="Times New Roman"/>
          <w:color w:val="auto"/>
          <w:u w:val="none" w:color="auto"/>
        </w:rPr>
        <w:t>落实施工阶段临时饮用水蓄水池的建设和饮用水水源的水质监测工作，做好下游村庄饮用水水源的用水保障及用水安全；完善事故风险应急措施，建议编制污染事故风险应急预案。</w:t>
      </w:r>
    </w:p>
    <w:p w14:paraId="5412FADF">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机械车辆冲洗废水处理</w:t>
      </w:r>
      <w:r>
        <w:rPr>
          <w:rFonts w:hint="default" w:ascii="Times New Roman" w:hAnsi="Times New Roman" w:cs="Times New Roman"/>
          <w:color w:val="auto"/>
          <w:u w:val="none" w:color="auto"/>
          <w:lang w:val="en-US" w:eastAsia="zh-CN"/>
        </w:rPr>
        <w:t>措施</w:t>
      </w:r>
    </w:p>
    <w:p w14:paraId="4D623B59">
      <w:pPr>
        <w:bidi w:val="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施工期间施工机械、车辆清洗过程中会产生冲洗废水，含少量油污。对施工机械冲洗产生的废水收集后进行隔油沉淀处理</w:t>
      </w:r>
      <w:r>
        <w:rPr>
          <w:rFonts w:hint="default" w:ascii="Times New Roman" w:hAnsi="Times New Roman" w:cs="Times New Roman"/>
          <w:color w:val="auto"/>
          <w:u w:val="none" w:color="auto"/>
          <w:lang w:val="en-US" w:eastAsia="zh-CN"/>
        </w:rPr>
        <w:t>后回用于洗车。</w:t>
      </w:r>
    </w:p>
    <w:p w14:paraId="5B1D60D8">
      <w:pPr>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生活污水处理</w:t>
      </w:r>
      <w:r>
        <w:rPr>
          <w:rFonts w:hint="default" w:ascii="Times New Roman" w:hAnsi="Times New Roman" w:cs="Times New Roman"/>
          <w:color w:val="auto"/>
          <w:u w:val="none" w:color="auto"/>
          <w:lang w:val="en-US" w:eastAsia="zh-CN"/>
        </w:rPr>
        <w:t>措施</w:t>
      </w:r>
    </w:p>
    <w:p w14:paraId="16247E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w:t>
      </w:r>
      <w:r>
        <w:rPr>
          <w:rFonts w:hint="default" w:ascii="Times New Roman" w:hAnsi="Times New Roman" w:cs="Times New Roman"/>
          <w:color w:val="auto"/>
          <w:u w:val="none" w:color="auto"/>
          <w:lang w:val="en-US" w:eastAsia="zh-CN"/>
        </w:rPr>
        <w:t>人员</w:t>
      </w:r>
      <w:r>
        <w:rPr>
          <w:rFonts w:hint="default" w:ascii="Times New Roman" w:hAnsi="Times New Roman" w:cs="Times New Roman"/>
          <w:color w:val="auto"/>
          <w:u w:val="none" w:color="auto"/>
        </w:rPr>
        <w:t>主要考虑租用民房，其生活污水处理均利用民房已有污水处理设施，施工区附近设置一处简易三格式</w:t>
      </w:r>
      <w:r>
        <w:rPr>
          <w:rFonts w:hint="default" w:ascii="Times New Roman" w:hAnsi="Times New Roman" w:cs="Times New Roman"/>
          <w:color w:val="auto"/>
          <w:u w:val="none" w:color="auto"/>
          <w:lang w:val="en-US" w:eastAsia="zh-CN"/>
        </w:rPr>
        <w:t>化粪池</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经处理后</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不外排。</w:t>
      </w:r>
    </w:p>
    <w:p w14:paraId="766F99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基坑废水处理措施</w:t>
      </w:r>
    </w:p>
    <w:p w14:paraId="629A000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在基坑中设若干串行集水坑，基坑废水沉淀后用于施工场地的洒水降尘等综合利用</w:t>
      </w:r>
      <w:r>
        <w:rPr>
          <w:rFonts w:hint="default" w:ascii="Times New Roman" w:hAnsi="Times New Roman" w:cs="Times New Roman"/>
          <w:color w:val="auto"/>
          <w:u w:val="none" w:color="auto"/>
          <w:lang w:val="en-US" w:eastAsia="zh-CN"/>
        </w:rPr>
        <w:t>。</w:t>
      </w:r>
    </w:p>
    <w:p w14:paraId="0A6F13A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噪声污染防治措施</w:t>
      </w:r>
      <w:r>
        <w:rPr>
          <w:rFonts w:hint="default" w:ascii="Times New Roman" w:hAnsi="Times New Roman" w:cs="Times New Roman"/>
          <w:color w:val="auto"/>
          <w:u w:val="none" w:color="auto"/>
          <w:lang w:val="en-US" w:eastAsia="zh-CN"/>
        </w:rPr>
        <w:t>及其可行性论证</w:t>
      </w:r>
    </w:p>
    <w:p w14:paraId="568F1FED">
      <w:pPr>
        <w:keepNext w:val="0"/>
        <w:keepLines w:val="0"/>
        <w:widowControl/>
        <w:suppressLineNumbers w:val="0"/>
        <w:jc w:val="left"/>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施工期主要采取以下噪声防治措施</w:t>
      </w:r>
      <w:r>
        <w:rPr>
          <w:rFonts w:hint="eastAsia" w:cs="Times New Roman"/>
          <w:color w:val="auto"/>
          <w:kern w:val="0"/>
          <w:sz w:val="24"/>
          <w:szCs w:val="24"/>
          <w:u w:val="none" w:color="auto"/>
          <w:lang w:val="en-US" w:eastAsia="zh-CN" w:bidi="ar"/>
        </w:rPr>
        <w:t>：</w:t>
      </w:r>
    </w:p>
    <w:p w14:paraId="07BB58B0">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施工部门应合理安排施工时间和施工场所。制订科学的施工计划，尽可能避免大量高噪声设备同时使用，高噪声设备的施工时间尽量安排在昼间，减少夜间施工，禁止夜间</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00至次日6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00之间的时段</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施工。高噪声作业区应尽量布置在场地中间，远离周边居民点，并对设备定期保养，严格操作规范。</w:t>
      </w:r>
    </w:p>
    <w:p w14:paraId="340AA11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合理布局施工现场，避免在同一地点安排</w:t>
      </w:r>
      <w:r>
        <w:rPr>
          <w:rFonts w:hint="default" w:ascii="Times New Roman" w:hAnsi="Times New Roman" w:cs="Times New Roman"/>
          <w:color w:val="auto"/>
          <w:u w:val="none" w:color="auto"/>
          <w:lang w:eastAsia="zh-CN"/>
        </w:rPr>
        <w:t>多台</w:t>
      </w:r>
      <w:r>
        <w:rPr>
          <w:rFonts w:hint="default" w:ascii="Times New Roman" w:hAnsi="Times New Roman" w:cs="Times New Roman"/>
          <w:color w:val="auto"/>
          <w:u w:val="none" w:color="auto"/>
        </w:rPr>
        <w:t>高噪声设备，并在施工场地周围设围挡。为保障居民区有一个良好的生活环境，强噪声设备至敏感点距离至少在50m以外，对固定的机械设备尽量入棚操作。</w:t>
      </w:r>
    </w:p>
    <w:p w14:paraId="5523254E">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)降低声源的噪声强度：</w:t>
      </w:r>
      <w:r>
        <w:rPr>
          <w:rFonts w:hint="default" w:ascii="Times New Roman" w:hAnsi="Times New Roman" w:cs="Times New Roman"/>
          <w:color w:val="auto"/>
          <w:u w:val="none" w:color="auto"/>
        </w:rPr>
        <w:t>尽量选用低噪声机械设备或带隔声、消声的设备。设备选型上尽量采用低噪声设备，如以液压机械代替燃油机械，低频振捣器代替</w:t>
      </w:r>
      <w:r>
        <w:rPr>
          <w:rFonts w:hint="default" w:ascii="Times New Roman" w:hAnsi="Times New Roman" w:cs="Times New Roman"/>
          <w:color w:val="auto"/>
          <w:highlight w:val="none"/>
          <w:u w:val="none" w:color="auto"/>
        </w:rPr>
        <w:t>高频振捣器</w:t>
      </w:r>
      <w:r>
        <w:rPr>
          <w:rFonts w:hint="default" w:ascii="Times New Roman" w:hAnsi="Times New Roman" w:cs="Times New Roman"/>
          <w:color w:val="auto"/>
          <w:u w:val="none" w:color="auto"/>
        </w:rPr>
        <w:t>等。固定</w:t>
      </w:r>
      <w:r>
        <w:rPr>
          <w:rFonts w:hint="default" w:ascii="Times New Roman" w:hAnsi="Times New Roman" w:cs="Times New Roman"/>
          <w:color w:val="auto"/>
          <w:highlight w:val="none"/>
          <w:u w:val="none" w:color="auto"/>
        </w:rPr>
        <w:t>机械设备与</w:t>
      </w:r>
      <w:r>
        <w:rPr>
          <w:rFonts w:hint="default" w:ascii="Times New Roman" w:hAnsi="Times New Roman" w:cs="Times New Roman"/>
          <w:color w:val="auto"/>
          <w:u w:val="none" w:color="auto"/>
        </w:rPr>
        <w:t>挖土、运土机械，如挖土机、推土机等，可以通过排气管消音器和隔离发机振动部件的方法降低噪声。对动力机械设备应进行定期的维修、养护。闲置不用的设备应立即关闭，运输车辆进入现场应减速，并减少鸣笛。</w:t>
      </w:r>
    </w:p>
    <w:p w14:paraId="0F92580D">
      <w:pPr>
        <w:ind w:firstLine="480"/>
        <w:rPr>
          <w:rFonts w:hint="default" w:ascii="Times New Roman" w:hAnsi="Times New Roman" w:cs="Times New Roman"/>
          <w:color w:val="auto"/>
          <w:highlight w:val="none"/>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)采用局部吸声、隔声降噪技术：对敏感点较近的方位，应采取临时围障措施，围障最好敷以吸声材料，以此达到降噪效果。</w:t>
      </w:r>
    </w:p>
    <w:p w14:paraId="43DF1E0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施工期间</w:t>
      </w:r>
      <w:r>
        <w:rPr>
          <w:rFonts w:hint="eastAsia" w:cs="Times New Roman"/>
          <w:color w:val="auto"/>
          <w:u w:val="none" w:color="auto"/>
          <w:lang w:val="en-US" w:eastAsia="zh-CN"/>
        </w:rPr>
        <w:t>水库管理所</w:t>
      </w:r>
      <w:r>
        <w:rPr>
          <w:rFonts w:hint="default" w:ascii="Times New Roman" w:hAnsi="Times New Roman" w:cs="Times New Roman"/>
          <w:color w:val="auto"/>
          <w:u w:val="none" w:color="auto"/>
        </w:rPr>
        <w:t>和周边居民点均会受到交通噪声影响，为减少交通噪声污染采取以下控制措施：</w:t>
      </w:r>
    </w:p>
    <w:p w14:paraId="2A1FC7C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①在进场公路和场内交通道路营运期，限制使用噪声大的车辆，控制车流量和行车速度，当车辆行驶至周边居民点时，降低车速和禁止使用高音嗽叭。</w:t>
      </w:r>
    </w:p>
    <w:p w14:paraId="3E801CC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②加强进场公路交通运输管理，为防止进场公路</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主要为外来物质进入施工区</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产生的交通噪声夜间对沿线居民点的干扰，建设期实行交通管制，夜间严格控制大、中型车辆进入进场公路，对小型车辆进入该进场公路按设计车速进行限制。</w:t>
      </w:r>
    </w:p>
    <w:p w14:paraId="01B3282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③加强道路的养护和车辆的维护保养，降低噪声源。</w:t>
      </w:r>
    </w:p>
    <w:p w14:paraId="0AA1F3C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④使用的车辆必须符合《汽车定置噪声限值》</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GB16170-1996</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和《机动车辆允许噪声》</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GB1495-79</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，并尽量选用低噪声车辆。</w:t>
      </w:r>
    </w:p>
    <w:p w14:paraId="62932C8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⑤加强对施工运输车辆的管理。集中的施工车辆使用应该避开夜间；对驾驶员应该宣传、教育和监督，杜绝超载、超速、减少鸣笛，并加强车辆维修，防止车况不良导致的高噪声。</w:t>
      </w:r>
    </w:p>
    <w:p w14:paraId="21218FC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施工设备控制</w:t>
      </w:r>
    </w:p>
    <w:p w14:paraId="5E5E053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①钢筋加工等高噪声生产区尽可能用多孔性吸声材料建立隔声屏障、隔声罩和隔声间。</w:t>
      </w:r>
    </w:p>
    <w:p w14:paraId="5AA8BEC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②施工机械设备应安放稳固，并与地面保持良好接触，有条件的应使用减振机座。</w:t>
      </w:r>
    </w:p>
    <w:p w14:paraId="4A0A4B6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③尽量选用低噪声机械，减缓机械设备噪声对环境的影响。</w:t>
      </w:r>
    </w:p>
    <w:p w14:paraId="2978055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④加强施工设备的维护保养，发生故障应及时维修，保持润滑、紧固各部件，减少运行振动噪声。</w:t>
      </w:r>
    </w:p>
    <w:p w14:paraId="3C588A2A">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⑤加强施工管理、文明施工，杜绝施工机械在运行过程中因维护不当而产生的其他噪声。</w:t>
      </w:r>
    </w:p>
    <w:p w14:paraId="152E4213">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7</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敏感目标保护措施</w:t>
      </w:r>
    </w:p>
    <w:p w14:paraId="56DA4CB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针对进场道路两侧居民等环境敏感目标的影响特点，在采取上述噪声控制措施的基础上，提出如下环境保护措施：加强与敏感点人群的沟通，施工前应在敏感点张贴公示，争取获得谅解。公示内容包括工程名称、施工单位、施工时间安排，建设单位及主要联系人的名称与联系方式。对公众提出的环境影响投诉及时予以反馈与解决。夜间施工往往会造成较严重的噪声污染，因此应该合理安排施工进度，尽量减少夜间施工，尤其注意避免夜间进行高噪声施工。如果需要夜间施工，必须获得环保主管部门的认可，并公示周边公众。</w:t>
      </w:r>
    </w:p>
    <w:p w14:paraId="5D6F4615">
      <w:pPr>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kern w:val="0"/>
          <w:sz w:val="24"/>
          <w:szCs w:val="24"/>
          <w:u w:val="none" w:color="auto"/>
          <w:lang w:val="en-US" w:eastAsia="zh-CN" w:bidi="ar"/>
        </w:rPr>
        <w:t>采取上述措施以后，施工场界噪声排放达到《建筑施工场界环境噪声排放标准》</w:t>
      </w:r>
      <w:r>
        <w:rPr>
          <w:rFonts w:hint="default" w:ascii="Times New Roman" w:hAnsi="Times New Roman"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GB12523-2011</w:t>
      </w:r>
      <w:r>
        <w:rPr>
          <w:rFonts w:hint="default" w:ascii="Times New Roman" w:hAnsi="Times New Roman" w:cs="Times New Roman"/>
          <w:color w:val="auto"/>
          <w:kern w:val="0"/>
          <w:sz w:val="24"/>
          <w:szCs w:val="24"/>
          <w:highlight w:val="none"/>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要求。</w:t>
      </w:r>
    </w:p>
    <w:p w14:paraId="6A255D13">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固体废物防治措施</w:t>
      </w:r>
      <w:r>
        <w:rPr>
          <w:rFonts w:hint="default" w:ascii="Times New Roman" w:hAnsi="Times New Roman" w:cs="Times New Roman"/>
          <w:color w:val="auto"/>
          <w:u w:val="none" w:color="auto"/>
          <w:lang w:val="en-US" w:eastAsia="zh-CN"/>
        </w:rPr>
        <w:t>及其可行性论证</w:t>
      </w:r>
    </w:p>
    <w:p w14:paraId="2F9A1120">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生活垃圾</w:t>
      </w:r>
    </w:p>
    <w:p w14:paraId="19F6673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施工区生活垃圾来源比较简单，主要成</w:t>
      </w:r>
      <w:r>
        <w:rPr>
          <w:rFonts w:hint="default" w:ascii="Times New Roman" w:hAnsi="Times New Roman" w:cs="Times New Roman"/>
          <w:color w:val="auto"/>
          <w:highlight w:val="none"/>
          <w:u w:val="none" w:color="auto"/>
          <w:lang w:val="en-US" w:eastAsia="zh-CN"/>
        </w:rPr>
        <w:t>份</w:t>
      </w:r>
      <w:r>
        <w:rPr>
          <w:rFonts w:hint="default" w:ascii="Times New Roman" w:hAnsi="Times New Roman" w:cs="Times New Roman"/>
          <w:color w:val="auto"/>
          <w:u w:val="none" w:color="auto"/>
          <w:lang w:val="en-US" w:eastAsia="zh-CN"/>
        </w:rPr>
        <w:t>以有机垃圾为主。拟在施工区和施工临时生活区等人员生活集中的地方设置多个大型临时垃圾桶，生活人员做好垃圾分类后，将生活垃圾装入垃圾袋后投放到垃圾桶内，并派专人负责对垃圾箱区域和整个生活区场地面的清扫，以防止垃圾乱堆、乱弃。收集后由地环卫部门统一进行处置。</w:t>
      </w:r>
    </w:p>
    <w:p w14:paraId="16C3E66D">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建筑垃圾及弃渣弃土</w:t>
      </w:r>
    </w:p>
    <w:p w14:paraId="68040DC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尽量从源头控制和加强施工管理以减少建筑垃圾的产生量，对于已产生的垃圾也尽量回收利用。工程建筑垃圾来源主要为</w:t>
      </w:r>
      <w:r>
        <w:rPr>
          <w:rFonts w:hint="default" w:ascii="Times New Roman" w:hAnsi="Times New Roman" w:cs="Times New Roman"/>
          <w:color w:val="auto"/>
          <w:highlight w:val="none"/>
          <w:u w:val="none" w:color="auto"/>
          <w:lang w:val="en-US" w:eastAsia="zh-CN"/>
        </w:rPr>
        <w:t>施工期</w:t>
      </w:r>
      <w:r>
        <w:rPr>
          <w:rFonts w:hint="default" w:ascii="Times New Roman" w:hAnsi="Times New Roman" w:cs="Times New Roman"/>
          <w:color w:val="auto"/>
          <w:u w:val="none" w:color="auto"/>
          <w:lang w:val="en-US" w:eastAsia="zh-CN"/>
        </w:rPr>
        <w:t>过程产生少量废弃建筑材料</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包括砼砌块、废钢筋、绑扎丝、砖、废管材</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废包装材料等。在施工期应加强对建筑垃圾的收集和管理，将建筑垃圾和能回收的废材料、废包装袋分别收集堆放，废材料、废包装袋及时出售给废品回收公司处理，不能回收利用的分类收集后运至建设部门或环卫部门指定地点，统一处理，禁止乱堆乱放。</w:t>
      </w:r>
      <w:r>
        <w:rPr>
          <w:rFonts w:hint="default" w:ascii="Times New Roman" w:hAnsi="Times New Roman" w:cs="Times New Roman"/>
          <w:color w:val="auto"/>
          <w:u w:val="none" w:color="auto"/>
        </w:rPr>
        <w:t>工程在施工活动中产生的废土石</w:t>
      </w:r>
      <w:r>
        <w:rPr>
          <w:rFonts w:hint="default" w:ascii="Times New Roman" w:hAnsi="Times New Roman" w:cs="Times New Roman"/>
          <w:color w:val="auto"/>
          <w:u w:val="none" w:color="auto"/>
          <w:lang w:val="en-US" w:eastAsia="zh-CN"/>
        </w:rPr>
        <w:t>部分</w:t>
      </w:r>
      <w:r>
        <w:rPr>
          <w:rFonts w:hint="default" w:ascii="Times New Roman" w:hAnsi="Times New Roman" w:cs="Times New Roman"/>
          <w:color w:val="auto"/>
          <w:u w:val="none" w:color="auto"/>
        </w:rPr>
        <w:t>回填</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多余的运至弃渣场堆放，弃渣场</w:t>
      </w:r>
      <w:r>
        <w:rPr>
          <w:rFonts w:hint="default" w:ascii="Times New Roman" w:hAnsi="Times New Roman" w:cs="Times New Roman"/>
          <w:color w:val="auto"/>
          <w:u w:val="none" w:color="auto"/>
        </w:rPr>
        <w:t>设立挡土墙、排洪沟、沉沙池、用塑料布覆盖松散的表土层等临时水土保持设施，以防止雨水冲刷造成水土流失。</w:t>
      </w:r>
    </w:p>
    <w:p w14:paraId="04D43EA3">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沉淀池污泥</w:t>
      </w:r>
    </w:p>
    <w:p w14:paraId="4002170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本工程施工期产生的废水经沉淀池处理后会产生污泥、泥渣，施工期产生量约为5t。定期清理后运至弃渣场填埋。</w:t>
      </w:r>
    </w:p>
    <w:p w14:paraId="46BF899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采取上述措施后，施工期固体废物可得到有效处理，对周围环境影响较小，措施可行。</w:t>
      </w:r>
    </w:p>
    <w:p w14:paraId="65F902A4">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施工期生态环境保护措施及其可行性论证</w:t>
      </w:r>
    </w:p>
    <w:p w14:paraId="30EF2415">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陆生生态环境保护措施</w:t>
      </w:r>
    </w:p>
    <w:p w14:paraId="44B011A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陆生植物保护措施</w:t>
      </w:r>
    </w:p>
    <w:p w14:paraId="42ACFC3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建设对生态环境影响主要体现为生境占用引起植物生物量减少、施工活动影响植物生长发育、植被生长及植被演替的影响等。经现场实地调查，受工程影响的植被主要为马尾松林、灌丛和草丛植被；施工活动对植物及植被的影响可通过如下措施进行</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和补偿。</w:t>
      </w:r>
    </w:p>
    <w:p w14:paraId="7E49346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与减缓措施</w:t>
      </w:r>
    </w:p>
    <w:p w14:paraId="0EC705EA">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就是采取适当的措施，尽可能在最大程度上</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或减少不利的生态影响。生态影响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是对具有重要生态功能或者重要保护价值的生态系统予以绝对保护而采取的措施。生态影响的削减是对难以</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的不利生态影响采取一定措施减轻受影响的范围和程度。生态影响的削减通常是采取先进的生态设计方法减少损失。根据本工程特点，建议采取以下生态影响</w:t>
      </w:r>
      <w:r>
        <w:rPr>
          <w:rFonts w:hint="default" w:ascii="Times New Roman" w:hAnsi="Times New Roman" w:cs="Times New Roman"/>
          <w:color w:val="auto"/>
          <w:highlight w:val="none"/>
          <w:u w:val="none" w:color="auto"/>
        </w:rPr>
        <w:t>的</w:t>
      </w:r>
      <w:r>
        <w:rPr>
          <w:rFonts w:hint="default" w:ascii="Times New Roman" w:hAnsi="Times New Roman" w:cs="Times New Roman"/>
          <w:color w:val="auto"/>
          <w:highlight w:val="none"/>
          <w:u w:val="none" w:color="auto"/>
          <w:lang w:eastAsia="zh-CN"/>
        </w:rPr>
        <w:t>避让</w:t>
      </w:r>
      <w:r>
        <w:rPr>
          <w:rFonts w:hint="default" w:ascii="Times New Roman" w:hAnsi="Times New Roman" w:cs="Times New Roman"/>
          <w:color w:val="auto"/>
          <w:u w:val="none" w:color="auto"/>
        </w:rPr>
        <w:t>和消减措施</w:t>
      </w:r>
      <w:r>
        <w:rPr>
          <w:rFonts w:hint="default" w:ascii="Times New Roman" w:hAnsi="Times New Roman" w:cs="Times New Roman"/>
          <w:color w:val="auto"/>
          <w:u w:val="none" w:color="auto"/>
          <w:lang w:eastAsia="zh-CN"/>
        </w:rPr>
        <w:t>:</w:t>
      </w:r>
    </w:p>
    <w:p w14:paraId="41D114D5">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界定施工红线，在施工前界定施工红线，保证施工活动要在征地范围内进行。严格划定施工范围和人员、车辆的行走路线等，</w:t>
      </w:r>
      <w:r>
        <w:rPr>
          <w:rFonts w:hint="default" w:ascii="Times New Roman" w:hAnsi="Times New Roman" w:cs="Times New Roman"/>
          <w:color w:val="auto"/>
          <w:u w:val="none" w:color="auto"/>
          <w:lang w:eastAsia="zh-CN"/>
        </w:rPr>
        <w:t>避让</w:t>
      </w:r>
      <w:r>
        <w:rPr>
          <w:rFonts w:hint="default" w:ascii="Times New Roman" w:hAnsi="Times New Roman" w:cs="Times New Roman"/>
          <w:color w:val="auto"/>
          <w:u w:val="none" w:color="auto"/>
        </w:rPr>
        <w:t>对施工范围之外区域的植被造成碾压和破坏。</w:t>
      </w:r>
      <w:r>
        <w:rPr>
          <w:rFonts w:hint="default" w:ascii="Times New Roman" w:hAnsi="Times New Roman" w:cs="Times New Roman"/>
          <w:color w:val="auto"/>
          <w:highlight w:val="none"/>
          <w:u w:val="none" w:color="auto"/>
          <w:lang w:eastAsia="zh-CN"/>
        </w:rPr>
        <w:t>竖立</w:t>
      </w:r>
      <w:r>
        <w:rPr>
          <w:rFonts w:hint="default" w:ascii="Times New Roman" w:hAnsi="Times New Roman" w:cs="Times New Roman"/>
          <w:color w:val="auto"/>
          <w:u w:val="none" w:color="auto"/>
          <w:lang w:eastAsia="zh-CN"/>
        </w:rPr>
        <w:t>警示牌</w:t>
      </w:r>
      <w:r>
        <w:rPr>
          <w:rFonts w:hint="default" w:ascii="Times New Roman" w:hAnsi="Times New Roman" w:cs="Times New Roman"/>
          <w:color w:val="auto"/>
          <w:u w:val="none" w:color="auto"/>
        </w:rPr>
        <w:t>和宣传牌，防止施工人员随意进出各类敏感区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禁止越界施工占地或砍伐林木，减少占地造成的植被损失</w:t>
      </w:r>
      <w:r>
        <w:rPr>
          <w:rFonts w:hint="default" w:ascii="Times New Roman" w:hAnsi="Times New Roman" w:cs="Times New Roman"/>
          <w:color w:val="auto"/>
          <w:u w:val="none" w:color="auto"/>
          <w:lang w:eastAsia="zh-CN"/>
        </w:rPr>
        <w:t>。</w:t>
      </w:r>
    </w:p>
    <w:p w14:paraId="1FB5A6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优化工程布置，施工场地的选择与布置，应考虑尽量不占或少占用林地，保护好周围的环境，防止对自然生态和植被造成不应有的破坏。</w:t>
      </w:r>
    </w:p>
    <w:p w14:paraId="0DA5F76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C</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优化施工时间，涉及</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在施工时间上选在枯水期进行，满足旱地施工，减少对水生生境影响。</w:t>
      </w:r>
    </w:p>
    <w:p w14:paraId="6DD0F4F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D</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对施工机械的管理，防止跑冒漏油事件发生，避免油污等进入水域对水环境造成影响。同时施工带来的固、液体废弃物要严格排放到指定地点，严禁随意排放，防止固体废物及污水等对重点评价区域的植被造成污染，对不慎造成的污染及时进行治理。</w:t>
      </w:r>
    </w:p>
    <w:p w14:paraId="45A1A49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E</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区的临时堆料场、施工车辆、施工便道应集中安置，尽量避免随处安放或零散放置。施工区等临时建筑尽可能采用成品或简易拼装方式，尽量减轻对土壤及植被的破坏。施工人员的生活垃圾应进行统一处理后，集中外运，杜绝随意乱丢乱扔，破坏水域、压毁植被。</w:t>
      </w:r>
    </w:p>
    <w:p w14:paraId="79F9121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F</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施工时减少水土流失，边坡开挖时，应注意采取在坡脚、坡面砌护坡，避免大面积</w:t>
      </w:r>
      <w:r>
        <w:rPr>
          <w:rFonts w:hint="default" w:ascii="Times New Roman" w:hAnsi="Times New Roman" w:cs="Times New Roman"/>
          <w:color w:val="auto"/>
          <w:u w:val="none" w:color="auto"/>
          <w:lang w:eastAsia="zh-CN"/>
        </w:rPr>
        <w:t>积</w:t>
      </w:r>
      <w:r>
        <w:rPr>
          <w:rFonts w:hint="default" w:ascii="Times New Roman" w:hAnsi="Times New Roman" w:cs="Times New Roman"/>
          <w:color w:val="auto"/>
          <w:u w:val="none" w:color="auto"/>
        </w:rPr>
        <w:t>水冲刷山体，造成水土流失，对河流污染降到最低。挖填方力求平衡，及时清</w:t>
      </w:r>
      <w:r>
        <w:rPr>
          <w:rFonts w:hint="default" w:ascii="Times New Roman" w:hAnsi="Times New Roman" w:cs="Times New Roman"/>
          <w:color w:val="auto"/>
          <w:highlight w:val="none"/>
          <w:u w:val="none" w:color="auto"/>
        </w:rPr>
        <w:t>移弃</w:t>
      </w:r>
      <w:r>
        <w:rPr>
          <w:rFonts w:hint="default" w:ascii="Times New Roman" w:hAnsi="Times New Roman" w:cs="Times New Roman"/>
          <w:color w:val="auto"/>
          <w:u w:val="none" w:color="auto"/>
        </w:rPr>
        <w:t>土。边坡较高时，应石砌护坡，以防滑坡和崩塌。采用上述工程措施的同时，应及时结合坡面植草绿化措施，增加地面植被覆盖率，减少土壤被雨水冲刷及水土流失。为了减轻水土流失污染影响，靠山坡内侧应石砌排水沟，并设置</w:t>
      </w:r>
      <w:r>
        <w:rPr>
          <w:rFonts w:hint="default" w:ascii="Times New Roman" w:hAnsi="Times New Roman" w:cs="Times New Roman"/>
          <w:color w:val="auto"/>
          <w:highlight w:val="none"/>
          <w:u w:val="none" w:color="auto"/>
          <w:lang w:eastAsia="zh-CN"/>
        </w:rPr>
        <w:t>沉沙池</w:t>
      </w:r>
      <w:r>
        <w:rPr>
          <w:rFonts w:hint="default" w:ascii="Times New Roman" w:hAnsi="Times New Roman" w:cs="Times New Roman"/>
          <w:color w:val="auto"/>
          <w:u w:val="none" w:color="auto"/>
        </w:rPr>
        <w:t>，减少水土流失对环境污染。</w:t>
      </w:r>
    </w:p>
    <w:p w14:paraId="5BA9CB9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生态影响的恢复措施</w:t>
      </w:r>
    </w:p>
    <w:p w14:paraId="5069B6E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 xml:space="preserve">坝体加固施工完毕或临时用地使用结束后需进行土地整治，并根据当地条件植树植草或土地开垦及时复垦，尽快进行植被恢复。绿化及水土保持的草种、树种应采用当地种，尽量不用或少用外来种，避免因引进外来种从而威胁到本地种； </w:t>
      </w:r>
    </w:p>
    <w:p w14:paraId="4C2F8C7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施工过程中应严格按照水土保持设计方案处置工程弃土，弃土先挡后弃，需有排水、绿化防护及其它综合利用措施，按原占地前的用地状况进行生态恢复或复垦。本工程临时占地占用</w:t>
      </w:r>
      <w:r>
        <w:rPr>
          <w:rFonts w:hint="default" w:ascii="Times New Roman" w:hAnsi="Times New Roman" w:cs="Times New Roman"/>
          <w:color w:val="auto"/>
          <w:u w:val="none" w:color="auto"/>
          <w:lang w:val="en-US" w:eastAsia="zh-CN"/>
        </w:rPr>
        <w:t>0.709公顷</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为</w:t>
      </w:r>
      <w:r>
        <w:rPr>
          <w:rFonts w:hint="default" w:ascii="Times New Roman" w:hAnsi="Times New Roman" w:cs="Times New Roman"/>
          <w:color w:val="auto"/>
          <w:u w:val="none" w:color="auto"/>
          <w:lang w:val="en-US" w:eastAsia="zh-CN"/>
        </w:rPr>
        <w:t>林地和草地</w:t>
      </w:r>
      <w:r>
        <w:rPr>
          <w:rFonts w:hint="default" w:ascii="Times New Roman" w:hAnsi="Times New Roman" w:cs="Times New Roman"/>
          <w:color w:val="auto"/>
          <w:u w:val="none" w:color="auto"/>
        </w:rPr>
        <w:t>，使生境受到一定影响，需对其实施生态恢复措施，在实施生态恢复措施时应结合当地的气候特点。</w:t>
      </w:r>
    </w:p>
    <w:p w14:paraId="7AFE6B8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土壤保护</w:t>
      </w:r>
    </w:p>
    <w:p w14:paraId="7642955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及时清除各污水沉淀池中的底泥及弃渣，及时用汽车拖运至弃渣场堆放，拖运的汽车采取防渗、遮盖等措施，防止底泥遗撒污染环境；施工过程中可能还会产生少量危险固体废物，施工机械、运输等设备的更换油及清洗油</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泥</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通过具有专业资质公司回收处理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因废水处理系统产生的底泥大多呈碱性，在采取植被绿化的时候，应尽量在其表面堆放其他宜耕作土壤，保证植被的成活率。</w:t>
      </w:r>
    </w:p>
    <w:p w14:paraId="31CD5E1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植被恢复</w:t>
      </w:r>
    </w:p>
    <w:p w14:paraId="2FC0430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施工结束后，应及时对施工活动影响进行植被恢复。按照“等量恢复”的原则下，植物种的选择以当地的优良乡土植物为主，适当引进新的优良种，保证绿化栽植的成活率，同时考虑多种植物的交错分布，提高区域植物种类的多样性。为提高绿化栽植的成活率，把剥离的表土回填至植被恢复区内。根据评价区生态环境特点及区域植被分布特征,植被恢复时乔木树种应尽量选择马尾松、杉木等，灌木尽量选择檵木、盐肤木等，草本植物尽量选择芒、白茅等，这些植物皆为评价区常见种，其适应性强，生长快，且可起到较好的水土保持的作用。</w:t>
      </w:r>
    </w:p>
    <w:p w14:paraId="11F2ECB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生态影响管理措施</w:t>
      </w:r>
    </w:p>
    <w:p w14:paraId="1534BBE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A</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政府职能部门和项目业主要高度重视，并落实监督机制，保证各项生态措施的实施，并加强对施工人员及施工活动的管理。</w:t>
      </w:r>
    </w:p>
    <w:p w14:paraId="00F1DE0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B</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施工人员进驻前，可通过会议及宣传册等方式加强对施工人员进行环境教育，</w:t>
      </w:r>
      <w:r>
        <w:rPr>
          <w:rFonts w:hint="default" w:ascii="Times New Roman" w:hAnsi="Times New Roman" w:cs="Times New Roman"/>
          <w:color w:val="auto"/>
          <w:u w:val="none" w:color="auto"/>
          <w:lang w:eastAsia="zh-CN"/>
        </w:rPr>
        <w:t>增强</w:t>
      </w:r>
      <w:r>
        <w:rPr>
          <w:rFonts w:hint="default" w:ascii="Times New Roman" w:hAnsi="Times New Roman" w:cs="Times New Roman"/>
          <w:color w:val="auto"/>
          <w:u w:val="none" w:color="auto"/>
        </w:rPr>
        <w:t>施工人员的生态保护意识。</w:t>
      </w:r>
    </w:p>
    <w:p w14:paraId="103FB91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C</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施工过程中，禁止施工人员对植被滥砍滥伐，严格限制施工人员的活动范围，以防止破坏沿线的生态环境。强化水土流失的综合治理，做好水土保持方案与设计，防止水土流失造成进一步的植被破坏。</w:t>
      </w:r>
    </w:p>
    <w:p w14:paraId="4A88CC53">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陆生动物保护措施</w:t>
      </w:r>
    </w:p>
    <w:p w14:paraId="4F619F71">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避免措施</w:t>
      </w:r>
    </w:p>
    <w:p w14:paraId="33F46F6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根据现场调查，在评价区内繁殖的鸟类占比较高，区域内繁殖鸟类主要繁殖期为3~7月，主要营巢于林地内，工程施工会对区域鸟类繁殖造成一定影响。建议施工期尽量避开区域鸟类主要繁殖期。</w:t>
      </w:r>
    </w:p>
    <w:p w14:paraId="06CEEAB4">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减缓措施</w:t>
      </w:r>
    </w:p>
    <w:p w14:paraId="282C14C1">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a</w:t>
      </w:r>
      <w:r>
        <w:rPr>
          <w:rFonts w:hint="default" w:ascii="Times New Roman" w:hAnsi="Times New Roman" w:cs="Times New Roman"/>
          <w:color w:val="auto"/>
          <w:u w:val="none" w:color="auto"/>
        </w:rPr>
        <w:t>施工期间项目建设单位组织生态环保宣传教育，增强施工人员的保护意识，严禁捕猎野生动物。施工人员必须遵守《中华人民共和国野生动物保护法》 ，严禁在施工区及其周围捕猎野生动物，特别是国家级重点保护动物、 《中国生物多样性红色名录》中评估为珍稀濒危的野生动物、中国特有种等重要物种，在施工时严禁对其进行猎捕，严禁施工人员捕杀野生动物。</w:t>
      </w:r>
    </w:p>
    <w:p w14:paraId="1AD22058">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b</w:t>
      </w:r>
      <w:r>
        <w:rPr>
          <w:rFonts w:hint="default" w:ascii="Times New Roman" w:hAnsi="Times New Roman" w:cs="Times New Roman"/>
          <w:color w:val="auto"/>
          <w:u w:val="none" w:color="auto"/>
        </w:rPr>
        <w:t>施工单位合理设置工程施工时段和方式, 防止噪声对野生动物的惊扰。野生鸟类和兽类大多是早晨、黄昏或夜间外出觅食，正午是鸟类休息时间。为了减少工程施工噪声对野生动物的惊扰，应做好施工方式和时间的计划，并力求避免在晨昏和正午的噪声影响等。</w:t>
      </w:r>
    </w:p>
    <w:p w14:paraId="5FD3CE04">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c</w:t>
      </w:r>
      <w:r>
        <w:rPr>
          <w:rFonts w:hint="default" w:ascii="Times New Roman" w:hAnsi="Times New Roman" w:cs="Times New Roman"/>
          <w:color w:val="auto"/>
          <w:u w:val="none" w:color="auto"/>
        </w:rPr>
        <w:t>主体工程工时需要不断观察周围水域，不断改进施工方案，减少污染，尽量减少对河床的扰动。</w:t>
      </w:r>
    </w:p>
    <w:p w14:paraId="101313B4">
      <w:pPr>
        <w:bidi w:val="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3）</w:t>
      </w:r>
      <w:r>
        <w:rPr>
          <w:rFonts w:hint="default" w:ascii="Times New Roman" w:hAnsi="Times New Roman" w:cs="Times New Roman"/>
          <w:color w:val="auto"/>
          <w:u w:val="none" w:color="auto"/>
        </w:rPr>
        <w:t>重要物种的保护措施</w:t>
      </w:r>
    </w:p>
    <w:p w14:paraId="18BAB3BF">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植物：</w:t>
      </w:r>
      <w:r>
        <w:rPr>
          <w:rFonts w:hint="default" w:ascii="Times New Roman" w:hAnsi="Times New Roman" w:cs="Times New Roman"/>
          <w:color w:val="auto"/>
          <w:u w:val="none" w:color="auto"/>
        </w:rPr>
        <w:t>工程在施工时应采取相关措施加强对国家级省级重点保护野生植物的宣传和保护；加强宣教，严禁采挖。工程施工前对评价区可能分布的保护野生植物应印发宣传手册进行宣传教育，严禁施工人员采挖具有观赏及经济价值的保护植物。工程在施工中若发现国家级省级重点保护野生植物应立即停止施工, 向当地主管部门汇报待保护植物得到相关保护措施后方可进行施工。</w:t>
      </w:r>
    </w:p>
    <w:p w14:paraId="737B88A6">
      <w:pPr>
        <w:bidi w:val="0"/>
        <w:rPr>
          <w:rFonts w:hint="default" w:ascii="Times New Roman" w:hAnsi="Times New Roman" w:cs="Times New Roman"/>
          <w:color w:val="auto"/>
          <w:u w:val="none" w:color="auto"/>
        </w:rPr>
      </w:pPr>
      <w:r>
        <w:rPr>
          <w:rFonts w:hint="eastAsia" w:cs="Times New Roman"/>
          <w:color w:val="auto"/>
          <w:u w:val="none" w:color="auto"/>
          <w:lang w:val="en-US" w:eastAsia="zh-CN"/>
        </w:rPr>
        <w:t>动物：</w:t>
      </w:r>
      <w:r>
        <w:rPr>
          <w:rFonts w:hint="default" w:ascii="Times New Roman" w:hAnsi="Times New Roman" w:cs="Times New Roman"/>
          <w:color w:val="auto"/>
          <w:u w:val="none" w:color="auto"/>
        </w:rPr>
        <w:t>施工期，工程施工严格控制征地范围:选用低噪音设备，禁止正午和晨昏进行高噪声活动;主体工程施工避开冬候鸟栖息时间:加强动物的监测，及时掌握重点保护动物分布范围、数量、种类、栖息生境等。加强与地方野生动物保护部门的联系，在工程实施期间，若发现受伤的野生动物及时上报。</w:t>
      </w:r>
    </w:p>
    <w:p w14:paraId="2CB6B4B6">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水生生物保护措施</w:t>
      </w:r>
    </w:p>
    <w:p w14:paraId="521155D4">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根据建设单位施工组织，本工程施工</w:t>
      </w:r>
      <w:r>
        <w:rPr>
          <w:rFonts w:hint="default" w:ascii="Times New Roman" w:hAnsi="Times New Roman" w:cs="Times New Roman"/>
          <w:color w:val="auto"/>
          <w:u w:val="none" w:color="auto"/>
          <w:lang w:val="en-US" w:eastAsia="zh-CN"/>
        </w:rPr>
        <w:t>主要</w:t>
      </w:r>
      <w:r>
        <w:rPr>
          <w:rFonts w:hint="default" w:ascii="Times New Roman" w:hAnsi="Times New Roman" w:cs="Times New Roman"/>
          <w:color w:val="auto"/>
          <w:u w:val="none" w:color="auto"/>
        </w:rPr>
        <w:t>为旱地施工，对</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水生生物资源影响较小，本评价提出以下措施</w:t>
      </w:r>
      <w:r>
        <w:rPr>
          <w:rFonts w:hint="default" w:ascii="Times New Roman" w:hAnsi="Times New Roman" w:cs="Times New Roman"/>
          <w:color w:val="auto"/>
          <w:u w:val="none" w:color="auto"/>
          <w:lang w:eastAsia="zh-CN"/>
        </w:rPr>
        <w:t>:</w:t>
      </w:r>
    </w:p>
    <w:p w14:paraId="23052FD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涉水工程施工时，应根据鱼类繁殖时间</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3~7月</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调整工程施工期和施工计划，尽量避免在鱼类繁殖时间进行水下施工。</w:t>
      </w:r>
    </w:p>
    <w:p w14:paraId="7683FD0D">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2</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为避免施工期间对水生生物造成伤害，施工单位应优化施工工艺方案，特别是涉水工程，尽量水下施工的时间和强度。陆上施工时也应尽量减轻噪声污染。抓紧施工进度，尽量缩短作业时间。</w:t>
      </w:r>
    </w:p>
    <w:p w14:paraId="21B3A341">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3</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施工过程中产生的生产废水和生活污水经处理后回收利用或用于周边浇灌，尽量减少污水的排放量或者不排放污水。</w:t>
      </w:r>
    </w:p>
    <w:p w14:paraId="101B90E1">
      <w:pPr>
        <w:bidi w:val="0"/>
        <w:rPr>
          <w:rFonts w:hint="default" w:ascii="Times New Roman" w:hAnsi="Times New Roman" w:cs="Times New Roman"/>
          <w:color w:val="auto"/>
          <w:u w:val="none" w:color="auto"/>
        </w:rPr>
      </w:pP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4</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工程施工期间、水库蓄水期需通过抽水或生态放流孔的方式下放生态流量，确保满足下游生态流量要求。</w:t>
      </w:r>
    </w:p>
    <w:p w14:paraId="40A93B8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施工临时占地裸露地面，采取水土保持措施，减少水土流失造成的水体污染，避免对</w:t>
      </w:r>
      <w:r>
        <w:rPr>
          <w:rFonts w:hint="default" w:ascii="Times New Roman" w:hAnsi="Times New Roman" w:cs="Times New Roman"/>
          <w:color w:val="auto"/>
          <w:u w:val="none" w:color="auto"/>
          <w:lang w:eastAsia="zh-CN"/>
        </w:rPr>
        <w:t>廊</w:t>
      </w:r>
      <w:r>
        <w:rPr>
          <w:rFonts w:hint="default" w:ascii="Times New Roman" w:hAnsi="Times New Roman" w:cs="Times New Roman"/>
          <w:color w:val="auto"/>
          <w:highlight w:val="none"/>
          <w:u w:val="none" w:color="auto"/>
          <w:lang w:eastAsia="zh-CN"/>
        </w:rPr>
        <w:t>洞水库</w:t>
      </w:r>
      <w:r>
        <w:rPr>
          <w:rFonts w:hint="default" w:ascii="Times New Roman" w:hAnsi="Times New Roman" w:cs="Times New Roman"/>
          <w:color w:val="auto"/>
          <w:u w:val="none" w:color="auto"/>
        </w:rPr>
        <w:t>水质产生影响。</w:t>
      </w:r>
    </w:p>
    <w:p w14:paraId="15C67704">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生态保护措施</w:t>
      </w:r>
    </w:p>
    <w:p w14:paraId="6859D7B6">
      <w:pPr>
        <w:bidi w:val="0"/>
        <w:rPr>
          <w:rFonts w:hint="default" w:ascii="Times New Roman" w:hAnsi="Times New Roman" w:cs="Times New Roman"/>
          <w:color w:val="auto"/>
          <w:u w:val="none" w:color="auto"/>
          <w:lang w:val="en-US" w:eastAsia="zh-CN"/>
        </w:rPr>
      </w:pPr>
      <w:r>
        <w:rPr>
          <w:rFonts w:hint="eastAsia" w:ascii="Times New Roman" w:hAnsi="Times New Roman" w:cs="Times New Roman"/>
          <w:color w:val="auto"/>
          <w:lang w:eastAsia="zh-CN"/>
        </w:rPr>
        <w:t>(</w:t>
      </w:r>
      <w:r>
        <w:rPr>
          <w:rFonts w:hint="default" w:ascii="Times New Roman" w:hAnsi="Times New Roman" w:cs="Times New Roman"/>
          <w:color w:val="auto"/>
        </w:rPr>
        <w:t>1</w:t>
      </w:r>
      <w:r>
        <w:rPr>
          <w:rFonts w:hint="eastAsia" w:ascii="Times New Roman" w:hAnsi="Times New Roman" w:cs="Times New Roman"/>
          <w:color w:val="auto"/>
          <w:lang w:eastAsia="zh-CN"/>
        </w:rPr>
        <w:t>)</w:t>
      </w:r>
      <w:r>
        <w:rPr>
          <w:rFonts w:hint="default" w:ascii="Times New Roman" w:hAnsi="Times New Roman" w:cs="Times New Roman"/>
          <w:color w:val="auto"/>
          <w:u w:val="none" w:color="auto"/>
          <w:lang w:val="en-US" w:eastAsia="zh-CN"/>
        </w:rPr>
        <w:t>项目施工前应对工程占用区域可利用的表土进行剥离，单独堆存，加强表土堆存防护及管理，确保有效回用。施工过程中，采取绿色施工工艺，减少地表开挖，合理设计高陡边坡支挡、加固措施，减少对脆弱生态的扰动。</w:t>
      </w:r>
    </w:p>
    <w:p w14:paraId="2B0A2B0C">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eastAsia" w:ascii="Times New Roman" w:hAnsi="Times New Roman" w:cs="Times New Roman"/>
          <w:color w:val="auto"/>
          <w:lang w:eastAsia="zh-CN"/>
        </w:rPr>
        <w:t>)</w:t>
      </w:r>
      <w:r>
        <w:rPr>
          <w:rFonts w:hint="default" w:ascii="Times New Roman" w:hAnsi="Times New Roman" w:cs="Times New Roman"/>
          <w:color w:val="auto"/>
        </w:rPr>
        <w:t>所有的挖方弃土不得随地放置，更加不允许向水库中倾倒，应倾倒在设计的弃土场，同时做好弃土场的水土保持措施，在弃土结束后应该及时恢复植被进行美化绿化。</w:t>
      </w:r>
    </w:p>
    <w:p w14:paraId="6555F74C">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color w:val="auto"/>
        </w:rPr>
        <w:t>严禁破坏库区两旁的植被，保持其原有的森林景观。</w:t>
      </w:r>
    </w:p>
    <w:p w14:paraId="186633B1">
      <w:pPr>
        <w:pStyle w:val="181"/>
        <w:ind w:firstLine="480"/>
        <w:rPr>
          <w:rFonts w:hint="default" w:ascii="Times New Roman" w:hAnsi="Times New Roman" w:cs="Times New Roman"/>
          <w:color w:val="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4</w:t>
      </w:r>
      <w:r>
        <w:rPr>
          <w:rFonts w:hint="eastAsia" w:ascii="Times New Roman" w:hAnsi="Times New Roman" w:cs="Times New Roman"/>
          <w:color w:val="auto"/>
          <w:lang w:eastAsia="zh-CN"/>
        </w:rPr>
        <w:t>)</w:t>
      </w:r>
      <w:r>
        <w:rPr>
          <w:rFonts w:hint="default" w:ascii="Times New Roman" w:hAnsi="Times New Roman" w:cs="Times New Roman"/>
          <w:color w:val="auto"/>
        </w:rPr>
        <w:t>做好大坝及库区周围的绿化美化工作，在工程用地范围内植树种草绿化，尽量选择当地的、具有良好观赏价值的乡土物种，使水库与周围的自然景观相和谐。</w:t>
      </w:r>
    </w:p>
    <w:p w14:paraId="7D619842">
      <w:pPr>
        <w:bidi w:val="0"/>
        <w:rPr>
          <w:rFonts w:hint="default" w:ascii="Times New Roman" w:hAnsi="Times New Roman" w:cs="Times New Roman"/>
          <w:color w:val="auto"/>
          <w:u w:val="none" w:color="auto"/>
        </w:rPr>
      </w:pPr>
      <w:r>
        <w:rPr>
          <w:rFonts w:hint="eastAsia" w:ascii="Times New Roman" w:hAnsi="Times New Roman" w:cs="Times New Roman"/>
          <w:color w:val="auto"/>
          <w:lang w:eastAsia="zh-CN"/>
        </w:rPr>
        <w:t>(</w:t>
      </w:r>
      <w:r>
        <w:rPr>
          <w:rFonts w:hint="default"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default" w:ascii="Times New Roman" w:hAnsi="Times New Roman" w:cs="Times New Roman"/>
          <w:color w:val="auto"/>
        </w:rPr>
        <w:t>做好易滑坡造成水土流失而影响景观的坡面的水土保持工作，建议用工程措施和生物措施相结合的方法。严禁造成水土流失隐患和对周围景区景观的破坏</w:t>
      </w:r>
      <w:r>
        <w:rPr>
          <w:rFonts w:hint="default" w:ascii="Times New Roman" w:hAnsi="Times New Roman" w:cs="Times New Roman"/>
          <w:color w:val="auto"/>
          <w:u w:val="none" w:color="auto"/>
        </w:rPr>
        <w:t>。</w:t>
      </w:r>
    </w:p>
    <w:p w14:paraId="6AEB381E">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生态流量保障</w:t>
      </w:r>
      <w:r>
        <w:rPr>
          <w:rFonts w:hint="default" w:ascii="Times New Roman" w:hAnsi="Times New Roman" w:cs="Times New Roman"/>
          <w:color w:val="auto"/>
          <w:u w:val="none" w:color="auto"/>
          <w:lang w:val="en-US" w:eastAsia="zh-CN"/>
        </w:rPr>
        <w:t>措施</w:t>
      </w:r>
    </w:p>
    <w:p w14:paraId="5BED73D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根据生态流量下泄原则，</w:t>
      </w:r>
      <w:r>
        <w:rPr>
          <w:rFonts w:hint="default" w:ascii="Times New Roman" w:hAnsi="Times New Roman" w:cs="Times New Roman" w:eastAsiaTheme="minorEastAsia"/>
          <w:color w:val="auto"/>
          <w:sz w:val="24"/>
          <w:szCs w:val="24"/>
          <w:u w:val="none" w:color="auto"/>
        </w:rPr>
        <w:t>采用 Tennant法计算，生态流量不得小于多年平均径流量的1/10确定。根据水文专业复核，</w:t>
      </w: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坝址多年平均径流总量3043.51万m³，多年平</w:t>
      </w:r>
      <w:r>
        <w:rPr>
          <w:rFonts w:hint="default" w:ascii="Times New Roman" w:hAnsi="Times New Roman" w:cs="Times New Roman" w:eastAsiaTheme="minorEastAsia"/>
          <w:color w:val="auto"/>
          <w:sz w:val="24"/>
          <w:szCs w:val="24"/>
          <w:highlight w:val="none"/>
          <w:u w:val="none" w:color="auto"/>
        </w:rPr>
        <w:t>均</w:t>
      </w:r>
      <w:r>
        <w:rPr>
          <w:rFonts w:hint="default" w:ascii="Times New Roman" w:hAnsi="Times New Roman" w:cs="Times New Roman" w:eastAsiaTheme="minorEastAsia"/>
          <w:color w:val="auto"/>
          <w:sz w:val="24"/>
          <w:szCs w:val="24"/>
          <w:u w:val="none" w:color="auto"/>
        </w:rPr>
        <w:t>流量为</w:t>
      </w:r>
      <w:r>
        <w:rPr>
          <w:rFonts w:hint="default" w:ascii="Times New Roman" w:hAnsi="Times New Roman" w:cs="Times New Roman" w:eastAsiaTheme="minorEastAsia"/>
          <w:color w:val="auto"/>
          <w:spacing w:val="-2"/>
          <w:sz w:val="24"/>
          <w:szCs w:val="24"/>
          <w:u w:val="none" w:color="auto"/>
        </w:rPr>
        <w:t>0.965</w:t>
      </w:r>
      <w:r>
        <w:rPr>
          <w:rFonts w:hint="default" w:ascii="Times New Roman" w:hAnsi="Times New Roman" w:cs="Times New Roman" w:eastAsiaTheme="minorEastAsia"/>
          <w:color w:val="auto"/>
          <w:sz w:val="24"/>
          <w:szCs w:val="24"/>
          <w:u w:val="none" w:color="auto"/>
        </w:rPr>
        <w:t>m³/s</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则生态基流下泄流量为</w:t>
      </w:r>
      <w:r>
        <w:rPr>
          <w:rFonts w:hint="default" w:ascii="Times New Roman" w:hAnsi="Times New Roman" w:cs="Times New Roman"/>
          <w:color w:val="auto"/>
          <w:u w:val="none" w:color="auto"/>
          <w:lang w:eastAsia="zh-CN"/>
        </w:rPr>
        <w:t>0.097</w:t>
      </w:r>
      <w:r>
        <w:rPr>
          <w:rFonts w:hint="default" w:ascii="Times New Roman" w:hAnsi="Times New Roman" w:cs="Times New Roman"/>
          <w:color w:val="auto"/>
          <w:u w:val="none" w:color="auto"/>
        </w:rPr>
        <w:t>m³/s。当上游来水大于生态基流时按照生态基流下放，当上游来水小于生态基流时，上游来多少放多少。</w:t>
      </w:r>
    </w:p>
    <w:p w14:paraId="3D87568B">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此次除险加固需对大坝坝体、坝基、坝肩防渗加固处理、上游坝坡局部塌坡整修、大坝下游排水沟延伸重建、溢洪道加固、新建塔式取水设施以及原隧洞加固。</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的下游生态流量下泄可通过大坝下游的一级电站发电尾水或开启坝身进口闸门下泄生态流量。</w:t>
      </w:r>
      <w:r>
        <w:rPr>
          <w:rFonts w:hint="eastAsia"/>
          <w:color w:val="000000" w:themeColor="text1"/>
          <w:highlight w:val="none"/>
          <w14:textFill>
            <w14:solidFill>
              <w14:schemeClr w14:val="tx1"/>
            </w14:solidFill>
          </w14:textFill>
        </w:rPr>
        <w:t>在</w:t>
      </w:r>
      <w:r>
        <w:rPr>
          <w:rFonts w:hint="default" w:ascii="Times New Roman" w:hAnsi="Times New Roman" w:cs="Times New Roman"/>
          <w:color w:val="auto"/>
          <w:u w:val="none" w:color="auto"/>
        </w:rPr>
        <w:t>大坝</w:t>
      </w:r>
      <w:r>
        <w:rPr>
          <w:rFonts w:hint="eastAsia"/>
          <w:color w:val="000000" w:themeColor="text1"/>
          <w:highlight w:val="none"/>
          <w14:textFill>
            <w14:solidFill>
              <w14:schemeClr w14:val="tx1"/>
            </w14:solidFill>
          </w14:textFill>
        </w:rPr>
        <w:t>下游设置</w:t>
      </w:r>
      <w:r>
        <w:rPr>
          <w:rFonts w:hint="eastAsia"/>
          <w:color w:val="000000" w:themeColor="text1"/>
          <w:highlight w:val="none"/>
          <w:lang w:val="en-US" w:eastAsia="zh-CN"/>
          <w14:textFill>
            <w14:solidFill>
              <w14:schemeClr w14:val="tx1"/>
            </w14:solidFill>
          </w14:textFill>
        </w:rPr>
        <w:t>了</w:t>
      </w:r>
      <w:r>
        <w:rPr>
          <w:rFonts w:hint="eastAsia"/>
          <w:color w:val="000000" w:themeColor="text1"/>
          <w:highlight w:val="none"/>
          <w14:textFill>
            <w14:solidFill>
              <w14:schemeClr w14:val="tx1"/>
            </w14:solidFill>
          </w14:textFill>
        </w:rPr>
        <w:t>1套河道生态流量监测系统-超声波流量计进行在线监测，并通过光纤接入水库计算机监控系统及先关监管部门，当坝址下游生态流量监测设施显示下泄流量低于生态流量时，能够及时报警。生态流量在线监控采用图像监视系统，对生态流量泄放情况的实时监控。</w:t>
      </w:r>
    </w:p>
    <w:p w14:paraId="6F0A568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水土保持措施</w:t>
      </w:r>
    </w:p>
    <w:p w14:paraId="7A44719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水土保持措施总体布局</w:t>
      </w:r>
    </w:p>
    <w:p w14:paraId="733E5701">
      <w:pPr>
        <w:rPr>
          <w:rFonts w:hint="default" w:ascii="Times New Roman" w:hAnsi="Times New Roman" w:cs="Times New Roman"/>
          <w:color w:val="auto"/>
          <w:u w:val="none" w:color="auto"/>
        </w:rPr>
      </w:pPr>
      <w:r>
        <w:rPr>
          <w:rFonts w:hint="default" w:ascii="Times New Roman" w:hAnsi="Times New Roman" w:cs="Times New Roman"/>
          <w:color w:val="auto"/>
          <w:u w:val="none" w:color="auto"/>
        </w:rPr>
        <w:t>按照预防措施和治理措施</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包括永久措施和临时措施</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相结合，工程措施和植物措施相结合的原则，水土流失防治措施体系详见表</w:t>
      </w:r>
      <w:r>
        <w:rPr>
          <w:rFonts w:hint="eastAsia" w:cs="Times New Roman"/>
          <w:color w:val="auto"/>
          <w:u w:val="none" w:color="auto"/>
          <w:lang w:val="en-US" w:eastAsia="zh-CN"/>
        </w:rPr>
        <w:t>8</w:t>
      </w:r>
      <w:r>
        <w:rPr>
          <w:rFonts w:hint="default" w:ascii="Times New Roman" w:hAnsi="Times New Roman" w:cs="Times New Roman"/>
          <w:color w:val="auto"/>
          <w:u w:val="none" w:color="auto"/>
          <w:lang w:eastAsia="zh-CN"/>
        </w:rPr>
        <w:t>.1</w:t>
      </w:r>
      <w:r>
        <w:rPr>
          <w:rFonts w:hint="default" w:ascii="Times New Roman" w:hAnsi="Times New Roman" w:cs="Times New Roman"/>
          <w:color w:val="auto"/>
          <w:u w:val="none" w:color="auto"/>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14:paraId="625327BC">
      <w:pPr>
        <w:spacing w:line="240" w:lineRule="auto"/>
        <w:jc w:val="center"/>
        <w:rPr>
          <w:rFonts w:hint="default" w:ascii="Times New Roman" w:hAnsi="Times New Roman" w:cs="Times New Roman"/>
          <w:b/>
          <w:bCs/>
          <w:color w:val="auto"/>
          <w:u w:val="none" w:color="auto"/>
        </w:rPr>
      </w:pPr>
      <w:r>
        <w:rPr>
          <w:rFonts w:hint="default" w:ascii="Times New Roman" w:hAnsi="Times New Roman" w:cs="Times New Roman"/>
          <w:b/>
          <w:bCs/>
          <w:color w:val="auto"/>
          <w:sz w:val="21"/>
          <w:szCs w:val="21"/>
          <w:u w:val="none" w:color="auto"/>
        </w:rPr>
        <w:t>表</w:t>
      </w:r>
      <w:r>
        <w:rPr>
          <w:rFonts w:hint="eastAsia" w:cs="Times New Roman"/>
          <w:b/>
          <w:bCs/>
          <w:color w:val="auto"/>
          <w:sz w:val="21"/>
          <w:szCs w:val="21"/>
          <w:u w:val="none" w:color="auto"/>
          <w:lang w:val="en-US" w:eastAsia="zh-CN"/>
        </w:rPr>
        <w:t>8</w:t>
      </w:r>
      <w:r>
        <w:rPr>
          <w:rFonts w:hint="default" w:ascii="Times New Roman" w:hAnsi="Times New Roman" w:cs="Times New Roman"/>
          <w:b/>
          <w:bCs/>
          <w:color w:val="auto"/>
          <w:sz w:val="21"/>
          <w:szCs w:val="21"/>
          <w:u w:val="none" w:color="auto"/>
          <w:lang w:eastAsia="zh-CN"/>
        </w:rPr>
        <w:t>.1</w:t>
      </w:r>
      <w:r>
        <w:rPr>
          <w:rFonts w:hint="default" w:ascii="Times New Roman" w:hAnsi="Times New Roman" w:cs="Times New Roman"/>
          <w:b/>
          <w:bCs/>
          <w:color w:val="auto"/>
          <w:sz w:val="21"/>
          <w:szCs w:val="21"/>
          <w:u w:val="none" w:color="auto"/>
        </w:rPr>
        <w:t>-</w:t>
      </w:r>
      <w:r>
        <w:rPr>
          <w:rFonts w:hint="eastAsia" w:cs="Times New Roman"/>
          <w:b/>
          <w:bCs/>
          <w:color w:val="auto"/>
          <w:sz w:val="21"/>
          <w:szCs w:val="21"/>
          <w:u w:val="none" w:color="auto"/>
          <w:lang w:val="en-US" w:eastAsia="zh-CN"/>
        </w:rPr>
        <w:t>2</w:t>
      </w:r>
      <w:r>
        <w:rPr>
          <w:rFonts w:hint="default" w:ascii="Times New Roman" w:hAnsi="Times New Roman" w:cs="Times New Roman"/>
          <w:b/>
          <w:bCs/>
          <w:color w:val="auto"/>
          <w:sz w:val="21"/>
          <w:szCs w:val="21"/>
          <w:u w:val="none" w:color="auto"/>
        </w:rPr>
        <w:t xml:space="preserve">  水土流失防治措施体系表</w:t>
      </w:r>
    </w:p>
    <w:tbl>
      <w:tblPr>
        <w:tblStyle w:val="162"/>
        <w:tblW w:w="8786" w:type="dxa"/>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885"/>
        <w:gridCol w:w="2622"/>
        <w:gridCol w:w="1887"/>
        <w:gridCol w:w="2392"/>
      </w:tblGrid>
      <w:tr w14:paraId="2217CA9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1885" w:type="dxa"/>
            <w:vMerge w:val="restart"/>
            <w:tcBorders>
              <w:tl2br w:val="nil"/>
              <w:tr2bl w:val="nil"/>
            </w:tcBorders>
            <w:vAlign w:val="center"/>
          </w:tcPr>
          <w:p w14:paraId="4A47D6B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3"/>
                <w:sz w:val="21"/>
                <w:szCs w:val="21"/>
                <w:u w:val="none" w:color="auto"/>
              </w:rPr>
              <w:t>分区</w:t>
            </w:r>
          </w:p>
        </w:tc>
        <w:tc>
          <w:tcPr>
            <w:tcW w:w="6901" w:type="dxa"/>
            <w:gridSpan w:val="3"/>
            <w:tcBorders>
              <w:tl2br w:val="nil"/>
              <w:tr2bl w:val="nil"/>
            </w:tcBorders>
            <w:vAlign w:val="center"/>
          </w:tcPr>
          <w:p w14:paraId="16D70B5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水土流失防治体系</w:t>
            </w:r>
          </w:p>
        </w:tc>
      </w:tr>
      <w:tr w14:paraId="2731680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85" w:type="dxa"/>
            <w:vMerge w:val="continue"/>
            <w:tcBorders>
              <w:tl2br w:val="nil"/>
              <w:tr2bl w:val="nil"/>
            </w:tcBorders>
            <w:vAlign w:val="center"/>
          </w:tcPr>
          <w:p w14:paraId="294D69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622" w:type="dxa"/>
            <w:tcBorders>
              <w:tl2br w:val="nil"/>
              <w:tr2bl w:val="nil"/>
            </w:tcBorders>
            <w:vAlign w:val="center"/>
          </w:tcPr>
          <w:p w14:paraId="7F51E1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工程措施</w:t>
            </w:r>
          </w:p>
        </w:tc>
        <w:tc>
          <w:tcPr>
            <w:tcW w:w="1887" w:type="dxa"/>
            <w:tcBorders>
              <w:tl2br w:val="nil"/>
              <w:tr2bl w:val="nil"/>
            </w:tcBorders>
            <w:vAlign w:val="center"/>
          </w:tcPr>
          <w:p w14:paraId="6FB3AA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植物措施</w:t>
            </w:r>
          </w:p>
        </w:tc>
        <w:tc>
          <w:tcPr>
            <w:tcW w:w="2392" w:type="dxa"/>
            <w:tcBorders>
              <w:tl2br w:val="nil"/>
              <w:tr2bl w:val="nil"/>
            </w:tcBorders>
            <w:vAlign w:val="center"/>
          </w:tcPr>
          <w:p w14:paraId="1546A32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临时措施</w:t>
            </w:r>
          </w:p>
        </w:tc>
      </w:tr>
      <w:tr w14:paraId="5A33628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1885" w:type="dxa"/>
            <w:tcBorders>
              <w:tl2br w:val="nil"/>
              <w:tr2bl w:val="nil"/>
            </w:tcBorders>
            <w:vAlign w:val="center"/>
          </w:tcPr>
          <w:p w14:paraId="40D60C0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3"/>
                <w:sz w:val="21"/>
                <w:szCs w:val="21"/>
                <w:u w:val="none" w:color="auto"/>
                <w:lang w:eastAsia="zh-CN"/>
              </w:rPr>
              <w:t>主体</w:t>
            </w:r>
            <w:r>
              <w:rPr>
                <w:rFonts w:hint="default" w:ascii="Times New Roman" w:hAnsi="Times New Roman" w:cs="Times New Roman" w:eastAsiaTheme="minorEastAsia"/>
                <w:i w:val="0"/>
                <w:iCs w:val="0"/>
                <w:color w:val="auto"/>
                <w:spacing w:val="5"/>
                <w:sz w:val="21"/>
                <w:szCs w:val="21"/>
                <w:u w:val="none" w:color="auto"/>
              </w:rPr>
              <w:t>工程区</w:t>
            </w:r>
          </w:p>
        </w:tc>
        <w:tc>
          <w:tcPr>
            <w:tcW w:w="2622" w:type="dxa"/>
            <w:tcBorders>
              <w:tl2br w:val="nil"/>
              <w:tr2bl w:val="nil"/>
            </w:tcBorders>
            <w:vAlign w:val="center"/>
          </w:tcPr>
          <w:p w14:paraId="7D063C9C">
            <w:pPr>
              <w:pStyle w:val="59"/>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4"/>
                <w:sz w:val="21"/>
                <w:szCs w:val="21"/>
                <w:u w:val="none" w:color="auto"/>
              </w:rPr>
              <w:t>C25 砼排水沟、土地整治</w:t>
            </w:r>
          </w:p>
        </w:tc>
        <w:tc>
          <w:tcPr>
            <w:tcW w:w="1887" w:type="dxa"/>
            <w:tcBorders>
              <w:tl2br w:val="nil"/>
              <w:tr2bl w:val="nil"/>
            </w:tcBorders>
            <w:vAlign w:val="center"/>
          </w:tcPr>
          <w:p w14:paraId="1501991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pacing w:val="12"/>
                <w:sz w:val="21"/>
                <w:szCs w:val="21"/>
                <w:u w:val="none" w:color="auto"/>
              </w:rPr>
              <w:t>草皮护坡</w:t>
            </w:r>
          </w:p>
        </w:tc>
        <w:tc>
          <w:tcPr>
            <w:tcW w:w="2392" w:type="dxa"/>
            <w:tcBorders>
              <w:tl2br w:val="nil"/>
              <w:tr2bl w:val="nil"/>
            </w:tcBorders>
            <w:vAlign w:val="center"/>
          </w:tcPr>
          <w:p w14:paraId="48D0B3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snapToGrid w:val="0"/>
                <w:color w:val="auto"/>
                <w:kern w:val="0"/>
                <w:sz w:val="21"/>
                <w:szCs w:val="21"/>
                <w:u w:val="none" w:color="auto"/>
                <w:lang w:val="en-US" w:eastAsia="en-US" w:bidi="ar-SA"/>
              </w:rPr>
            </w:pPr>
            <w:r>
              <w:rPr>
                <w:rFonts w:hint="default" w:ascii="Times New Roman" w:hAnsi="Times New Roman" w:cs="Times New Roman" w:eastAsiaTheme="minorEastAsia"/>
                <w:i w:val="0"/>
                <w:iCs w:val="0"/>
                <w:color w:val="auto"/>
                <w:sz w:val="21"/>
                <w:szCs w:val="21"/>
                <w:u w:val="none" w:color="auto"/>
              </w:rPr>
              <w:t>临时苫盖、临时排水沟、</w:t>
            </w:r>
            <w:r>
              <w:rPr>
                <w:rFonts w:hint="default" w:ascii="Times New Roman" w:hAnsi="Times New Roman" w:cs="Times New Roman" w:eastAsiaTheme="minorEastAsia"/>
                <w:i w:val="0"/>
                <w:iCs w:val="0"/>
                <w:color w:val="auto"/>
                <w:spacing w:val="4"/>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临时沉沙池</w:t>
            </w:r>
          </w:p>
        </w:tc>
      </w:tr>
      <w:tr w14:paraId="38BDBD1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1885" w:type="dxa"/>
            <w:vMerge w:val="restart"/>
            <w:tcBorders>
              <w:tl2br w:val="nil"/>
              <w:tr2bl w:val="nil"/>
            </w:tcBorders>
            <w:vAlign w:val="center"/>
          </w:tcPr>
          <w:p w14:paraId="3DFDF8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施工临建区</w:t>
            </w:r>
          </w:p>
        </w:tc>
        <w:tc>
          <w:tcPr>
            <w:tcW w:w="2622" w:type="dxa"/>
            <w:vMerge w:val="restart"/>
            <w:tcBorders>
              <w:tl2br w:val="nil"/>
              <w:tr2bl w:val="nil"/>
            </w:tcBorders>
            <w:vAlign w:val="center"/>
          </w:tcPr>
          <w:p w14:paraId="1C0082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土地整治、表土剥离、表土</w:t>
            </w:r>
            <w:r>
              <w:rPr>
                <w:rFonts w:hint="default" w:ascii="Times New Roman" w:hAnsi="Times New Roman" w:cs="Times New Roman" w:eastAsiaTheme="minorEastAsia"/>
                <w:i w:val="0"/>
                <w:iCs w:val="0"/>
                <w:color w:val="auto"/>
                <w:spacing w:val="10"/>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回覆</w:t>
            </w:r>
          </w:p>
        </w:tc>
        <w:tc>
          <w:tcPr>
            <w:tcW w:w="1887" w:type="dxa"/>
            <w:vMerge w:val="restart"/>
            <w:tcBorders>
              <w:tl2br w:val="nil"/>
              <w:tr2bl w:val="nil"/>
            </w:tcBorders>
            <w:vAlign w:val="center"/>
          </w:tcPr>
          <w:p w14:paraId="019355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26BCA2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临时排水沟、临时沉沙池、</w:t>
            </w:r>
          </w:p>
        </w:tc>
      </w:tr>
      <w:tr w14:paraId="38C2A2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1885" w:type="dxa"/>
            <w:vMerge w:val="continue"/>
            <w:tcBorders>
              <w:tl2br w:val="nil"/>
              <w:tr2bl w:val="nil"/>
            </w:tcBorders>
            <w:vAlign w:val="center"/>
          </w:tcPr>
          <w:p w14:paraId="0B6AF6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622" w:type="dxa"/>
            <w:vMerge w:val="continue"/>
            <w:tcBorders>
              <w:tl2br w:val="nil"/>
              <w:tr2bl w:val="nil"/>
            </w:tcBorders>
            <w:vAlign w:val="center"/>
          </w:tcPr>
          <w:p w14:paraId="0C04CAA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1887" w:type="dxa"/>
            <w:vMerge w:val="continue"/>
            <w:tcBorders>
              <w:tl2br w:val="nil"/>
              <w:tr2bl w:val="nil"/>
            </w:tcBorders>
            <w:vAlign w:val="center"/>
          </w:tcPr>
          <w:p w14:paraId="7EE93A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p>
        </w:tc>
        <w:tc>
          <w:tcPr>
            <w:tcW w:w="2392" w:type="dxa"/>
            <w:tcBorders>
              <w:tl2br w:val="nil"/>
              <w:tr2bl w:val="nil"/>
            </w:tcBorders>
            <w:vAlign w:val="center"/>
          </w:tcPr>
          <w:p w14:paraId="56882E6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临时苫盖</w:t>
            </w:r>
          </w:p>
        </w:tc>
      </w:tr>
      <w:tr w14:paraId="4B48D3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885" w:type="dxa"/>
            <w:tcBorders>
              <w:tl2br w:val="nil"/>
              <w:tr2bl w:val="nil"/>
            </w:tcBorders>
            <w:vAlign w:val="center"/>
          </w:tcPr>
          <w:p w14:paraId="184C0B5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7"/>
                <w:sz w:val="21"/>
                <w:szCs w:val="21"/>
                <w:u w:val="none" w:color="auto"/>
              </w:rPr>
              <w:t>施工便道区</w:t>
            </w:r>
          </w:p>
        </w:tc>
        <w:tc>
          <w:tcPr>
            <w:tcW w:w="2622" w:type="dxa"/>
            <w:tcBorders>
              <w:tl2br w:val="nil"/>
              <w:tr2bl w:val="nil"/>
            </w:tcBorders>
            <w:vAlign w:val="center"/>
          </w:tcPr>
          <w:p w14:paraId="59EA93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8"/>
                <w:sz w:val="21"/>
                <w:szCs w:val="21"/>
                <w:u w:val="none" w:color="auto"/>
              </w:rPr>
              <w:t>土地整治、表土剥离、表土</w:t>
            </w:r>
            <w:r>
              <w:rPr>
                <w:rFonts w:hint="default" w:ascii="Times New Roman" w:hAnsi="Times New Roman" w:cs="Times New Roman" w:eastAsiaTheme="minorEastAsia"/>
                <w:i w:val="0"/>
                <w:iCs w:val="0"/>
                <w:color w:val="auto"/>
                <w:spacing w:val="10"/>
                <w:sz w:val="21"/>
                <w:szCs w:val="21"/>
                <w:u w:val="none" w:color="auto"/>
              </w:rPr>
              <w:t xml:space="preserve"> </w:t>
            </w:r>
            <w:r>
              <w:rPr>
                <w:rFonts w:hint="default" w:ascii="Times New Roman" w:hAnsi="Times New Roman" w:cs="Times New Roman" w:eastAsiaTheme="minorEastAsia"/>
                <w:i w:val="0"/>
                <w:iCs w:val="0"/>
                <w:color w:val="auto"/>
                <w:spacing w:val="-5"/>
                <w:sz w:val="21"/>
                <w:szCs w:val="21"/>
                <w:u w:val="none" w:color="auto"/>
              </w:rPr>
              <w:t>回覆</w:t>
            </w:r>
          </w:p>
        </w:tc>
        <w:tc>
          <w:tcPr>
            <w:tcW w:w="1887" w:type="dxa"/>
            <w:tcBorders>
              <w:tl2br w:val="nil"/>
              <w:tr2bl w:val="nil"/>
            </w:tcBorders>
            <w:vAlign w:val="center"/>
          </w:tcPr>
          <w:p w14:paraId="03234E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442975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9"/>
                <w:sz w:val="21"/>
                <w:szCs w:val="21"/>
                <w:u w:val="none" w:color="auto"/>
              </w:rPr>
              <w:t>临时排水沟、临时沉沙池、</w:t>
            </w:r>
            <w:r>
              <w:rPr>
                <w:rFonts w:hint="default" w:ascii="Times New Roman" w:hAnsi="Times New Roman" w:cs="Times New Roman" w:eastAsiaTheme="minorEastAsia"/>
                <w:i w:val="0"/>
                <w:iCs w:val="0"/>
                <w:color w:val="auto"/>
                <w:spacing w:val="3"/>
                <w:sz w:val="21"/>
                <w:szCs w:val="21"/>
                <w:u w:val="none" w:color="auto"/>
              </w:rPr>
              <w:t xml:space="preserve"> </w:t>
            </w:r>
            <w:r>
              <w:rPr>
                <w:rFonts w:hint="default" w:ascii="Times New Roman" w:hAnsi="Times New Roman" w:cs="Times New Roman" w:eastAsiaTheme="minorEastAsia"/>
                <w:i w:val="0"/>
                <w:iCs w:val="0"/>
                <w:color w:val="auto"/>
                <w:spacing w:val="-1"/>
                <w:sz w:val="21"/>
                <w:szCs w:val="21"/>
                <w:u w:val="none" w:color="auto"/>
              </w:rPr>
              <w:t>临时苫盖</w:t>
            </w:r>
          </w:p>
        </w:tc>
      </w:tr>
      <w:tr w14:paraId="4F51871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885" w:type="dxa"/>
            <w:tcBorders>
              <w:tl2br w:val="nil"/>
              <w:tr2bl w:val="nil"/>
            </w:tcBorders>
            <w:vAlign w:val="center"/>
          </w:tcPr>
          <w:p w14:paraId="1E781E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临时堆土场区</w:t>
            </w:r>
          </w:p>
        </w:tc>
        <w:tc>
          <w:tcPr>
            <w:tcW w:w="2622" w:type="dxa"/>
            <w:tcBorders>
              <w:tl2br w:val="nil"/>
              <w:tr2bl w:val="nil"/>
            </w:tcBorders>
            <w:vAlign w:val="center"/>
          </w:tcPr>
          <w:p w14:paraId="694BC2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土地整治</w:t>
            </w:r>
          </w:p>
        </w:tc>
        <w:tc>
          <w:tcPr>
            <w:tcW w:w="1887" w:type="dxa"/>
            <w:tcBorders>
              <w:tl2br w:val="nil"/>
              <w:tr2bl w:val="nil"/>
            </w:tcBorders>
            <w:vAlign w:val="center"/>
          </w:tcPr>
          <w:p w14:paraId="411DD1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w:t>
            </w:r>
          </w:p>
        </w:tc>
        <w:tc>
          <w:tcPr>
            <w:tcW w:w="2392" w:type="dxa"/>
            <w:tcBorders>
              <w:tl2br w:val="nil"/>
              <w:tr2bl w:val="nil"/>
            </w:tcBorders>
            <w:vAlign w:val="center"/>
          </w:tcPr>
          <w:p w14:paraId="026BEC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临时排水沟、临时沉沙池、</w:t>
            </w:r>
            <w:r>
              <w:rPr>
                <w:rFonts w:hint="default" w:ascii="Times New Roman" w:hAnsi="Times New Roman" w:cs="Times New Roman" w:eastAsiaTheme="minorEastAsia"/>
                <w:i w:val="0"/>
                <w:iCs w:val="0"/>
                <w:color w:val="auto"/>
                <w:spacing w:val="6"/>
                <w:sz w:val="21"/>
                <w:szCs w:val="21"/>
                <w:u w:val="none" w:color="auto"/>
              </w:rPr>
              <w:t xml:space="preserve"> </w:t>
            </w:r>
            <w:r>
              <w:rPr>
                <w:rFonts w:hint="default" w:ascii="Times New Roman" w:hAnsi="Times New Roman" w:cs="Times New Roman" w:eastAsiaTheme="minorEastAsia"/>
                <w:i w:val="0"/>
                <w:iCs w:val="0"/>
                <w:color w:val="auto"/>
                <w:spacing w:val="2"/>
                <w:sz w:val="21"/>
                <w:szCs w:val="21"/>
                <w:u w:val="none" w:color="auto"/>
              </w:rPr>
              <w:t>临时苫盖、袋装土拦挡</w:t>
            </w:r>
          </w:p>
        </w:tc>
      </w:tr>
      <w:tr w14:paraId="13F499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843" w:hRule="atLeast"/>
          <w:jc w:val="center"/>
        </w:trPr>
        <w:tc>
          <w:tcPr>
            <w:tcW w:w="1885" w:type="dxa"/>
            <w:tcBorders>
              <w:tl2br w:val="nil"/>
              <w:tr2bl w:val="nil"/>
            </w:tcBorders>
            <w:vAlign w:val="center"/>
          </w:tcPr>
          <w:p w14:paraId="79DBF4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弃渣场区</w:t>
            </w:r>
          </w:p>
        </w:tc>
        <w:tc>
          <w:tcPr>
            <w:tcW w:w="2622" w:type="dxa"/>
            <w:tcBorders>
              <w:tl2br w:val="nil"/>
              <w:tr2bl w:val="nil"/>
            </w:tcBorders>
            <w:vAlign w:val="center"/>
          </w:tcPr>
          <w:p w14:paraId="1E10147E">
            <w:pPr>
              <w:pStyle w:val="5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C20 砼排水沟、浆砌沉沙池、</w:t>
            </w:r>
          </w:p>
          <w:p w14:paraId="78B699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土地整治、表土剥离、表土</w:t>
            </w:r>
          </w:p>
          <w:p w14:paraId="03DA4F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5"/>
                <w:sz w:val="21"/>
                <w:szCs w:val="21"/>
                <w:u w:val="none" w:color="auto"/>
              </w:rPr>
              <w:t>回覆</w:t>
            </w:r>
          </w:p>
        </w:tc>
        <w:tc>
          <w:tcPr>
            <w:tcW w:w="1887" w:type="dxa"/>
            <w:tcBorders>
              <w:tl2br w:val="nil"/>
              <w:tr2bl w:val="nil"/>
            </w:tcBorders>
            <w:vAlign w:val="center"/>
          </w:tcPr>
          <w:p w14:paraId="731BEA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6"/>
                <w:sz w:val="21"/>
                <w:szCs w:val="21"/>
                <w:u w:val="none" w:color="auto"/>
              </w:rPr>
              <w:t>撒播草籽、紫穗槐</w:t>
            </w:r>
          </w:p>
        </w:tc>
        <w:tc>
          <w:tcPr>
            <w:tcW w:w="2392" w:type="dxa"/>
            <w:tcBorders>
              <w:tl2br w:val="nil"/>
              <w:tr2bl w:val="nil"/>
            </w:tcBorders>
            <w:vAlign w:val="center"/>
          </w:tcPr>
          <w:p w14:paraId="316671E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14"/>
                <w:sz w:val="21"/>
                <w:szCs w:val="21"/>
                <w:u w:val="none" w:color="auto"/>
              </w:rPr>
              <w:t>临时排水沟、临时沉沙池、</w:t>
            </w:r>
          </w:p>
          <w:p w14:paraId="032A83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eastAsiaTheme="minorEastAsia"/>
                <w:i w:val="0"/>
                <w:iCs w:val="0"/>
                <w:color w:val="auto"/>
                <w:sz w:val="21"/>
                <w:szCs w:val="21"/>
                <w:u w:val="none" w:color="auto"/>
              </w:rPr>
            </w:pPr>
            <w:r>
              <w:rPr>
                <w:rFonts w:hint="default" w:ascii="Times New Roman" w:hAnsi="Times New Roman" w:cs="Times New Roman" w:eastAsiaTheme="minorEastAsia"/>
                <w:i w:val="0"/>
                <w:iCs w:val="0"/>
                <w:color w:val="auto"/>
                <w:spacing w:val="4"/>
                <w:sz w:val="21"/>
                <w:szCs w:val="21"/>
                <w:u w:val="none" w:color="auto"/>
              </w:rPr>
              <w:t>临时苫盖</w:t>
            </w:r>
          </w:p>
        </w:tc>
      </w:tr>
    </w:tbl>
    <w:p w14:paraId="07E406CC">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主体工程区</w:t>
      </w:r>
      <w:r>
        <w:rPr>
          <w:rFonts w:hint="eastAsia" w:cs="Times New Roman"/>
          <w:color w:val="auto"/>
          <w:u w:val="none" w:color="auto"/>
          <w:lang w:val="en-US" w:eastAsia="zh-CN"/>
        </w:rPr>
        <w:t>措施</w:t>
      </w:r>
    </w:p>
    <w:p w14:paraId="057EE04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1、临时措施</w:t>
      </w:r>
      <w:r>
        <w:rPr>
          <w:rFonts w:hint="default" w:ascii="Times New Roman" w:hAnsi="Times New Roman" w:cs="Times New Roman" w:eastAsiaTheme="minorEastAsia"/>
          <w:color w:val="auto"/>
          <w:u w:val="none" w:color="auto"/>
        </w:rPr>
        <w:t>布置</w:t>
      </w:r>
    </w:p>
    <w:p w14:paraId="5E929713">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临时拦挡</w:t>
      </w:r>
    </w:p>
    <w:p w14:paraId="09A6620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本工程为干地施工，土石方开挖过程中会产生大量松散土石方， 容易造成水土流失。施工过程中在临时堆土周边布置袋装土临时拦挡，防止开挖过程中的土方散落或直接流失进入水库。施工期间，在场内临时堆土周边及料场坡脚设置编织袋装土拦挡，编织袋拦挡采用顶宽0.75m，高0.75m，边坡1：0.50，底宽1.50m。填土编织袋利用表土或临时堆土填土，后期逐步拆除拦挡。</w:t>
      </w:r>
    </w:p>
    <w:p w14:paraId="412CE01E">
      <w:pPr>
        <w:bidi w:val="0"/>
        <w:rPr>
          <w:rFonts w:hint="default"/>
        </w:rPr>
      </w:pPr>
      <w:r>
        <w:rPr>
          <w:rFonts w:hint="default"/>
          <w:lang w:eastAsia="zh-CN"/>
        </w:rPr>
        <w:t>(</w:t>
      </w:r>
      <w:r>
        <w:rPr>
          <w:rFonts w:hint="default"/>
        </w:rPr>
        <w:t>2</w:t>
      </w:r>
      <w:r>
        <w:rPr>
          <w:rFonts w:hint="default"/>
          <w:lang w:eastAsia="zh-CN"/>
        </w:rPr>
        <w:t>)</w:t>
      </w:r>
      <w:r>
        <w:rPr>
          <w:rFonts w:hint="default"/>
        </w:rPr>
        <w:t>临时苫盖</w:t>
      </w:r>
    </w:p>
    <w:p w14:paraId="2BB6DA86">
      <w:pPr>
        <w:bidi w:val="0"/>
        <w:rPr>
          <w:rFonts w:hint="default"/>
        </w:rPr>
      </w:pPr>
      <w:r>
        <w:rPr>
          <w:rFonts w:hint="default"/>
        </w:rPr>
        <w:t>为防止因降雨对临时堆土及备料的直接冲刷引起的水土流失，并减少扬尘，裸露地采取彩条布苫盖，经统计共需彩条布1.08h</w:t>
      </w:r>
      <w:r>
        <w:rPr>
          <w:rFonts w:hint="eastAsia"/>
          <w:lang w:eastAsia="zh-CN"/>
        </w:rPr>
        <w:t>m</w:t>
      </w:r>
      <w:r>
        <w:rPr>
          <w:rFonts w:hint="eastAsia"/>
          <w:vertAlign w:val="superscript"/>
          <w:lang w:eastAsia="zh-CN"/>
        </w:rPr>
        <w:t>2</w:t>
      </w:r>
      <w:r>
        <w:rPr>
          <w:rFonts w:hint="default"/>
        </w:rPr>
        <w:t>。</w:t>
      </w:r>
    </w:p>
    <w:p w14:paraId="7A1C8181">
      <w:pPr>
        <w:bidi w:val="0"/>
        <w:rPr>
          <w:rFonts w:hint="default"/>
          <w:lang w:val="en-US" w:eastAsia="zh-CN"/>
        </w:rPr>
      </w:pPr>
      <w:r>
        <w:rPr>
          <w:rFonts w:hint="eastAsia"/>
          <w:lang w:val="en-US" w:eastAsia="zh-CN"/>
        </w:rPr>
        <w:t>2、工程措施</w:t>
      </w:r>
    </w:p>
    <w:p w14:paraId="2079DA54">
      <w:pPr>
        <w:bidi w:val="0"/>
        <w:rPr>
          <w:rFonts w:hint="default"/>
        </w:rPr>
      </w:pPr>
      <w:r>
        <w:rPr>
          <w:rFonts w:hint="default"/>
          <w:lang w:eastAsia="zh-CN"/>
        </w:rPr>
        <w:t>(</w:t>
      </w:r>
      <w:r>
        <w:rPr>
          <w:rFonts w:hint="default"/>
        </w:rPr>
        <w:t>1</w:t>
      </w:r>
      <w:r>
        <w:rPr>
          <w:rFonts w:hint="default"/>
          <w:lang w:eastAsia="zh-CN"/>
        </w:rPr>
        <w:t>)</w:t>
      </w:r>
      <w:r>
        <w:rPr>
          <w:rFonts w:hint="default"/>
        </w:rPr>
        <w:t>排水措施</w:t>
      </w:r>
    </w:p>
    <w:p w14:paraId="296F79E0">
      <w:pPr>
        <w:bidi w:val="0"/>
        <w:rPr>
          <w:rFonts w:hint="default"/>
        </w:rPr>
      </w:pPr>
      <w:r>
        <w:rPr>
          <w:rFonts w:hint="default"/>
        </w:rPr>
        <w:t>主体工程区永久排水沟采取0.30*0.30m的矩形砼排水沟符合排水要求；临时排水沟采用底宽0.4m，高0.4m的矩形土质排水沟符合排水要求。</w:t>
      </w:r>
    </w:p>
    <w:p w14:paraId="08819AF7">
      <w:pPr>
        <w:bidi w:val="0"/>
        <w:rPr>
          <w:rFonts w:hint="default"/>
        </w:rPr>
      </w:pPr>
      <w:r>
        <w:rPr>
          <w:rFonts w:hint="default"/>
          <w:lang w:eastAsia="zh-CN"/>
        </w:rPr>
        <w:t>(</w:t>
      </w:r>
      <w:r>
        <w:rPr>
          <w:rFonts w:hint="default"/>
        </w:rPr>
        <w:t>2</w:t>
      </w:r>
      <w:r>
        <w:rPr>
          <w:rFonts w:hint="default"/>
          <w:lang w:eastAsia="zh-CN"/>
        </w:rPr>
        <w:t>)</w:t>
      </w:r>
      <w:r>
        <w:rPr>
          <w:rFonts w:hint="default"/>
        </w:rPr>
        <w:t>沉沙措施设计</w:t>
      </w:r>
    </w:p>
    <w:p w14:paraId="43AA788E">
      <w:pPr>
        <w:bidi w:val="0"/>
        <w:rPr>
          <w:rFonts w:hint="default"/>
        </w:rPr>
      </w:pPr>
      <w:r>
        <w:rPr>
          <w:rFonts w:hint="default"/>
        </w:rPr>
        <w:t>1座临时沉沙池设计尺寸2.0m×1.0m，高1.0m，满足要求，汇集水流经沉沙池沉淀水流中的泥沙后，排至周边已有排水体系。</w:t>
      </w:r>
    </w:p>
    <w:p w14:paraId="70F17AB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3)植物措施</w:t>
      </w:r>
    </w:p>
    <w:p w14:paraId="7CC069DB">
      <w:pPr>
        <w:keepNext w:val="0"/>
        <w:keepLines w:val="0"/>
        <w:pageBreakBefore w:val="0"/>
        <w:widowControl w:val="0"/>
        <w:kinsoku/>
        <w:wordWrap/>
        <w:overflowPunct/>
        <w:topLinePunct w:val="0"/>
        <w:autoSpaceDE/>
        <w:autoSpaceDN/>
        <w:bidi w:val="0"/>
        <w:adjustRightInd/>
        <w:snapToGrid/>
        <w:spacing w:line="360" w:lineRule="auto"/>
        <w:ind w:left="0" w:right="0" w:firstLine="437"/>
        <w:jc w:val="left"/>
        <w:textAlignment w:val="auto"/>
        <w:rPr>
          <w:rFonts w:hint="default" w:ascii="Times New Roman" w:hAnsi="Times New Roman" w:eastAsia="仿宋" w:cs="Times New Roman"/>
          <w:color w:val="auto"/>
          <w:sz w:val="24"/>
          <w:szCs w:val="24"/>
          <w:u w:val="none" w:color="auto"/>
        </w:rPr>
      </w:pPr>
      <w:r>
        <w:rPr>
          <w:rFonts w:hint="default" w:ascii="Times New Roman" w:hAnsi="Times New Roman" w:cs="Times New Roman" w:eastAsiaTheme="minorEastAsia"/>
          <w:color w:val="auto"/>
          <w:spacing w:val="1"/>
          <w:sz w:val="24"/>
          <w:szCs w:val="24"/>
          <w:u w:val="none" w:color="auto"/>
        </w:rPr>
        <w:t>按照《造林技术规程》</w:t>
      </w:r>
      <w:r>
        <w:rPr>
          <w:rFonts w:hint="default" w:ascii="Times New Roman" w:hAnsi="Times New Roman" w:cs="Times New Roman" w:eastAsiaTheme="minorEastAsia"/>
          <w:color w:val="auto"/>
          <w:spacing w:val="1"/>
          <w:sz w:val="24"/>
          <w:szCs w:val="24"/>
          <w:u w:val="none" w:color="auto"/>
          <w:lang w:eastAsia="zh-CN"/>
        </w:rPr>
        <w:t>(</w:t>
      </w:r>
      <w:r>
        <w:rPr>
          <w:rFonts w:hint="default" w:ascii="Times New Roman" w:hAnsi="Times New Roman" w:cs="Times New Roman" w:eastAsiaTheme="minorEastAsia"/>
          <w:color w:val="auto"/>
          <w:sz w:val="24"/>
          <w:szCs w:val="24"/>
          <w:u w:val="none" w:color="auto"/>
        </w:rPr>
        <w:t>GB</w:t>
      </w:r>
      <w:r>
        <w:rPr>
          <w:rFonts w:hint="default" w:ascii="Times New Roman" w:hAnsi="Times New Roman" w:cs="Times New Roman" w:eastAsiaTheme="minorEastAsia"/>
          <w:color w:val="auto"/>
          <w:spacing w:val="1"/>
          <w:sz w:val="24"/>
          <w:szCs w:val="24"/>
          <w:u w:val="none" w:color="auto"/>
        </w:rPr>
        <w:t>/T15776-2006</w:t>
      </w:r>
      <w:r>
        <w:rPr>
          <w:rFonts w:hint="default" w:ascii="Times New Roman" w:hAnsi="Times New Roman" w:cs="Times New Roman" w:eastAsiaTheme="minorEastAsia"/>
          <w:color w:val="auto"/>
          <w:spacing w:val="1"/>
          <w:sz w:val="24"/>
          <w:szCs w:val="24"/>
          <w:u w:val="none" w:color="auto"/>
          <w:lang w:eastAsia="zh-CN"/>
        </w:rPr>
        <w:t>)</w:t>
      </w:r>
      <w:r>
        <w:rPr>
          <w:rFonts w:hint="default" w:ascii="Times New Roman" w:hAnsi="Times New Roman" w:cs="Times New Roman" w:eastAsiaTheme="minorEastAsia"/>
          <w:color w:val="auto"/>
          <w:spacing w:val="1"/>
          <w:sz w:val="24"/>
          <w:szCs w:val="24"/>
          <w:u w:val="none" w:color="auto"/>
        </w:rPr>
        <w:t>的相关要求，植物措施树、草种</w:t>
      </w:r>
      <w:r>
        <w:rPr>
          <w:rFonts w:hint="default" w:ascii="Times New Roman" w:hAnsi="Times New Roman" w:cs="Times New Roman" w:eastAsiaTheme="minorEastAsia"/>
          <w:color w:val="auto"/>
          <w:spacing w:val="-2"/>
          <w:sz w:val="24"/>
          <w:szCs w:val="24"/>
          <w:u w:val="none" w:color="auto"/>
        </w:rPr>
        <w:t>选择</w:t>
      </w:r>
      <w:r>
        <w:rPr>
          <w:rFonts w:hint="default" w:ascii="Times New Roman" w:hAnsi="Times New Roman" w:cs="Times New Roman" w:eastAsiaTheme="minorEastAsia"/>
          <w:color w:val="auto"/>
          <w:spacing w:val="-3"/>
          <w:sz w:val="24"/>
          <w:szCs w:val="24"/>
          <w:u w:val="none" w:color="auto"/>
        </w:rPr>
        <w:t>。</w:t>
      </w:r>
    </w:p>
    <w:p w14:paraId="193EF152">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临时堆土场区防治措施布置</w:t>
      </w:r>
    </w:p>
    <w:p w14:paraId="1AC919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前，对土料场可剥离表土进行剥离，剥离的表土堆放在取土场临时占地范围内，临时堆放期间做好临时苫盖、临时拦挡等防护措施，后期表土回覆用于绿化覆土。施工过程中，在取土场周边布设截排水沟，排水沟顺接至周边自然水系。施工结束后，对取土场扰动区域进行土地整治、表土回覆，按原土地利用类型进行绿化。</w:t>
      </w:r>
    </w:p>
    <w:p w14:paraId="414C143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1、工程措施</w:t>
      </w:r>
    </w:p>
    <w:p w14:paraId="6D433D0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表土剥离与回覆</w:t>
      </w:r>
    </w:p>
    <w:p w14:paraId="4D925C0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为保护表土资源，取料前对扰动范围内的耕地、林地、草地和园地进行表土剥离，耕地剥离厚度0.30m，林地、草地和园地剥离厚度0.25m，共剥离表土0.05万</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，剥离的表土就近运至附近表土堆存场集中堆放，并要求做好各临时表土堆场临时防护措施，施工结束后，对弃渣场区进行覆土。</w:t>
      </w:r>
    </w:p>
    <w:p w14:paraId="7971280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土地整治</w:t>
      </w:r>
    </w:p>
    <w:p w14:paraId="42055D6F">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堆渣完毕后，对弃渣场坡面及平台实施土地整治措施，对机械碾压、人工扰动的地段进行深翻，做好回填、覆土、整平、深耕、耙松等工序。共土地平整面积0.20h</w:t>
      </w:r>
      <w:r>
        <w:rPr>
          <w:rFonts w:hint="eastAsia" w:cs="Times New Roman" w:eastAsiaTheme="minorEastAsia"/>
          <w:color w:val="auto"/>
          <w:spacing w:val="-6"/>
          <w:sz w:val="24"/>
          <w:szCs w:val="24"/>
          <w:u w:val="none" w:color="auto"/>
          <w:lang w:eastAsia="zh-CN"/>
        </w:rPr>
        <w:t>m</w:t>
      </w:r>
      <w:r>
        <w:rPr>
          <w:rFonts w:hint="eastAsia" w:cs="Times New Roman" w:eastAsiaTheme="minorEastAsia"/>
          <w:color w:val="auto"/>
          <w:spacing w:val="-6"/>
          <w:sz w:val="24"/>
          <w:szCs w:val="24"/>
          <w:u w:val="none" w:color="auto"/>
          <w:vertAlign w:val="superscript"/>
          <w:lang w:eastAsia="zh-CN"/>
        </w:rPr>
        <w:t>2</w:t>
      </w:r>
      <w:r>
        <w:rPr>
          <w:rFonts w:hint="default" w:ascii="Times New Roman" w:hAnsi="Times New Roman" w:cs="Times New Roman" w:eastAsiaTheme="minorEastAsia"/>
          <w:color w:val="auto"/>
          <w:spacing w:val="-6"/>
          <w:sz w:val="24"/>
          <w:szCs w:val="24"/>
          <w:u w:val="none" w:color="auto"/>
        </w:rPr>
        <w:t>。</w:t>
      </w:r>
    </w:p>
    <w:p w14:paraId="245798B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截排水沟</w:t>
      </w:r>
    </w:p>
    <w:p w14:paraId="6409653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在取料场顶部及周边布设M7.5浆砌石截排水沟，截排水沟尺寸为50cm×80cm</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底×高</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，厚30cm，梯形断面，共布设周边截排水沟长56.0m，需M7.5浆砌块石60.03</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w:t>
      </w:r>
    </w:p>
    <w:p w14:paraId="39055AB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2、植物措施</w:t>
      </w:r>
    </w:p>
    <w:p w14:paraId="287DC3C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施工结束后，对弃渣场区占用林地的区域，采用乔灌草相结合的方式进行植被恢复。平台采用种植乔木，乔灌木株行距2.0m×2.0m，在林下撒播混合均匀的草籽。</w:t>
      </w:r>
    </w:p>
    <w:p w14:paraId="24A0D8F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3、临时措施</w:t>
      </w:r>
    </w:p>
    <w:p w14:paraId="3E3A10E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1</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袋装土拦挡及拆除</w:t>
      </w:r>
    </w:p>
    <w:p w14:paraId="11F4A35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施工期间，在场内临时堆土周边及料场坡脚设置编织袋装土拦挡，编织袋拦挡采用顶宽0.75m，高0.75m，边坡1：0.50，底宽1.50m。</w:t>
      </w:r>
    </w:p>
    <w:p w14:paraId="0D6EF49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2</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沉沙池</w:t>
      </w:r>
    </w:p>
    <w:p w14:paraId="1F84D96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在截排水沟下游末端修建土质沉沙池，上方来水经沉沙后，将水体引入自然水系，共布置沉沙池2座，需挖土7.61</w:t>
      </w:r>
      <w:r>
        <w:rPr>
          <w:rFonts w:hint="default" w:ascii="Times New Roman" w:hAnsi="Times New Roman" w:cs="Times New Roman" w:eastAsiaTheme="minorEastAsia"/>
          <w:color w:val="auto"/>
          <w:spacing w:val="-6"/>
          <w:sz w:val="24"/>
          <w:szCs w:val="24"/>
          <w:u w:val="none" w:color="auto"/>
          <w:lang w:eastAsia="zh-CN"/>
        </w:rPr>
        <w:t>m³</w:t>
      </w:r>
      <w:r>
        <w:rPr>
          <w:rFonts w:hint="default" w:ascii="Times New Roman" w:hAnsi="Times New Roman" w:cs="Times New Roman" w:eastAsiaTheme="minorEastAsia"/>
          <w:color w:val="auto"/>
          <w:spacing w:val="-6"/>
          <w:sz w:val="24"/>
          <w:szCs w:val="24"/>
          <w:u w:val="none" w:color="auto"/>
        </w:rPr>
        <w:t>。</w:t>
      </w:r>
    </w:p>
    <w:p w14:paraId="4F7CEF8B">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3</w:t>
      </w:r>
      <w:r>
        <w:rPr>
          <w:rFonts w:hint="default" w:ascii="Times New Roman" w:hAnsi="Times New Roman" w:cs="Times New Roman" w:eastAsiaTheme="minorEastAsia"/>
          <w:color w:val="auto"/>
          <w:spacing w:val="-6"/>
          <w:sz w:val="24"/>
          <w:szCs w:val="24"/>
          <w:u w:val="none" w:color="auto"/>
          <w:lang w:eastAsia="zh-CN"/>
        </w:rPr>
        <w:t>)</w:t>
      </w:r>
      <w:r>
        <w:rPr>
          <w:rFonts w:hint="default" w:ascii="Times New Roman" w:hAnsi="Times New Roman" w:cs="Times New Roman" w:eastAsiaTheme="minorEastAsia"/>
          <w:color w:val="auto"/>
          <w:spacing w:val="-6"/>
          <w:sz w:val="24"/>
          <w:szCs w:val="24"/>
          <w:u w:val="none" w:color="auto"/>
        </w:rPr>
        <w:t>临时苫盖</w:t>
      </w:r>
    </w:p>
    <w:p w14:paraId="7106AB35">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cs="Times New Roman" w:eastAsiaTheme="minorEastAsia"/>
          <w:color w:val="auto"/>
          <w:spacing w:val="-6"/>
          <w:sz w:val="24"/>
          <w:szCs w:val="24"/>
          <w:u w:val="none" w:color="auto"/>
        </w:rPr>
      </w:pPr>
      <w:r>
        <w:rPr>
          <w:rFonts w:hint="default" w:ascii="Times New Roman" w:hAnsi="Times New Roman" w:cs="Times New Roman" w:eastAsiaTheme="minorEastAsia"/>
          <w:color w:val="auto"/>
          <w:spacing w:val="-6"/>
          <w:sz w:val="24"/>
          <w:szCs w:val="24"/>
          <w:u w:val="none" w:color="auto"/>
        </w:rPr>
        <w:t>堆渣过程中，对弃渣区域裸露地采取彩条布苫盖。</w:t>
      </w:r>
    </w:p>
    <w:p w14:paraId="268D7564">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施工生产生活区措施</w:t>
      </w:r>
    </w:p>
    <w:p w14:paraId="3F4F54F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工程措施</w:t>
      </w:r>
    </w:p>
    <w:p w14:paraId="3D31EA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1</w:t>
      </w: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表土剥离与回覆</w:t>
      </w:r>
    </w:p>
    <w:p w14:paraId="0DACA6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为保护表土资源，对扰动范围内的耕地、林地、草地和园地进行表土剥离，耕地剥离厚度0.30m，林地、草地和园地剥离厚度0.25m，共剥离表土0.05万</w:t>
      </w:r>
      <w:r>
        <w:rPr>
          <w:rFonts w:hint="default" w:ascii="Times New Roman" w:hAnsi="Times New Roman" w:cs="Times New Roman"/>
          <w:b w:val="0"/>
          <w:bCs/>
          <w:color w:val="auto"/>
          <w:u w:val="none" w:color="auto"/>
          <w:lang w:eastAsia="zh-CN"/>
        </w:rPr>
        <w:t>m³</w:t>
      </w:r>
      <w:r>
        <w:rPr>
          <w:rFonts w:hint="default" w:ascii="Times New Roman" w:hAnsi="Times New Roman" w:cs="Times New Roman"/>
          <w:b w:val="0"/>
          <w:bCs/>
          <w:color w:val="auto"/>
          <w:u w:val="none" w:color="auto"/>
        </w:rPr>
        <w:t>，剥离的表土就近运至附近表土堆存场集中堆放，并要求做好各临时表土堆场临时防护措施，施工结束后，对弃渣场区进行覆土。</w:t>
      </w:r>
    </w:p>
    <w:p w14:paraId="53A81A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2</w:t>
      </w:r>
      <w:r>
        <w:rPr>
          <w:rFonts w:hint="default" w:ascii="Times New Roman" w:hAnsi="Times New Roman" w:cs="Times New Roman"/>
          <w:b w:val="0"/>
          <w:bCs/>
          <w:color w:val="auto"/>
          <w:u w:val="none" w:color="auto"/>
          <w:lang w:eastAsia="zh-CN"/>
        </w:rPr>
        <w:t>)</w:t>
      </w:r>
      <w:r>
        <w:rPr>
          <w:rFonts w:hint="default" w:ascii="Times New Roman" w:hAnsi="Times New Roman" w:cs="Times New Roman"/>
          <w:b w:val="0"/>
          <w:bCs/>
          <w:color w:val="auto"/>
          <w:u w:val="none" w:color="auto"/>
        </w:rPr>
        <w:t>土地整治</w:t>
      </w:r>
    </w:p>
    <w:p w14:paraId="2222F99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施工完毕后，对临时道路实施土地整治措施，对机械碾压、人工扰动的地段进行深翻，做好回填、覆土、整平、深耕、耙松等工序。共土地平整面积0.20h</w:t>
      </w:r>
      <w:r>
        <w:rPr>
          <w:rFonts w:hint="eastAsia" w:cs="Times New Roman"/>
          <w:b w:val="0"/>
          <w:bCs/>
          <w:color w:val="auto"/>
          <w:u w:val="none" w:color="auto"/>
          <w:lang w:eastAsia="zh-CN"/>
        </w:rPr>
        <w:t>m</w:t>
      </w:r>
      <w:r>
        <w:rPr>
          <w:rFonts w:hint="eastAsia" w:cs="Times New Roman"/>
          <w:b w:val="0"/>
          <w:bCs/>
          <w:color w:val="auto"/>
          <w:u w:val="none" w:color="auto"/>
          <w:vertAlign w:val="superscript"/>
          <w:lang w:eastAsia="zh-CN"/>
        </w:rPr>
        <w:t>2</w:t>
      </w:r>
      <w:r>
        <w:rPr>
          <w:rFonts w:hint="default" w:ascii="Times New Roman" w:hAnsi="Times New Roman" w:cs="Times New Roman"/>
          <w:b w:val="0"/>
          <w:bCs/>
          <w:color w:val="auto"/>
          <w:u w:val="none" w:color="auto"/>
        </w:rPr>
        <w:t>。</w:t>
      </w:r>
    </w:p>
    <w:p w14:paraId="3F2D96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2、植物措施</w:t>
      </w:r>
    </w:p>
    <w:p w14:paraId="140ECF30">
      <w:pPr>
        <w:bidi w:val="0"/>
        <w:rPr>
          <w:rFonts w:hint="default" w:ascii="Times New Roman" w:hAnsi="Times New Roman" w:cs="Times New Roman"/>
          <w:b w:val="0"/>
          <w:bCs/>
          <w:color w:val="auto"/>
          <w:u w:val="none" w:color="auto"/>
        </w:rPr>
      </w:pPr>
      <w:r>
        <w:rPr>
          <w:rFonts w:hint="default" w:ascii="Times New Roman" w:hAnsi="Times New Roman" w:cs="Times New Roman"/>
          <w:b w:val="0"/>
          <w:bCs/>
          <w:color w:val="auto"/>
          <w:u w:val="none" w:color="auto"/>
        </w:rPr>
        <w:t>施工结束后，对施工道路采用撒播混合均匀的草籽，混播比例1:1，播种量为80kg/h</w:t>
      </w:r>
      <w:r>
        <w:rPr>
          <w:rFonts w:hint="eastAsia" w:cs="Times New Roman"/>
          <w:b w:val="0"/>
          <w:bCs/>
          <w:color w:val="auto"/>
          <w:u w:val="none" w:color="auto"/>
          <w:lang w:eastAsia="zh-CN"/>
        </w:rPr>
        <w:t>m</w:t>
      </w:r>
      <w:r>
        <w:rPr>
          <w:rFonts w:hint="eastAsia" w:cs="Times New Roman"/>
          <w:b w:val="0"/>
          <w:bCs/>
          <w:color w:val="auto"/>
          <w:u w:val="none" w:color="auto"/>
          <w:vertAlign w:val="superscript"/>
          <w:lang w:eastAsia="zh-CN"/>
        </w:rPr>
        <w:t>2</w:t>
      </w:r>
      <w:r>
        <w:rPr>
          <w:rFonts w:hint="default" w:ascii="Times New Roman" w:hAnsi="Times New Roman" w:cs="Times New Roman"/>
          <w:b w:val="0"/>
          <w:bCs/>
          <w:color w:val="auto"/>
          <w:u w:val="none" w:color="auto"/>
        </w:rPr>
        <w:t>。。</w:t>
      </w:r>
    </w:p>
    <w:p w14:paraId="1FCA61E5">
      <w:pPr>
        <w:bidi w:val="0"/>
        <w:rPr>
          <w:rFonts w:hint="default"/>
        </w:rPr>
      </w:pPr>
      <w:r>
        <w:rPr>
          <w:rFonts w:hint="default" w:ascii="Times New Roman" w:hAnsi="Times New Roman" w:cs="Times New Roman"/>
          <w:b w:val="0"/>
          <w:bCs/>
          <w:color w:val="auto"/>
          <w:u w:val="none" w:color="auto"/>
        </w:rPr>
        <w:t>3、</w:t>
      </w:r>
      <w:r>
        <w:rPr>
          <w:rFonts w:hint="default"/>
        </w:rPr>
        <w:t>临时措施</w:t>
      </w:r>
    </w:p>
    <w:p w14:paraId="785EDD99">
      <w:pPr>
        <w:bidi w:val="0"/>
        <w:rPr>
          <w:rFonts w:hint="default"/>
        </w:rPr>
      </w:pPr>
      <w:r>
        <w:rPr>
          <w:rFonts w:hint="default"/>
          <w:lang w:eastAsia="zh-CN"/>
        </w:rPr>
        <w:t>(</w:t>
      </w:r>
      <w:r>
        <w:rPr>
          <w:rFonts w:hint="default"/>
        </w:rPr>
        <w:t>1</w:t>
      </w:r>
      <w:r>
        <w:rPr>
          <w:rFonts w:hint="default"/>
          <w:lang w:eastAsia="zh-CN"/>
        </w:rPr>
        <w:t>)</w:t>
      </w:r>
      <w:r>
        <w:rPr>
          <w:rFonts w:hint="default"/>
        </w:rPr>
        <w:t>袋装土拦挡及拆除</w:t>
      </w:r>
    </w:p>
    <w:p w14:paraId="1FB2042F">
      <w:pPr>
        <w:bidi w:val="0"/>
        <w:rPr>
          <w:rFonts w:hint="default"/>
        </w:rPr>
      </w:pPr>
      <w:r>
        <w:rPr>
          <w:rFonts w:hint="default"/>
        </w:rPr>
        <w:t>施工期间，在临时堆土周边设置编织袋装土拦挡，填土编织袋利用表土或临时堆土填土，后期逐步拆除拦挡。根据统计，共实施袋装土拦挡填筑及拆除77.54</w:t>
      </w:r>
      <w:r>
        <w:rPr>
          <w:rFonts w:hint="default"/>
          <w:lang w:eastAsia="zh-CN"/>
        </w:rPr>
        <w:t>m³</w:t>
      </w:r>
      <w:r>
        <w:rPr>
          <w:rFonts w:hint="default"/>
        </w:rPr>
        <w:t>。</w:t>
      </w:r>
    </w:p>
    <w:p w14:paraId="7C88035D">
      <w:pPr>
        <w:bidi w:val="0"/>
        <w:rPr>
          <w:rFonts w:hint="default"/>
        </w:rPr>
      </w:pPr>
      <w:r>
        <w:rPr>
          <w:rFonts w:hint="default"/>
          <w:lang w:eastAsia="zh-CN"/>
        </w:rPr>
        <w:t>(</w:t>
      </w:r>
      <w:r>
        <w:rPr>
          <w:rFonts w:hint="default"/>
        </w:rPr>
        <w:t>2</w:t>
      </w:r>
      <w:r>
        <w:rPr>
          <w:rFonts w:hint="default"/>
          <w:lang w:eastAsia="zh-CN"/>
        </w:rPr>
        <w:t>)</w:t>
      </w:r>
      <w:r>
        <w:rPr>
          <w:rFonts w:hint="default"/>
        </w:rPr>
        <w:t>临时排水沟</w:t>
      </w:r>
    </w:p>
    <w:p w14:paraId="6B15B6D8">
      <w:pPr>
        <w:bidi w:val="0"/>
        <w:rPr>
          <w:rFonts w:hint="default"/>
        </w:rPr>
      </w:pPr>
      <w:r>
        <w:rPr>
          <w:rFonts w:hint="default"/>
        </w:rPr>
        <w:t>在弃渣场周围设置排水沟，排水沟顺接至周边自然水系。临时排水沟采用梯形土质断面，底宽0.3m，深0.3m，坡率1：1，只开挖不衬砌。</w:t>
      </w:r>
    </w:p>
    <w:p w14:paraId="7874FC4E">
      <w:pPr>
        <w:bidi w:val="0"/>
        <w:rPr>
          <w:rFonts w:hint="default"/>
        </w:rPr>
      </w:pPr>
      <w:r>
        <w:rPr>
          <w:rFonts w:hint="default"/>
          <w:lang w:eastAsia="zh-CN"/>
        </w:rPr>
        <w:t>(</w:t>
      </w:r>
      <w:r>
        <w:rPr>
          <w:rFonts w:hint="default"/>
        </w:rPr>
        <w:t>3</w:t>
      </w:r>
      <w:r>
        <w:rPr>
          <w:rFonts w:hint="default"/>
          <w:lang w:eastAsia="zh-CN"/>
        </w:rPr>
        <w:t>)</w:t>
      </w:r>
      <w:r>
        <w:rPr>
          <w:rFonts w:hint="default"/>
        </w:rPr>
        <w:t>临时苫盖</w:t>
      </w:r>
    </w:p>
    <w:p w14:paraId="1B87BE15">
      <w:pPr>
        <w:bidi w:val="0"/>
        <w:rPr>
          <w:rFonts w:hint="default"/>
        </w:rPr>
      </w:pPr>
      <w:r>
        <w:rPr>
          <w:rFonts w:hint="default"/>
        </w:rPr>
        <w:t>堆渣过程中，对弃渣区域裸露地采取彩条布苫盖，经统计共需彩条布0.13h</w:t>
      </w:r>
      <w:r>
        <w:rPr>
          <w:rFonts w:hint="eastAsia"/>
          <w:lang w:eastAsia="zh-CN"/>
        </w:rPr>
        <w:t>m</w:t>
      </w:r>
      <w:r>
        <w:rPr>
          <w:rFonts w:hint="eastAsia"/>
          <w:vertAlign w:val="superscript"/>
          <w:lang w:eastAsia="zh-CN"/>
        </w:rPr>
        <w:t>2</w:t>
      </w:r>
      <w:r>
        <w:rPr>
          <w:rFonts w:hint="default"/>
        </w:rPr>
        <w:t>。</w:t>
      </w:r>
    </w:p>
    <w:p w14:paraId="697737E1">
      <w:pPr>
        <w:pStyle w:val="5"/>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弃渣场拦挡、截排</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洪</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水以及护坡工程</w:t>
      </w:r>
    </w:p>
    <w:p w14:paraId="136A1CCC">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渣场弃渣结束后，对渣面和边坡进行平整，恢复为水保林草，覆土厚度0.30m。</w:t>
      </w:r>
    </w:p>
    <w:p w14:paraId="6A441860">
      <w:pPr>
        <w:keepNext w:val="0"/>
        <w:keepLines w:val="0"/>
        <w:pageBreakBefore w:val="0"/>
        <w:widowControl w:val="0"/>
        <w:kinsoku/>
        <w:wordWrap/>
        <w:overflowPunct/>
        <w:topLinePunct w:val="0"/>
        <w:autoSpaceDE/>
        <w:autoSpaceDN/>
        <w:bidi w:val="0"/>
        <w:adjustRightInd/>
        <w:snapToGrid/>
        <w:spacing w:line="360" w:lineRule="auto"/>
        <w:ind w:left="0" w:right="0" w:firstLine="564"/>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堆渣前，对弃渣场可剥离表土进行剥离，剥离的表土堆放在弃渣</w:t>
      </w:r>
      <w:r>
        <w:rPr>
          <w:rFonts w:hint="default" w:ascii="Times New Roman" w:hAnsi="Times New Roman" w:eastAsia="宋体" w:cs="Times New Roman"/>
          <w:color w:val="auto"/>
          <w:spacing w:val="-3"/>
          <w:sz w:val="24"/>
          <w:szCs w:val="24"/>
          <w:u w:val="none" w:color="auto"/>
        </w:rPr>
        <w:t>场临时占地范围内，临时堆放期间做好临时苫盖</w:t>
      </w:r>
      <w:r>
        <w:rPr>
          <w:rFonts w:hint="default" w:ascii="Times New Roman" w:hAnsi="Times New Roman" w:eastAsia="宋体" w:cs="Times New Roman"/>
          <w:color w:val="auto"/>
          <w:spacing w:val="-4"/>
          <w:sz w:val="24"/>
          <w:szCs w:val="24"/>
          <w:u w:val="none" w:color="auto"/>
        </w:rPr>
        <w:t>、临时拦挡等防护措</w:t>
      </w:r>
      <w:r>
        <w:rPr>
          <w:rFonts w:hint="default" w:ascii="Times New Roman" w:hAnsi="Times New Roman" w:eastAsia="宋体" w:cs="Times New Roman"/>
          <w:color w:val="auto"/>
          <w:spacing w:val="-3"/>
          <w:sz w:val="24"/>
          <w:szCs w:val="24"/>
          <w:u w:val="none" w:color="auto"/>
        </w:rPr>
        <w:t>施，后期表土回覆用于绿化覆土。施工过程中，</w:t>
      </w:r>
      <w:r>
        <w:rPr>
          <w:rFonts w:hint="default" w:ascii="Times New Roman" w:hAnsi="Times New Roman" w:eastAsia="宋体" w:cs="Times New Roman"/>
          <w:color w:val="auto"/>
          <w:spacing w:val="-4"/>
          <w:sz w:val="24"/>
          <w:szCs w:val="24"/>
          <w:u w:val="none" w:color="auto"/>
        </w:rPr>
        <w:t>结合地形在渣场周边</w:t>
      </w:r>
      <w:r>
        <w:rPr>
          <w:rFonts w:hint="default" w:ascii="Times New Roman" w:hAnsi="Times New Roman" w:eastAsia="宋体" w:cs="Times New Roman"/>
          <w:color w:val="auto"/>
          <w:spacing w:val="-3"/>
          <w:sz w:val="24"/>
          <w:szCs w:val="24"/>
          <w:u w:val="none" w:color="auto"/>
        </w:rPr>
        <w:t>和临时堆土外侧布设临时拦挡和临时排水沟，排</w:t>
      </w:r>
      <w:r>
        <w:rPr>
          <w:rFonts w:hint="default" w:ascii="Times New Roman" w:hAnsi="Times New Roman" w:eastAsia="宋体" w:cs="Times New Roman"/>
          <w:color w:val="auto"/>
          <w:spacing w:val="-4"/>
          <w:sz w:val="24"/>
          <w:szCs w:val="24"/>
          <w:u w:val="none" w:color="auto"/>
        </w:rPr>
        <w:t>水沟顺接至周边自然</w:t>
      </w:r>
      <w:r>
        <w:rPr>
          <w:rFonts w:hint="default" w:ascii="Times New Roman" w:hAnsi="Times New Roman" w:eastAsia="宋体" w:cs="Times New Roman"/>
          <w:color w:val="auto"/>
          <w:spacing w:val="-3"/>
          <w:sz w:val="24"/>
          <w:szCs w:val="24"/>
          <w:u w:val="none" w:color="auto"/>
        </w:rPr>
        <w:t>水系；对弃土采取密目网临时覆盖。堆渣结束后</w:t>
      </w:r>
      <w:r>
        <w:rPr>
          <w:rFonts w:hint="default" w:ascii="Times New Roman" w:hAnsi="Times New Roman" w:eastAsia="宋体" w:cs="Times New Roman"/>
          <w:color w:val="auto"/>
          <w:spacing w:val="-4"/>
          <w:sz w:val="24"/>
          <w:szCs w:val="24"/>
          <w:u w:val="none" w:color="auto"/>
        </w:rPr>
        <w:t>，及时对渣面进行土</w:t>
      </w:r>
      <w:r>
        <w:rPr>
          <w:rFonts w:hint="default" w:ascii="Times New Roman" w:hAnsi="Times New Roman" w:eastAsia="宋体" w:cs="Times New Roman"/>
          <w:color w:val="auto"/>
          <w:spacing w:val="-1"/>
          <w:sz w:val="24"/>
          <w:szCs w:val="24"/>
          <w:u w:val="none" w:color="auto"/>
        </w:rPr>
        <w:t>地整治、回覆表土、恢复植被。</w:t>
      </w:r>
    </w:p>
    <w:p w14:paraId="60A59885">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1"/>
          <w:sz w:val="24"/>
          <w:szCs w:val="24"/>
          <w:u w:val="none" w:color="auto"/>
        </w:rPr>
        <w:t>1、工程措施</w:t>
      </w:r>
    </w:p>
    <w:p w14:paraId="62AD1F77">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表土剥离与回覆</w:t>
      </w:r>
    </w:p>
    <w:p w14:paraId="13E01811">
      <w:pPr>
        <w:keepNext w:val="0"/>
        <w:keepLines w:val="0"/>
        <w:pageBreakBefore w:val="0"/>
        <w:widowControl w:val="0"/>
        <w:kinsoku/>
        <w:wordWrap/>
        <w:overflowPunct/>
        <w:topLinePunct w:val="0"/>
        <w:autoSpaceDE/>
        <w:autoSpaceDN/>
        <w:bidi w:val="0"/>
        <w:adjustRightInd/>
        <w:snapToGrid/>
        <w:spacing w:line="360" w:lineRule="auto"/>
        <w:ind w:left="0" w:right="0" w:firstLine="57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为保护表土资源，堆渣前对扰动范围内的耕地、林地、草地和园</w:t>
      </w:r>
      <w:r>
        <w:rPr>
          <w:rFonts w:hint="default" w:ascii="Times New Roman" w:hAnsi="Times New Roman" w:eastAsia="宋体" w:cs="Times New Roman"/>
          <w:color w:val="auto"/>
          <w:sz w:val="24"/>
          <w:szCs w:val="24"/>
          <w:u w:val="none" w:color="auto"/>
        </w:rPr>
        <w:t>地进行表土剥离，耕地剥离厚度0.30m，林地、草</w:t>
      </w:r>
      <w:r>
        <w:rPr>
          <w:rFonts w:hint="default" w:ascii="Times New Roman" w:hAnsi="Times New Roman" w:eastAsia="宋体" w:cs="Times New Roman"/>
          <w:color w:val="auto"/>
          <w:spacing w:val="-1"/>
          <w:sz w:val="24"/>
          <w:szCs w:val="24"/>
          <w:u w:val="none" w:color="auto"/>
        </w:rPr>
        <w:t>地和园地剥离厚度</w:t>
      </w:r>
      <w:r>
        <w:rPr>
          <w:rFonts w:hint="default" w:ascii="Times New Roman" w:hAnsi="Times New Roman" w:eastAsia="宋体" w:cs="Times New Roman"/>
          <w:color w:val="auto"/>
          <w:sz w:val="24"/>
          <w:szCs w:val="24"/>
          <w:u w:val="none" w:color="auto"/>
        </w:rPr>
        <w:t>0.25m，共剥离表土0.29万</w:t>
      </w:r>
      <w:r>
        <w:rPr>
          <w:rFonts w:hint="default" w:ascii="Times New Roman" w:hAnsi="Times New Roman" w:cs="Times New Roman"/>
          <w:color w:val="auto"/>
          <w:sz w:val="24"/>
          <w:szCs w:val="24"/>
          <w:u w:val="none" w:color="auto"/>
          <w:lang w:eastAsia="zh-CN"/>
        </w:rPr>
        <w:t>m³</w:t>
      </w:r>
      <w:r>
        <w:rPr>
          <w:rFonts w:hint="default" w:ascii="Times New Roman" w:hAnsi="Times New Roman" w:eastAsia="宋体" w:cs="Times New Roman"/>
          <w:color w:val="auto"/>
          <w:sz w:val="24"/>
          <w:szCs w:val="24"/>
          <w:u w:val="none" w:color="auto"/>
        </w:rPr>
        <w:t>，剥离的表土就</w:t>
      </w:r>
      <w:r>
        <w:rPr>
          <w:rFonts w:hint="default" w:ascii="Times New Roman" w:hAnsi="Times New Roman" w:eastAsia="宋体" w:cs="Times New Roman"/>
          <w:color w:val="auto"/>
          <w:spacing w:val="-1"/>
          <w:sz w:val="24"/>
          <w:szCs w:val="24"/>
          <w:u w:val="none" w:color="auto"/>
        </w:rPr>
        <w:t>近运至附近表土堆存场</w:t>
      </w:r>
      <w:r>
        <w:rPr>
          <w:rFonts w:hint="default" w:ascii="Times New Roman" w:hAnsi="Times New Roman" w:eastAsia="宋体" w:cs="Times New Roman"/>
          <w:color w:val="auto"/>
          <w:spacing w:val="-3"/>
          <w:sz w:val="24"/>
          <w:szCs w:val="24"/>
          <w:u w:val="none" w:color="auto"/>
        </w:rPr>
        <w:t>集中堆放，并要求做好各临时表土堆场临时防护措施，施工结束后，</w:t>
      </w:r>
      <w:r>
        <w:rPr>
          <w:rFonts w:hint="default" w:ascii="Times New Roman" w:hAnsi="Times New Roman" w:eastAsia="宋体" w:cs="Times New Roman"/>
          <w:color w:val="auto"/>
          <w:spacing w:val="-1"/>
          <w:sz w:val="24"/>
          <w:szCs w:val="24"/>
          <w:u w:val="none" w:color="auto"/>
        </w:rPr>
        <w:t>对弃渣场区进行覆土。</w:t>
      </w:r>
    </w:p>
    <w:p w14:paraId="52B92CB4">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土地整治</w:t>
      </w:r>
    </w:p>
    <w:p w14:paraId="113E4B6E">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堆渣完毕后，对弃渣场坡面及平台实施土地整治措施，对机械碾</w:t>
      </w:r>
      <w:r>
        <w:rPr>
          <w:rFonts w:hint="default" w:ascii="Times New Roman" w:hAnsi="Times New Roman" w:eastAsia="宋体" w:cs="Times New Roman"/>
          <w:color w:val="auto"/>
          <w:spacing w:val="-3"/>
          <w:sz w:val="24"/>
          <w:szCs w:val="24"/>
          <w:u w:val="none" w:color="auto"/>
        </w:rPr>
        <w:t>压、人工扰动的地段进行深翻，做好回填、覆土</w:t>
      </w:r>
      <w:r>
        <w:rPr>
          <w:rFonts w:hint="default" w:ascii="Times New Roman" w:hAnsi="Times New Roman" w:eastAsia="宋体" w:cs="Times New Roman"/>
          <w:color w:val="auto"/>
          <w:spacing w:val="-4"/>
          <w:sz w:val="24"/>
          <w:szCs w:val="24"/>
          <w:u w:val="none" w:color="auto"/>
        </w:rPr>
        <w:t>、整平、深耕、耙松</w:t>
      </w:r>
      <w:r>
        <w:rPr>
          <w:rFonts w:hint="default" w:ascii="Times New Roman" w:hAnsi="Times New Roman" w:eastAsia="宋体" w:cs="Times New Roman"/>
          <w:color w:val="auto"/>
          <w:sz w:val="24"/>
          <w:szCs w:val="24"/>
          <w:u w:val="none" w:color="auto"/>
        </w:rPr>
        <mc:AlternateContent>
          <mc:Choice Requires="wps">
            <w:drawing>
              <wp:anchor distT="0" distB="0" distL="114300" distR="114300" simplePos="0" relativeHeight="251669504"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3" name="任意多边形 3"/>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69504;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grNWdYAAAAMAQAADwAAAAAAAAABACAA&#10;AAAiAAAAZHJzL2Rvd25yZXYueG1sUEsBAhQAFAAAAAgAh07iQM5O3kMPAgAAfAQAAA4AAAAAAAAA&#10;AQAgAAAAJQEAAGRycy9lMm9Eb2MueG1sUEsFBgAAAAAGAAYAWQEAAKYFAAAAAA==&#10;" path="m0,0l8310,0,8310,19,0,19,0,0xe">
                <v:fill on="t" focussize="0,0"/>
                <v:stroke on="f"/>
                <v:imagedata o:title=""/>
                <o:lock v:ext="edit" aspectratio="f"/>
              </v:shape>
            </w:pict>
          </mc:Fallback>
        </mc:AlternateContent>
      </w:r>
      <w:r>
        <w:rPr>
          <w:rFonts w:hint="default" w:ascii="Times New Roman" w:hAnsi="Times New Roman" w:eastAsia="宋体" w:cs="Times New Roman"/>
          <w:color w:val="auto"/>
          <w:spacing w:val="-4"/>
          <w:sz w:val="24"/>
          <w:szCs w:val="24"/>
          <w:u w:val="none" w:color="auto"/>
        </w:rPr>
        <w:t>等工序。</w:t>
      </w:r>
    </w:p>
    <w:p w14:paraId="32ABB06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拦渣墙</w:t>
      </w:r>
    </w:p>
    <w:p w14:paraId="0233A940">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spacing w:val="-3"/>
          <w:sz w:val="24"/>
          <w:szCs w:val="24"/>
          <w:u w:val="none" w:color="auto"/>
          <w:lang w:eastAsia="zh-CN"/>
        </w:rPr>
      </w:pPr>
      <w:r>
        <w:rPr>
          <w:rFonts w:hint="default" w:ascii="Times New Roman" w:hAnsi="Times New Roman" w:eastAsia="宋体" w:cs="Times New Roman"/>
          <w:color w:val="auto"/>
          <w:spacing w:val="-4"/>
          <w:sz w:val="24"/>
          <w:szCs w:val="24"/>
          <w:u w:val="none" w:color="auto"/>
        </w:rPr>
        <w:t>主体工程设计挡墙采用衡重式挡墙，挡墙布设在堆渣坡脚处；挡墙M7.5浆砌片石挡墙挡护，基础埋深不小于1.5m，墙高发生变化时，</w:t>
      </w:r>
      <w:r>
        <w:rPr>
          <w:rFonts w:hint="default" w:ascii="Times New Roman" w:hAnsi="Times New Roman" w:eastAsia="宋体" w:cs="Times New Roman"/>
          <w:color w:val="auto"/>
          <w:spacing w:val="16"/>
          <w:sz w:val="24"/>
          <w:szCs w:val="24"/>
          <w:u w:val="none" w:color="auto"/>
        </w:rPr>
        <w:t>墙身尺寸以直线渐变过渡。挡墙端部嵌入原地层的深度不应小于</w:t>
      </w:r>
      <w:r>
        <w:rPr>
          <w:rFonts w:hint="default" w:ascii="Times New Roman" w:hAnsi="Times New Roman" w:eastAsia="宋体" w:cs="Times New Roman"/>
          <w:color w:val="auto"/>
          <w:spacing w:val="-3"/>
          <w:sz w:val="24"/>
          <w:szCs w:val="24"/>
          <w:u w:val="none" w:color="auto"/>
        </w:rPr>
        <w:t>1.5m。</w:t>
      </w:r>
    </w:p>
    <w:p w14:paraId="423EC32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4</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截排水沟</w:t>
      </w:r>
    </w:p>
    <w:p w14:paraId="003ADD44">
      <w:pPr>
        <w:keepNext w:val="0"/>
        <w:keepLines w:val="0"/>
        <w:pageBreakBefore w:val="0"/>
        <w:widowControl w:val="0"/>
        <w:kinsoku/>
        <w:wordWrap/>
        <w:overflowPunct/>
        <w:topLinePunct w:val="0"/>
        <w:autoSpaceDE/>
        <w:autoSpaceDN/>
        <w:bidi w:val="0"/>
        <w:adjustRightInd/>
        <w:snapToGrid/>
        <w:spacing w:line="360" w:lineRule="auto"/>
        <w:ind w:left="0" w:right="0" w:firstLine="565"/>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堆渣完毕后，主体设计在渣场周边布设了M7.5浆砌石截排水沟，</w:t>
      </w:r>
      <w:r>
        <w:rPr>
          <w:rFonts w:hint="default" w:ascii="Times New Roman" w:hAnsi="Times New Roman" w:eastAsia="宋体" w:cs="Times New Roman"/>
          <w:color w:val="auto"/>
          <w:spacing w:val="-5"/>
          <w:sz w:val="24"/>
          <w:szCs w:val="24"/>
          <w:u w:val="none" w:color="auto"/>
        </w:rPr>
        <w:t>截排水沟尺寸为0.50m×0.80m</w:t>
      </w:r>
      <w:r>
        <w:rPr>
          <w:rFonts w:hint="default" w:ascii="Times New Roman" w:hAnsi="Times New Roman"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底×高</w:t>
      </w:r>
      <w:r>
        <w:rPr>
          <w:rFonts w:hint="default" w:ascii="Times New Roman" w:hAnsi="Times New Roman" w:cs="Times New Roman"/>
          <w:color w:val="auto"/>
          <w:spacing w:val="9"/>
          <w:sz w:val="24"/>
          <w:szCs w:val="24"/>
          <w:u w:val="none" w:color="auto"/>
          <w:lang w:eastAsia="zh-CN"/>
        </w:rPr>
        <w:t>)</w:t>
      </w:r>
      <w:r>
        <w:rPr>
          <w:rFonts w:hint="default" w:ascii="Times New Roman" w:hAnsi="Times New Roman" w:eastAsia="宋体" w:cs="Times New Roman"/>
          <w:color w:val="auto"/>
          <w:spacing w:val="9"/>
          <w:sz w:val="24"/>
          <w:szCs w:val="24"/>
          <w:u w:val="none" w:color="auto"/>
        </w:rPr>
        <w:t>，</w:t>
      </w:r>
      <w:r>
        <w:rPr>
          <w:rFonts w:hint="default" w:ascii="Times New Roman" w:hAnsi="Times New Roman" w:eastAsia="宋体" w:cs="Times New Roman"/>
          <w:color w:val="auto"/>
          <w:spacing w:val="-5"/>
          <w:sz w:val="24"/>
          <w:szCs w:val="24"/>
          <w:u w:val="none" w:color="auto"/>
        </w:rPr>
        <w:t>厚0</w:t>
      </w:r>
      <w:r>
        <w:rPr>
          <w:rFonts w:hint="default" w:ascii="Times New Roman" w:hAnsi="Times New Roman" w:eastAsia="宋体" w:cs="Times New Roman"/>
          <w:color w:val="auto"/>
          <w:spacing w:val="-6"/>
          <w:sz w:val="24"/>
          <w:szCs w:val="24"/>
          <w:u w:val="none" w:color="auto"/>
        </w:rPr>
        <w:t>.30m，梯形断面</w:t>
      </w:r>
      <w:r>
        <w:rPr>
          <w:rFonts w:hint="default" w:ascii="Times New Roman" w:hAnsi="Times New Roman" w:eastAsia="宋体" w:cs="Times New Roman"/>
          <w:color w:val="auto"/>
          <w:spacing w:val="-2"/>
          <w:sz w:val="24"/>
          <w:szCs w:val="24"/>
          <w:u w:val="none" w:color="auto"/>
        </w:rPr>
        <w:t>。</w:t>
      </w:r>
    </w:p>
    <w:p w14:paraId="19BF008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5</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沉沙池</w:t>
      </w:r>
    </w:p>
    <w:p w14:paraId="5A80AC95">
      <w:pPr>
        <w:keepNext w:val="0"/>
        <w:keepLines w:val="0"/>
        <w:pageBreakBefore w:val="0"/>
        <w:widowControl w:val="0"/>
        <w:kinsoku/>
        <w:wordWrap/>
        <w:overflowPunct/>
        <w:topLinePunct w:val="0"/>
        <w:autoSpaceDE/>
        <w:autoSpaceDN/>
        <w:bidi w:val="0"/>
        <w:adjustRightInd/>
        <w:snapToGrid/>
        <w:spacing w:line="360" w:lineRule="auto"/>
        <w:ind w:left="0" w:right="0" w:firstLine="555"/>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5"/>
          <w:sz w:val="24"/>
          <w:szCs w:val="24"/>
          <w:u w:val="none" w:color="auto"/>
        </w:rPr>
        <w:t>堆渣完毕后，方案设计在截排水沟下游末端修建M7.5浆砌石沉沙</w:t>
      </w:r>
      <w:r>
        <w:rPr>
          <w:rFonts w:hint="default" w:ascii="Times New Roman" w:hAnsi="Times New Roman" w:eastAsia="宋体" w:cs="Times New Roman"/>
          <w:color w:val="auto"/>
          <w:spacing w:val="-10"/>
          <w:sz w:val="24"/>
          <w:szCs w:val="24"/>
          <w:u w:val="none" w:color="auto"/>
        </w:rPr>
        <w:t>池，沉沙池顺带消能作用，上方来水经沉沙后，将水体引入自然</w:t>
      </w:r>
      <w:r>
        <w:rPr>
          <w:rFonts w:hint="default" w:ascii="Times New Roman" w:hAnsi="Times New Roman" w:eastAsia="宋体" w:cs="Times New Roman"/>
          <w:color w:val="auto"/>
          <w:spacing w:val="-11"/>
          <w:sz w:val="24"/>
          <w:szCs w:val="24"/>
          <w:u w:val="none" w:color="auto"/>
        </w:rPr>
        <w:t>水系</w:t>
      </w:r>
      <w:r>
        <w:rPr>
          <w:rFonts w:hint="default" w:ascii="Times New Roman" w:hAnsi="Times New Roman" w:eastAsia="宋体" w:cs="Times New Roman"/>
          <w:color w:val="auto"/>
          <w:spacing w:val="-6"/>
          <w:sz w:val="24"/>
          <w:szCs w:val="24"/>
          <w:u w:val="none" w:color="auto"/>
        </w:rPr>
        <w:t>。</w:t>
      </w:r>
    </w:p>
    <w:p w14:paraId="7E17A9A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7"/>
          <w:sz w:val="24"/>
          <w:szCs w:val="24"/>
          <w:u w:val="none" w:color="auto"/>
        </w:rPr>
        <w:t>2、植物措施</w:t>
      </w:r>
    </w:p>
    <w:p w14:paraId="5803C34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pacing w:val="-6"/>
          <w:sz w:val="24"/>
          <w:szCs w:val="24"/>
          <w:u w:val="none" w:color="auto"/>
        </w:rPr>
      </w:pPr>
      <w:r>
        <w:rPr>
          <w:rFonts w:hint="default" w:ascii="Times New Roman" w:hAnsi="Times New Roman" w:eastAsia="宋体" w:cs="Times New Roman"/>
          <w:color w:val="auto"/>
          <w:spacing w:val="-4"/>
          <w:sz w:val="24"/>
          <w:szCs w:val="24"/>
          <w:u w:val="none" w:color="auto"/>
        </w:rPr>
        <w:t>施工结束后，对弃渣场区占用林地的区域，采用乔灌草相结合的</w:t>
      </w:r>
      <w:r>
        <w:rPr>
          <w:rFonts w:hint="default" w:ascii="Times New Roman" w:hAnsi="Times New Roman" w:eastAsia="宋体" w:cs="Times New Roman"/>
          <w:color w:val="auto"/>
          <w:spacing w:val="9"/>
          <w:sz w:val="24"/>
          <w:szCs w:val="24"/>
          <w:u w:val="none" w:color="auto"/>
        </w:rPr>
        <w:t>方式进行植被恢复。</w:t>
      </w:r>
    </w:p>
    <w:p w14:paraId="0C4325C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8"/>
          <w:sz w:val="24"/>
          <w:szCs w:val="24"/>
          <w:u w:val="none" w:color="auto"/>
        </w:rPr>
        <w:t>3、临时措施</w:t>
      </w:r>
    </w:p>
    <w:p w14:paraId="4796DF91">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1</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袋装土拦挡及拆除</w:t>
      </w:r>
    </w:p>
    <w:p w14:paraId="2D8C7E8D">
      <w:pPr>
        <w:keepNext w:val="0"/>
        <w:keepLines w:val="0"/>
        <w:pageBreakBefore w:val="0"/>
        <w:widowControl w:val="0"/>
        <w:kinsoku/>
        <w:wordWrap/>
        <w:overflowPunct/>
        <w:topLinePunct w:val="0"/>
        <w:autoSpaceDE/>
        <w:autoSpaceDN/>
        <w:bidi w:val="0"/>
        <w:adjustRightInd/>
        <w:snapToGrid/>
        <w:spacing w:line="360" w:lineRule="auto"/>
        <w:ind w:left="0" w:right="0" w:firstLine="551"/>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施工期间，在弃渣场周边设置编织袋装土拦挡，编织袋拦挡采用</w:t>
      </w:r>
      <w:r>
        <w:rPr>
          <w:rFonts w:hint="default" w:ascii="Times New Roman" w:hAnsi="Times New Roman" w:eastAsia="宋体" w:cs="Times New Roman"/>
          <w:color w:val="auto"/>
          <w:spacing w:val="-5"/>
          <w:sz w:val="24"/>
          <w:szCs w:val="24"/>
          <w:u w:val="none" w:color="auto"/>
        </w:rPr>
        <w:t>顶宽0.75m，高0.75m，边坡1：0.50，底宽1.50m。</w:t>
      </w:r>
      <w:r>
        <w:rPr>
          <w:rFonts w:hint="default" w:ascii="Times New Roman" w:hAnsi="Times New Roman" w:eastAsia="宋体" w:cs="Times New Roman"/>
          <w:color w:val="auto"/>
          <w:spacing w:val="-6"/>
          <w:sz w:val="24"/>
          <w:szCs w:val="24"/>
          <w:u w:val="none" w:color="auto"/>
        </w:rPr>
        <w:t>填土编织袋利用表</w:t>
      </w:r>
      <w:r>
        <w:rPr>
          <w:rFonts w:hint="default" w:ascii="Times New Roman" w:hAnsi="Times New Roman" w:eastAsia="宋体" w:cs="Times New Roman"/>
          <w:color w:val="auto"/>
          <w:sz w:val="24"/>
          <w:szCs w:val="24"/>
          <w:u w:val="none" w:color="auto"/>
        </w:rPr>
        <mc:AlternateContent>
          <mc:Choice Requires="wps">
            <w:drawing>
              <wp:anchor distT="0" distB="0" distL="114300" distR="114300" simplePos="0" relativeHeight="251670528" behindDoc="0" locked="0" layoutInCell="0" allowOverlap="1">
                <wp:simplePos x="0" y="0"/>
                <wp:positionH relativeFrom="page">
                  <wp:posOffset>1141095</wp:posOffset>
                </wp:positionH>
                <wp:positionV relativeFrom="page">
                  <wp:posOffset>808990</wp:posOffset>
                </wp:positionV>
                <wp:extent cx="5277485" cy="12700"/>
                <wp:effectExtent l="0" t="0" r="0" b="0"/>
                <wp:wrapNone/>
                <wp:docPr id="38" name="任意多边形 38"/>
                <wp:cNvGraphicFramePr/>
                <a:graphic xmlns:a="http://schemas.openxmlformats.org/drawingml/2006/main">
                  <a:graphicData uri="http://schemas.microsoft.com/office/word/2010/wordprocessingShape">
                    <wps:wsp>
                      <wps:cNvSpPr/>
                      <wps:spPr>
                        <a:xfrm>
                          <a:off x="0" y="0"/>
                          <a:ext cx="5277485" cy="12700"/>
                        </a:xfrm>
                        <a:custGeom>
                          <a:avLst/>
                          <a:gdLst/>
                          <a:ahLst/>
                          <a:cxnLst/>
                          <a:pathLst>
                            <a:path w="8310" h="20">
                              <a:moveTo>
                                <a:pt x="0" y="0"/>
                              </a:moveTo>
                              <a:lnTo>
                                <a:pt x="8310" y="0"/>
                              </a:lnTo>
                              <a:lnTo>
                                <a:pt x="8310"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3.7pt;height:1pt;width:415.55pt;mso-position-horizontal-relative:page;mso-position-vertical-relative:page;z-index:251670528;mso-width-relative:page;mso-height-relative:page;" fillcolor="#000000" filled="t" stroked="f" coordsize="8310,20" o:allowincell="f" o:gfxdata="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eCs1Z1gAAAAwBAAAPAAAAAAAAAAEA&#10;IAAAACIAAABkcnMvZG93bnJldi54bWxQSwECFAAUAAAACACHTuJAf4BoUBECAAB+BAAADgAAAAAA&#10;AAABACAAAAAlAQAAZHJzL2Uyb0RvYy54bWxQSwUGAAAAAAYABgBZAQAAqAUAAAAA&#10;" path="m0,0l8310,0,8310,19,0,19,0,0xe">
                <v:fill on="t" focussize="0,0"/>
                <v:stroke on="f"/>
                <v:imagedata o:title=""/>
                <o:lock v:ext="edit" aspectratio="f"/>
              </v:shape>
            </w:pict>
          </mc:Fallback>
        </mc:AlternateContent>
      </w:r>
      <w:r>
        <w:rPr>
          <w:rFonts w:hint="default" w:ascii="Times New Roman" w:hAnsi="Times New Roman" w:eastAsia="宋体" w:cs="Times New Roman"/>
          <w:color w:val="auto"/>
          <w:spacing w:val="-4"/>
          <w:sz w:val="24"/>
          <w:szCs w:val="24"/>
          <w:u w:val="none" w:color="auto"/>
        </w:rPr>
        <w:t>土或临时堆土填土，后期逐步拆除拦挡。</w:t>
      </w:r>
    </w:p>
    <w:p w14:paraId="1B139249">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临时排水沟</w:t>
      </w:r>
    </w:p>
    <w:p w14:paraId="69BFA9EA">
      <w:pPr>
        <w:keepNext w:val="0"/>
        <w:keepLines w:val="0"/>
        <w:pageBreakBefore w:val="0"/>
        <w:widowControl w:val="0"/>
        <w:kinsoku/>
        <w:wordWrap/>
        <w:overflowPunct/>
        <w:topLinePunct w:val="0"/>
        <w:autoSpaceDE/>
        <w:autoSpaceDN/>
        <w:bidi w:val="0"/>
        <w:adjustRightInd/>
        <w:snapToGrid/>
        <w:spacing w:line="360" w:lineRule="auto"/>
        <w:ind w:left="0" w:right="0" w:firstLine="563"/>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4"/>
          <w:sz w:val="24"/>
          <w:szCs w:val="24"/>
          <w:u w:val="none" w:color="auto"/>
        </w:rPr>
        <w:t>在弃渣场周围设置排水沟，排水沟顺接至周边自然水系。临时排水沟采用梯形土质断面，底宽0.3m，深0.4</w:t>
      </w:r>
      <w:r>
        <w:rPr>
          <w:rFonts w:hint="default" w:ascii="Times New Roman" w:hAnsi="Times New Roman" w:eastAsia="宋体" w:cs="Times New Roman"/>
          <w:color w:val="auto"/>
          <w:spacing w:val="-5"/>
          <w:sz w:val="24"/>
          <w:szCs w:val="24"/>
          <w:u w:val="none" w:color="auto"/>
        </w:rPr>
        <w:t>m，坡率1：1，只开挖不衬</w:t>
      </w:r>
      <w:r>
        <w:rPr>
          <w:rFonts w:hint="default" w:ascii="Times New Roman" w:hAnsi="Times New Roman" w:eastAsia="宋体" w:cs="Times New Roman"/>
          <w:color w:val="auto"/>
          <w:spacing w:val="-1"/>
          <w:sz w:val="24"/>
          <w:szCs w:val="24"/>
          <w:u w:val="none" w:color="auto"/>
        </w:rPr>
        <w:t>砌。</w:t>
      </w:r>
    </w:p>
    <w:p w14:paraId="6BB1ED98">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3</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临时苫盖</w:t>
      </w:r>
    </w:p>
    <w:p w14:paraId="39E349A2">
      <w:pPr>
        <w:keepNext w:val="0"/>
        <w:keepLines w:val="0"/>
        <w:pageBreakBefore w:val="0"/>
        <w:widowControl w:val="0"/>
        <w:kinsoku/>
        <w:wordWrap/>
        <w:overflowPunct/>
        <w:topLinePunct w:val="0"/>
        <w:autoSpaceDE/>
        <w:autoSpaceDN/>
        <w:bidi w:val="0"/>
        <w:adjustRightInd/>
        <w:snapToGrid/>
        <w:spacing w:line="360" w:lineRule="auto"/>
        <w:ind w:left="0" w:right="0"/>
        <w:jc w:val="left"/>
        <w:textAlignment w:val="auto"/>
        <w:rPr>
          <w:rFonts w:hint="default" w:ascii="Times New Roman" w:hAnsi="Times New Roman" w:cs="Times New Roman"/>
          <w:color w:val="auto"/>
          <w:u w:val="none" w:color="auto"/>
        </w:rPr>
      </w:pPr>
      <w:r>
        <w:rPr>
          <w:rFonts w:hint="default" w:ascii="Times New Roman" w:hAnsi="Times New Roman" w:eastAsia="宋体" w:cs="Times New Roman"/>
          <w:color w:val="auto"/>
          <w:spacing w:val="-4"/>
          <w:sz w:val="24"/>
          <w:szCs w:val="24"/>
          <w:u w:val="none" w:color="auto"/>
        </w:rPr>
        <w:t>堆渣过程中，对弃渣区域裸露地采取彩条布苫盖，经统计共需彩</w:t>
      </w:r>
      <w:r>
        <w:rPr>
          <w:rFonts w:hint="default" w:ascii="Times New Roman" w:hAnsi="Times New Roman" w:eastAsia="宋体" w:cs="Times New Roman"/>
          <w:color w:val="auto"/>
          <w:spacing w:val="-2"/>
          <w:sz w:val="24"/>
          <w:szCs w:val="24"/>
          <w:u w:val="none" w:color="auto"/>
        </w:rPr>
        <w:t>条布0.52</w:t>
      </w:r>
      <w:r>
        <w:rPr>
          <w:rFonts w:hint="default" w:ascii="Times New Roman" w:hAnsi="Times New Roman" w:eastAsia="宋体" w:cs="Times New Roman"/>
          <w:color w:val="auto"/>
          <w:spacing w:val="-1"/>
          <w:sz w:val="24"/>
          <w:szCs w:val="24"/>
          <w:u w:val="none" w:color="auto"/>
        </w:rPr>
        <w:t>h</w:t>
      </w:r>
      <w:r>
        <w:rPr>
          <w:rFonts w:hint="eastAsia" w:cs="Times New Roman"/>
          <w:color w:val="auto"/>
          <w:spacing w:val="-1"/>
          <w:sz w:val="24"/>
          <w:szCs w:val="24"/>
          <w:u w:val="none" w:color="auto"/>
          <w:lang w:eastAsia="zh-CN"/>
        </w:rPr>
        <w:t>m</w:t>
      </w:r>
      <w:r>
        <w:rPr>
          <w:rFonts w:hint="eastAsia" w:cs="Times New Roman"/>
          <w:color w:val="auto"/>
          <w:spacing w:val="-1"/>
          <w:sz w:val="24"/>
          <w:szCs w:val="24"/>
          <w:u w:val="none" w:color="auto"/>
          <w:vertAlign w:val="superscript"/>
          <w:lang w:eastAsia="zh-CN"/>
        </w:rPr>
        <w:t>2</w:t>
      </w:r>
      <w:r>
        <w:rPr>
          <w:rFonts w:hint="default" w:ascii="Times New Roman" w:hAnsi="Times New Roman" w:cs="Times New Roman"/>
          <w:color w:val="auto"/>
          <w:u w:val="none" w:color="auto"/>
        </w:rPr>
        <w:t>。</w:t>
      </w:r>
    </w:p>
    <w:p w14:paraId="54998139">
      <w:pPr>
        <w:pStyle w:val="3"/>
        <w:rPr>
          <w:rFonts w:hint="default" w:ascii="Times New Roman" w:hAnsi="Times New Roman" w:cs="Times New Roman"/>
          <w:color w:val="auto"/>
          <w:u w:val="none" w:color="auto"/>
        </w:rPr>
      </w:pPr>
      <w:bookmarkStart w:id="239" w:name="_Toc23244"/>
      <w:bookmarkStart w:id="240" w:name="_Toc257958915"/>
      <w:r>
        <w:rPr>
          <w:rFonts w:hint="default" w:ascii="Times New Roman" w:hAnsi="Times New Roman" w:cs="Times New Roman"/>
          <w:color w:val="auto"/>
          <w:u w:val="none" w:color="auto"/>
        </w:rPr>
        <w:t>运营期污染防治措施</w:t>
      </w:r>
      <w:bookmarkEnd w:id="239"/>
    </w:p>
    <w:p w14:paraId="2CB96A9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工程属非污染生态影响项目，项目运行后本身不产生污染物，项目不新增管理人员，产生的污染物主要为水库管理人员的生活污水、生活垃圾以及食堂油烟。</w:t>
      </w:r>
    </w:p>
    <w:p w14:paraId="0B2CE23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营运期大气环境保护措施</w:t>
      </w:r>
    </w:p>
    <w:p w14:paraId="6CC6518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库营运期本身无废气产生，运行期间废气主要来源为食堂油烟，食堂油烟经油烟机处理后无组织排放。廊洞水库所在区域植被茂密，大气污染少，大气环境容量大，油烟又是间断排放，故项目排放油烟对周边大气环境影响不大。</w:t>
      </w:r>
    </w:p>
    <w:p w14:paraId="19797D4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营运期地表水环境保护措施</w:t>
      </w:r>
    </w:p>
    <w:p w14:paraId="27817DBD">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库区污染源控制与保护措施</w:t>
      </w:r>
    </w:p>
    <w:p w14:paraId="161EE74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根据现场调查，库区及汇水范围内无工业企业、规模畜禽养殖等污染源汇入。根据现状监测成果显示道县廊洞水库水质较好。</w:t>
      </w:r>
    </w:p>
    <w:p w14:paraId="4D34991E">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集水区内禁止使用高毒、高残留农药，削减农用化肥施用量，不得滥用化肥，做到科学施肥，提倡使用有机肥，减少水库氮、磷等营养物质入库量。减少农药化肥的施用量。</w:t>
      </w:r>
    </w:p>
    <w:p w14:paraId="272C0FC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工程营运期废水主要是水库管理所人员产生的生活污水，经化粪池处理后用于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，严禁向水库内倾倒生活垃圾和排放生活污水。工程运行期通过加强对其监管，禁止排入污水和倾倒垃圾，可有效保护地表水源。</w:t>
      </w:r>
    </w:p>
    <w:p w14:paraId="2D8F0F3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水质保护措施</w:t>
      </w:r>
    </w:p>
    <w:p w14:paraId="57CE26E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1、水库管理所的生活污水严禁排入库区。水库管理所人员产生生活污水较少，生活污水经化粪池处理后用于</w:t>
      </w:r>
      <w:r>
        <w:rPr>
          <w:rFonts w:hint="eastAsia" w:cs="Times New Roman"/>
          <w:color w:val="auto"/>
          <w:u w:val="none" w:color="auto"/>
          <w:lang w:val="en-US" w:eastAsia="zh-CN"/>
        </w:rPr>
        <w:t>场区内绿化</w:t>
      </w:r>
      <w:r>
        <w:rPr>
          <w:rFonts w:hint="default" w:ascii="Times New Roman" w:hAnsi="Times New Roman" w:cs="Times New Roman"/>
          <w:color w:val="auto"/>
          <w:u w:val="none" w:color="auto"/>
          <w:lang w:val="en-US" w:eastAsia="zh-CN"/>
        </w:rPr>
        <w:t>。</w:t>
      </w:r>
    </w:p>
    <w:p w14:paraId="76B22ECB">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2、水库管理人员的生活垃圾通过分拣后，由附近乡镇环卫站定期清运、处置。</w:t>
      </w:r>
    </w:p>
    <w:p w14:paraId="71191559">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3、定期开展库区水质监测工作，及时了解水库水质状况，以便于采取应对措施，监测工作应纳入工程环境监测计划。</w:t>
      </w:r>
    </w:p>
    <w:p w14:paraId="0C50FB0E">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4、结合工程水土保护方案的实施，按“三同时”的原则，对弃土场、临时存渣场及施工临时工程等施工开挖破坏地段植被进行恢复。</w:t>
      </w:r>
    </w:p>
    <w:p w14:paraId="49409692">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5、加强水库汇水区域管理工作，严禁可能对水库水质等造成破坏和污染的行为。</w:t>
      </w:r>
    </w:p>
    <w:p w14:paraId="6739DFAE">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水土流失保护措施</w:t>
      </w:r>
    </w:p>
    <w:p w14:paraId="6D13848A">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严格保护水库上游森林植被，提高区域森林覆盖率，建立水源涵养林，发挥森林涵养水源的作用。充分利用库区周边和两岸绿化作为土地利用和水系间的缓冲地带和过滤带，提高土壤抗蚀能力，减少泥沙的淤积，在保护水库水质的同时也保障和提高水库的运行年限。</w:t>
      </w:r>
    </w:p>
    <w:p w14:paraId="38D3C644">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营运期声环境保护措施</w:t>
      </w:r>
    </w:p>
    <w:p w14:paraId="729029C0">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本工程营运期不新增噪声污染源，与工程建设前无重大变化，噪声仍主要是工作闸门、启闭机、水泵、设备机房产生的噪声，设备大部分位于室内。此外，堤顶防汛道路不允许无关车辆进入，且考虑一般农用车辆行驶速度较低，运行期交通噪声源强一般小于60dB。</w:t>
      </w:r>
    </w:p>
    <w:p w14:paraId="5EBF1433">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营运期固体废物保护措施</w:t>
      </w:r>
    </w:p>
    <w:p w14:paraId="3075F06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项目营运期产生的固体废物主要为管理人员的生活垃圾，垃圾桶集中收集后交由环卫部门定期清运。</w:t>
      </w:r>
    </w:p>
    <w:p w14:paraId="60DA0D5F">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营运期地下水、土壤环境保护措施</w:t>
      </w:r>
    </w:p>
    <w:p w14:paraId="0578C00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项目营运期长期蓄水导致地下水位上升，带来土壤的盐碱化。因此需要采用以下措施进行控制：</w:t>
      </w:r>
    </w:p>
    <w:p w14:paraId="6E17F2A3">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(1)库区周边农田及树木控制施肥数量，鼓励使用绿色有机肥料，灌溉用水严禁回灌至库区内。</w:t>
      </w:r>
    </w:p>
    <w:p w14:paraId="3F98E3A9">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(2)加强水库周边的农村生活污水和生活垃圾管理，减少人为破坏。</w:t>
      </w:r>
    </w:p>
    <w:p w14:paraId="1671C97D">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(3)库区周边做好农田水利建设，加强植被覆盖率，减少水土流失。</w:t>
      </w:r>
    </w:p>
    <w:p w14:paraId="7B36838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(4)为减轻土壤碱化程度，对周边的发生碱化的土壤进行改良，可以采取在土中加入酸性物质，如腐植酸、草炭等。</w:t>
      </w:r>
    </w:p>
    <w:p w14:paraId="4BC9AAD5">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(5)合理灌溉。主要是控制库区周边农田灌溉水对地下的过量补给，将地下水位限制在临界深度以下。严格控制灌溉定额，改善灌溉方法。</w:t>
      </w:r>
    </w:p>
    <w:p w14:paraId="5FBA58A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(6)进行防渗处理，减少水库的渗漏。在适当位置开挖截流沟以降低下游的地下水位。沟的深度应以既能降低下游的地下水位，又不增大库区渗漏量为标准。</w:t>
      </w:r>
    </w:p>
    <w:p w14:paraId="7BC74AEF">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(7)人工排水。人工排水是控制地下水位的有效措施。实行有灌有排，排灌结合，控制地下水位在临界深度以下。这样既防盐碱，同时能加强浅层地下水交替作用，使灌溉水和大气降水渗入过程中不断淋洗土壤中的盐分，将其带入地下水中，促使土壤向脱盐方向转化。</w:t>
      </w:r>
    </w:p>
    <w:p w14:paraId="42BF2F06">
      <w:pPr>
        <w:pStyle w:val="4"/>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营运期生态环境保护措施</w:t>
      </w:r>
    </w:p>
    <w:p w14:paraId="07A3A1F7">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陆生植物保护措施</w:t>
      </w:r>
    </w:p>
    <w:p w14:paraId="1D2A0556">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在水库范围内禁止非更新、非抚育采伐和其他破坏水源涵养林、护岸林以及其他植被的行为；在库区内禁止新种植轮伐期不足十年的用材林，禁止毁林开垦、全垦整地、炼山等。</w:t>
      </w:r>
    </w:p>
    <w:p w14:paraId="27D54954">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陆生动物保护措施</w:t>
      </w:r>
    </w:p>
    <w:p w14:paraId="7F23DC64">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 xml:space="preserve">1、当地政府及建设单位要加强保护野生物种资源的宣传教育，提高民众保护野生动物的意识及法纪观念，严禁狩猎，对违禁狩猎者要依法追究责任。 </w:t>
      </w:r>
    </w:p>
    <w:p w14:paraId="40656307">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2、要加强封山育林，提高植物覆盖率和森林覆盖率，为野生功动物提供适宜的生境。禁止滥捕乱杀，对违反者依法严惩。</w:t>
      </w:r>
    </w:p>
    <w:p w14:paraId="14E36767">
      <w:pPr>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3、施工结束后尽快植树造林，恢复森林生境。繁茂的森林是动物理想的栖息地，使森林植被类型多样化，为各种动物的生存与繁衍提供栖息生境。</w:t>
      </w:r>
    </w:p>
    <w:p w14:paraId="069B2CC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水生动物保护措施</w:t>
      </w:r>
    </w:p>
    <w:p w14:paraId="7EDA42C3">
      <w:pPr>
        <w:rPr>
          <w:rFonts w:hint="default" w:ascii="Times New Roman" w:hAnsi="Times New Roman" w:cs="Times New Roman"/>
          <w:color w:val="auto"/>
          <w:u w:val="none" w:color="auto"/>
          <w:lang w:val="en-US" w:eastAsia="zh-CN"/>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u w:val="none" w:color="auto"/>
          <w:lang w:val="en-US" w:eastAsia="zh-CN"/>
        </w:rPr>
        <w:t>应禁止在库区进行炸鱼、电鱼及毒鱼等破坏生态可持续发展的违法活动。渔业行政主管部门要加强管理，严禁炸鱼、毒鱼、电鱼以及其它捕鱼作业等严重损害水产资源的行为。水库应积极配合渔业主管部门，加强监督，禁止在坝址上游库区和下游河道进行炸鱼、电鱼及毒鱼等破坏生态的违法活动。定期向水库</w:t>
      </w:r>
      <w:r>
        <w:rPr>
          <w:rFonts w:hint="eastAsia" w:cs="Times New Roman"/>
          <w:color w:val="auto"/>
          <w:u w:val="none" w:color="auto"/>
          <w:lang w:val="en-US" w:eastAsia="zh-CN"/>
        </w:rPr>
        <w:t>进行增殖放流，</w:t>
      </w:r>
      <w:r>
        <w:rPr>
          <w:rFonts w:hint="default" w:ascii="Times New Roman" w:hAnsi="Times New Roman" w:cs="Times New Roman"/>
          <w:color w:val="auto"/>
          <w:u w:val="none" w:color="auto"/>
          <w:lang w:val="en-US" w:eastAsia="zh-CN"/>
        </w:rPr>
        <w:t>投放当地原有鱼类的鱼苗，作为鱼类资源损失的生物补偿。</w:t>
      </w:r>
    </w:p>
    <w:bookmarkEnd w:id="240"/>
    <w:p w14:paraId="0C887715">
      <w:pPr>
        <w:pStyle w:val="2"/>
        <w:rPr>
          <w:rFonts w:hint="default" w:ascii="Times New Roman" w:hAnsi="Times New Roman" w:cs="Times New Roman"/>
          <w:color w:val="auto"/>
          <w:u w:val="none" w:color="auto"/>
        </w:rPr>
      </w:pPr>
      <w:bookmarkStart w:id="241" w:name="_Toc14777"/>
      <w:bookmarkStart w:id="242" w:name="_Toc18583"/>
      <w:bookmarkStart w:id="243" w:name="_Toc13303"/>
      <w:bookmarkStart w:id="244" w:name="_Toc494049392"/>
      <w:bookmarkStart w:id="245" w:name="_Toc16435"/>
      <w:bookmarkStart w:id="246" w:name="_Toc17537"/>
      <w:r>
        <w:rPr>
          <w:rFonts w:hint="default" w:ascii="Times New Roman" w:hAnsi="Times New Roman" w:cs="Times New Roman"/>
          <w:color w:val="auto"/>
          <w:u w:val="none" w:color="auto"/>
        </w:rPr>
        <w:t>环境管理与</w:t>
      </w:r>
      <w:r>
        <w:rPr>
          <w:rFonts w:hint="default" w:ascii="Times New Roman" w:hAnsi="Times New Roman" w:cs="Times New Roman"/>
          <w:color w:val="auto"/>
          <w:u w:val="none" w:color="auto"/>
          <w:lang w:val="en-US" w:eastAsia="zh-CN"/>
        </w:rPr>
        <w:t>环境</w:t>
      </w:r>
      <w:r>
        <w:rPr>
          <w:rFonts w:hint="default" w:ascii="Times New Roman" w:hAnsi="Times New Roman" w:cs="Times New Roman"/>
          <w:color w:val="auto"/>
          <w:u w:val="none" w:color="auto"/>
        </w:rPr>
        <w:t>监测计划</w:t>
      </w:r>
      <w:bookmarkEnd w:id="241"/>
      <w:bookmarkEnd w:id="242"/>
      <w:bookmarkEnd w:id="243"/>
      <w:bookmarkEnd w:id="244"/>
      <w:bookmarkEnd w:id="245"/>
      <w:bookmarkEnd w:id="246"/>
    </w:p>
    <w:p w14:paraId="6CD920C6">
      <w:pPr>
        <w:pStyle w:val="3"/>
        <w:rPr>
          <w:rFonts w:hint="default" w:ascii="Times New Roman" w:hAnsi="Times New Roman" w:cs="Times New Roman"/>
          <w:color w:val="auto"/>
          <w:u w:val="none" w:color="auto"/>
        </w:rPr>
      </w:pPr>
      <w:bookmarkStart w:id="247" w:name="_Toc19409"/>
      <w:bookmarkStart w:id="248" w:name="_Toc15446"/>
      <w:bookmarkStart w:id="249" w:name="_Toc3021"/>
      <w:bookmarkStart w:id="250" w:name="_Toc8827"/>
      <w:r>
        <w:rPr>
          <w:rFonts w:hint="default" w:ascii="Times New Roman" w:hAnsi="Times New Roman" w:cs="Times New Roman"/>
          <w:color w:val="auto"/>
          <w:u w:val="none" w:color="auto"/>
        </w:rPr>
        <w:t>环境管理</w:t>
      </w:r>
      <w:bookmarkEnd w:id="247"/>
    </w:p>
    <w:p w14:paraId="6EAEE39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中华人民共和国环境保护法》、《建设项目环境保护管理办法》，建设项目在各个阶段要开展不同阶段的环境管理监督。本着“以防为主、综合治理、以管促治、管治结合”的原则，以环境科学的理论为基础，用技术的、经济的、教育的和行政的手段，对项目进行科学管理，协调社会经济发展和保护环境的关系，使人们具有一个良好的生活、工作环境，从而达到经济效益、社会效益和环境效益的三统一。</w:t>
      </w:r>
    </w:p>
    <w:p w14:paraId="442C806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为落实各项污染防治措施，加强环境保护工作管理，企业应根据实际情况，成立环境管理机构，制定各类环保制度，并以文件形式规定，形成一套完善的环境管理制度体系。</w:t>
      </w:r>
    </w:p>
    <w:p w14:paraId="4E352C1B">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环境管理目的</w:t>
      </w:r>
    </w:p>
    <w:p w14:paraId="6991ED5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开展项目环境管理及监测的目的是对项目从设计、施工到运行阶段的环保问题进行科学管理，对工程设计及实施进行监督管理，通过环境管理计划的实施，达到预防、消减、缓解或补偿工程建设带来的不利影响的最终目的。在工程运营期间，通过先进的环境管理方式，掌握污染动态，发现潜在的不利影响，指导并监督工程的环境保护工作，预防并减缓工程建设和生产过程中对周围环境的不利影响，保障各污染治理设施的正常运转，消减大气污染物、水污染物和固体废物对环境的不利影响，充分发挥工程建设的社会效益和生态环境效益；明确各管理部门的职责，更好落实工程的环境管理工作</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落实各项目的生态保护和污染防治设施，使其达到相应的环保要求，使建设项目的经济效益、社会效益和环境效益得到有机</w:t>
      </w:r>
      <w:r>
        <w:rPr>
          <w:rFonts w:hint="default" w:ascii="Times New Roman" w:hAnsi="Times New Roman" w:cs="Times New Roman"/>
          <w:color w:val="auto"/>
          <w:u w:val="none" w:color="auto"/>
          <w:lang w:eastAsia="zh-CN"/>
        </w:rPr>
        <w:t>的</w:t>
      </w:r>
      <w:r>
        <w:rPr>
          <w:rFonts w:hint="default" w:ascii="Times New Roman" w:hAnsi="Times New Roman" w:cs="Times New Roman"/>
          <w:color w:val="auto"/>
          <w:u w:val="none" w:color="auto"/>
        </w:rPr>
        <w:t>统一。</w:t>
      </w:r>
    </w:p>
    <w:p w14:paraId="7700426D">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环境管理原则</w:t>
      </w:r>
    </w:p>
    <w:p w14:paraId="184D34C1">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项目运行过程中，应将环境管理纳入日常管理中，根据环境保护的有关规定和自身特点，制定环境管理的具体内容。环境管理应遵循以下基本原则</w:t>
      </w:r>
      <w:r>
        <w:rPr>
          <w:rFonts w:hint="default" w:ascii="Times New Roman" w:hAnsi="Times New Roman" w:cs="Times New Roman"/>
          <w:color w:val="auto"/>
          <w:u w:val="none" w:color="auto"/>
          <w:lang w:eastAsia="zh-CN"/>
        </w:rPr>
        <w:t>:</w:t>
      </w:r>
    </w:p>
    <w:p w14:paraId="39A95EB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①严格执行各项国家和地方的环保</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w:t>
      </w:r>
    </w:p>
    <w:p w14:paraId="2921FA2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②正确处理发展生产和保护环境的关系，把经济效益和环境效益统一起来。</w:t>
      </w:r>
    </w:p>
    <w:p w14:paraId="24C0439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③环境管理应贯穿于项目运营全过程，将环境指标纳入生产计划指标，同时进行考核。</w:t>
      </w:r>
    </w:p>
    <w:p w14:paraId="4539B89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④加强居民环境保护意识，开展经常性的培训和教育活动。</w:t>
      </w:r>
    </w:p>
    <w:p w14:paraId="08FE5FA5">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环境管理机构</w:t>
      </w:r>
    </w:p>
    <w:p w14:paraId="5C329CC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本项目环境管理应由</w:t>
      </w:r>
      <w:r>
        <w:rPr>
          <w:rFonts w:hint="default" w:ascii="Times New Roman" w:hAnsi="Times New Roman" w:cs="Times New Roman"/>
          <w:color w:val="auto"/>
          <w:u w:val="none" w:color="auto"/>
          <w:lang w:eastAsia="zh-CN"/>
        </w:rPr>
        <w:t>道县廊洞水库电站</w:t>
      </w:r>
      <w:r>
        <w:rPr>
          <w:rFonts w:hint="default" w:ascii="Times New Roman" w:hAnsi="Times New Roman" w:cs="Times New Roman"/>
          <w:color w:val="auto"/>
          <w:u w:val="none" w:color="auto"/>
        </w:rPr>
        <w:t>负责，下设环保科，由专职环保人员具体实施环境管理工作。</w:t>
      </w:r>
    </w:p>
    <w:p w14:paraId="15579A26">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环境管理内容</w:t>
      </w:r>
    </w:p>
    <w:p w14:paraId="5E3CC670">
      <w:pPr>
        <w:ind w:firstLine="48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环境管理的具体内容如下</w:t>
      </w:r>
      <w:r>
        <w:rPr>
          <w:rFonts w:hint="default" w:ascii="Times New Roman" w:hAnsi="Times New Roman" w:cs="Times New Roman"/>
          <w:color w:val="auto"/>
          <w:u w:val="none" w:color="auto"/>
          <w:lang w:eastAsia="zh-CN"/>
        </w:rPr>
        <w:t>:</w:t>
      </w:r>
    </w:p>
    <w:p w14:paraId="38A2E1A9">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组织编制企业环境管理条例及日常监测计划。实施有效的质量控制，贯彻落实国家和地方的环境保护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、政策和标准，直接接受环保主管部门的监督、领导，配合环境保护主管部门</w:t>
      </w:r>
      <w:r>
        <w:rPr>
          <w:rFonts w:hint="default" w:ascii="Times New Roman" w:hAnsi="Times New Roman" w:cs="Times New Roman"/>
          <w:color w:val="auto"/>
          <w:u w:val="none" w:color="auto"/>
          <w:lang w:eastAsia="zh-CN"/>
        </w:rPr>
        <w:t>做好</w:t>
      </w:r>
      <w:r>
        <w:rPr>
          <w:rFonts w:hint="default" w:ascii="Times New Roman" w:hAnsi="Times New Roman" w:cs="Times New Roman"/>
          <w:color w:val="auto"/>
          <w:u w:val="none" w:color="auto"/>
        </w:rPr>
        <w:t>环保工作。</w:t>
      </w:r>
    </w:p>
    <w:p w14:paraId="117796CC">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在运行期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工程管理部门的环境保护工作主要有以下几个方面</w:t>
      </w:r>
      <w:r>
        <w:rPr>
          <w:rFonts w:hint="default" w:ascii="Times New Roman" w:hAnsi="Times New Roman" w:cs="Times New Roman"/>
          <w:color w:val="auto"/>
          <w:u w:val="none" w:color="auto"/>
          <w:lang w:eastAsia="zh-CN"/>
        </w:rPr>
        <w:t>:</w:t>
      </w:r>
    </w:p>
    <w:p w14:paraId="6D0DC77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①贯彻执行国家及地方环境保护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和方针政策</w:t>
      </w:r>
      <w:r>
        <w:rPr>
          <w:rFonts w:hint="default" w:ascii="Times New Roman" w:hAnsi="Times New Roman" w:cs="Times New Roman"/>
          <w:color w:val="auto"/>
          <w:u w:val="none" w:color="auto"/>
          <w:lang w:eastAsia="zh-CN"/>
        </w:rPr>
        <w:t>；</w:t>
      </w:r>
    </w:p>
    <w:p w14:paraId="3FB9D2B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②落实工程运行期环保措施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严禁将零星垃圾进入水库。</w:t>
      </w:r>
    </w:p>
    <w:p w14:paraId="566637C9">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③管理人员生活污水作为</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不外排。</w:t>
      </w:r>
    </w:p>
    <w:p w14:paraId="6FDABB5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④加强放水设施监管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在涵管出口处安装在线计量及视频监控设施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确保运行期下泄生态流量不低于</w:t>
      </w:r>
      <w:r>
        <w:rPr>
          <w:rFonts w:hint="default" w:ascii="Times New Roman" w:hAnsi="Times New Roman" w:cs="Times New Roman"/>
          <w:color w:val="auto"/>
          <w:u w:val="none" w:color="auto"/>
          <w:lang w:val="en-US" w:eastAsia="zh-CN"/>
        </w:rPr>
        <w:t>0.097</w:t>
      </w:r>
      <w:r>
        <w:rPr>
          <w:rFonts w:hint="default" w:ascii="Times New Roman" w:hAnsi="Times New Roman" w:cs="Times New Roman"/>
          <w:color w:val="auto"/>
          <w:u w:val="none" w:color="auto"/>
          <w:lang w:eastAsia="zh-CN"/>
        </w:rPr>
        <w:t>m³</w:t>
      </w:r>
      <w:r>
        <w:rPr>
          <w:rFonts w:hint="default" w:ascii="Times New Roman" w:hAnsi="Times New Roman" w:cs="Times New Roman"/>
          <w:color w:val="auto"/>
          <w:u w:val="none" w:color="auto"/>
        </w:rPr>
        <w:t>/s。</w:t>
      </w:r>
    </w:p>
    <w:p w14:paraId="170DF29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⑤加强水库运行期间日常管理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从源头减少污染</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禁止周边散养家禽进入库区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加强环保宣传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增强周边农户的环保意识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库区集雨范围内耕地尽量减少农药的使用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生活污水应合理处置后综合利用</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禁止随意排放。</w:t>
      </w:r>
    </w:p>
    <w:p w14:paraId="77544CCA">
      <w:pPr>
        <w:pStyle w:val="3"/>
        <w:rPr>
          <w:rFonts w:hint="default" w:ascii="Times New Roman" w:hAnsi="Times New Roman" w:cs="Times New Roman"/>
          <w:color w:val="auto"/>
          <w:u w:val="none" w:color="auto"/>
        </w:rPr>
      </w:pPr>
      <w:bookmarkStart w:id="251" w:name="_Toc128"/>
      <w:r>
        <w:rPr>
          <w:rFonts w:hint="default" w:ascii="Times New Roman" w:hAnsi="Times New Roman" w:cs="Times New Roman"/>
          <w:color w:val="auto"/>
          <w:u w:val="none" w:color="auto"/>
        </w:rPr>
        <w:t>环境监测计划</w:t>
      </w:r>
      <w:bookmarkEnd w:id="251"/>
    </w:p>
    <w:p w14:paraId="187B94D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测是对建设项目施工期、运行期的环境影响及环境保护措施进行监督和检查，并提出环境管理的对策与建议，为环境保护管理提供科学的依据；本项目施工期较短，因此只提出运营期的环境监测计划，环境监测的范围应包括污染源强与环境质量。</w:t>
      </w:r>
    </w:p>
    <w:p w14:paraId="0FCA921A">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环境质量监测</w:t>
      </w:r>
    </w:p>
    <w:p w14:paraId="0B28252B">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施工期环境监测</w:t>
      </w:r>
    </w:p>
    <w:p w14:paraId="0B4586D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水质监测</w:t>
      </w:r>
    </w:p>
    <w:p w14:paraId="24E0C1C9">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地表水水质监测</w:t>
      </w:r>
    </w:p>
    <w:p w14:paraId="06EA69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监测任务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监测工程施工对周围水质的影响。</w:t>
      </w:r>
    </w:p>
    <w:p w14:paraId="52810C6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监测断面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水库坝址上游500m、基坑围堰以下500m</w:t>
      </w:r>
      <w:r>
        <w:rPr>
          <w:rFonts w:hint="default" w:ascii="Times New Roman" w:hAnsi="Times New Roman" w:cs="Times New Roman"/>
          <w:color w:val="auto"/>
          <w:u w:val="none" w:color="auto"/>
          <w:lang w:eastAsia="zh-CN"/>
        </w:rPr>
        <w:t>宜</w:t>
      </w:r>
      <w:r>
        <w:rPr>
          <w:rFonts w:hint="eastAsia" w:cs="Times New Roman"/>
          <w:color w:val="auto"/>
          <w:u w:val="none" w:color="auto"/>
          <w:lang w:val="en-US" w:eastAsia="zh-CN"/>
        </w:rPr>
        <w:t>阳</w:t>
      </w:r>
      <w:r>
        <w:rPr>
          <w:rFonts w:hint="default" w:ascii="Times New Roman" w:hAnsi="Times New Roman" w:cs="Times New Roman"/>
          <w:color w:val="auto"/>
          <w:u w:val="none" w:color="auto"/>
          <w:lang w:eastAsia="zh-CN"/>
        </w:rPr>
        <w:t>河</w:t>
      </w:r>
      <w:r>
        <w:rPr>
          <w:rFonts w:hint="default" w:ascii="Times New Roman" w:hAnsi="Times New Roman" w:cs="Times New Roman"/>
          <w:color w:val="auto"/>
          <w:u w:val="none" w:color="auto"/>
        </w:rPr>
        <w:t>干流上各设1个监测断面，共2个。</w:t>
      </w:r>
    </w:p>
    <w:p w14:paraId="0624998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lang w:eastAsia="zh-CN"/>
        </w:rPr>
        <w:t>pH</w:t>
      </w:r>
      <w:r>
        <w:rPr>
          <w:rFonts w:hint="default" w:ascii="Times New Roman" w:hAnsi="Times New Roman" w:cs="Times New Roman"/>
          <w:color w:val="auto"/>
        </w:rPr>
        <w:t>、COD、</w:t>
      </w:r>
      <w:r>
        <w:rPr>
          <w:rFonts w:hint="eastAsia" w:cs="Times New Roman"/>
          <w:color w:val="auto"/>
          <w:lang w:eastAsia="zh-CN"/>
        </w:rPr>
        <w:t>BOD</w:t>
      </w:r>
      <w:r>
        <w:rPr>
          <w:rFonts w:hint="eastAsia" w:cs="Times New Roman"/>
          <w:color w:val="auto"/>
          <w:vertAlign w:val="subscript"/>
          <w:lang w:eastAsia="zh-CN"/>
        </w:rPr>
        <w:t>5</w:t>
      </w:r>
      <w:r>
        <w:rPr>
          <w:rFonts w:hint="default" w:ascii="Times New Roman" w:hAnsi="Times New Roman" w:cs="Times New Roman"/>
          <w:color w:val="auto"/>
        </w:rPr>
        <w:t>、SS、</w:t>
      </w:r>
      <w:r>
        <w:rPr>
          <w:rFonts w:hint="eastAsia" w:cs="Times New Roman"/>
          <w:color w:val="auto"/>
          <w:lang w:eastAsia="zh-CN"/>
        </w:rPr>
        <w:t>NH</w:t>
      </w:r>
      <w:r>
        <w:rPr>
          <w:rFonts w:hint="eastAsia" w:cs="Times New Roman"/>
          <w:color w:val="auto"/>
          <w:vertAlign w:val="subscript"/>
          <w:lang w:eastAsia="zh-CN"/>
        </w:rPr>
        <w:t>3</w:t>
      </w:r>
      <w:r>
        <w:rPr>
          <w:rFonts w:hint="default" w:ascii="Times New Roman" w:hAnsi="Times New Roman" w:cs="Times New Roman"/>
          <w:color w:val="auto"/>
        </w:rPr>
        <w:t>-N、TN、TP、石油类</w:t>
      </w:r>
      <w:r>
        <w:rPr>
          <w:rFonts w:hint="default" w:ascii="Times New Roman" w:hAnsi="Times New Roman" w:cs="Times New Roman"/>
          <w:color w:val="auto"/>
          <w:u w:val="none" w:color="auto"/>
        </w:rPr>
        <w:t>。</w:t>
      </w:r>
    </w:p>
    <w:p w14:paraId="68B0838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工程施工期每季度监测1次，高峰期可增加监测频次。</w:t>
      </w:r>
    </w:p>
    <w:p w14:paraId="54F4F4B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按《污水监测技术规范》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HJ91.1-2019</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、《地表水环境质量监测技术规范》</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HJ91.2</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2022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中规定方法执行。</w:t>
      </w:r>
    </w:p>
    <w:p w14:paraId="7EAC615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饮用水水质监测</w:t>
      </w:r>
    </w:p>
    <w:p w14:paraId="068F07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监测任务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监测工程施工对饮用水蓄水池水质的影响。</w:t>
      </w:r>
    </w:p>
    <w:p w14:paraId="43ABB3B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监测断面</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饮用水蓄水池，共1处。</w:t>
      </w:r>
    </w:p>
    <w:p w14:paraId="6A92861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按照《生活饮用水水源水质标准》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CJ3020-93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中基本项目。</w:t>
      </w:r>
    </w:p>
    <w:p w14:paraId="0F5B017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工程施工期每季度监测1次，高峰期可增加监测频次。</w:t>
      </w:r>
    </w:p>
    <w:p w14:paraId="0CB181B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按《生活饮用水水源水质标准》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CJ3020-93</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、《生活饮用水标准检验法》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GB5750</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中规定方法执行。</w:t>
      </w:r>
    </w:p>
    <w:p w14:paraId="049FD64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大气</w:t>
      </w:r>
      <w:r>
        <w:rPr>
          <w:rFonts w:hint="default" w:ascii="Times New Roman" w:hAnsi="Times New Roman" w:cs="Times New Roman"/>
          <w:color w:val="auto"/>
          <w:u w:val="none" w:color="auto"/>
          <w:lang w:val="en-US" w:eastAsia="zh-CN"/>
        </w:rPr>
        <w:t>和噪声</w:t>
      </w:r>
      <w:r>
        <w:rPr>
          <w:rFonts w:hint="default" w:ascii="Times New Roman" w:hAnsi="Times New Roman" w:cs="Times New Roman"/>
          <w:color w:val="auto"/>
          <w:u w:val="none" w:color="auto"/>
        </w:rPr>
        <w:t>监测</w:t>
      </w:r>
    </w:p>
    <w:p w14:paraId="61DAA02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监测点</w:t>
      </w:r>
      <w:r>
        <w:rPr>
          <w:rFonts w:hint="default" w:ascii="Times New Roman" w:hAnsi="Times New Roman" w:cs="Times New Roman"/>
          <w:color w:val="auto"/>
          <w:u w:val="none" w:color="auto"/>
          <w:lang w:eastAsia="zh-CN"/>
        </w:rPr>
        <w:t>:</w:t>
      </w:r>
      <w:r>
        <w:rPr>
          <w:rFonts w:hint="eastAsia" w:cs="Times New Roman"/>
          <w:color w:val="auto"/>
          <w:u w:val="none" w:color="auto"/>
          <w:lang w:val="en-US" w:eastAsia="zh-CN"/>
        </w:rPr>
        <w:t>施工区</w:t>
      </w:r>
      <w:r>
        <w:rPr>
          <w:rFonts w:hint="default" w:ascii="Times New Roman" w:hAnsi="Times New Roman" w:cs="Times New Roman"/>
          <w:color w:val="auto"/>
          <w:u w:val="none" w:color="auto"/>
        </w:rPr>
        <w:t>附近的居民点各设置1个大气监测点及1个噪声监测点。</w:t>
      </w:r>
    </w:p>
    <w:p w14:paraId="42DB969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监测项目</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空气监测项目为TSP</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噪声监测项目等效A声级Leq。</w:t>
      </w:r>
    </w:p>
    <w:p w14:paraId="7E18388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监测时段及频次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根据施工强度和布置点，进行定期监测，施工期每季度监测1次。</w:t>
      </w:r>
    </w:p>
    <w:p w14:paraId="57F1A4B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监测方法及采样频率</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按照《环境空气质量标准》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和《声环境质量标准》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的要求和规定。</w:t>
      </w:r>
    </w:p>
    <w:p w14:paraId="5B205A9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生态监测</w:t>
      </w:r>
    </w:p>
    <w:p w14:paraId="77C98FA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调查点位</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按照典型性、代表性的原则，选择</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库区及周边典型生境作为监测点位，对植被类型进行样方调查，同时对周边爬行类、两栖类动物以及鸟类进行观测记录。</w:t>
      </w:r>
    </w:p>
    <w:p w14:paraId="3318E140">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调查内容</w:t>
      </w:r>
      <w:r>
        <w:rPr>
          <w:rFonts w:hint="default" w:ascii="Times New Roman" w:hAnsi="Times New Roman" w:cs="Times New Roman"/>
          <w:color w:val="auto"/>
          <w:u w:val="none" w:color="auto"/>
          <w:lang w:eastAsia="zh-CN"/>
        </w:rPr>
        <w:t>:</w:t>
      </w:r>
    </w:p>
    <w:p w14:paraId="38689C0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陆生生态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陆生动植物生境、种类、分布、数量、优势物种；</w:t>
      </w:r>
    </w:p>
    <w:p w14:paraId="45AF4A4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水生生态</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鱼类组成变化、资源量变动；浮游植物、浮游动物、底栖动物和水生维管植物进行监测，主要评估施工活动对水生生物的影响状况时间和频次</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施工期间及施工迹地恢复后各调查一次，每次调查时段为每年的4~6月及8~10月。</w:t>
      </w:r>
    </w:p>
    <w:p w14:paraId="5D60F37B">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监测方法</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按生态调查有关规范的规定执行。</w:t>
      </w:r>
    </w:p>
    <w:p w14:paraId="5838E971">
      <w:pPr>
        <w:pStyle w:val="5"/>
        <w:bidi w:val="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运营期环境监测</w:t>
      </w:r>
    </w:p>
    <w:p w14:paraId="435E265D">
      <w:pPr>
        <w:bidi w:val="0"/>
        <w:rPr>
          <w:rFonts w:hint="default" w:ascii="Times New Roman" w:hAnsi="Times New Roman" w:cs="Times New Roman"/>
          <w:color w:val="auto"/>
          <w:u w:val="none" w:color="auto"/>
          <w:lang w:val="en-US"/>
        </w:rPr>
      </w:pPr>
      <w:r>
        <w:rPr>
          <w:rFonts w:hint="default" w:ascii="Times New Roman" w:hAnsi="Times New Roman" w:cs="Times New Roman"/>
          <w:color w:val="auto"/>
          <w:u w:val="none" w:color="auto"/>
          <w:lang w:val="en-US" w:eastAsia="zh-CN"/>
        </w:rPr>
        <w:t>本项目施工结束后，环境影响随即结束，运营期无污染排放，营运期回到水库的日常管理，地表水监测依据现状常规监测点位，不另行补充监测计划。</w:t>
      </w:r>
    </w:p>
    <w:p w14:paraId="605C2F4F">
      <w:pPr>
        <w:pStyle w:val="3"/>
        <w:bidi w:val="0"/>
        <w:rPr>
          <w:rFonts w:hint="default" w:ascii="Times New Roman" w:hAnsi="Times New Roman" w:cs="Times New Roman"/>
          <w:color w:val="auto"/>
          <w:u w:val="none" w:color="auto"/>
        </w:rPr>
      </w:pPr>
      <w:bookmarkStart w:id="252" w:name="_Toc96496893"/>
      <w:bookmarkStart w:id="253" w:name="_Toc389809465"/>
      <w:bookmarkStart w:id="254" w:name="_Toc31433"/>
      <w:bookmarkStart w:id="255" w:name="_Toc92878534"/>
      <w:r>
        <w:rPr>
          <w:rFonts w:hint="default" w:ascii="Times New Roman" w:hAnsi="Times New Roman" w:cs="Times New Roman"/>
          <w:color w:val="auto"/>
          <w:u w:val="none" w:color="auto"/>
        </w:rPr>
        <w:t>施工期环境监理</w:t>
      </w:r>
      <w:bookmarkEnd w:id="252"/>
      <w:bookmarkEnd w:id="253"/>
      <w:bookmarkEnd w:id="254"/>
      <w:bookmarkEnd w:id="255"/>
    </w:p>
    <w:p w14:paraId="156A85A6">
      <w:pPr>
        <w:bidi w:val="0"/>
        <w:rPr>
          <w:rFonts w:hint="default"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环境监理依照国家及当地政府有关环境保护</w:t>
      </w:r>
      <w:r>
        <w:rPr>
          <w:rFonts w:hint="default" w:ascii="Times New Roman" w:hAnsi="Times New Roman" w:cs="Times New Roman"/>
          <w:color w:val="auto"/>
          <w:u w:val="none" w:color="auto"/>
          <w:lang w:eastAsia="zh-CN"/>
        </w:rPr>
        <w:t>法律法规</w:t>
      </w:r>
      <w:r>
        <w:rPr>
          <w:rFonts w:hint="default" w:ascii="Times New Roman" w:hAnsi="Times New Roman" w:cs="Times New Roman"/>
          <w:color w:val="auto"/>
          <w:u w:val="none" w:color="auto"/>
        </w:rPr>
        <w:t>和工程承包合同对承包商进行监理。根据施工区环境状况和工程特点、监理可采取检查、旁站和指令文件等监理方式。其主要工作任务如下</w:t>
      </w:r>
      <w:r>
        <w:rPr>
          <w:rFonts w:hint="eastAsia" w:cs="Times New Roman"/>
          <w:color w:val="auto"/>
          <w:u w:val="none" w:color="auto"/>
          <w:lang w:eastAsia="zh-CN"/>
        </w:rPr>
        <w:t>：</w:t>
      </w:r>
    </w:p>
    <w:p w14:paraId="7EF977E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在施工现场和生活营地对所有承包商的环境保护工作进行监督检查，防止或尽可能减轻施工作业引起的环境污染和生态破坏。</w:t>
      </w:r>
    </w:p>
    <w:p w14:paraId="1A214E9D">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派出环境监理人员对承包商的施工区和生活营地进行现场检查、监测，全面监督和检查承包商环保措施的实施和效果，提出要求承包商限期完成有关环境保护工作，并编写环境监理日志。</w:t>
      </w:r>
    </w:p>
    <w:p w14:paraId="795201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根据有关法律法规及施工承包合同，协助环境管理办公室和有关部门处理环境污染事故和各种环境纠纷。</w:t>
      </w:r>
    </w:p>
    <w:p w14:paraId="4A6803E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对承包商的环境年报进行审查，提出审查、修改意见。</w:t>
      </w:r>
    </w:p>
    <w:p w14:paraId="311F4BE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编制环境监理工作月报和半年环境监理报告报送环境管理办公室，对环境监理工作进行总结，提出存在的重大环境问题和解决问题的建议，说明今后环境监理工作安排和工作重点。</w:t>
      </w:r>
    </w:p>
    <w:p w14:paraId="5F91761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参加工程阶段验收和竣工验收。</w:t>
      </w:r>
    </w:p>
    <w:p w14:paraId="0FDDACF9">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施工前期环境监理</w:t>
      </w:r>
    </w:p>
    <w:p w14:paraId="6936D194">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污染防治方案的审核</w:t>
      </w:r>
    </w:p>
    <w:p w14:paraId="39587D2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环境监理根据具体项目的工艺设计，审核施工工艺中的</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三废</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排放环节，排放的主要污染物及设计中采用的治理技术是否先进，治理措施是否可行。污染物的最终处置方法和去向，应在工程前期按有关文件规定和处理要求，做好计划，并向生态环境主管部门申报后具体落实，审核整个工艺是否具有清洁生产的特点，并提出合理建议。</w:t>
      </w:r>
    </w:p>
    <w:p w14:paraId="7769C921">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审核施工承包合同中的环境保护专项条款</w:t>
      </w:r>
    </w:p>
    <w:p w14:paraId="0ED2DAF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承包单位必须遵循的环境保护有关要求应以专项条款的方式在施工承包合同中体现，并在施工过程中据此加强监督管理、检查、监测、减少施工期对环境的污染影响，同时应对施工单位的文明施工素质及施工环境管理水平进行审核。</w:t>
      </w:r>
    </w:p>
    <w:p w14:paraId="4A21BAB7">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施工期环境监理</w:t>
      </w:r>
    </w:p>
    <w:p w14:paraId="2AC5BDE3">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u w:val="none" w:color="auto"/>
        </w:rPr>
        <w:t>环境监理范围</w:t>
      </w:r>
    </w:p>
    <w:p w14:paraId="7914A66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本工程建设项目监理范围为</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施工区、办公生活营地、弃渣场及施工区域附近等。</w:t>
      </w:r>
    </w:p>
    <w:p w14:paraId="40223C7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环境监理工作内容</w:t>
      </w:r>
    </w:p>
    <w:p w14:paraId="0E97109E">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环境空气污染防治的监理</w:t>
      </w:r>
    </w:p>
    <w:p w14:paraId="38A57D3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施工区域大气污染主要来源于施工和生产过程中产生的废气和粉尘，对污染源要求达标排放，对施工场地及其影响区域应达到规定的环境质量标准。环境监理工程师应明确施工期</w:t>
      </w:r>
      <w:r>
        <w:rPr>
          <w:rFonts w:hint="default" w:ascii="Times New Roman" w:hAnsi="Times New Roman" w:cs="Times New Roman"/>
          <w:color w:val="auto"/>
          <w:highlight w:val="none"/>
          <w:u w:val="none" w:color="auto"/>
        </w:rPr>
        <w:t>施工施工</w:t>
      </w:r>
      <w:r>
        <w:rPr>
          <w:rFonts w:hint="default" w:ascii="Times New Roman" w:hAnsi="Times New Roman" w:cs="Times New Roman"/>
          <w:color w:val="auto"/>
          <w:u w:val="none" w:color="auto"/>
        </w:rPr>
        <w:t>机械、运输车辆及</w:t>
      </w:r>
      <w:r>
        <w:rPr>
          <w:rFonts w:hint="eastAsia" w:cs="Times New Roman"/>
          <w:color w:val="auto"/>
          <w:highlight w:val="none"/>
          <w:u w:val="none" w:color="auto"/>
          <w:lang w:eastAsia="zh-CN"/>
        </w:rPr>
        <w:t>拌合</w:t>
      </w:r>
      <w:r>
        <w:rPr>
          <w:rFonts w:hint="default" w:ascii="Times New Roman" w:hAnsi="Times New Roman" w:cs="Times New Roman"/>
          <w:color w:val="auto"/>
          <w:u w:val="none" w:color="auto"/>
        </w:rPr>
        <w:t>站施工作业过程中大气污染源的排放情况，检查施工过程中各类机械设备是否依据有关法规控制粉尘</w:t>
      </w:r>
      <w:r>
        <w:rPr>
          <w:rFonts w:hint="default" w:ascii="Times New Roman" w:hAnsi="Times New Roman" w:cs="Times New Roman"/>
          <w:color w:val="auto"/>
          <w:highlight w:val="none"/>
          <w:u w:val="none" w:color="auto"/>
        </w:rPr>
        <w:t>及其它</w:t>
      </w:r>
      <w:r>
        <w:rPr>
          <w:rFonts w:hint="default" w:ascii="Times New Roman" w:hAnsi="Times New Roman" w:cs="Times New Roman"/>
          <w:color w:val="auto"/>
          <w:u w:val="none" w:color="auto"/>
        </w:rPr>
        <w:t>大气污染物污染，对施工现场200m之内的大气环境保护目标居民点的环境空气质量监测结果评定，如超标，环保监理工程师应通知承包方采取防范措施，保证环境空气质量达到标</w:t>
      </w:r>
      <w:r>
        <w:rPr>
          <w:rFonts w:hint="default" w:ascii="Times New Roman" w:hAnsi="Times New Roman" w:cs="Times New Roman"/>
          <w:color w:val="auto"/>
          <w:u w:val="none" w:color="auto"/>
          <w:lang w:eastAsia="zh-CN"/>
        </w:rPr>
        <w:t>准限值</w:t>
      </w:r>
      <w:r>
        <w:rPr>
          <w:rFonts w:hint="default" w:ascii="Times New Roman" w:hAnsi="Times New Roman" w:cs="Times New Roman"/>
          <w:color w:val="auto"/>
          <w:u w:val="none" w:color="auto"/>
        </w:rPr>
        <w:t>以内。</w:t>
      </w:r>
    </w:p>
    <w:p w14:paraId="7098DB02">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水污染防治的监理</w:t>
      </w:r>
    </w:p>
    <w:p w14:paraId="51FB685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环境监理工程师应对施工期</w:t>
      </w:r>
      <w:r>
        <w:rPr>
          <w:rFonts w:hint="default" w:ascii="Times New Roman" w:hAnsi="Times New Roman" w:cs="Times New Roman"/>
          <w:color w:val="auto"/>
          <w:u w:val="none" w:color="auto"/>
          <w:lang w:val="en-US" w:eastAsia="zh-CN"/>
        </w:rPr>
        <w:t>废水</w:t>
      </w:r>
      <w:r>
        <w:rPr>
          <w:rFonts w:hint="default" w:ascii="Times New Roman" w:hAnsi="Times New Roman" w:cs="Times New Roman"/>
          <w:color w:val="auto"/>
          <w:u w:val="none" w:color="auto"/>
        </w:rPr>
        <w:t>的来源、水质指标等进行监理，检查和监测是否</w:t>
      </w:r>
      <w:r>
        <w:rPr>
          <w:rFonts w:hint="default" w:ascii="Times New Roman" w:hAnsi="Times New Roman" w:cs="Times New Roman"/>
          <w:color w:val="auto"/>
          <w:u w:val="none" w:color="auto"/>
          <w:lang w:val="en-US" w:eastAsia="zh-CN"/>
        </w:rPr>
        <w:t>做到施工区不向外排水</w:t>
      </w:r>
      <w:r>
        <w:rPr>
          <w:rFonts w:hint="default" w:ascii="Times New Roman" w:hAnsi="Times New Roman" w:cs="Times New Roman"/>
          <w:color w:val="auto"/>
          <w:u w:val="none" w:color="auto"/>
        </w:rPr>
        <w:t>。监督检查施工现场是否积水，采取必要的措施，以保证不对</w:t>
      </w:r>
      <w:r>
        <w:rPr>
          <w:rFonts w:hint="default" w:ascii="Times New Roman" w:hAnsi="Times New Roman" w:cs="Times New Roman"/>
          <w:color w:val="auto"/>
          <w:u w:val="none" w:color="auto"/>
          <w:lang w:val="en-US" w:eastAsia="zh-CN"/>
        </w:rPr>
        <w:t>廊洞水库及宜阳河</w:t>
      </w:r>
      <w:r>
        <w:rPr>
          <w:rFonts w:hint="default" w:ascii="Times New Roman" w:hAnsi="Times New Roman" w:cs="Times New Roman"/>
          <w:color w:val="auto"/>
          <w:u w:val="none" w:color="auto"/>
        </w:rPr>
        <w:t>水质造成污染影响。</w:t>
      </w:r>
    </w:p>
    <w:p w14:paraId="612C4D5B">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噪声污染防治的监理</w:t>
      </w:r>
    </w:p>
    <w:p w14:paraId="712826C7">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监理工程师应熟悉施工活动中施工机械作业场所、施工时间、交通噪声源等各类噪声污染源，监督检查施工过程中各类机械设备是否依据有关法规控制噪声污染。为防止噪声危害，对产生强烈噪声或振动的污染源，应按设计要求进行防治，要求施工场地及施工噪声影响区域的声环境质量达到相应的标准，重点是检查靠近各声环境保护目标的施工点，必须避免噪声扰民。对施工场地200m之内的声环境敏感点进行噪声监测结果评定，如超标，环境监理工程师应通知承包方采取必要的减噪措施，或调整施工机械作业的时间，保证居民正常生活不受噪声影响。</w:t>
      </w:r>
    </w:p>
    <w:p w14:paraId="6E37A43B">
      <w:pPr>
        <w:adjustRightInd w:val="0"/>
        <w:snapToGrid w:val="0"/>
        <w:spacing w:line="360" w:lineRule="auto"/>
        <w:ind w:firstLine="480"/>
        <w:rPr>
          <w:rFonts w:hint="default" w:ascii="Times New Roman" w:hAnsi="Times New Roman" w:cs="Times New Roman"/>
          <w:color w:val="auto"/>
          <w:sz w:val="24"/>
          <w:u w:val="none" w:color="auto"/>
        </w:rPr>
      </w:pPr>
      <w:r>
        <w:rPr>
          <w:rFonts w:hint="default" w:ascii="Times New Roman" w:hAnsi="Times New Roman" w:cs="Times New Roman"/>
          <w:snapToGrid w:val="0"/>
          <w:color w:val="auto"/>
          <w:kern w:val="0"/>
          <w:sz w:val="24"/>
          <w:highlight w:val="none"/>
          <w:u w:val="none" w:color="auto"/>
          <w:lang w:eastAsia="zh-CN"/>
        </w:rPr>
        <w:t>(</w:t>
      </w:r>
      <w:r>
        <w:rPr>
          <w:rFonts w:hint="default" w:ascii="Times New Roman" w:hAnsi="Times New Roman" w:cs="Times New Roman"/>
          <w:snapToGrid w:val="0"/>
          <w:color w:val="auto"/>
          <w:kern w:val="0"/>
          <w:sz w:val="24"/>
          <w:u w:val="none" w:color="auto"/>
        </w:rPr>
        <w:t>4</w:t>
      </w:r>
      <w:r>
        <w:rPr>
          <w:rFonts w:hint="default" w:ascii="Times New Roman" w:hAnsi="Times New Roman" w:cs="Times New Roman"/>
          <w:snapToGrid w:val="0"/>
          <w:color w:val="auto"/>
          <w:kern w:val="0"/>
          <w:sz w:val="24"/>
          <w:highlight w:val="none"/>
          <w:u w:val="none" w:color="auto"/>
          <w:lang w:eastAsia="zh-CN"/>
        </w:rPr>
        <w:t>)</w:t>
      </w:r>
      <w:r>
        <w:rPr>
          <w:rFonts w:hint="default" w:ascii="Times New Roman" w:hAnsi="Times New Roman" w:cs="Times New Roman"/>
          <w:color w:val="auto"/>
          <w:sz w:val="24"/>
          <w:u w:val="none" w:color="auto"/>
        </w:rPr>
        <w:t>水生生态的监理</w:t>
      </w:r>
    </w:p>
    <w:p w14:paraId="22B71569">
      <w:pPr>
        <w:adjustRightInd w:val="0"/>
        <w:snapToGrid w:val="0"/>
        <w:spacing w:line="360" w:lineRule="auto"/>
        <w:ind w:firstLine="480" w:firstLineChars="200"/>
        <w:rPr>
          <w:rFonts w:hint="default" w:ascii="Times New Roman" w:hAnsi="Times New Roman" w:cs="Times New Roman"/>
          <w:snapToGrid w:val="0"/>
          <w:color w:val="auto"/>
          <w:kern w:val="0"/>
          <w:sz w:val="24"/>
          <w:u w:val="none" w:color="auto"/>
        </w:rPr>
      </w:pPr>
      <w:r>
        <w:rPr>
          <w:rFonts w:hint="default" w:ascii="Times New Roman" w:hAnsi="Times New Roman" w:cs="Times New Roman"/>
          <w:snapToGrid w:val="0"/>
          <w:color w:val="auto"/>
          <w:kern w:val="0"/>
          <w:sz w:val="24"/>
          <w:u w:val="none" w:color="auto"/>
        </w:rPr>
        <w:t>环境监理工作重点应放在水生生物的保护方面，涉及的工作应由专业保护机构承担，相关监理费用应纳入工程环保投资概算。</w:t>
      </w:r>
    </w:p>
    <w:p w14:paraId="74FA53E5">
      <w:pPr>
        <w:adjustRightInd w:val="0"/>
        <w:snapToGrid w:val="0"/>
        <w:spacing w:line="360" w:lineRule="auto"/>
        <w:ind w:firstLine="480" w:firstLineChars="200"/>
        <w:rPr>
          <w:rFonts w:hint="default" w:ascii="Times New Roman" w:hAnsi="Times New Roman" w:cs="Times New Roman"/>
          <w:snapToGrid w:val="0"/>
          <w:color w:val="auto"/>
          <w:kern w:val="0"/>
          <w:sz w:val="24"/>
          <w:u w:val="none" w:color="auto"/>
        </w:rPr>
      </w:pPr>
      <w:r>
        <w:rPr>
          <w:rFonts w:hint="default" w:ascii="Times New Roman" w:hAnsi="Times New Roman" w:cs="Times New Roman"/>
          <w:snapToGrid w:val="0"/>
          <w:color w:val="auto"/>
          <w:kern w:val="0"/>
          <w:sz w:val="24"/>
          <w:u w:val="none" w:color="auto"/>
        </w:rPr>
        <w:t>施工人员进场前，监督工程承包商在环境保护和宣传方面的落实情况；检查各个施工阶段，对水生动物巡查的落实情况，督促巡查人员严格按照环保措施的要求实施，切实巡查各个施工影响阶段和影响时段；协助制度相关水生动物保护应急预案，并在工作中参与协调渔政、水利、生态环境等部门处理相关环境问题；检查工程建设过程中水生动物保护应急事故处理费用的到位情况；检查施工过程中施工人员是否有采捕野生动物的行为。</w:t>
      </w:r>
    </w:p>
    <w:p w14:paraId="7E08BFD4">
      <w:pPr>
        <w:bidi w:val="0"/>
        <w:rPr>
          <w:rFonts w:hint="default" w:ascii="Times New Roman" w:hAnsi="Times New Roman" w:cs="Times New Roman"/>
          <w:color w:val="auto"/>
          <w:u w:val="none" w:color="auto"/>
        </w:rPr>
      </w:pPr>
      <w:r>
        <w:rPr>
          <w:rFonts w:hint="default" w:ascii="Times New Roman" w:hAnsi="Times New Roman" w:cs="Times New Roman"/>
          <w:snapToGrid w:val="0"/>
          <w:color w:val="auto"/>
          <w:kern w:val="0"/>
          <w:u w:val="none" w:color="auto"/>
        </w:rPr>
        <w:t>工程施工区重点检查护坡施工；检查施工人员进场前的传染病及血防体检情况；检查工程施工单位为施工人员配备的血防药具及防护用品到位情况；检查工程施</w:t>
      </w:r>
      <w:r>
        <w:rPr>
          <w:rFonts w:hint="default" w:ascii="Times New Roman" w:hAnsi="Times New Roman" w:cs="Times New Roman"/>
          <w:color w:val="auto"/>
          <w:u w:val="none" w:color="auto"/>
        </w:rPr>
        <w:t>工前及施工过程中血防及传染病防治健康宣传落实情况。</w:t>
      </w:r>
    </w:p>
    <w:p w14:paraId="10C1D33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施工期间，监督沿江施工临时用地占地情况，保证按照地方政府批准的施工临时用地红线范围内，及时纠正工程承包商占用农田等行为。</w:t>
      </w:r>
    </w:p>
    <w:p w14:paraId="24D86108">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固体废物的监理</w:t>
      </w:r>
    </w:p>
    <w:p w14:paraId="284B04F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监督检查建筑工地生活垃圾是否按规定进行妥善处理处置、生活垃圾的日常收集、分类存储和处理工作。固体废物处理包括生产、生活垃圾和生产废渣的处理要保证工程所在现场清洁整齐的要求；生产废渣是否</w:t>
      </w:r>
      <w:r>
        <w:rPr>
          <w:rFonts w:hint="default" w:ascii="Times New Roman" w:hAnsi="Times New Roman" w:cs="Times New Roman"/>
          <w:color w:val="auto"/>
          <w:u w:val="none" w:color="auto"/>
          <w:lang w:eastAsia="zh-CN"/>
        </w:rPr>
        <w:t>送至指定</w:t>
      </w:r>
      <w:r>
        <w:rPr>
          <w:rFonts w:hint="default" w:ascii="Times New Roman" w:hAnsi="Times New Roman" w:cs="Times New Roman"/>
          <w:color w:val="auto"/>
          <w:u w:val="none" w:color="auto"/>
        </w:rPr>
        <w:t>的渣场，生活垃圾收集送至垃圾填埋场。</w:t>
      </w:r>
    </w:p>
    <w:p w14:paraId="1AB3791C">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6</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highlight w:val="none"/>
          <w:u w:val="none" w:color="auto"/>
        </w:rPr>
        <w:t>其它</w:t>
      </w:r>
      <w:r>
        <w:rPr>
          <w:rFonts w:hint="default" w:ascii="Times New Roman" w:hAnsi="Times New Roman" w:cs="Times New Roman"/>
          <w:color w:val="auto"/>
          <w:u w:val="none" w:color="auto"/>
        </w:rPr>
        <w:t>方面</w:t>
      </w:r>
    </w:p>
    <w:p w14:paraId="1864883D">
      <w:pPr>
        <w:adjustRightInd w:val="0"/>
        <w:snapToGrid w:val="0"/>
        <w:spacing w:line="360" w:lineRule="auto"/>
        <w:ind w:firstLine="480" w:firstLineChars="200"/>
        <w:rPr>
          <w:rFonts w:hint="default" w:ascii="Times New Roman" w:hAnsi="Times New Roman" w:cs="Times New Roman"/>
          <w:bCs/>
          <w:color w:val="auto"/>
          <w:sz w:val="18"/>
          <w:szCs w:val="18"/>
          <w:u w:val="none" w:color="auto"/>
        </w:rPr>
      </w:pPr>
      <w:r>
        <w:rPr>
          <w:rFonts w:hint="default" w:ascii="Times New Roman" w:hAnsi="Times New Roman" w:cs="Times New Roman"/>
          <w:snapToGrid w:val="0"/>
          <w:color w:val="auto"/>
          <w:kern w:val="0"/>
          <w:sz w:val="24"/>
          <w:u w:val="none" w:color="auto"/>
        </w:rPr>
        <w:t>施工期间对施工人员做好环境保护方面的培训工作，培养大家爱护环境、防止污染的意识，参与调查处理施工</w:t>
      </w:r>
      <w:r>
        <w:rPr>
          <w:rFonts w:hint="default" w:ascii="Times New Roman" w:hAnsi="Times New Roman" w:cs="Times New Roman"/>
          <w:snapToGrid w:val="0"/>
          <w:color w:val="auto"/>
          <w:kern w:val="0"/>
          <w:sz w:val="24"/>
          <w:highlight w:val="none"/>
          <w:u w:val="none" w:color="auto"/>
        </w:rPr>
        <w:t>期</w:t>
      </w:r>
      <w:r>
        <w:rPr>
          <w:rFonts w:hint="default" w:ascii="Times New Roman" w:hAnsi="Times New Roman" w:cs="Times New Roman"/>
          <w:snapToGrid w:val="0"/>
          <w:color w:val="auto"/>
          <w:kern w:val="0"/>
          <w:sz w:val="24"/>
          <w:u w:val="none" w:color="auto"/>
        </w:rPr>
        <w:t>的环境污染事故和环境污染纠纷。</w:t>
      </w:r>
    </w:p>
    <w:p w14:paraId="4006286E">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施工后期环境监理</w:t>
      </w:r>
    </w:p>
    <w:p w14:paraId="457C9C87">
      <w:pPr>
        <w:pStyle w:val="16"/>
        <w:rPr>
          <w:rFonts w:hint="default" w:ascii="Times New Roman" w:hAnsi="Times New Roman" w:cs="Times New Roman"/>
          <w:color w:val="auto"/>
          <w:u w:val="none" w:color="auto"/>
          <w:lang w:val="en-US" w:eastAsia="zh-CN"/>
        </w:rPr>
      </w:pPr>
      <w:r>
        <w:rPr>
          <w:rFonts w:hint="default" w:ascii="Times New Roman" w:hAnsi="Times New Roman" w:cs="Times New Roman"/>
          <w:snapToGrid w:val="0"/>
          <w:color w:val="auto"/>
          <w:kern w:val="0"/>
          <w:sz w:val="24"/>
          <w:u w:val="none" w:color="auto"/>
        </w:rPr>
        <w:t>监督管理环境恢复监测和环境恢复计划的落实情况及环保处理设施运行情况。检查生态恢复和污染防治措施的落实情况。参与环境工程验收活动，协助建设单位组织人员的环境保护培训，负责工程环境监理工作计划和总结。</w:t>
      </w:r>
    </w:p>
    <w:p w14:paraId="2C3EDD12">
      <w:pPr>
        <w:pStyle w:val="3"/>
        <w:rPr>
          <w:rFonts w:hint="default" w:ascii="Times New Roman" w:hAnsi="Times New Roman" w:cs="Times New Roman"/>
          <w:color w:val="auto"/>
          <w:u w:val="none" w:color="auto"/>
        </w:rPr>
      </w:pPr>
      <w:bookmarkStart w:id="256" w:name="_Toc2205"/>
      <w:r>
        <w:rPr>
          <w:rFonts w:hint="default" w:ascii="Times New Roman" w:hAnsi="Times New Roman" w:cs="Times New Roman"/>
          <w:color w:val="auto"/>
          <w:u w:val="none" w:color="auto"/>
        </w:rPr>
        <w:t>排污许可、环保设施竣工内容及要求</w:t>
      </w:r>
      <w:bookmarkEnd w:id="256"/>
    </w:p>
    <w:p w14:paraId="59E2A1F1">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排污许可</w:t>
      </w:r>
    </w:p>
    <w:p w14:paraId="52D1088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根据《排污许可管理办法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试行</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》“第一章第三条:纳入固定污染源排污许可分类管理名录的企业事业单位和其他生产经营者</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以下简称排污单位</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应当按照规定的时限申请并取得排污许可证，未纳入固定污染源排污许可分类管理名录的排污单位，暂不需申请排污许可证。”</w:t>
      </w:r>
    </w:p>
    <w:p w14:paraId="6C6B7516">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对比《固定污染源排污许可分类管理名录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2019年版</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以下简称排污许可名录</w:t>
      </w:r>
      <w:r>
        <w:rPr>
          <w:rFonts w:hint="default" w:ascii="Times New Roman" w:hAnsi="Times New Roman" w:cs="Times New Roman"/>
          <w:color w:val="auto"/>
          <w:highlight w:val="none"/>
          <w:u w:val="none" w:color="auto"/>
          <w:lang w:val="en-US" w:eastAsia="zh-CN"/>
        </w:rPr>
        <w:t>)</w:t>
      </w:r>
      <w:r>
        <w:rPr>
          <w:rFonts w:hint="default" w:ascii="Times New Roman" w:hAnsi="Times New Roman" w:cs="Times New Roman"/>
          <w:color w:val="auto"/>
          <w:u w:val="none" w:color="auto"/>
          <w:lang w:val="en-US" w:eastAsia="zh-CN"/>
        </w:rPr>
        <w:t>，本项目属于108除1-107外的其他行业，且不涉及通用工序中重点管理、简化管理、登记管理。因此，本项目无需进行排污许可证申请及排污登记。</w:t>
      </w:r>
    </w:p>
    <w:p w14:paraId="539253C5">
      <w:pPr>
        <w:pStyle w:val="4"/>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入河排污口设置论证</w:t>
      </w:r>
    </w:p>
    <w:p w14:paraId="27B5061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本项目为水库除险加固项目，水库整治完成后，自身无三废产生，营运期管理人员生活污水处理后用作</w:t>
      </w:r>
      <w:r>
        <w:rPr>
          <w:rFonts w:hint="eastAsia" w:cs="Times New Roman"/>
          <w:color w:val="auto"/>
          <w:u w:val="none" w:color="auto"/>
          <w:lang w:eastAsia="zh-CN"/>
        </w:rPr>
        <w:t>场区内绿化</w:t>
      </w:r>
      <w:r>
        <w:rPr>
          <w:rFonts w:hint="default" w:ascii="Times New Roman" w:hAnsi="Times New Roman" w:cs="Times New Roman"/>
          <w:color w:val="auto"/>
          <w:u w:val="none" w:color="auto"/>
          <w:lang w:val="en-US" w:eastAsia="zh-CN"/>
        </w:rPr>
        <w:t>。根据《入河排污口设置论证报告技术导则》，项目不需要设置入河排污口，因此本项目不进行入河排污口设置论证。</w:t>
      </w:r>
    </w:p>
    <w:p w14:paraId="31B7043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环保设施竣工验收</w:t>
      </w:r>
    </w:p>
    <w:p w14:paraId="6490DC1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根据《建设项目环境保护管理条例》</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中华人民共和国国务院第682号</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编制环境影响报告书、环境影响报告表的建设项目竣工后，建设单位应当按照国务院环境保护行政主管部门规定的标准和程序，对配套建设的环境保护设施进行验收，编制验收报告。</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明确编制验收报告主体为建设单位。</w:t>
      </w:r>
    </w:p>
    <w:p w14:paraId="065F687F">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本项目无运营期环境治理设施，</w:t>
      </w:r>
      <w:r>
        <w:rPr>
          <w:rFonts w:hint="default" w:ascii="Times New Roman" w:hAnsi="Times New Roman" w:cs="Times New Roman"/>
          <w:color w:val="auto"/>
          <w:u w:val="none" w:color="auto"/>
        </w:rPr>
        <w:t>环保竣工验收一览表</w:t>
      </w:r>
      <w:r>
        <w:rPr>
          <w:rFonts w:hint="default" w:ascii="Times New Roman" w:hAnsi="Times New Roman" w:cs="Times New Roman"/>
          <w:color w:val="auto"/>
          <w:u w:val="none" w:color="auto"/>
          <w:lang w:val="en-US" w:eastAsia="zh-CN"/>
        </w:rPr>
        <w:t>按施工期建设相关内容进行</w:t>
      </w:r>
      <w:r>
        <w:rPr>
          <w:rFonts w:hint="default" w:ascii="Times New Roman" w:hAnsi="Times New Roman" w:cs="Times New Roman"/>
          <w:color w:val="auto"/>
          <w:u w:val="none" w:color="auto"/>
          <w:lang w:eastAsia="zh-CN"/>
        </w:rPr>
        <w:t>。</w:t>
      </w:r>
    </w:p>
    <w:p w14:paraId="5C7A78F1">
      <w:pPr>
        <w:spacing w:line="218" w:lineRule="auto"/>
        <w:ind w:left="0" w:leftChars="0" w:firstLine="0" w:firstLineChars="0"/>
        <w:jc w:val="center"/>
      </w:pPr>
      <w:r>
        <w:rPr>
          <w:rFonts w:hint="default" w:ascii="Times New Roman" w:hAnsi="Times New Roman" w:eastAsia="宋体" w:cs="Times New Roman"/>
          <w:b/>
          <w:bCs/>
          <w:color w:val="auto"/>
          <w:kern w:val="2"/>
          <w:sz w:val="21"/>
          <w:szCs w:val="21"/>
          <w:u w:val="none" w:color="auto"/>
          <w:lang w:val="en-US" w:eastAsia="zh-CN" w:bidi="ar-SA"/>
        </w:rPr>
        <w:t>表</w:t>
      </w:r>
      <w:r>
        <w:rPr>
          <w:rFonts w:hint="eastAsia" w:cs="Times New Roman"/>
          <w:b/>
          <w:bCs/>
          <w:color w:val="auto"/>
          <w:kern w:val="2"/>
          <w:sz w:val="21"/>
          <w:szCs w:val="21"/>
          <w:u w:val="none" w:color="auto"/>
          <w:lang w:val="en-US" w:eastAsia="zh-CN" w:bidi="ar-SA"/>
        </w:rPr>
        <w:t>9</w:t>
      </w:r>
      <w:r>
        <w:rPr>
          <w:rFonts w:hint="default" w:ascii="Times New Roman" w:hAnsi="Times New Roman" w:cs="Times New Roman"/>
          <w:b/>
          <w:bCs/>
          <w:color w:val="auto"/>
          <w:kern w:val="2"/>
          <w:sz w:val="21"/>
          <w:szCs w:val="21"/>
          <w:u w:val="none" w:color="auto"/>
          <w:lang w:val="en-US" w:eastAsia="zh-CN" w:bidi="ar-SA"/>
        </w:rPr>
        <w:t>.4</w:t>
      </w:r>
      <w:r>
        <w:rPr>
          <w:rFonts w:hint="default" w:ascii="Times New Roman" w:hAnsi="Times New Roman" w:eastAsia="宋体" w:cs="Times New Roman"/>
          <w:b/>
          <w:bCs/>
          <w:color w:val="auto"/>
          <w:kern w:val="2"/>
          <w:sz w:val="21"/>
          <w:szCs w:val="21"/>
          <w:u w:val="none" w:color="auto"/>
          <w:lang w:val="en-US" w:eastAsia="zh-CN" w:bidi="ar-SA"/>
        </w:rPr>
        <w:t>-1</w:t>
      </w:r>
      <w:r>
        <w:rPr>
          <w:rFonts w:hint="default" w:ascii="Times New Roman" w:hAnsi="Times New Roman" w:cs="Times New Roman"/>
          <w:b/>
          <w:bCs/>
          <w:color w:val="auto"/>
          <w:kern w:val="2"/>
          <w:sz w:val="21"/>
          <w:szCs w:val="21"/>
          <w:u w:val="none" w:color="auto"/>
          <w:lang w:val="en-US" w:eastAsia="zh-CN" w:bidi="ar-SA"/>
        </w:rPr>
        <w:t xml:space="preserve">   环保竣工验收内容一览表</w:t>
      </w:r>
    </w:p>
    <w:tbl>
      <w:tblPr>
        <w:tblStyle w:val="37"/>
        <w:tblW w:w="503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8"/>
        <w:gridCol w:w="1105"/>
        <w:gridCol w:w="936"/>
        <w:gridCol w:w="3589"/>
        <w:gridCol w:w="1744"/>
      </w:tblGrid>
      <w:tr w14:paraId="67B5C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29616F59">
            <w:pPr>
              <w:autoSpaceDE w:val="0"/>
              <w:autoSpaceDN w:val="0"/>
              <w:snapToGrid w:val="0"/>
              <w:spacing w:line="240" w:lineRule="auto"/>
              <w:ind w:firstLine="0" w:firstLineChars="0"/>
              <w:jc w:val="center"/>
              <w:rPr>
                <w:sz w:val="21"/>
                <w:szCs w:val="21"/>
                <w:lang w:bidi="zh-CN"/>
              </w:rPr>
            </w:pPr>
            <w:r>
              <w:rPr>
                <w:sz w:val="21"/>
                <w:szCs w:val="21"/>
                <w:lang w:bidi="zh-CN"/>
              </w:rPr>
              <w:t>污染类型</w:t>
            </w:r>
          </w:p>
        </w:tc>
        <w:tc>
          <w:tcPr>
            <w:tcW w:w="660" w:type="pct"/>
            <w:noWrap w:val="0"/>
            <w:vAlign w:val="center"/>
          </w:tcPr>
          <w:p w14:paraId="09B78D1D">
            <w:pPr>
              <w:autoSpaceDE w:val="0"/>
              <w:autoSpaceDN w:val="0"/>
              <w:snapToGrid w:val="0"/>
              <w:spacing w:line="240" w:lineRule="auto"/>
              <w:ind w:firstLine="0" w:firstLineChars="0"/>
              <w:jc w:val="center"/>
              <w:rPr>
                <w:sz w:val="21"/>
                <w:szCs w:val="21"/>
                <w:lang w:val="zh-CN" w:bidi="zh-CN"/>
              </w:rPr>
            </w:pPr>
            <w:r>
              <w:rPr>
                <w:sz w:val="21"/>
                <w:szCs w:val="21"/>
                <w:lang w:val="zh-CN" w:bidi="zh-CN"/>
              </w:rPr>
              <w:t>措施类型</w:t>
            </w:r>
          </w:p>
        </w:tc>
        <w:tc>
          <w:tcPr>
            <w:tcW w:w="559" w:type="pct"/>
            <w:noWrap w:val="0"/>
            <w:vAlign w:val="center"/>
          </w:tcPr>
          <w:p w14:paraId="0C330537">
            <w:pPr>
              <w:autoSpaceDE w:val="0"/>
              <w:autoSpaceDN w:val="0"/>
              <w:snapToGrid w:val="0"/>
              <w:spacing w:line="240" w:lineRule="auto"/>
              <w:ind w:firstLine="0" w:firstLineChars="0"/>
              <w:jc w:val="center"/>
              <w:rPr>
                <w:sz w:val="21"/>
                <w:szCs w:val="21"/>
                <w:lang w:val="zh-CN" w:bidi="zh-CN"/>
              </w:rPr>
            </w:pPr>
            <w:r>
              <w:rPr>
                <w:sz w:val="21"/>
                <w:szCs w:val="21"/>
                <w:lang w:val="zh-CN" w:bidi="zh-CN"/>
              </w:rPr>
              <w:t>时期</w:t>
            </w:r>
          </w:p>
        </w:tc>
        <w:tc>
          <w:tcPr>
            <w:tcW w:w="2143" w:type="pct"/>
            <w:noWrap w:val="0"/>
            <w:vAlign w:val="center"/>
          </w:tcPr>
          <w:p w14:paraId="7E425D21">
            <w:pPr>
              <w:autoSpaceDE w:val="0"/>
              <w:autoSpaceDN w:val="0"/>
              <w:snapToGrid w:val="0"/>
              <w:spacing w:line="240" w:lineRule="auto"/>
              <w:ind w:firstLine="0" w:firstLineChars="0"/>
              <w:jc w:val="center"/>
              <w:rPr>
                <w:sz w:val="21"/>
                <w:szCs w:val="21"/>
                <w:lang w:val="zh-CN" w:bidi="zh-CN"/>
              </w:rPr>
            </w:pPr>
            <w:r>
              <w:rPr>
                <w:sz w:val="21"/>
                <w:szCs w:val="21"/>
                <w:lang w:val="zh-CN" w:bidi="zh-CN"/>
              </w:rPr>
              <w:t>措施内容</w:t>
            </w:r>
          </w:p>
        </w:tc>
        <w:tc>
          <w:tcPr>
            <w:tcW w:w="1041" w:type="pct"/>
            <w:noWrap w:val="0"/>
            <w:vAlign w:val="center"/>
          </w:tcPr>
          <w:p w14:paraId="5025D216">
            <w:pPr>
              <w:tabs>
                <w:tab w:val="left" w:pos="466"/>
              </w:tabs>
              <w:snapToGrid w:val="0"/>
              <w:spacing w:line="240" w:lineRule="auto"/>
              <w:ind w:firstLine="0" w:firstLineChars="0"/>
              <w:jc w:val="center"/>
              <w:rPr>
                <w:sz w:val="21"/>
                <w:szCs w:val="21"/>
              </w:rPr>
            </w:pPr>
            <w:r>
              <w:rPr>
                <w:sz w:val="21"/>
                <w:szCs w:val="21"/>
              </w:rPr>
              <w:t>验收要求</w:t>
            </w:r>
          </w:p>
        </w:tc>
      </w:tr>
      <w:tr w14:paraId="6FE4C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71BA675D">
            <w:pPr>
              <w:autoSpaceDE w:val="0"/>
              <w:autoSpaceDN w:val="0"/>
              <w:snapToGrid w:val="0"/>
              <w:spacing w:line="240" w:lineRule="auto"/>
              <w:ind w:firstLine="0" w:firstLineChars="0"/>
              <w:jc w:val="center"/>
              <w:rPr>
                <w:sz w:val="21"/>
                <w:szCs w:val="21"/>
                <w:lang w:bidi="zh-CN"/>
              </w:rPr>
            </w:pPr>
            <w:r>
              <w:rPr>
                <w:sz w:val="21"/>
                <w:szCs w:val="21"/>
                <w:lang w:bidi="zh-CN"/>
              </w:rPr>
              <w:t>废水</w:t>
            </w:r>
          </w:p>
        </w:tc>
        <w:tc>
          <w:tcPr>
            <w:tcW w:w="660" w:type="pct"/>
            <w:vMerge w:val="restart"/>
            <w:noWrap w:val="0"/>
            <w:vAlign w:val="center"/>
          </w:tcPr>
          <w:p w14:paraId="570CEE0D">
            <w:pPr>
              <w:autoSpaceDE w:val="0"/>
              <w:autoSpaceDN w:val="0"/>
              <w:snapToGrid w:val="0"/>
              <w:spacing w:line="240" w:lineRule="auto"/>
              <w:ind w:firstLine="0" w:firstLineChars="0"/>
              <w:jc w:val="center"/>
              <w:rPr>
                <w:sz w:val="21"/>
                <w:szCs w:val="21"/>
                <w:lang w:val="zh-CN" w:bidi="zh-CN"/>
              </w:rPr>
            </w:pPr>
            <w:r>
              <w:rPr>
                <w:sz w:val="21"/>
                <w:szCs w:val="21"/>
                <w:lang w:val="zh-CN" w:bidi="zh-CN"/>
              </w:rPr>
              <w:t>水环境保护措施</w:t>
            </w:r>
          </w:p>
        </w:tc>
        <w:tc>
          <w:tcPr>
            <w:tcW w:w="559" w:type="pct"/>
            <w:vMerge w:val="restart"/>
            <w:noWrap w:val="0"/>
            <w:vAlign w:val="center"/>
          </w:tcPr>
          <w:p w14:paraId="4FEEF03A">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685A57C8">
            <w:pPr>
              <w:autoSpaceDE w:val="0"/>
              <w:autoSpaceDN w:val="0"/>
              <w:snapToGrid w:val="0"/>
              <w:spacing w:line="240" w:lineRule="auto"/>
              <w:ind w:firstLine="0" w:firstLineChars="0"/>
              <w:jc w:val="center"/>
              <w:rPr>
                <w:rFonts w:hint="eastAsia"/>
                <w:sz w:val="21"/>
                <w:szCs w:val="21"/>
                <w:lang w:val="zh-CN" w:bidi="zh-CN"/>
              </w:rPr>
            </w:pPr>
            <w:r>
              <w:rPr>
                <w:sz w:val="21"/>
                <w:szCs w:val="21"/>
              </w:rPr>
              <w:t>砼搅拌系统废水</w:t>
            </w:r>
            <w:r>
              <w:rPr>
                <w:rFonts w:hint="eastAsia"/>
                <w:sz w:val="21"/>
                <w:szCs w:val="21"/>
              </w:rPr>
              <w:t>：经沉淀池处理后回用于砼搅拌系统施工，不外排</w:t>
            </w:r>
          </w:p>
        </w:tc>
        <w:tc>
          <w:tcPr>
            <w:tcW w:w="1041" w:type="pct"/>
            <w:vMerge w:val="restart"/>
            <w:noWrap w:val="0"/>
            <w:vAlign w:val="center"/>
          </w:tcPr>
          <w:p w14:paraId="285F96AB">
            <w:pPr>
              <w:autoSpaceDE w:val="0"/>
              <w:autoSpaceDN w:val="0"/>
              <w:snapToGrid w:val="0"/>
              <w:spacing w:line="240" w:lineRule="auto"/>
              <w:ind w:firstLine="0" w:firstLineChars="0"/>
              <w:jc w:val="center"/>
              <w:rPr>
                <w:sz w:val="21"/>
                <w:szCs w:val="21"/>
                <w:lang w:bidi="zh-CN"/>
              </w:rPr>
            </w:pPr>
            <w:r>
              <w:rPr>
                <w:sz w:val="21"/>
                <w:szCs w:val="21"/>
                <w:lang w:bidi="zh-CN"/>
              </w:rPr>
              <w:t>综合利用，不外排</w:t>
            </w:r>
          </w:p>
        </w:tc>
      </w:tr>
      <w:tr w14:paraId="1FE8FE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67FAF675">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07AAA655">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33A0EDA">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3DF9EAF2">
            <w:pPr>
              <w:spacing w:line="240" w:lineRule="auto"/>
              <w:ind w:firstLine="0" w:firstLineChars="0"/>
              <w:jc w:val="center"/>
              <w:rPr>
                <w:sz w:val="21"/>
                <w:szCs w:val="21"/>
                <w:lang w:val="zh-CN" w:bidi="zh-CN"/>
              </w:rPr>
            </w:pPr>
            <w:r>
              <w:rPr>
                <w:sz w:val="21"/>
                <w:szCs w:val="21"/>
              </w:rPr>
              <w:t>机械车辆维修冲洗含油废水</w:t>
            </w:r>
            <w:r>
              <w:rPr>
                <w:rFonts w:hint="eastAsia"/>
                <w:sz w:val="21"/>
                <w:szCs w:val="21"/>
              </w:rPr>
              <w:t>：</w:t>
            </w:r>
            <w:r>
              <w:rPr>
                <w:sz w:val="21"/>
                <w:szCs w:val="21"/>
              </w:rPr>
              <w:t>经油水分离池处理后回用于车辆冲洗，不外排</w:t>
            </w:r>
          </w:p>
        </w:tc>
        <w:tc>
          <w:tcPr>
            <w:tcW w:w="1041" w:type="pct"/>
            <w:vMerge w:val="continue"/>
            <w:noWrap w:val="0"/>
            <w:vAlign w:val="center"/>
          </w:tcPr>
          <w:p w14:paraId="2FE0855A">
            <w:pPr>
              <w:autoSpaceDE w:val="0"/>
              <w:autoSpaceDN w:val="0"/>
              <w:snapToGrid w:val="0"/>
              <w:spacing w:line="240" w:lineRule="auto"/>
              <w:ind w:firstLine="0" w:firstLineChars="0"/>
              <w:jc w:val="center"/>
              <w:rPr>
                <w:sz w:val="21"/>
                <w:szCs w:val="21"/>
                <w:lang w:val="zh-CN" w:bidi="zh-CN"/>
              </w:rPr>
            </w:pPr>
          </w:p>
        </w:tc>
      </w:tr>
      <w:tr w14:paraId="46952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9352A04">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49244BE8">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FA100AE">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E28C675">
            <w:pPr>
              <w:autoSpaceDE w:val="0"/>
              <w:autoSpaceDN w:val="0"/>
              <w:snapToGrid w:val="0"/>
              <w:spacing w:line="240" w:lineRule="auto"/>
              <w:ind w:firstLine="0" w:firstLineChars="0"/>
              <w:jc w:val="center"/>
              <w:rPr>
                <w:sz w:val="21"/>
                <w:szCs w:val="21"/>
                <w:lang w:bidi="zh-CN"/>
              </w:rPr>
            </w:pPr>
            <w:r>
              <w:rPr>
                <w:sz w:val="21"/>
                <w:szCs w:val="21"/>
                <w:lang w:val="zh-CN" w:bidi="zh-CN"/>
              </w:rPr>
              <w:t>基坑排水：絮凝沉淀回用</w:t>
            </w:r>
          </w:p>
        </w:tc>
        <w:tc>
          <w:tcPr>
            <w:tcW w:w="1041" w:type="pct"/>
            <w:vMerge w:val="continue"/>
            <w:noWrap w:val="0"/>
            <w:vAlign w:val="center"/>
          </w:tcPr>
          <w:p w14:paraId="06BEDBA5">
            <w:pPr>
              <w:autoSpaceDE w:val="0"/>
              <w:autoSpaceDN w:val="0"/>
              <w:snapToGrid w:val="0"/>
              <w:spacing w:line="240" w:lineRule="auto"/>
              <w:ind w:firstLine="0" w:firstLineChars="0"/>
              <w:jc w:val="center"/>
              <w:rPr>
                <w:sz w:val="21"/>
                <w:szCs w:val="21"/>
                <w:lang w:val="zh-CN" w:bidi="zh-CN"/>
              </w:rPr>
            </w:pPr>
          </w:p>
        </w:tc>
      </w:tr>
      <w:tr w14:paraId="665D22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4F511A48">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260AF1ED">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338D601A">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28732912">
            <w:pPr>
              <w:autoSpaceDE w:val="0"/>
              <w:autoSpaceDN w:val="0"/>
              <w:snapToGrid w:val="0"/>
              <w:spacing w:line="240" w:lineRule="auto"/>
              <w:ind w:firstLine="0" w:firstLineChars="0"/>
              <w:jc w:val="center"/>
              <w:rPr>
                <w:sz w:val="21"/>
                <w:szCs w:val="21"/>
                <w:lang w:val="zh-CN" w:bidi="zh-CN"/>
              </w:rPr>
            </w:pPr>
            <w:r>
              <w:rPr>
                <w:sz w:val="21"/>
                <w:szCs w:val="21"/>
                <w:lang w:val="zh-CN" w:bidi="zh-CN"/>
              </w:rPr>
              <w:t>混凝土养护废水：废水经沉淀池沉淀后再回用于施工生产，不外排</w:t>
            </w:r>
          </w:p>
        </w:tc>
        <w:tc>
          <w:tcPr>
            <w:tcW w:w="1041" w:type="pct"/>
            <w:vMerge w:val="continue"/>
            <w:noWrap w:val="0"/>
            <w:vAlign w:val="center"/>
          </w:tcPr>
          <w:p w14:paraId="2B3F0834">
            <w:pPr>
              <w:autoSpaceDE w:val="0"/>
              <w:autoSpaceDN w:val="0"/>
              <w:snapToGrid w:val="0"/>
              <w:spacing w:line="240" w:lineRule="auto"/>
              <w:ind w:firstLine="0" w:firstLineChars="0"/>
              <w:jc w:val="center"/>
              <w:rPr>
                <w:sz w:val="21"/>
                <w:szCs w:val="21"/>
                <w:lang w:val="zh-CN" w:bidi="zh-CN"/>
              </w:rPr>
            </w:pPr>
          </w:p>
        </w:tc>
      </w:tr>
      <w:tr w14:paraId="32F8F0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7124AE92">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7578D7F1">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4C1CCC7C">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F8571A5">
            <w:pPr>
              <w:autoSpaceDE w:val="0"/>
              <w:autoSpaceDN w:val="0"/>
              <w:snapToGrid w:val="0"/>
              <w:spacing w:line="240" w:lineRule="auto"/>
              <w:ind w:firstLine="0" w:firstLineChars="0"/>
              <w:jc w:val="center"/>
              <w:rPr>
                <w:rFonts w:hint="default"/>
                <w:sz w:val="21"/>
                <w:szCs w:val="21"/>
                <w:lang w:val="en-US" w:bidi="zh-CN"/>
              </w:rPr>
            </w:pPr>
            <w:r>
              <w:rPr>
                <w:rFonts w:hint="eastAsia"/>
                <w:sz w:val="21"/>
                <w:szCs w:val="21"/>
                <w:lang w:val="en-US" w:bidi="zh-CN"/>
              </w:rPr>
              <w:t>生活污水：</w:t>
            </w:r>
            <w:r>
              <w:rPr>
                <w:sz w:val="21"/>
                <w:szCs w:val="21"/>
                <w:lang w:bidi="zh-CN"/>
              </w:rPr>
              <w:t>经</w:t>
            </w:r>
            <w:r>
              <w:rPr>
                <w:rFonts w:hint="eastAsia"/>
                <w:sz w:val="21"/>
                <w:szCs w:val="21"/>
                <w:lang w:bidi="zh-CN"/>
              </w:rPr>
              <w:t>化粪池</w:t>
            </w:r>
            <w:r>
              <w:rPr>
                <w:sz w:val="21"/>
                <w:szCs w:val="21"/>
                <w:lang w:bidi="zh-CN"/>
              </w:rPr>
              <w:t>处理后用于</w:t>
            </w:r>
            <w:r>
              <w:rPr>
                <w:rFonts w:hint="eastAsia"/>
                <w:sz w:val="21"/>
                <w:szCs w:val="21"/>
                <w:lang w:val="en-US" w:bidi="zh-CN"/>
              </w:rPr>
              <w:t>厂内绿化</w:t>
            </w:r>
          </w:p>
        </w:tc>
        <w:tc>
          <w:tcPr>
            <w:tcW w:w="1041" w:type="pct"/>
            <w:vMerge w:val="continue"/>
            <w:noWrap w:val="0"/>
            <w:vAlign w:val="center"/>
          </w:tcPr>
          <w:p w14:paraId="1FB29798">
            <w:pPr>
              <w:autoSpaceDE w:val="0"/>
              <w:autoSpaceDN w:val="0"/>
              <w:snapToGrid w:val="0"/>
              <w:spacing w:line="240" w:lineRule="auto"/>
              <w:ind w:firstLine="0" w:firstLineChars="0"/>
              <w:jc w:val="center"/>
              <w:rPr>
                <w:sz w:val="21"/>
                <w:szCs w:val="21"/>
                <w:lang w:val="zh-CN" w:bidi="zh-CN"/>
              </w:rPr>
            </w:pPr>
          </w:p>
        </w:tc>
      </w:tr>
      <w:tr w14:paraId="7B13BA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FBC8DFB">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3AC2323B">
            <w:pPr>
              <w:autoSpaceDE w:val="0"/>
              <w:autoSpaceDN w:val="0"/>
              <w:snapToGrid w:val="0"/>
              <w:spacing w:line="240" w:lineRule="auto"/>
              <w:ind w:firstLine="0" w:firstLineChars="0"/>
              <w:jc w:val="center"/>
              <w:rPr>
                <w:kern w:val="0"/>
                <w:sz w:val="21"/>
                <w:szCs w:val="21"/>
                <w:lang w:val="zh-CN" w:bidi="zh-CN"/>
              </w:rPr>
            </w:pPr>
          </w:p>
        </w:tc>
        <w:tc>
          <w:tcPr>
            <w:tcW w:w="559" w:type="pct"/>
            <w:noWrap w:val="0"/>
            <w:vAlign w:val="center"/>
          </w:tcPr>
          <w:p w14:paraId="49669025">
            <w:pPr>
              <w:autoSpaceDE w:val="0"/>
              <w:autoSpaceDN w:val="0"/>
              <w:snapToGrid w:val="0"/>
              <w:spacing w:line="240" w:lineRule="auto"/>
              <w:ind w:firstLine="0" w:firstLineChars="0"/>
              <w:jc w:val="center"/>
              <w:rPr>
                <w:sz w:val="21"/>
                <w:szCs w:val="21"/>
                <w:lang w:val="zh-CN" w:bidi="zh-CN"/>
              </w:rPr>
            </w:pPr>
            <w:r>
              <w:rPr>
                <w:sz w:val="21"/>
                <w:szCs w:val="21"/>
                <w:lang w:val="zh-CN" w:bidi="zh-CN"/>
              </w:rPr>
              <w:t>运行期</w:t>
            </w:r>
          </w:p>
        </w:tc>
        <w:tc>
          <w:tcPr>
            <w:tcW w:w="2143" w:type="pct"/>
            <w:noWrap w:val="0"/>
            <w:vAlign w:val="center"/>
          </w:tcPr>
          <w:p w14:paraId="4FBD1A29">
            <w:pPr>
              <w:autoSpaceDE w:val="0"/>
              <w:autoSpaceDN w:val="0"/>
              <w:snapToGrid w:val="0"/>
              <w:spacing w:line="240" w:lineRule="auto"/>
              <w:ind w:firstLine="0" w:firstLineChars="0"/>
              <w:jc w:val="center"/>
              <w:rPr>
                <w:rFonts w:hint="default"/>
                <w:sz w:val="21"/>
                <w:szCs w:val="21"/>
                <w:lang w:val="en-US" w:bidi="zh-CN"/>
              </w:rPr>
            </w:pPr>
            <w:r>
              <w:rPr>
                <w:sz w:val="21"/>
                <w:szCs w:val="21"/>
                <w:lang w:val="zh-CN" w:bidi="zh-CN"/>
              </w:rPr>
              <w:t>水库管理区生活污水：</w:t>
            </w:r>
            <w:r>
              <w:rPr>
                <w:sz w:val="21"/>
                <w:szCs w:val="21"/>
                <w:lang w:bidi="zh-CN"/>
              </w:rPr>
              <w:t>经</w:t>
            </w:r>
            <w:r>
              <w:rPr>
                <w:rFonts w:hint="eastAsia"/>
                <w:sz w:val="21"/>
                <w:szCs w:val="21"/>
                <w:lang w:bidi="zh-CN"/>
              </w:rPr>
              <w:t>化粪池</w:t>
            </w:r>
            <w:r>
              <w:rPr>
                <w:sz w:val="21"/>
                <w:szCs w:val="21"/>
                <w:lang w:bidi="zh-CN"/>
              </w:rPr>
              <w:t>处理后用于</w:t>
            </w:r>
            <w:r>
              <w:rPr>
                <w:rFonts w:hint="eastAsia"/>
                <w:sz w:val="21"/>
                <w:szCs w:val="21"/>
                <w:lang w:val="en-US" w:bidi="zh-CN"/>
              </w:rPr>
              <w:t>厂区绿化</w:t>
            </w:r>
          </w:p>
        </w:tc>
        <w:tc>
          <w:tcPr>
            <w:tcW w:w="1041" w:type="pct"/>
            <w:vMerge w:val="continue"/>
            <w:noWrap w:val="0"/>
            <w:vAlign w:val="center"/>
          </w:tcPr>
          <w:p w14:paraId="3A6BF4DE">
            <w:pPr>
              <w:autoSpaceDE w:val="0"/>
              <w:autoSpaceDN w:val="0"/>
              <w:snapToGrid w:val="0"/>
              <w:spacing w:line="240" w:lineRule="auto"/>
              <w:ind w:firstLine="0" w:firstLineChars="0"/>
              <w:jc w:val="center"/>
              <w:rPr>
                <w:sz w:val="21"/>
                <w:szCs w:val="21"/>
                <w:lang w:val="zh-CN" w:bidi="zh-CN"/>
              </w:rPr>
            </w:pPr>
          </w:p>
        </w:tc>
      </w:tr>
      <w:tr w14:paraId="5887A8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0C62A851">
            <w:pPr>
              <w:autoSpaceDE w:val="0"/>
              <w:autoSpaceDN w:val="0"/>
              <w:snapToGrid w:val="0"/>
              <w:spacing w:line="240" w:lineRule="auto"/>
              <w:ind w:firstLine="0" w:firstLineChars="0"/>
              <w:jc w:val="center"/>
              <w:rPr>
                <w:sz w:val="21"/>
                <w:szCs w:val="21"/>
                <w:lang w:bidi="zh-CN"/>
              </w:rPr>
            </w:pPr>
            <w:r>
              <w:rPr>
                <w:sz w:val="21"/>
                <w:szCs w:val="21"/>
                <w:lang w:bidi="zh-CN"/>
              </w:rPr>
              <w:t>废气</w:t>
            </w:r>
          </w:p>
        </w:tc>
        <w:tc>
          <w:tcPr>
            <w:tcW w:w="660" w:type="pct"/>
            <w:vMerge w:val="restart"/>
            <w:noWrap w:val="0"/>
            <w:vAlign w:val="center"/>
          </w:tcPr>
          <w:p w14:paraId="194E300A">
            <w:pPr>
              <w:autoSpaceDE w:val="0"/>
              <w:autoSpaceDN w:val="0"/>
              <w:snapToGrid w:val="0"/>
              <w:spacing w:line="240" w:lineRule="auto"/>
              <w:ind w:firstLine="0" w:firstLineChars="0"/>
              <w:jc w:val="center"/>
              <w:rPr>
                <w:sz w:val="21"/>
                <w:szCs w:val="21"/>
                <w:lang w:val="zh-CN" w:bidi="zh-CN"/>
              </w:rPr>
            </w:pPr>
            <w:r>
              <w:rPr>
                <w:sz w:val="21"/>
                <w:szCs w:val="21"/>
                <w:lang w:val="zh-CN" w:bidi="zh-CN"/>
              </w:rPr>
              <w:t>大气环境保护措施</w:t>
            </w:r>
          </w:p>
        </w:tc>
        <w:tc>
          <w:tcPr>
            <w:tcW w:w="559" w:type="pct"/>
            <w:vMerge w:val="restart"/>
            <w:noWrap w:val="0"/>
            <w:vAlign w:val="center"/>
          </w:tcPr>
          <w:p w14:paraId="173332CA">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511C338D">
            <w:pPr>
              <w:autoSpaceDE w:val="0"/>
              <w:autoSpaceDN w:val="0"/>
              <w:snapToGrid w:val="0"/>
              <w:spacing w:line="240" w:lineRule="auto"/>
              <w:ind w:firstLine="0" w:firstLineChars="0"/>
              <w:jc w:val="center"/>
              <w:rPr>
                <w:sz w:val="21"/>
                <w:szCs w:val="21"/>
                <w:lang w:val="zh-CN" w:bidi="zh-CN"/>
              </w:rPr>
            </w:pPr>
            <w:r>
              <w:rPr>
                <w:sz w:val="21"/>
                <w:szCs w:val="21"/>
                <w:lang w:val="zh-CN" w:bidi="zh-CN"/>
              </w:rPr>
              <w:t>机械及车辆燃油废气：用合格的燃料，清洁生产；采用先进施工工艺，降低油耗</w:t>
            </w:r>
          </w:p>
        </w:tc>
        <w:tc>
          <w:tcPr>
            <w:tcW w:w="1041" w:type="pct"/>
            <w:vMerge w:val="restart"/>
            <w:noWrap w:val="0"/>
            <w:vAlign w:val="center"/>
          </w:tcPr>
          <w:p w14:paraId="5A27B9F0">
            <w:pPr>
              <w:autoSpaceDE w:val="0"/>
              <w:autoSpaceDN w:val="0"/>
              <w:snapToGrid w:val="0"/>
              <w:spacing w:line="240" w:lineRule="auto"/>
              <w:ind w:firstLine="0" w:firstLineChars="0"/>
              <w:jc w:val="center"/>
              <w:rPr>
                <w:sz w:val="21"/>
                <w:szCs w:val="21"/>
                <w:lang w:val="zh-CN" w:bidi="zh-CN"/>
              </w:rPr>
            </w:pPr>
            <w:r>
              <w:rPr>
                <w:sz w:val="21"/>
                <w:szCs w:val="21"/>
                <w:lang w:val="zh-CN" w:bidi="zh-CN"/>
              </w:rPr>
              <w:t>《大气污染物综合排放标准》（GB16297-1996）表2二级标准</w:t>
            </w:r>
          </w:p>
        </w:tc>
      </w:tr>
      <w:tr w14:paraId="196C2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32DE06CF">
            <w:pPr>
              <w:autoSpaceDE w:val="0"/>
              <w:autoSpaceDN w:val="0"/>
              <w:snapToGrid w:val="0"/>
              <w:spacing w:line="240" w:lineRule="auto"/>
              <w:ind w:firstLine="0" w:firstLineChars="0"/>
              <w:jc w:val="center"/>
              <w:rPr>
                <w:kern w:val="0"/>
                <w:sz w:val="21"/>
                <w:szCs w:val="21"/>
                <w:lang w:val="zh-CN" w:bidi="zh-CN"/>
              </w:rPr>
            </w:pPr>
          </w:p>
        </w:tc>
        <w:tc>
          <w:tcPr>
            <w:tcW w:w="660" w:type="pct"/>
            <w:vMerge w:val="continue"/>
            <w:tcBorders>
              <w:top w:val="nil"/>
            </w:tcBorders>
            <w:noWrap w:val="0"/>
            <w:vAlign w:val="center"/>
          </w:tcPr>
          <w:p w14:paraId="01ADDBC7">
            <w:pPr>
              <w:autoSpaceDE w:val="0"/>
              <w:autoSpaceDN w:val="0"/>
              <w:snapToGrid w:val="0"/>
              <w:spacing w:line="240" w:lineRule="auto"/>
              <w:ind w:firstLine="0" w:firstLineChars="0"/>
              <w:jc w:val="center"/>
              <w:rPr>
                <w:kern w:val="0"/>
                <w:sz w:val="21"/>
                <w:szCs w:val="21"/>
                <w:lang w:val="zh-CN" w:bidi="zh-CN"/>
              </w:rPr>
            </w:pPr>
          </w:p>
        </w:tc>
        <w:tc>
          <w:tcPr>
            <w:tcW w:w="559" w:type="pct"/>
            <w:vMerge w:val="continue"/>
            <w:noWrap w:val="0"/>
            <w:vAlign w:val="center"/>
          </w:tcPr>
          <w:p w14:paraId="0389C388">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65AD87B3">
            <w:pPr>
              <w:autoSpaceDE w:val="0"/>
              <w:autoSpaceDN w:val="0"/>
              <w:snapToGrid w:val="0"/>
              <w:spacing w:line="240" w:lineRule="auto"/>
              <w:ind w:firstLine="0" w:firstLineChars="0"/>
              <w:rPr>
                <w:color w:val="auto"/>
                <w:sz w:val="21"/>
                <w:szCs w:val="21"/>
                <w:lang w:val="zh-CN" w:eastAsia="zh-CN"/>
              </w:rPr>
            </w:pPr>
            <w:r>
              <w:rPr>
                <w:sz w:val="21"/>
                <w:szCs w:val="21"/>
                <w:lang w:val="zh-CN"/>
              </w:rPr>
              <w:t>施工扬尘：洒水、覆盖除尘</w:t>
            </w:r>
            <w:r>
              <w:rPr>
                <w:color w:val="auto"/>
                <w:sz w:val="21"/>
                <w:szCs w:val="21"/>
                <w:lang w:val="zh-CN" w:eastAsia="zh-CN"/>
              </w:rPr>
              <w:t>道路扬尘：保持路面清洁，定时洒水</w:t>
            </w:r>
          </w:p>
        </w:tc>
        <w:tc>
          <w:tcPr>
            <w:tcW w:w="1041" w:type="pct"/>
            <w:vMerge w:val="continue"/>
            <w:noWrap w:val="0"/>
            <w:vAlign w:val="center"/>
          </w:tcPr>
          <w:p w14:paraId="1C6999A5">
            <w:pPr>
              <w:autoSpaceDE w:val="0"/>
              <w:autoSpaceDN w:val="0"/>
              <w:snapToGrid w:val="0"/>
              <w:spacing w:line="240" w:lineRule="auto"/>
              <w:ind w:firstLine="0" w:firstLineChars="0"/>
              <w:jc w:val="center"/>
              <w:rPr>
                <w:sz w:val="21"/>
                <w:szCs w:val="21"/>
                <w:lang w:val="zh-CN" w:bidi="zh-CN"/>
              </w:rPr>
            </w:pPr>
          </w:p>
        </w:tc>
      </w:tr>
      <w:tr w14:paraId="73D67B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28114704">
            <w:pPr>
              <w:autoSpaceDE w:val="0"/>
              <w:autoSpaceDN w:val="0"/>
              <w:snapToGrid w:val="0"/>
              <w:spacing w:line="240" w:lineRule="auto"/>
              <w:ind w:firstLine="0" w:firstLineChars="0"/>
              <w:jc w:val="center"/>
              <w:rPr>
                <w:sz w:val="21"/>
                <w:szCs w:val="21"/>
                <w:lang w:bidi="zh-CN"/>
              </w:rPr>
            </w:pPr>
            <w:r>
              <w:rPr>
                <w:sz w:val="21"/>
                <w:szCs w:val="21"/>
                <w:lang w:bidi="zh-CN"/>
              </w:rPr>
              <w:t>噪声</w:t>
            </w:r>
          </w:p>
        </w:tc>
        <w:tc>
          <w:tcPr>
            <w:tcW w:w="660" w:type="pct"/>
            <w:noWrap w:val="0"/>
            <w:vAlign w:val="center"/>
          </w:tcPr>
          <w:p w14:paraId="5A9C6CE8">
            <w:pPr>
              <w:autoSpaceDE w:val="0"/>
              <w:autoSpaceDN w:val="0"/>
              <w:snapToGrid w:val="0"/>
              <w:spacing w:line="240" w:lineRule="auto"/>
              <w:ind w:firstLine="0" w:firstLineChars="0"/>
              <w:jc w:val="center"/>
              <w:rPr>
                <w:sz w:val="21"/>
                <w:szCs w:val="21"/>
                <w:lang w:val="zh-CN" w:bidi="zh-CN"/>
              </w:rPr>
            </w:pPr>
            <w:r>
              <w:rPr>
                <w:sz w:val="21"/>
                <w:szCs w:val="21"/>
                <w:lang w:val="zh-CN" w:bidi="zh-CN"/>
              </w:rPr>
              <w:t>声环境保护措施</w:t>
            </w:r>
          </w:p>
        </w:tc>
        <w:tc>
          <w:tcPr>
            <w:tcW w:w="559" w:type="pct"/>
            <w:noWrap w:val="0"/>
            <w:vAlign w:val="center"/>
          </w:tcPr>
          <w:p w14:paraId="1488D356">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31D45BA1">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1</w:t>
            </w:r>
            <w:r>
              <w:rPr>
                <w:spacing w:val="-3"/>
                <w:sz w:val="21"/>
                <w:szCs w:val="21"/>
                <w:lang w:val="zh-CN" w:bidi="zh-CN"/>
              </w:rPr>
              <w:t>）做好机械及车辆的保养、更新</w:t>
            </w:r>
          </w:p>
          <w:p w14:paraId="0F36372E">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2</w:t>
            </w:r>
            <w:r>
              <w:rPr>
                <w:spacing w:val="-3"/>
                <w:sz w:val="21"/>
                <w:szCs w:val="21"/>
                <w:lang w:val="zh-CN" w:bidi="zh-CN"/>
              </w:rPr>
              <w:t>）加强劳动保护</w:t>
            </w:r>
          </w:p>
          <w:p w14:paraId="13EDB2FA">
            <w:pPr>
              <w:tabs>
                <w:tab w:val="left" w:pos="427"/>
              </w:tabs>
              <w:autoSpaceDE w:val="0"/>
              <w:autoSpaceDN w:val="0"/>
              <w:snapToGrid w:val="0"/>
              <w:spacing w:line="240" w:lineRule="auto"/>
              <w:ind w:firstLine="0" w:firstLineChars="0"/>
              <w:rPr>
                <w:sz w:val="21"/>
                <w:szCs w:val="21"/>
                <w:lang w:val="zh-CN" w:bidi="zh-CN"/>
              </w:rPr>
            </w:pPr>
            <w:r>
              <w:rPr>
                <w:spacing w:val="-3"/>
                <w:sz w:val="21"/>
                <w:szCs w:val="21"/>
                <w:lang w:val="zh-CN" w:bidi="zh-CN"/>
              </w:rPr>
              <w:t>（</w:t>
            </w:r>
            <w:r>
              <w:rPr>
                <w:spacing w:val="-3"/>
                <w:sz w:val="21"/>
                <w:szCs w:val="21"/>
                <w:lang w:bidi="zh-CN"/>
              </w:rPr>
              <w:t>3</w:t>
            </w:r>
            <w:r>
              <w:rPr>
                <w:spacing w:val="-3"/>
                <w:sz w:val="21"/>
                <w:szCs w:val="21"/>
                <w:lang w:val="zh-CN" w:bidi="zh-CN"/>
              </w:rPr>
              <w:t>）禁止夜间施工、运输车辆限制车速</w:t>
            </w:r>
          </w:p>
        </w:tc>
        <w:tc>
          <w:tcPr>
            <w:tcW w:w="1041" w:type="pct"/>
            <w:noWrap w:val="0"/>
            <w:vAlign w:val="center"/>
          </w:tcPr>
          <w:p w14:paraId="35B63995">
            <w:pPr>
              <w:tabs>
                <w:tab w:val="left" w:pos="427"/>
              </w:tabs>
              <w:autoSpaceDE w:val="0"/>
              <w:autoSpaceDN w:val="0"/>
              <w:snapToGrid w:val="0"/>
              <w:spacing w:line="240" w:lineRule="auto"/>
              <w:ind w:firstLine="0" w:firstLineChars="0"/>
              <w:jc w:val="center"/>
              <w:rPr>
                <w:spacing w:val="-3"/>
                <w:sz w:val="21"/>
                <w:szCs w:val="21"/>
                <w:lang w:val="zh-CN" w:bidi="zh-CN"/>
              </w:rPr>
            </w:pPr>
            <w:r>
              <w:rPr>
                <w:spacing w:val="-3"/>
                <w:sz w:val="21"/>
                <w:szCs w:val="21"/>
                <w:lang w:val="zh-CN" w:bidi="zh-CN"/>
              </w:rPr>
              <w:t>《建筑施工场界环境噪《建筑施工场界环境噪声排放标准》（GB12523-2011）声排放标准》（GB12523-2011）</w:t>
            </w:r>
          </w:p>
        </w:tc>
      </w:tr>
      <w:tr w14:paraId="321EC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restart"/>
            <w:noWrap w:val="0"/>
            <w:vAlign w:val="center"/>
          </w:tcPr>
          <w:p w14:paraId="3272000D">
            <w:pPr>
              <w:autoSpaceDE w:val="0"/>
              <w:autoSpaceDN w:val="0"/>
              <w:snapToGrid w:val="0"/>
              <w:spacing w:line="240" w:lineRule="auto"/>
              <w:ind w:firstLine="0" w:firstLineChars="0"/>
              <w:jc w:val="center"/>
              <w:rPr>
                <w:sz w:val="21"/>
                <w:szCs w:val="21"/>
                <w:lang w:bidi="zh-CN"/>
              </w:rPr>
            </w:pPr>
            <w:r>
              <w:rPr>
                <w:sz w:val="21"/>
                <w:szCs w:val="21"/>
                <w:lang w:bidi="zh-CN"/>
              </w:rPr>
              <w:t>固废</w:t>
            </w:r>
          </w:p>
        </w:tc>
        <w:tc>
          <w:tcPr>
            <w:tcW w:w="660" w:type="pct"/>
            <w:vMerge w:val="restart"/>
            <w:noWrap w:val="0"/>
            <w:vAlign w:val="center"/>
          </w:tcPr>
          <w:p w14:paraId="3CF7DBFA">
            <w:pPr>
              <w:autoSpaceDE w:val="0"/>
              <w:autoSpaceDN w:val="0"/>
              <w:snapToGrid w:val="0"/>
              <w:spacing w:line="240" w:lineRule="auto"/>
              <w:ind w:firstLine="0" w:firstLineChars="0"/>
              <w:jc w:val="center"/>
              <w:rPr>
                <w:sz w:val="21"/>
                <w:szCs w:val="21"/>
                <w:lang w:val="zh-CN" w:bidi="zh-CN"/>
              </w:rPr>
            </w:pPr>
            <w:r>
              <w:rPr>
                <w:sz w:val="21"/>
                <w:szCs w:val="21"/>
                <w:lang w:val="zh-CN" w:bidi="zh-CN"/>
              </w:rPr>
              <w:t>固体废弃物处理措</w:t>
            </w:r>
          </w:p>
        </w:tc>
        <w:tc>
          <w:tcPr>
            <w:tcW w:w="559" w:type="pct"/>
            <w:vMerge w:val="restart"/>
            <w:noWrap w:val="0"/>
            <w:vAlign w:val="center"/>
          </w:tcPr>
          <w:p w14:paraId="185972C4">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5045D5CC">
            <w:pPr>
              <w:autoSpaceDE w:val="0"/>
              <w:autoSpaceDN w:val="0"/>
              <w:snapToGrid w:val="0"/>
              <w:spacing w:line="240" w:lineRule="auto"/>
              <w:ind w:firstLine="0" w:firstLineChars="0"/>
              <w:jc w:val="center"/>
              <w:rPr>
                <w:sz w:val="21"/>
                <w:szCs w:val="21"/>
                <w:lang w:bidi="zh-CN"/>
              </w:rPr>
            </w:pPr>
            <w:r>
              <w:rPr>
                <w:rFonts w:hint="eastAsia"/>
                <w:sz w:val="21"/>
                <w:szCs w:val="21"/>
                <w:lang w:bidi="zh-CN"/>
              </w:rPr>
              <w:t>按要求设置弃渣场</w:t>
            </w:r>
          </w:p>
        </w:tc>
        <w:tc>
          <w:tcPr>
            <w:tcW w:w="1041" w:type="pct"/>
            <w:vMerge w:val="restart"/>
            <w:noWrap w:val="0"/>
            <w:vAlign w:val="center"/>
          </w:tcPr>
          <w:p w14:paraId="114AAD21">
            <w:pPr>
              <w:autoSpaceDE w:val="0"/>
              <w:autoSpaceDN w:val="0"/>
              <w:snapToGrid w:val="0"/>
              <w:spacing w:line="240" w:lineRule="auto"/>
              <w:ind w:firstLine="0" w:firstLineChars="0"/>
              <w:jc w:val="center"/>
              <w:rPr>
                <w:sz w:val="21"/>
                <w:szCs w:val="21"/>
                <w:lang w:bidi="zh-CN"/>
              </w:rPr>
            </w:pPr>
            <w:r>
              <w:rPr>
                <w:sz w:val="21"/>
                <w:szCs w:val="21"/>
                <w:lang w:bidi="zh-CN"/>
              </w:rPr>
              <w:t>合理处置，不外排</w:t>
            </w:r>
          </w:p>
        </w:tc>
      </w:tr>
      <w:tr w14:paraId="5A0B2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10DF28D6">
            <w:pPr>
              <w:autoSpaceDE w:val="0"/>
              <w:autoSpaceDN w:val="0"/>
              <w:snapToGrid w:val="0"/>
              <w:spacing w:line="240" w:lineRule="auto"/>
              <w:ind w:firstLine="0" w:firstLineChars="0"/>
              <w:jc w:val="center"/>
              <w:rPr>
                <w:kern w:val="0"/>
                <w:sz w:val="21"/>
                <w:szCs w:val="21"/>
                <w:lang w:val="zh-CN" w:bidi="zh-CN"/>
              </w:rPr>
            </w:pPr>
          </w:p>
        </w:tc>
        <w:tc>
          <w:tcPr>
            <w:tcW w:w="660" w:type="pct"/>
            <w:vMerge w:val="continue"/>
            <w:noWrap w:val="0"/>
            <w:vAlign w:val="center"/>
          </w:tcPr>
          <w:p w14:paraId="581B377B">
            <w:pPr>
              <w:autoSpaceDE w:val="0"/>
              <w:autoSpaceDN w:val="0"/>
              <w:snapToGrid w:val="0"/>
              <w:spacing w:line="240" w:lineRule="auto"/>
              <w:ind w:firstLine="0" w:firstLineChars="0"/>
              <w:jc w:val="center"/>
              <w:rPr>
                <w:kern w:val="0"/>
                <w:sz w:val="21"/>
                <w:szCs w:val="21"/>
                <w:lang w:val="zh-CN" w:bidi="zh-CN"/>
              </w:rPr>
            </w:pPr>
          </w:p>
        </w:tc>
        <w:tc>
          <w:tcPr>
            <w:tcW w:w="559" w:type="pct"/>
            <w:vMerge w:val="continue"/>
            <w:tcBorders>
              <w:top w:val="nil"/>
            </w:tcBorders>
            <w:noWrap w:val="0"/>
            <w:vAlign w:val="center"/>
          </w:tcPr>
          <w:p w14:paraId="22D9389E">
            <w:pPr>
              <w:autoSpaceDE w:val="0"/>
              <w:autoSpaceDN w:val="0"/>
              <w:snapToGrid w:val="0"/>
              <w:spacing w:line="240" w:lineRule="auto"/>
              <w:ind w:firstLine="0" w:firstLineChars="0"/>
              <w:jc w:val="center"/>
              <w:rPr>
                <w:kern w:val="0"/>
                <w:sz w:val="21"/>
                <w:szCs w:val="21"/>
                <w:lang w:val="zh-CN" w:bidi="zh-CN"/>
              </w:rPr>
            </w:pPr>
          </w:p>
        </w:tc>
        <w:tc>
          <w:tcPr>
            <w:tcW w:w="2143" w:type="pct"/>
            <w:noWrap w:val="0"/>
            <w:vAlign w:val="center"/>
          </w:tcPr>
          <w:p w14:paraId="468DC7BD">
            <w:pPr>
              <w:autoSpaceDE w:val="0"/>
              <w:autoSpaceDN w:val="0"/>
              <w:snapToGrid w:val="0"/>
              <w:spacing w:line="240" w:lineRule="auto"/>
              <w:ind w:firstLine="0" w:firstLineChars="0"/>
              <w:jc w:val="center"/>
              <w:rPr>
                <w:sz w:val="21"/>
                <w:szCs w:val="21"/>
                <w:lang w:val="zh-CN" w:bidi="zh-CN"/>
              </w:rPr>
            </w:pPr>
            <w:r>
              <w:rPr>
                <w:sz w:val="21"/>
                <w:szCs w:val="21"/>
                <w:lang w:val="zh-CN" w:bidi="zh-CN"/>
              </w:rPr>
              <w:t>生活垃圾集中收集、定点投放，交由环卫部门处理</w:t>
            </w:r>
          </w:p>
        </w:tc>
        <w:tc>
          <w:tcPr>
            <w:tcW w:w="1041" w:type="pct"/>
            <w:vMerge w:val="continue"/>
            <w:noWrap w:val="0"/>
            <w:vAlign w:val="center"/>
          </w:tcPr>
          <w:p w14:paraId="3CA29D7C">
            <w:pPr>
              <w:autoSpaceDE w:val="0"/>
              <w:autoSpaceDN w:val="0"/>
              <w:snapToGrid w:val="0"/>
              <w:spacing w:line="240" w:lineRule="auto"/>
              <w:ind w:firstLine="0" w:firstLineChars="0"/>
              <w:jc w:val="center"/>
              <w:rPr>
                <w:sz w:val="21"/>
                <w:szCs w:val="21"/>
                <w:lang w:val="zh-CN" w:bidi="zh-CN"/>
              </w:rPr>
            </w:pPr>
          </w:p>
        </w:tc>
      </w:tr>
      <w:tr w14:paraId="379536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7992EC11">
            <w:pPr>
              <w:autoSpaceDE w:val="0"/>
              <w:autoSpaceDN w:val="0"/>
              <w:snapToGrid w:val="0"/>
              <w:spacing w:line="240" w:lineRule="auto"/>
              <w:ind w:firstLine="0" w:firstLineChars="0"/>
              <w:jc w:val="center"/>
              <w:rPr>
                <w:sz w:val="21"/>
                <w:szCs w:val="21"/>
                <w:lang w:val="zh-CN" w:bidi="zh-CN"/>
              </w:rPr>
            </w:pPr>
          </w:p>
        </w:tc>
        <w:tc>
          <w:tcPr>
            <w:tcW w:w="660" w:type="pct"/>
            <w:vMerge w:val="continue"/>
            <w:noWrap w:val="0"/>
            <w:vAlign w:val="center"/>
          </w:tcPr>
          <w:p w14:paraId="266A28D2">
            <w:pPr>
              <w:autoSpaceDE w:val="0"/>
              <w:autoSpaceDN w:val="0"/>
              <w:snapToGrid w:val="0"/>
              <w:spacing w:line="240" w:lineRule="auto"/>
              <w:ind w:firstLine="0" w:firstLineChars="0"/>
              <w:jc w:val="center"/>
              <w:rPr>
                <w:sz w:val="21"/>
                <w:szCs w:val="21"/>
                <w:lang w:val="zh-CN" w:bidi="zh-CN"/>
              </w:rPr>
            </w:pPr>
          </w:p>
        </w:tc>
        <w:tc>
          <w:tcPr>
            <w:tcW w:w="559" w:type="pct"/>
            <w:noWrap w:val="0"/>
            <w:vAlign w:val="center"/>
          </w:tcPr>
          <w:p w14:paraId="549EEC9D">
            <w:pPr>
              <w:autoSpaceDE w:val="0"/>
              <w:autoSpaceDN w:val="0"/>
              <w:snapToGrid w:val="0"/>
              <w:spacing w:line="240" w:lineRule="auto"/>
              <w:ind w:firstLine="0" w:firstLineChars="0"/>
              <w:jc w:val="center"/>
              <w:rPr>
                <w:sz w:val="21"/>
                <w:szCs w:val="21"/>
                <w:lang w:val="zh-CN" w:bidi="zh-CN"/>
              </w:rPr>
            </w:pPr>
            <w:r>
              <w:rPr>
                <w:sz w:val="21"/>
                <w:szCs w:val="21"/>
                <w:lang w:val="zh-CN" w:bidi="zh-CN"/>
              </w:rPr>
              <w:t>运行期</w:t>
            </w:r>
          </w:p>
        </w:tc>
        <w:tc>
          <w:tcPr>
            <w:tcW w:w="2143" w:type="pct"/>
            <w:noWrap w:val="0"/>
            <w:vAlign w:val="center"/>
          </w:tcPr>
          <w:p w14:paraId="0A3B9B9A">
            <w:pPr>
              <w:autoSpaceDE w:val="0"/>
              <w:autoSpaceDN w:val="0"/>
              <w:snapToGrid w:val="0"/>
              <w:spacing w:line="240" w:lineRule="auto"/>
              <w:ind w:firstLine="0" w:firstLineChars="0"/>
              <w:jc w:val="center"/>
              <w:rPr>
                <w:sz w:val="21"/>
                <w:szCs w:val="21"/>
                <w:lang w:val="zh-CN" w:bidi="zh-CN"/>
              </w:rPr>
            </w:pPr>
            <w:r>
              <w:rPr>
                <w:sz w:val="21"/>
                <w:szCs w:val="21"/>
                <w:lang w:val="zh-CN" w:bidi="zh-CN"/>
              </w:rPr>
              <w:t>生活垃圾集中收集、定点投放，交由环卫部门处理</w:t>
            </w:r>
          </w:p>
        </w:tc>
        <w:tc>
          <w:tcPr>
            <w:tcW w:w="1041" w:type="pct"/>
            <w:vMerge w:val="continue"/>
            <w:noWrap w:val="0"/>
            <w:vAlign w:val="center"/>
          </w:tcPr>
          <w:p w14:paraId="04A618C5">
            <w:pPr>
              <w:autoSpaceDE w:val="0"/>
              <w:autoSpaceDN w:val="0"/>
              <w:snapToGrid w:val="0"/>
              <w:spacing w:line="240" w:lineRule="auto"/>
              <w:ind w:firstLine="0" w:firstLineChars="0"/>
              <w:jc w:val="center"/>
              <w:rPr>
                <w:sz w:val="21"/>
                <w:szCs w:val="21"/>
                <w:lang w:val="zh-CN" w:bidi="zh-CN"/>
              </w:rPr>
            </w:pPr>
          </w:p>
        </w:tc>
      </w:tr>
      <w:tr w14:paraId="5EF27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3" w:hRule="atLeast"/>
          <w:jc w:val="center"/>
        </w:trPr>
        <w:tc>
          <w:tcPr>
            <w:tcW w:w="596" w:type="pct"/>
            <w:vMerge w:val="restart"/>
            <w:noWrap w:val="0"/>
            <w:vAlign w:val="center"/>
          </w:tcPr>
          <w:p w14:paraId="23392D63">
            <w:pPr>
              <w:autoSpaceDE w:val="0"/>
              <w:autoSpaceDN w:val="0"/>
              <w:snapToGrid w:val="0"/>
              <w:spacing w:line="240" w:lineRule="auto"/>
              <w:ind w:firstLine="0" w:firstLineChars="0"/>
              <w:jc w:val="center"/>
              <w:rPr>
                <w:sz w:val="21"/>
                <w:szCs w:val="21"/>
                <w:lang w:bidi="zh-CN"/>
              </w:rPr>
            </w:pPr>
            <w:r>
              <w:rPr>
                <w:sz w:val="21"/>
                <w:szCs w:val="21"/>
                <w:lang w:bidi="zh-CN"/>
              </w:rPr>
              <w:t>生态</w:t>
            </w:r>
          </w:p>
        </w:tc>
        <w:tc>
          <w:tcPr>
            <w:tcW w:w="660" w:type="pct"/>
            <w:noWrap w:val="0"/>
            <w:vAlign w:val="center"/>
          </w:tcPr>
          <w:p w14:paraId="1CF9E451">
            <w:pPr>
              <w:autoSpaceDE w:val="0"/>
              <w:autoSpaceDN w:val="0"/>
              <w:snapToGrid w:val="0"/>
              <w:spacing w:line="240" w:lineRule="auto"/>
              <w:ind w:firstLine="0" w:firstLineChars="0"/>
              <w:jc w:val="center"/>
              <w:rPr>
                <w:sz w:val="21"/>
                <w:szCs w:val="21"/>
                <w:lang w:val="zh-CN" w:bidi="zh-CN"/>
              </w:rPr>
            </w:pPr>
            <w:r>
              <w:rPr>
                <w:sz w:val="21"/>
                <w:szCs w:val="21"/>
                <w:lang w:val="zh-CN" w:bidi="zh-CN"/>
              </w:rPr>
              <w:t>陆生生态</w:t>
            </w:r>
          </w:p>
        </w:tc>
        <w:tc>
          <w:tcPr>
            <w:tcW w:w="559" w:type="pct"/>
            <w:noWrap w:val="0"/>
            <w:vAlign w:val="center"/>
          </w:tcPr>
          <w:p w14:paraId="6409A022">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49955054">
            <w:pPr>
              <w:autoSpaceDE w:val="0"/>
              <w:autoSpaceDN w:val="0"/>
              <w:snapToGrid w:val="0"/>
              <w:spacing w:line="240" w:lineRule="auto"/>
              <w:ind w:firstLine="0" w:firstLineChars="0"/>
              <w:jc w:val="center"/>
              <w:rPr>
                <w:rFonts w:hint="eastAsia"/>
                <w:sz w:val="21"/>
                <w:szCs w:val="21"/>
                <w:lang w:val="zh-CN" w:bidi="zh-CN"/>
              </w:rPr>
            </w:pPr>
            <w:r>
              <w:rPr>
                <w:rFonts w:hint="eastAsia"/>
                <w:sz w:val="21"/>
                <w:szCs w:val="21"/>
                <w:lang w:val="zh-CN" w:bidi="zh-CN"/>
              </w:rPr>
              <w:t>①加强施工组织与管理，规范施工行</w:t>
            </w:r>
          </w:p>
          <w:p w14:paraId="1D466597">
            <w:pPr>
              <w:autoSpaceDE w:val="0"/>
              <w:autoSpaceDN w:val="0"/>
              <w:snapToGrid w:val="0"/>
              <w:spacing w:line="240" w:lineRule="auto"/>
              <w:ind w:firstLine="0" w:firstLineChars="0"/>
              <w:jc w:val="center"/>
              <w:rPr>
                <w:sz w:val="21"/>
                <w:szCs w:val="21"/>
                <w:lang w:val="zh-CN" w:bidi="zh-CN"/>
              </w:rPr>
            </w:pPr>
            <w:r>
              <w:rPr>
                <w:rFonts w:hint="eastAsia"/>
                <w:sz w:val="21"/>
                <w:szCs w:val="21"/>
                <w:lang w:val="zh-CN" w:bidi="zh-CN"/>
              </w:rPr>
              <w:t>为，合理有序施工；各种施工活动严格控制在施工区域内，减少不必要的施工占地，防止水土流失②工程施工期间剥离的表土临时堆放在堆土区，施工结束后进行绿化覆土。③在施工区、临时堆土场等共设置生态警示牌，禁止越界施工。④对施工人员进行生态环境保护宣传教育，禁止施工人员捕食野生动物，提高施工人员生态环境保护意识，规范施工活动。</w:t>
            </w:r>
          </w:p>
        </w:tc>
        <w:tc>
          <w:tcPr>
            <w:tcW w:w="1041" w:type="pct"/>
            <w:vMerge w:val="restart"/>
            <w:noWrap w:val="0"/>
            <w:vAlign w:val="center"/>
          </w:tcPr>
          <w:p w14:paraId="6B2F49AC">
            <w:pPr>
              <w:autoSpaceDE w:val="0"/>
              <w:autoSpaceDN w:val="0"/>
              <w:snapToGrid w:val="0"/>
              <w:spacing w:line="240" w:lineRule="auto"/>
              <w:ind w:firstLine="0" w:firstLineChars="0"/>
              <w:jc w:val="center"/>
              <w:rPr>
                <w:sz w:val="21"/>
                <w:szCs w:val="21"/>
                <w:lang w:bidi="zh-CN"/>
              </w:rPr>
            </w:pPr>
            <w:r>
              <w:rPr>
                <w:sz w:val="21"/>
                <w:szCs w:val="21"/>
                <w:lang w:bidi="zh-CN"/>
              </w:rPr>
              <w:t>不受破坏</w:t>
            </w:r>
          </w:p>
        </w:tc>
      </w:tr>
      <w:tr w14:paraId="6A947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2BB6CDCF">
            <w:pPr>
              <w:autoSpaceDE w:val="0"/>
              <w:autoSpaceDN w:val="0"/>
              <w:snapToGrid w:val="0"/>
              <w:spacing w:line="240" w:lineRule="auto"/>
              <w:ind w:firstLine="0" w:firstLineChars="0"/>
              <w:jc w:val="center"/>
              <w:rPr>
                <w:sz w:val="21"/>
                <w:szCs w:val="21"/>
                <w:lang w:val="zh-CN" w:bidi="zh-CN"/>
              </w:rPr>
            </w:pPr>
          </w:p>
        </w:tc>
        <w:tc>
          <w:tcPr>
            <w:tcW w:w="660" w:type="pct"/>
            <w:noWrap w:val="0"/>
            <w:vAlign w:val="center"/>
          </w:tcPr>
          <w:p w14:paraId="257A7E4E">
            <w:pPr>
              <w:autoSpaceDE w:val="0"/>
              <w:autoSpaceDN w:val="0"/>
              <w:snapToGrid w:val="0"/>
              <w:spacing w:line="240" w:lineRule="auto"/>
              <w:ind w:firstLine="0" w:firstLineChars="0"/>
              <w:jc w:val="center"/>
              <w:rPr>
                <w:sz w:val="21"/>
                <w:szCs w:val="21"/>
                <w:lang w:val="zh-CN" w:bidi="zh-CN"/>
              </w:rPr>
            </w:pPr>
            <w:r>
              <w:rPr>
                <w:sz w:val="21"/>
                <w:szCs w:val="21"/>
                <w:lang w:val="zh-CN" w:bidi="zh-CN"/>
              </w:rPr>
              <w:t>水生生态</w:t>
            </w:r>
          </w:p>
        </w:tc>
        <w:tc>
          <w:tcPr>
            <w:tcW w:w="559" w:type="pct"/>
            <w:noWrap w:val="0"/>
            <w:vAlign w:val="center"/>
          </w:tcPr>
          <w:p w14:paraId="75DD2A46">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4A16ADD4">
            <w:pPr>
              <w:autoSpaceDE w:val="0"/>
              <w:autoSpaceDN w:val="0"/>
              <w:snapToGrid w:val="0"/>
              <w:spacing w:line="240" w:lineRule="auto"/>
              <w:ind w:firstLine="0" w:firstLineChars="0"/>
              <w:jc w:val="center"/>
              <w:rPr>
                <w:rFonts w:hint="eastAsia"/>
                <w:sz w:val="21"/>
                <w:szCs w:val="21"/>
                <w:lang w:val="zh-CN" w:bidi="zh-CN"/>
              </w:rPr>
            </w:pPr>
            <w:r>
              <w:rPr>
                <w:rFonts w:hint="eastAsia"/>
                <w:sz w:val="21"/>
                <w:szCs w:val="21"/>
                <w:lang w:val="zh-CN" w:bidi="zh-CN"/>
              </w:rPr>
              <w:t>①施工期间做到文明施工，禁止非法打捞水库内的鱼类，避免生活垃圾、建筑垃圾和工程废渣等散落进入水库而对水生生物和鱼类资源造成影响。②禁止在水库大坝内坡和坝端两侧集雨面积内进行白蚁药物防治。③施工期部分工程需要围堰施工，为保证水库下游生态基</w:t>
            </w:r>
          </w:p>
          <w:p w14:paraId="6103F004">
            <w:pPr>
              <w:autoSpaceDE w:val="0"/>
              <w:autoSpaceDN w:val="0"/>
              <w:snapToGrid w:val="0"/>
              <w:spacing w:line="240" w:lineRule="auto"/>
              <w:ind w:firstLine="0" w:firstLineChars="0"/>
              <w:jc w:val="center"/>
              <w:rPr>
                <w:sz w:val="21"/>
                <w:szCs w:val="21"/>
                <w:lang w:val="zh-CN" w:bidi="zh-CN"/>
              </w:rPr>
            </w:pPr>
            <w:r>
              <w:rPr>
                <w:rFonts w:hint="eastAsia"/>
                <w:sz w:val="21"/>
                <w:szCs w:val="21"/>
                <w:lang w:val="zh-CN" w:bidi="zh-CN"/>
              </w:rPr>
              <w:t>流，设置导流管，施工废水处理后回用。</w:t>
            </w:r>
          </w:p>
        </w:tc>
        <w:tc>
          <w:tcPr>
            <w:tcW w:w="1041" w:type="pct"/>
            <w:vMerge w:val="continue"/>
            <w:noWrap w:val="0"/>
            <w:vAlign w:val="center"/>
          </w:tcPr>
          <w:p w14:paraId="586DCA12">
            <w:pPr>
              <w:autoSpaceDE w:val="0"/>
              <w:autoSpaceDN w:val="0"/>
              <w:snapToGrid w:val="0"/>
              <w:spacing w:line="240" w:lineRule="auto"/>
              <w:ind w:firstLine="0" w:firstLineChars="0"/>
              <w:jc w:val="center"/>
              <w:rPr>
                <w:sz w:val="21"/>
                <w:szCs w:val="21"/>
                <w:lang w:val="zh-CN" w:bidi="zh-CN"/>
              </w:rPr>
            </w:pPr>
          </w:p>
        </w:tc>
      </w:tr>
      <w:tr w14:paraId="2C67F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vMerge w:val="continue"/>
            <w:noWrap w:val="0"/>
            <w:vAlign w:val="center"/>
          </w:tcPr>
          <w:p w14:paraId="6928C029">
            <w:pPr>
              <w:autoSpaceDE w:val="0"/>
              <w:autoSpaceDN w:val="0"/>
              <w:snapToGrid w:val="0"/>
              <w:spacing w:line="240" w:lineRule="auto"/>
              <w:ind w:firstLine="0" w:firstLineChars="0"/>
              <w:jc w:val="center"/>
              <w:rPr>
                <w:sz w:val="21"/>
                <w:szCs w:val="21"/>
                <w:lang w:val="zh-CN" w:bidi="zh-CN"/>
              </w:rPr>
            </w:pPr>
          </w:p>
        </w:tc>
        <w:tc>
          <w:tcPr>
            <w:tcW w:w="660" w:type="pct"/>
            <w:noWrap w:val="0"/>
            <w:vAlign w:val="center"/>
          </w:tcPr>
          <w:p w14:paraId="2BEF0907">
            <w:pPr>
              <w:autoSpaceDE w:val="0"/>
              <w:autoSpaceDN w:val="0"/>
              <w:snapToGrid w:val="0"/>
              <w:spacing w:line="240" w:lineRule="auto"/>
              <w:ind w:firstLine="0" w:firstLineChars="0"/>
              <w:jc w:val="center"/>
              <w:rPr>
                <w:sz w:val="21"/>
                <w:szCs w:val="21"/>
                <w:lang w:val="zh-CN" w:bidi="zh-CN"/>
              </w:rPr>
            </w:pPr>
            <w:r>
              <w:rPr>
                <w:sz w:val="21"/>
                <w:szCs w:val="21"/>
                <w:lang w:val="zh-CN" w:bidi="zh-CN"/>
              </w:rPr>
              <w:t>水土保持措施</w:t>
            </w:r>
          </w:p>
        </w:tc>
        <w:tc>
          <w:tcPr>
            <w:tcW w:w="559" w:type="pct"/>
            <w:noWrap w:val="0"/>
            <w:vAlign w:val="center"/>
          </w:tcPr>
          <w:p w14:paraId="4329B008">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3CA64C87">
            <w:pPr>
              <w:autoSpaceDE w:val="0"/>
              <w:autoSpaceDN w:val="0"/>
              <w:snapToGrid w:val="0"/>
              <w:spacing w:line="240" w:lineRule="auto"/>
              <w:ind w:firstLine="0" w:firstLineChars="0"/>
              <w:jc w:val="left"/>
              <w:rPr>
                <w:sz w:val="21"/>
                <w:szCs w:val="21"/>
                <w:lang w:bidi="zh-CN"/>
              </w:rPr>
            </w:pPr>
            <w:r>
              <w:rPr>
                <w:rFonts w:hint="eastAsia"/>
                <w:sz w:val="21"/>
                <w:szCs w:val="21"/>
                <w:lang w:bidi="zh-CN"/>
              </w:rPr>
              <w:t xml:space="preserve">主体工程区：主要是做好预防保护及土石方平衡和调运利用，优化施工工艺，尽量减少弃渣量。同时做好施工过程中的临时拦挡、排水和覆盖等措施。 </w:t>
            </w:r>
          </w:p>
          <w:p w14:paraId="57606B90">
            <w:pPr>
              <w:autoSpaceDE w:val="0"/>
              <w:autoSpaceDN w:val="0"/>
              <w:snapToGrid w:val="0"/>
              <w:spacing w:line="240" w:lineRule="auto"/>
              <w:ind w:firstLine="0" w:firstLineChars="0"/>
              <w:jc w:val="left"/>
              <w:rPr>
                <w:sz w:val="21"/>
                <w:szCs w:val="21"/>
                <w:lang w:bidi="zh-CN"/>
              </w:rPr>
            </w:pPr>
            <w:r>
              <w:rPr>
                <w:rFonts w:hint="eastAsia"/>
                <w:sz w:val="21"/>
                <w:szCs w:val="21"/>
                <w:lang w:bidi="zh-CN"/>
              </w:rPr>
              <w:t>临时设施区：主要采取对基地进行场地清理和平整措施。</w:t>
            </w:r>
          </w:p>
          <w:p w14:paraId="17F07A1C">
            <w:pPr>
              <w:autoSpaceDE w:val="0"/>
              <w:autoSpaceDN w:val="0"/>
              <w:snapToGrid w:val="0"/>
              <w:spacing w:line="240" w:lineRule="auto"/>
              <w:ind w:firstLine="0" w:firstLineChars="0"/>
              <w:jc w:val="left"/>
              <w:rPr>
                <w:sz w:val="21"/>
                <w:szCs w:val="21"/>
                <w:lang w:val="zh-CN" w:bidi="zh-CN"/>
              </w:rPr>
            </w:pPr>
            <w:r>
              <w:rPr>
                <w:rFonts w:hint="eastAsia"/>
                <w:sz w:val="21"/>
                <w:szCs w:val="21"/>
                <w:lang w:bidi="zh-CN"/>
              </w:rPr>
              <w:t>施工道路区：纸杯恢复等措施。</w:t>
            </w:r>
          </w:p>
        </w:tc>
        <w:tc>
          <w:tcPr>
            <w:tcW w:w="1041" w:type="pct"/>
            <w:vMerge w:val="continue"/>
            <w:noWrap w:val="0"/>
            <w:vAlign w:val="center"/>
          </w:tcPr>
          <w:p w14:paraId="7AF7E328">
            <w:pPr>
              <w:autoSpaceDE w:val="0"/>
              <w:autoSpaceDN w:val="0"/>
              <w:snapToGrid w:val="0"/>
              <w:spacing w:line="240" w:lineRule="auto"/>
              <w:ind w:firstLine="0" w:firstLineChars="0"/>
              <w:jc w:val="center"/>
              <w:rPr>
                <w:sz w:val="21"/>
                <w:szCs w:val="21"/>
                <w:lang w:val="zh-CN" w:bidi="zh-CN"/>
              </w:rPr>
            </w:pPr>
          </w:p>
        </w:tc>
      </w:tr>
      <w:tr w14:paraId="7D5829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6" w:type="pct"/>
            <w:noWrap w:val="0"/>
            <w:vAlign w:val="center"/>
          </w:tcPr>
          <w:p w14:paraId="50EEE40C">
            <w:pPr>
              <w:autoSpaceDE w:val="0"/>
              <w:autoSpaceDN w:val="0"/>
              <w:snapToGrid w:val="0"/>
              <w:spacing w:line="240" w:lineRule="auto"/>
              <w:ind w:firstLine="0" w:firstLineChars="0"/>
              <w:jc w:val="center"/>
              <w:rPr>
                <w:sz w:val="21"/>
                <w:szCs w:val="21"/>
                <w:lang w:bidi="zh-CN"/>
              </w:rPr>
            </w:pPr>
            <w:r>
              <w:rPr>
                <w:sz w:val="21"/>
                <w:szCs w:val="21"/>
                <w:lang w:bidi="zh-CN"/>
              </w:rPr>
              <w:t>环境管理</w:t>
            </w:r>
          </w:p>
        </w:tc>
        <w:tc>
          <w:tcPr>
            <w:tcW w:w="660" w:type="pct"/>
            <w:noWrap w:val="0"/>
            <w:vAlign w:val="center"/>
          </w:tcPr>
          <w:p w14:paraId="137285AC">
            <w:pPr>
              <w:autoSpaceDE w:val="0"/>
              <w:autoSpaceDN w:val="0"/>
              <w:snapToGrid w:val="0"/>
              <w:spacing w:line="240" w:lineRule="auto"/>
              <w:ind w:firstLine="0" w:firstLineChars="0"/>
              <w:jc w:val="center"/>
              <w:rPr>
                <w:sz w:val="21"/>
                <w:szCs w:val="21"/>
                <w:lang w:val="zh-CN" w:bidi="zh-CN"/>
              </w:rPr>
            </w:pPr>
            <w:r>
              <w:rPr>
                <w:sz w:val="21"/>
                <w:szCs w:val="21"/>
                <w:lang w:val="zh-CN" w:bidi="zh-CN"/>
              </w:rPr>
              <w:t>环境监测</w:t>
            </w:r>
          </w:p>
        </w:tc>
        <w:tc>
          <w:tcPr>
            <w:tcW w:w="559" w:type="pct"/>
            <w:noWrap w:val="0"/>
            <w:vAlign w:val="center"/>
          </w:tcPr>
          <w:p w14:paraId="1D8B9150">
            <w:pPr>
              <w:autoSpaceDE w:val="0"/>
              <w:autoSpaceDN w:val="0"/>
              <w:snapToGrid w:val="0"/>
              <w:spacing w:line="240" w:lineRule="auto"/>
              <w:ind w:firstLine="0" w:firstLineChars="0"/>
              <w:jc w:val="center"/>
              <w:rPr>
                <w:sz w:val="21"/>
                <w:szCs w:val="21"/>
                <w:lang w:val="zh-CN" w:bidi="zh-CN"/>
              </w:rPr>
            </w:pPr>
            <w:r>
              <w:rPr>
                <w:sz w:val="21"/>
                <w:szCs w:val="21"/>
                <w:lang w:val="zh-CN" w:bidi="zh-CN"/>
              </w:rPr>
              <w:t>施工期</w:t>
            </w:r>
          </w:p>
        </w:tc>
        <w:tc>
          <w:tcPr>
            <w:tcW w:w="2143" w:type="pct"/>
            <w:noWrap w:val="0"/>
            <w:vAlign w:val="center"/>
          </w:tcPr>
          <w:p w14:paraId="6EAD5A11">
            <w:pPr>
              <w:snapToGrid w:val="0"/>
              <w:spacing w:line="240" w:lineRule="auto"/>
              <w:ind w:firstLine="0" w:firstLineChars="0"/>
              <w:jc w:val="left"/>
              <w:rPr>
                <w:sz w:val="21"/>
                <w:szCs w:val="21"/>
                <w:lang w:val="zh-CN" w:bidi="zh-CN"/>
              </w:rPr>
            </w:pPr>
            <w:r>
              <w:rPr>
                <w:sz w:val="21"/>
                <w:szCs w:val="21"/>
              </w:rPr>
              <w:t>项目设置环境管理人员和环境监测技术人员，配备一般的监测器材，具备常规的环境监测能力</w:t>
            </w:r>
          </w:p>
        </w:tc>
        <w:tc>
          <w:tcPr>
            <w:tcW w:w="1041" w:type="pct"/>
            <w:noWrap w:val="0"/>
            <w:vAlign w:val="center"/>
          </w:tcPr>
          <w:p w14:paraId="32F2BFA6">
            <w:pPr>
              <w:snapToGrid w:val="0"/>
              <w:spacing w:line="240" w:lineRule="auto"/>
              <w:ind w:firstLine="0" w:firstLineChars="0"/>
              <w:rPr>
                <w:sz w:val="21"/>
                <w:szCs w:val="21"/>
                <w:lang w:val="zh-CN" w:bidi="zh-CN"/>
              </w:rPr>
            </w:pPr>
            <w:r>
              <w:rPr>
                <w:sz w:val="21"/>
                <w:szCs w:val="21"/>
              </w:rPr>
              <w:t>具备一定的常规监测能力</w:t>
            </w:r>
          </w:p>
        </w:tc>
      </w:tr>
      <w:bookmarkEnd w:id="248"/>
      <w:bookmarkEnd w:id="249"/>
      <w:bookmarkEnd w:id="250"/>
    </w:tbl>
    <w:p w14:paraId="643B0978">
      <w:pPr>
        <w:pStyle w:val="3"/>
        <w:rPr>
          <w:rFonts w:hint="default" w:ascii="Times New Roman" w:hAnsi="Times New Roman" w:cs="Times New Roman"/>
          <w:color w:val="auto"/>
          <w:u w:val="none" w:color="auto"/>
        </w:rPr>
      </w:pPr>
      <w:bookmarkStart w:id="257" w:name="_Toc22533"/>
      <w:r>
        <w:rPr>
          <w:rFonts w:hint="default" w:ascii="Times New Roman" w:hAnsi="Times New Roman" w:cs="Times New Roman"/>
          <w:color w:val="auto"/>
          <w:u w:val="none" w:color="auto"/>
        </w:rPr>
        <w:t>总量控制</w:t>
      </w:r>
      <w:r>
        <w:rPr>
          <w:rFonts w:hint="default" w:ascii="Times New Roman" w:hAnsi="Times New Roman" w:cs="Times New Roman"/>
          <w:color w:val="auto"/>
          <w:u w:val="none" w:color="auto"/>
          <w:lang w:val="en-US" w:eastAsia="zh-CN"/>
        </w:rPr>
        <w:t>分析</w:t>
      </w:r>
      <w:bookmarkEnd w:id="257"/>
    </w:p>
    <w:p w14:paraId="1CC1C2E9">
      <w:pPr>
        <w:rPr>
          <w:rFonts w:hint="default" w:ascii="Times New Roman" w:hAnsi="Times New Roman" w:eastAsia="宋体" w:cs="Times New Roman"/>
          <w:color w:val="auto"/>
          <w:u w:val="none" w:color="auto"/>
          <w:lang w:val="en-US" w:eastAsia="zh-CN"/>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u w:val="none" w:color="auto"/>
          <w:lang w:val="en-US" w:eastAsia="zh-CN"/>
        </w:rPr>
        <w:t>本项目不涉及总量控制指标。</w:t>
      </w:r>
    </w:p>
    <w:p w14:paraId="7303A558">
      <w:pPr>
        <w:pStyle w:val="2"/>
        <w:rPr>
          <w:rFonts w:hint="default" w:ascii="Times New Roman" w:hAnsi="Times New Roman" w:cs="Times New Roman"/>
          <w:color w:val="auto"/>
          <w:u w:val="none" w:color="auto"/>
        </w:rPr>
      </w:pPr>
      <w:bookmarkStart w:id="258" w:name="_Toc494049403"/>
      <w:bookmarkStart w:id="259" w:name="_Toc29044"/>
      <w:bookmarkStart w:id="260" w:name="_Toc29269"/>
      <w:bookmarkStart w:id="261" w:name="_Toc16123"/>
      <w:bookmarkStart w:id="262" w:name="_Toc10892"/>
      <w:bookmarkStart w:id="263" w:name="_Toc10586"/>
      <w:r>
        <w:rPr>
          <w:rFonts w:hint="default" w:ascii="Times New Roman" w:hAnsi="Times New Roman" w:cs="Times New Roman"/>
          <w:color w:val="auto"/>
          <w:u w:val="none" w:color="auto"/>
        </w:rPr>
        <w:t>环境影响经济损益分析</w:t>
      </w:r>
      <w:bookmarkEnd w:id="258"/>
      <w:bookmarkEnd w:id="259"/>
      <w:bookmarkEnd w:id="260"/>
      <w:bookmarkEnd w:id="261"/>
      <w:bookmarkEnd w:id="262"/>
      <w:bookmarkEnd w:id="263"/>
    </w:p>
    <w:p w14:paraId="66746321">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经济损益分析的主要任务是衡量建设项目要投入的环境投资所能收到的环境保护效果，本评价环境经济损益分析主要研究工程环境经济损益情况，除需计算用于控制污染所需投资和费用外，还要同时核算可能收到的环境与经济实效。</w:t>
      </w:r>
    </w:p>
    <w:p w14:paraId="09E63C36">
      <w:pPr>
        <w:pStyle w:val="3"/>
        <w:rPr>
          <w:rFonts w:hint="default" w:ascii="Times New Roman" w:hAnsi="Times New Roman" w:cs="Times New Roman"/>
          <w:color w:val="auto"/>
          <w:u w:val="none" w:color="auto"/>
        </w:rPr>
      </w:pPr>
      <w:bookmarkStart w:id="264" w:name="_Toc28734"/>
      <w:bookmarkStart w:id="265" w:name="_Toc491119782"/>
      <w:bookmarkStart w:id="266" w:name="_Toc491035444"/>
      <w:bookmarkStart w:id="267" w:name="_Toc289344607"/>
      <w:r>
        <w:rPr>
          <w:rFonts w:hint="default" w:ascii="Times New Roman" w:hAnsi="Times New Roman" w:cs="Times New Roman"/>
          <w:color w:val="auto"/>
          <w:u w:val="none" w:color="auto"/>
        </w:rPr>
        <w:t>环保投资估算</w:t>
      </w:r>
      <w:bookmarkEnd w:id="264"/>
      <w:bookmarkEnd w:id="265"/>
      <w:bookmarkEnd w:id="266"/>
      <w:bookmarkEnd w:id="267"/>
    </w:p>
    <w:p w14:paraId="5A71E82F">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lang w:val="en-US" w:eastAsia="zh-CN"/>
        </w:rPr>
        <w:t>本工程总投资4214.12万元，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77639AE8">
      <w:pPr>
        <w:spacing w:line="218" w:lineRule="auto"/>
        <w:ind w:left="0" w:lef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表</w:t>
      </w:r>
      <w:r>
        <w:rPr>
          <w:rFonts w:hint="eastAsia" w:cs="Times New Roman"/>
          <w:b/>
          <w:bCs/>
          <w:color w:val="auto"/>
          <w:kern w:val="2"/>
          <w:sz w:val="21"/>
          <w:szCs w:val="21"/>
          <w:u w:val="none" w:color="auto"/>
          <w:lang w:val="en-US" w:eastAsia="zh-CN" w:bidi="ar-SA"/>
        </w:rPr>
        <w:t>10</w:t>
      </w:r>
      <w:r>
        <w:rPr>
          <w:rFonts w:hint="eastAsia" w:ascii="Times New Roman" w:hAnsi="Times New Roman" w:cs="Times New Roman"/>
          <w:b/>
          <w:bCs/>
          <w:color w:val="auto"/>
          <w:kern w:val="2"/>
          <w:sz w:val="21"/>
          <w:szCs w:val="21"/>
          <w:u w:val="none" w:color="auto"/>
          <w:lang w:val="en-US" w:eastAsia="zh-CN" w:bidi="ar-SA"/>
        </w:rPr>
        <w:t>.1</w:t>
      </w:r>
      <w:r>
        <w:rPr>
          <w:rFonts w:hint="default" w:ascii="Times New Roman" w:hAnsi="Times New Roman" w:eastAsia="宋体" w:cs="Times New Roman"/>
          <w:b/>
          <w:bCs/>
          <w:color w:val="auto"/>
          <w:kern w:val="2"/>
          <w:sz w:val="21"/>
          <w:szCs w:val="21"/>
          <w:u w:val="none" w:color="auto"/>
          <w:lang w:val="en-US" w:eastAsia="zh-CN" w:bidi="ar-SA"/>
        </w:rPr>
        <w:t>-1</w:t>
      </w:r>
      <w:r>
        <w:rPr>
          <w:rFonts w:hint="default" w:ascii="Times New Roman" w:hAnsi="Times New Roman" w:cs="Times New Roman"/>
          <w:b/>
          <w:bCs/>
          <w:color w:val="auto"/>
          <w:kern w:val="2"/>
          <w:sz w:val="21"/>
          <w:szCs w:val="21"/>
          <w:u w:val="none" w:color="auto"/>
          <w:lang w:val="en-US" w:eastAsia="zh-CN" w:bidi="ar-SA"/>
        </w:rPr>
        <w:t xml:space="preserve">   </w:t>
      </w:r>
      <w:r>
        <w:rPr>
          <w:rFonts w:hint="default" w:ascii="Times New Roman" w:hAnsi="Times New Roman" w:eastAsia="宋体" w:cs="Times New Roman"/>
          <w:b/>
          <w:bCs/>
          <w:color w:val="auto"/>
          <w:kern w:val="2"/>
          <w:sz w:val="21"/>
          <w:szCs w:val="21"/>
          <w:u w:val="none" w:color="auto"/>
          <w:lang w:val="en-US" w:eastAsia="zh-CN" w:bidi="ar-SA"/>
        </w:rPr>
        <w:t>环保投资估算</w:t>
      </w:r>
      <w:r>
        <w:rPr>
          <w:rFonts w:hint="default" w:ascii="Times New Roman" w:hAnsi="Times New Roman" w:cs="Times New Roman"/>
          <w:b/>
          <w:bCs/>
          <w:color w:val="auto"/>
          <w:kern w:val="2"/>
          <w:sz w:val="21"/>
          <w:szCs w:val="21"/>
          <w:u w:val="none" w:color="auto"/>
          <w:lang w:val="en-US" w:eastAsia="zh-CN" w:bidi="ar-SA"/>
        </w:rPr>
        <w:t>一览表</w:t>
      </w:r>
    </w:p>
    <w:tbl>
      <w:tblPr>
        <w:tblStyle w:val="162"/>
        <w:tblW w:w="839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6"/>
        <w:gridCol w:w="1895"/>
        <w:gridCol w:w="1111"/>
        <w:gridCol w:w="927"/>
        <w:gridCol w:w="962"/>
        <w:gridCol w:w="868"/>
        <w:gridCol w:w="1660"/>
        <w:gridCol w:w="12"/>
      </w:tblGrid>
      <w:tr w14:paraId="54AD9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55BAD4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序号</w:t>
            </w:r>
          </w:p>
        </w:tc>
        <w:tc>
          <w:tcPr>
            <w:tcW w:w="1895" w:type="dxa"/>
            <w:vAlign w:val="center"/>
          </w:tcPr>
          <w:p w14:paraId="0D0CF3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项目名称</w:t>
            </w:r>
          </w:p>
        </w:tc>
        <w:tc>
          <w:tcPr>
            <w:tcW w:w="1111" w:type="dxa"/>
            <w:vAlign w:val="center"/>
          </w:tcPr>
          <w:p w14:paraId="51CF18C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单位</w:t>
            </w:r>
          </w:p>
        </w:tc>
        <w:tc>
          <w:tcPr>
            <w:tcW w:w="927" w:type="dxa"/>
            <w:vAlign w:val="center"/>
          </w:tcPr>
          <w:p w14:paraId="2E04915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数量</w:t>
            </w:r>
          </w:p>
        </w:tc>
        <w:tc>
          <w:tcPr>
            <w:tcW w:w="962" w:type="dxa"/>
            <w:vAlign w:val="center"/>
          </w:tcPr>
          <w:p w14:paraId="1B0168C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单价</w:t>
            </w:r>
            <w:r>
              <w:rPr>
                <w:rFonts w:hint="default" w:ascii="Times New Roman" w:hAnsi="Times New Roman" w:cs="Times New Roman"/>
                <w:snapToGrid/>
                <w:color w:val="auto"/>
                <w:kern w:val="2"/>
                <w:szCs w:val="22"/>
                <w:highlight w:val="none"/>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元</w:t>
            </w:r>
            <w:r>
              <w:rPr>
                <w:rFonts w:hint="default" w:ascii="Times New Roman" w:hAnsi="Times New Roman" w:cs="Times New Roman"/>
                <w:snapToGrid/>
                <w:color w:val="auto"/>
                <w:kern w:val="2"/>
                <w:szCs w:val="22"/>
                <w:highlight w:val="none"/>
                <w:u w:val="none" w:color="auto"/>
                <w:lang w:val="en-US" w:eastAsia="zh-CN"/>
              </w:rPr>
              <w:t>)</w:t>
            </w:r>
          </w:p>
        </w:tc>
        <w:tc>
          <w:tcPr>
            <w:tcW w:w="868" w:type="dxa"/>
            <w:vAlign w:val="center"/>
          </w:tcPr>
          <w:p w14:paraId="1E4519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投资</w:t>
            </w:r>
            <w:r>
              <w:rPr>
                <w:rFonts w:hint="default" w:ascii="Times New Roman" w:hAnsi="Times New Roman" w:cs="Times New Roman"/>
                <w:snapToGrid/>
                <w:color w:val="auto"/>
                <w:kern w:val="2"/>
                <w:szCs w:val="22"/>
                <w:highlight w:val="none"/>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万元</w:t>
            </w:r>
            <w:r>
              <w:rPr>
                <w:rFonts w:hint="default" w:ascii="Times New Roman" w:hAnsi="Times New Roman" w:cs="Times New Roman"/>
                <w:snapToGrid/>
                <w:color w:val="auto"/>
                <w:kern w:val="2"/>
                <w:szCs w:val="22"/>
                <w:highlight w:val="none"/>
                <w:u w:val="none" w:color="auto"/>
                <w:lang w:val="en-US" w:eastAsia="zh-CN"/>
              </w:rPr>
              <w:t>)</w:t>
            </w:r>
          </w:p>
        </w:tc>
        <w:tc>
          <w:tcPr>
            <w:tcW w:w="1660" w:type="dxa"/>
            <w:vAlign w:val="center"/>
          </w:tcPr>
          <w:p w14:paraId="1BC67EE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备注</w:t>
            </w:r>
          </w:p>
        </w:tc>
      </w:tr>
      <w:tr w14:paraId="330258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26AD90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第一部分环境监测措施</w:t>
            </w:r>
          </w:p>
        </w:tc>
        <w:tc>
          <w:tcPr>
            <w:tcW w:w="1111" w:type="dxa"/>
            <w:vAlign w:val="center"/>
          </w:tcPr>
          <w:p w14:paraId="59BF16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6B29A33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4D3216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9004C7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32.7</w:t>
            </w:r>
          </w:p>
        </w:tc>
        <w:tc>
          <w:tcPr>
            <w:tcW w:w="1660" w:type="dxa"/>
            <w:vAlign w:val="center"/>
          </w:tcPr>
          <w:p w14:paraId="7AE954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CB0F2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7CD3A5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1895" w:type="dxa"/>
            <w:vAlign w:val="center"/>
          </w:tcPr>
          <w:p w14:paraId="785B8C2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水质</w:t>
            </w:r>
          </w:p>
        </w:tc>
        <w:tc>
          <w:tcPr>
            <w:tcW w:w="1111" w:type="dxa"/>
            <w:vAlign w:val="center"/>
          </w:tcPr>
          <w:p w14:paraId="2B0C6CA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4C6BE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EDB0B0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968986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11.5</w:t>
            </w:r>
          </w:p>
        </w:tc>
        <w:tc>
          <w:tcPr>
            <w:tcW w:w="1660" w:type="dxa"/>
            <w:vAlign w:val="center"/>
          </w:tcPr>
          <w:p w14:paraId="030129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7F197B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29DD3C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0CD113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地表水水质监测</w:t>
            </w:r>
          </w:p>
        </w:tc>
        <w:tc>
          <w:tcPr>
            <w:tcW w:w="1111" w:type="dxa"/>
            <w:vAlign w:val="center"/>
          </w:tcPr>
          <w:p w14:paraId="3E3203C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3D0BC7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30</w:t>
            </w:r>
          </w:p>
        </w:tc>
        <w:tc>
          <w:tcPr>
            <w:tcW w:w="962" w:type="dxa"/>
            <w:vAlign w:val="center"/>
          </w:tcPr>
          <w:p w14:paraId="33A36CE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3000</w:t>
            </w:r>
          </w:p>
        </w:tc>
        <w:tc>
          <w:tcPr>
            <w:tcW w:w="868" w:type="dxa"/>
            <w:vAlign w:val="center"/>
          </w:tcPr>
          <w:p w14:paraId="7EB3DAC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1660" w:type="dxa"/>
            <w:vAlign w:val="center"/>
          </w:tcPr>
          <w:p w14:paraId="7ABED98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BC073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A9BE21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C4CD15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饮用水蓄水池</w:t>
            </w:r>
          </w:p>
        </w:tc>
        <w:tc>
          <w:tcPr>
            <w:tcW w:w="1111" w:type="dxa"/>
            <w:vAlign w:val="center"/>
          </w:tcPr>
          <w:p w14:paraId="668FF0D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02F3967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5</w:t>
            </w:r>
          </w:p>
        </w:tc>
        <w:tc>
          <w:tcPr>
            <w:tcW w:w="962" w:type="dxa"/>
            <w:vAlign w:val="center"/>
          </w:tcPr>
          <w:p w14:paraId="5B8F15D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180CF12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660" w:type="dxa"/>
            <w:vAlign w:val="center"/>
          </w:tcPr>
          <w:p w14:paraId="5BB00CB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98AC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90" w:hRule="atLeast"/>
          <w:jc w:val="center"/>
        </w:trPr>
        <w:tc>
          <w:tcPr>
            <w:tcW w:w="956" w:type="dxa"/>
            <w:vAlign w:val="center"/>
          </w:tcPr>
          <w:p w14:paraId="3E74A1D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1817F2A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大气监测</w:t>
            </w:r>
          </w:p>
        </w:tc>
        <w:tc>
          <w:tcPr>
            <w:tcW w:w="1111" w:type="dxa"/>
            <w:vAlign w:val="center"/>
          </w:tcPr>
          <w:p w14:paraId="69DB501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514AE0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EEF4C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16C395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w:t>
            </w:r>
          </w:p>
        </w:tc>
        <w:tc>
          <w:tcPr>
            <w:tcW w:w="1660" w:type="dxa"/>
            <w:vAlign w:val="center"/>
          </w:tcPr>
          <w:p w14:paraId="5F9A21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78AA93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522DF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03DB30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常规大气监测</w:t>
            </w:r>
          </w:p>
        </w:tc>
        <w:tc>
          <w:tcPr>
            <w:tcW w:w="1111" w:type="dxa"/>
            <w:vAlign w:val="center"/>
          </w:tcPr>
          <w:p w14:paraId="21C634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73AC3D0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6</w:t>
            </w:r>
          </w:p>
        </w:tc>
        <w:tc>
          <w:tcPr>
            <w:tcW w:w="962" w:type="dxa"/>
            <w:vAlign w:val="center"/>
          </w:tcPr>
          <w:p w14:paraId="494CE1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w:t>
            </w:r>
          </w:p>
        </w:tc>
        <w:tc>
          <w:tcPr>
            <w:tcW w:w="868" w:type="dxa"/>
            <w:vAlign w:val="center"/>
          </w:tcPr>
          <w:p w14:paraId="692C469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w:t>
            </w:r>
          </w:p>
        </w:tc>
        <w:tc>
          <w:tcPr>
            <w:tcW w:w="1660" w:type="dxa"/>
            <w:vAlign w:val="center"/>
          </w:tcPr>
          <w:p w14:paraId="67A91EE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32FC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E03736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46BCA6D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噪声监测</w:t>
            </w:r>
          </w:p>
        </w:tc>
        <w:tc>
          <w:tcPr>
            <w:tcW w:w="1111" w:type="dxa"/>
            <w:vAlign w:val="center"/>
          </w:tcPr>
          <w:p w14:paraId="372BE51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点·次</w:t>
            </w:r>
          </w:p>
        </w:tc>
        <w:tc>
          <w:tcPr>
            <w:tcW w:w="927" w:type="dxa"/>
            <w:vAlign w:val="center"/>
          </w:tcPr>
          <w:p w14:paraId="4D9F164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4</w:t>
            </w:r>
          </w:p>
        </w:tc>
        <w:tc>
          <w:tcPr>
            <w:tcW w:w="962" w:type="dxa"/>
            <w:vAlign w:val="center"/>
          </w:tcPr>
          <w:p w14:paraId="5A050A0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w:t>
            </w:r>
          </w:p>
        </w:tc>
        <w:tc>
          <w:tcPr>
            <w:tcW w:w="868" w:type="dxa"/>
            <w:vAlign w:val="center"/>
          </w:tcPr>
          <w:p w14:paraId="4142F525">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05C4C3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w:t>
            </w:r>
          </w:p>
        </w:tc>
      </w:tr>
      <w:tr w14:paraId="1C616E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BE85E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四</w:t>
            </w:r>
          </w:p>
        </w:tc>
        <w:tc>
          <w:tcPr>
            <w:tcW w:w="1895" w:type="dxa"/>
            <w:vAlign w:val="center"/>
          </w:tcPr>
          <w:p w14:paraId="606E3B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生态环境监测</w:t>
            </w:r>
          </w:p>
        </w:tc>
        <w:tc>
          <w:tcPr>
            <w:tcW w:w="1111" w:type="dxa"/>
            <w:vAlign w:val="center"/>
          </w:tcPr>
          <w:p w14:paraId="39DCEDC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BC387C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4CB218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2E2718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72546CB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1EAC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FCC169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568DCF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陆生生态监测</w:t>
            </w:r>
          </w:p>
        </w:tc>
        <w:tc>
          <w:tcPr>
            <w:tcW w:w="1111" w:type="dxa"/>
            <w:vAlign w:val="center"/>
          </w:tcPr>
          <w:p w14:paraId="1357F7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739EB23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04093F3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50000</w:t>
            </w:r>
          </w:p>
        </w:tc>
        <w:tc>
          <w:tcPr>
            <w:tcW w:w="868" w:type="dxa"/>
            <w:vAlign w:val="center"/>
          </w:tcPr>
          <w:p w14:paraId="7D8A54E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660" w:type="dxa"/>
            <w:vAlign w:val="center"/>
          </w:tcPr>
          <w:p w14:paraId="2247ED2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施工期、完工后</w:t>
            </w:r>
          </w:p>
        </w:tc>
      </w:tr>
      <w:tr w14:paraId="1C6500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A7C478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10D73D7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水生生态监测</w:t>
            </w:r>
          </w:p>
        </w:tc>
        <w:tc>
          <w:tcPr>
            <w:tcW w:w="1111" w:type="dxa"/>
            <w:vAlign w:val="center"/>
          </w:tcPr>
          <w:p w14:paraId="2D59063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426490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5C7C9BA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50000</w:t>
            </w:r>
          </w:p>
        </w:tc>
        <w:tc>
          <w:tcPr>
            <w:tcW w:w="868" w:type="dxa"/>
            <w:vAlign w:val="center"/>
          </w:tcPr>
          <w:p w14:paraId="3774F1F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660" w:type="dxa"/>
            <w:vAlign w:val="center"/>
          </w:tcPr>
          <w:p w14:paraId="06F88F2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施工期、完工后</w:t>
            </w:r>
          </w:p>
        </w:tc>
      </w:tr>
      <w:tr w14:paraId="4FA96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569E9C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五</w:t>
            </w:r>
          </w:p>
        </w:tc>
        <w:tc>
          <w:tcPr>
            <w:tcW w:w="1895" w:type="dxa"/>
            <w:vAlign w:val="center"/>
          </w:tcPr>
          <w:p w14:paraId="442F012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人群健康监测</w:t>
            </w:r>
          </w:p>
        </w:tc>
        <w:tc>
          <w:tcPr>
            <w:tcW w:w="1111" w:type="dxa"/>
            <w:vAlign w:val="center"/>
          </w:tcPr>
          <w:p w14:paraId="0694FCC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C4231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D32A98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28990C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515AB33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FA92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65C976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3CC92E0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施工期流行病监测</w:t>
            </w:r>
          </w:p>
        </w:tc>
        <w:tc>
          <w:tcPr>
            <w:tcW w:w="1111" w:type="dxa"/>
            <w:vAlign w:val="center"/>
          </w:tcPr>
          <w:p w14:paraId="5636A44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次</w:t>
            </w:r>
          </w:p>
        </w:tc>
        <w:tc>
          <w:tcPr>
            <w:tcW w:w="927" w:type="dxa"/>
            <w:vAlign w:val="center"/>
          </w:tcPr>
          <w:p w14:paraId="531AFCE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529C6B3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2000</w:t>
            </w:r>
          </w:p>
        </w:tc>
        <w:tc>
          <w:tcPr>
            <w:tcW w:w="868" w:type="dxa"/>
            <w:vAlign w:val="center"/>
          </w:tcPr>
          <w:p w14:paraId="42C880C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660" w:type="dxa"/>
            <w:vAlign w:val="center"/>
          </w:tcPr>
          <w:p w14:paraId="53166F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5B63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414E0FE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第二部分环境保护临时措施</w:t>
            </w:r>
          </w:p>
        </w:tc>
        <w:tc>
          <w:tcPr>
            <w:tcW w:w="1111" w:type="dxa"/>
            <w:vAlign w:val="center"/>
          </w:tcPr>
          <w:p w14:paraId="0DB114E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FBF921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5AB1642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7312C2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27.1</w:t>
            </w:r>
          </w:p>
        </w:tc>
        <w:tc>
          <w:tcPr>
            <w:tcW w:w="1660" w:type="dxa"/>
            <w:vAlign w:val="center"/>
          </w:tcPr>
          <w:p w14:paraId="24990DB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36C8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2C738D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1895" w:type="dxa"/>
            <w:vAlign w:val="center"/>
          </w:tcPr>
          <w:p w14:paraId="35CC7CC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水环境保护措施</w:t>
            </w:r>
          </w:p>
        </w:tc>
        <w:tc>
          <w:tcPr>
            <w:tcW w:w="1111" w:type="dxa"/>
            <w:vAlign w:val="center"/>
          </w:tcPr>
          <w:p w14:paraId="212A528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5154E0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48B222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2028376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1660" w:type="dxa"/>
            <w:vAlign w:val="center"/>
          </w:tcPr>
          <w:p w14:paraId="43818D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A65CD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4CB37E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69838F7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基坑排水</w:t>
            </w:r>
          </w:p>
        </w:tc>
        <w:tc>
          <w:tcPr>
            <w:tcW w:w="1111" w:type="dxa"/>
            <w:vAlign w:val="center"/>
          </w:tcPr>
          <w:p w14:paraId="0D2F015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处</w:t>
            </w:r>
          </w:p>
        </w:tc>
        <w:tc>
          <w:tcPr>
            <w:tcW w:w="927" w:type="dxa"/>
            <w:vAlign w:val="center"/>
          </w:tcPr>
          <w:p w14:paraId="444ED1D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2</w:t>
            </w:r>
          </w:p>
        </w:tc>
        <w:tc>
          <w:tcPr>
            <w:tcW w:w="962" w:type="dxa"/>
            <w:vAlign w:val="center"/>
          </w:tcPr>
          <w:p w14:paraId="7F8EE4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r>
              <w:rPr>
                <w:rFonts w:hint="default" w:ascii="Times New Roman" w:hAnsi="Times New Roman" w:cs="Times New Roman"/>
                <w:snapToGrid/>
                <w:color w:val="auto"/>
                <w:kern w:val="2"/>
                <w:szCs w:val="22"/>
                <w:u w:val="none" w:color="auto"/>
                <w:lang w:val="en-US" w:eastAsia="zh-CN"/>
              </w:rPr>
              <w:t>0</w:t>
            </w:r>
            <w:r>
              <w:rPr>
                <w:rFonts w:hint="default" w:ascii="Times New Roman" w:hAnsi="Times New Roman" w:eastAsia="宋体" w:cs="Times New Roman"/>
                <w:snapToGrid/>
                <w:color w:val="auto"/>
                <w:kern w:val="2"/>
                <w:szCs w:val="22"/>
                <w:u w:val="none" w:color="auto"/>
                <w:lang w:val="en-US" w:eastAsia="zh-CN"/>
              </w:rPr>
              <w:t>000</w:t>
            </w:r>
          </w:p>
        </w:tc>
        <w:tc>
          <w:tcPr>
            <w:tcW w:w="868" w:type="dxa"/>
            <w:vAlign w:val="center"/>
          </w:tcPr>
          <w:p w14:paraId="2150361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c>
          <w:tcPr>
            <w:tcW w:w="1660" w:type="dxa"/>
            <w:vAlign w:val="center"/>
          </w:tcPr>
          <w:p w14:paraId="505305B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1A13B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33CE56D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spacing w:val="2"/>
                <w:kern w:val="2"/>
                <w:sz w:val="21"/>
                <w:szCs w:val="22"/>
                <w:u w:val="none" w:color="auto"/>
                <w:lang w:val="en-US" w:eastAsia="zh-CN" w:bidi="ar-SA"/>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46CBB3D">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灌浆施工废水处理</w:t>
            </w:r>
          </w:p>
        </w:tc>
        <w:tc>
          <w:tcPr>
            <w:tcW w:w="1111" w:type="dxa"/>
            <w:vAlign w:val="center"/>
          </w:tcPr>
          <w:p w14:paraId="7B9B9BBA">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套</w:t>
            </w:r>
          </w:p>
        </w:tc>
        <w:tc>
          <w:tcPr>
            <w:tcW w:w="927" w:type="dxa"/>
            <w:vAlign w:val="center"/>
          </w:tcPr>
          <w:p w14:paraId="0A4A5ABF">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2</w:t>
            </w:r>
          </w:p>
        </w:tc>
        <w:tc>
          <w:tcPr>
            <w:tcW w:w="962" w:type="dxa"/>
            <w:vAlign w:val="center"/>
          </w:tcPr>
          <w:p w14:paraId="48D41B2C">
            <w:pPr>
              <w:pStyle w:val="180"/>
              <w:keepNext w:val="0"/>
              <w:keepLines w:val="0"/>
              <w:pageBreakBefore w:val="0"/>
              <w:kinsoku/>
              <w:wordWrap/>
              <w:overflowPunct/>
              <w:topLinePunct w:val="0"/>
              <w:autoSpaceDE/>
              <w:autoSpaceDN/>
              <w:bidi w:val="0"/>
              <w:adjustRightInd/>
              <w:spacing w:line="240" w:lineRule="auto"/>
              <w:ind w:firstLine="0" w:firstLineChars="0"/>
              <w:rPr>
                <w:rFonts w:hint="default" w:ascii="Times New Roman" w:hAnsi="Times New Roman" w:eastAsia="宋体" w:cs="Times New Roman"/>
                <w:snapToGrid/>
                <w:color w:val="auto"/>
                <w:kern w:val="2"/>
                <w:szCs w:val="22"/>
                <w:u w:val="none" w:color="auto"/>
                <w:lang w:val="en-US" w:eastAsia="zh-CN"/>
              </w:rPr>
            </w:pPr>
            <w:r>
              <w:rPr>
                <w:rFonts w:hint="eastAsia" w:cs="Times New Roman"/>
                <w:color w:val="auto"/>
                <w:lang w:val="en-US" w:eastAsia="zh-CN"/>
              </w:rPr>
              <w:t>2</w:t>
            </w:r>
            <w:r>
              <w:rPr>
                <w:rFonts w:hint="default" w:ascii="Times New Roman" w:hAnsi="Times New Roman" w:cs="Times New Roman"/>
                <w:color w:val="auto"/>
              </w:rPr>
              <w:t>0000</w:t>
            </w:r>
          </w:p>
        </w:tc>
        <w:tc>
          <w:tcPr>
            <w:tcW w:w="868" w:type="dxa"/>
            <w:vAlign w:val="center"/>
          </w:tcPr>
          <w:p w14:paraId="6BB3BD0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eastAsia" w:cs="Times New Roman"/>
                <w:i w:val="0"/>
                <w:iCs w:val="0"/>
                <w:color w:val="auto"/>
                <w:kern w:val="0"/>
                <w:sz w:val="21"/>
                <w:szCs w:val="21"/>
                <w:u w:val="none"/>
                <w:lang w:val="en-US" w:eastAsia="zh-CN" w:bidi="ar"/>
              </w:rPr>
              <w:t>4</w:t>
            </w:r>
          </w:p>
        </w:tc>
        <w:tc>
          <w:tcPr>
            <w:tcW w:w="1660" w:type="dxa"/>
            <w:vAlign w:val="center"/>
          </w:tcPr>
          <w:p w14:paraId="49FC1BD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07319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430BD35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spacing w:val="2"/>
                <w:kern w:val="2"/>
                <w:sz w:val="21"/>
                <w:szCs w:val="22"/>
                <w:u w:val="none" w:color="auto"/>
                <w:lang w:val="en-US" w:eastAsia="zh-CN" w:bidi="ar-SA"/>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0ACD084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车辆冲洗废水处理</w:t>
            </w:r>
          </w:p>
        </w:tc>
        <w:tc>
          <w:tcPr>
            <w:tcW w:w="1111" w:type="dxa"/>
            <w:vAlign w:val="center"/>
          </w:tcPr>
          <w:p w14:paraId="0FAEF3C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0F2A8AD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70DB72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2</w:t>
            </w:r>
            <w:r>
              <w:rPr>
                <w:rFonts w:hint="default" w:ascii="Times New Roman" w:hAnsi="Times New Roman" w:eastAsia="宋体" w:cs="Times New Roman"/>
                <w:snapToGrid/>
                <w:color w:val="auto"/>
                <w:kern w:val="2"/>
                <w:szCs w:val="22"/>
                <w:u w:val="none" w:color="auto"/>
                <w:lang w:val="en-US" w:eastAsia="zh-CN"/>
              </w:rPr>
              <w:t>0000</w:t>
            </w:r>
          </w:p>
        </w:tc>
        <w:tc>
          <w:tcPr>
            <w:tcW w:w="868" w:type="dxa"/>
            <w:vAlign w:val="center"/>
          </w:tcPr>
          <w:p w14:paraId="704F01A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eastAsia" w:cs="Times New Roman"/>
                <w:i w:val="0"/>
                <w:iCs w:val="0"/>
                <w:color w:val="auto"/>
                <w:kern w:val="0"/>
                <w:sz w:val="21"/>
                <w:szCs w:val="21"/>
                <w:u w:val="none"/>
                <w:lang w:val="en-US" w:eastAsia="zh-CN" w:bidi="ar"/>
              </w:rPr>
              <w:t>2</w:t>
            </w:r>
          </w:p>
        </w:tc>
        <w:tc>
          <w:tcPr>
            <w:tcW w:w="1660" w:type="dxa"/>
            <w:vAlign w:val="center"/>
          </w:tcPr>
          <w:p w14:paraId="32A60A6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w:t>
            </w:r>
          </w:p>
        </w:tc>
      </w:tr>
      <w:tr w14:paraId="0FDA6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shd w:val="clear" w:color="auto" w:fill="auto"/>
            <w:vAlign w:val="center"/>
          </w:tcPr>
          <w:p w14:paraId="11DC806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4</w:t>
            </w:r>
          </w:p>
        </w:tc>
        <w:tc>
          <w:tcPr>
            <w:tcW w:w="1895" w:type="dxa"/>
            <w:vAlign w:val="center"/>
          </w:tcPr>
          <w:p w14:paraId="1D122F5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砼搅拌废水</w:t>
            </w:r>
            <w:r>
              <w:rPr>
                <w:rFonts w:hint="eastAsia" w:cs="Times New Roman"/>
                <w:snapToGrid/>
                <w:color w:val="auto"/>
                <w:kern w:val="2"/>
                <w:szCs w:val="22"/>
                <w:u w:val="none" w:color="auto"/>
                <w:lang w:val="en-US" w:eastAsia="zh-CN"/>
              </w:rPr>
              <w:t>处理</w:t>
            </w:r>
          </w:p>
        </w:tc>
        <w:tc>
          <w:tcPr>
            <w:tcW w:w="1111" w:type="dxa"/>
            <w:vAlign w:val="center"/>
          </w:tcPr>
          <w:p w14:paraId="478308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套</w:t>
            </w:r>
          </w:p>
        </w:tc>
        <w:tc>
          <w:tcPr>
            <w:tcW w:w="927" w:type="dxa"/>
            <w:vAlign w:val="center"/>
          </w:tcPr>
          <w:p w14:paraId="0B8278F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1</w:t>
            </w:r>
          </w:p>
        </w:tc>
        <w:tc>
          <w:tcPr>
            <w:tcW w:w="962" w:type="dxa"/>
            <w:vAlign w:val="center"/>
          </w:tcPr>
          <w:p w14:paraId="6522DF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s="Times New Roman"/>
                <w:snapToGrid/>
                <w:color w:val="auto"/>
                <w:kern w:val="2"/>
                <w:szCs w:val="22"/>
                <w:u w:val="none" w:color="auto"/>
                <w:lang w:val="en-US" w:eastAsia="zh-CN"/>
              </w:rPr>
            </w:pPr>
            <w:r>
              <w:rPr>
                <w:rFonts w:hint="eastAsia" w:cs="Times New Roman"/>
                <w:snapToGrid/>
                <w:color w:val="auto"/>
                <w:kern w:val="2"/>
                <w:szCs w:val="22"/>
                <w:u w:val="none" w:color="auto"/>
                <w:lang w:val="en-US" w:eastAsia="zh-CN"/>
              </w:rPr>
              <w:t>10000</w:t>
            </w:r>
          </w:p>
        </w:tc>
        <w:tc>
          <w:tcPr>
            <w:tcW w:w="868" w:type="dxa"/>
            <w:vAlign w:val="center"/>
          </w:tcPr>
          <w:p w14:paraId="64AC1C3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p>
        </w:tc>
        <w:tc>
          <w:tcPr>
            <w:tcW w:w="1660" w:type="dxa"/>
            <w:vAlign w:val="center"/>
          </w:tcPr>
          <w:p w14:paraId="60F24E6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s="Times New Roman"/>
                <w:snapToGrid/>
                <w:color w:val="auto"/>
                <w:kern w:val="2"/>
                <w:szCs w:val="22"/>
                <w:u w:val="none" w:color="auto"/>
                <w:lang w:val="en-US" w:eastAsia="zh-CN"/>
              </w:rPr>
            </w:pPr>
          </w:p>
        </w:tc>
      </w:tr>
      <w:tr w14:paraId="112489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9D46A0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5E855E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噪声防治</w:t>
            </w:r>
          </w:p>
        </w:tc>
        <w:tc>
          <w:tcPr>
            <w:tcW w:w="1111" w:type="dxa"/>
            <w:vAlign w:val="center"/>
          </w:tcPr>
          <w:p w14:paraId="4595FE5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87532F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9BD3EB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E8E02F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1660" w:type="dxa"/>
            <w:vAlign w:val="center"/>
          </w:tcPr>
          <w:p w14:paraId="741A452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2F8F0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1B2A80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609C963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限速牌</w:t>
            </w:r>
          </w:p>
        </w:tc>
        <w:tc>
          <w:tcPr>
            <w:tcW w:w="1111" w:type="dxa"/>
            <w:vAlign w:val="center"/>
          </w:tcPr>
          <w:p w14:paraId="040EECB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45BEA5A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962" w:type="dxa"/>
            <w:vAlign w:val="center"/>
          </w:tcPr>
          <w:p w14:paraId="31F4021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w:t>
            </w:r>
          </w:p>
        </w:tc>
        <w:tc>
          <w:tcPr>
            <w:tcW w:w="868" w:type="dxa"/>
            <w:vAlign w:val="center"/>
          </w:tcPr>
          <w:p w14:paraId="00CEB5A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0.15</w:t>
            </w:r>
          </w:p>
        </w:tc>
        <w:tc>
          <w:tcPr>
            <w:tcW w:w="1660" w:type="dxa"/>
            <w:vAlign w:val="center"/>
          </w:tcPr>
          <w:p w14:paraId="4E5C799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8947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8521E6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32BA6C7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隔声屏</w:t>
            </w:r>
          </w:p>
        </w:tc>
        <w:tc>
          <w:tcPr>
            <w:tcW w:w="1111" w:type="dxa"/>
            <w:vAlign w:val="center"/>
          </w:tcPr>
          <w:p w14:paraId="4ABA32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m</w:t>
            </w:r>
          </w:p>
        </w:tc>
        <w:tc>
          <w:tcPr>
            <w:tcW w:w="927" w:type="dxa"/>
            <w:vAlign w:val="center"/>
          </w:tcPr>
          <w:p w14:paraId="7A413A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2500</w:t>
            </w:r>
          </w:p>
        </w:tc>
        <w:tc>
          <w:tcPr>
            <w:tcW w:w="962" w:type="dxa"/>
            <w:vAlign w:val="center"/>
          </w:tcPr>
          <w:p w14:paraId="2E0B42F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w:t>
            </w:r>
          </w:p>
        </w:tc>
        <w:tc>
          <w:tcPr>
            <w:tcW w:w="868" w:type="dxa"/>
            <w:vAlign w:val="center"/>
          </w:tcPr>
          <w:p w14:paraId="3639930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p>
        </w:tc>
        <w:tc>
          <w:tcPr>
            <w:tcW w:w="1660" w:type="dxa"/>
            <w:vAlign w:val="center"/>
          </w:tcPr>
          <w:p w14:paraId="724CF75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F7DE9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76AAE5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4DFADC8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个人防护用具</w:t>
            </w:r>
          </w:p>
        </w:tc>
        <w:tc>
          <w:tcPr>
            <w:tcW w:w="1111" w:type="dxa"/>
            <w:vAlign w:val="center"/>
          </w:tcPr>
          <w:p w14:paraId="499CA5A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套</w:t>
            </w:r>
          </w:p>
        </w:tc>
        <w:tc>
          <w:tcPr>
            <w:tcW w:w="927" w:type="dxa"/>
            <w:vAlign w:val="center"/>
          </w:tcPr>
          <w:p w14:paraId="3F78CFF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200</w:t>
            </w:r>
          </w:p>
        </w:tc>
        <w:tc>
          <w:tcPr>
            <w:tcW w:w="962" w:type="dxa"/>
            <w:vAlign w:val="center"/>
          </w:tcPr>
          <w:p w14:paraId="7C20A2A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w:t>
            </w:r>
          </w:p>
        </w:tc>
        <w:tc>
          <w:tcPr>
            <w:tcW w:w="868" w:type="dxa"/>
            <w:vAlign w:val="center"/>
          </w:tcPr>
          <w:p w14:paraId="28E50DC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66AB5EC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554AC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C8238B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1A04D0D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固体废物</w:t>
            </w:r>
            <w:r>
              <w:rPr>
                <w:rFonts w:hint="default" w:ascii="Times New Roman" w:hAnsi="Times New Roman" w:eastAsia="宋体" w:cs="Times New Roman"/>
                <w:snapToGrid/>
                <w:color w:val="auto"/>
                <w:kern w:val="2"/>
                <w:szCs w:val="22"/>
                <w:u w:val="none" w:color="auto"/>
                <w:lang w:val="en-US" w:eastAsia="zh-CN"/>
              </w:rPr>
              <w:t>处理</w:t>
            </w:r>
          </w:p>
        </w:tc>
        <w:tc>
          <w:tcPr>
            <w:tcW w:w="1111" w:type="dxa"/>
            <w:vAlign w:val="center"/>
          </w:tcPr>
          <w:p w14:paraId="78AE14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F21DFA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4B529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08C7E0D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660" w:type="dxa"/>
            <w:vAlign w:val="center"/>
          </w:tcPr>
          <w:p w14:paraId="7ED200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550C2C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55F4A7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9279A9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清运费</w:t>
            </w:r>
          </w:p>
        </w:tc>
        <w:tc>
          <w:tcPr>
            <w:tcW w:w="1111" w:type="dxa"/>
            <w:vAlign w:val="center"/>
          </w:tcPr>
          <w:p w14:paraId="15D9C88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月</w:t>
            </w:r>
          </w:p>
        </w:tc>
        <w:tc>
          <w:tcPr>
            <w:tcW w:w="927" w:type="dxa"/>
            <w:vAlign w:val="center"/>
          </w:tcPr>
          <w:p w14:paraId="7E4667B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498F5E8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3000</w:t>
            </w:r>
          </w:p>
        </w:tc>
        <w:tc>
          <w:tcPr>
            <w:tcW w:w="868" w:type="dxa"/>
            <w:vAlign w:val="center"/>
          </w:tcPr>
          <w:p w14:paraId="34779F0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660" w:type="dxa"/>
            <w:vAlign w:val="center"/>
          </w:tcPr>
          <w:p w14:paraId="218AA1F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6694C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E5F8E4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70478F8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垃圾桶</w:t>
            </w:r>
          </w:p>
        </w:tc>
        <w:tc>
          <w:tcPr>
            <w:tcW w:w="1111" w:type="dxa"/>
            <w:vAlign w:val="center"/>
          </w:tcPr>
          <w:p w14:paraId="299952C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0B02D6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6</w:t>
            </w:r>
          </w:p>
        </w:tc>
        <w:tc>
          <w:tcPr>
            <w:tcW w:w="962" w:type="dxa"/>
            <w:vAlign w:val="center"/>
          </w:tcPr>
          <w:p w14:paraId="50BB307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2</w:t>
            </w:r>
            <w:r>
              <w:rPr>
                <w:rFonts w:hint="default" w:ascii="Times New Roman" w:hAnsi="Times New Roman" w:eastAsia="宋体" w:cs="Times New Roman"/>
                <w:snapToGrid/>
                <w:color w:val="auto"/>
                <w:kern w:val="2"/>
                <w:szCs w:val="22"/>
                <w:u w:val="none" w:color="auto"/>
                <w:lang w:val="en-US" w:eastAsia="zh-CN"/>
              </w:rPr>
              <w:t>00</w:t>
            </w:r>
          </w:p>
        </w:tc>
        <w:tc>
          <w:tcPr>
            <w:tcW w:w="868" w:type="dxa"/>
            <w:vAlign w:val="center"/>
          </w:tcPr>
          <w:p w14:paraId="1E6A605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1660" w:type="dxa"/>
            <w:vAlign w:val="center"/>
          </w:tcPr>
          <w:p w14:paraId="6F643B0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B8D06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gridAfter w:val="1"/>
          <w:wAfter w:w="12" w:type="dxa"/>
          <w:trHeight w:val="340" w:hRule="atLeast"/>
          <w:jc w:val="center"/>
        </w:trPr>
        <w:tc>
          <w:tcPr>
            <w:tcW w:w="956" w:type="dxa"/>
            <w:vAlign w:val="center"/>
          </w:tcPr>
          <w:p w14:paraId="173F2D0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四</w:t>
            </w:r>
          </w:p>
        </w:tc>
        <w:tc>
          <w:tcPr>
            <w:tcW w:w="1895" w:type="dxa"/>
            <w:vAlign w:val="center"/>
          </w:tcPr>
          <w:p w14:paraId="72DAA6A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环境空气质量控制</w:t>
            </w:r>
          </w:p>
        </w:tc>
        <w:tc>
          <w:tcPr>
            <w:tcW w:w="1111" w:type="dxa"/>
            <w:vAlign w:val="center"/>
          </w:tcPr>
          <w:p w14:paraId="169E35A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5480AC9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A09909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645B94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60" w:type="dxa"/>
            <w:vAlign w:val="center"/>
          </w:tcPr>
          <w:p w14:paraId="03BC3E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1F6C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845AED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5475DA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洒水</w:t>
            </w:r>
          </w:p>
        </w:tc>
        <w:tc>
          <w:tcPr>
            <w:tcW w:w="1111" w:type="dxa"/>
            <w:vAlign w:val="center"/>
          </w:tcPr>
          <w:p w14:paraId="2636960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月</w:t>
            </w:r>
          </w:p>
        </w:tc>
        <w:tc>
          <w:tcPr>
            <w:tcW w:w="927" w:type="dxa"/>
            <w:vAlign w:val="center"/>
          </w:tcPr>
          <w:p w14:paraId="72CE4B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663E98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6C439AF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w:t>
            </w:r>
          </w:p>
        </w:tc>
        <w:tc>
          <w:tcPr>
            <w:tcW w:w="1660" w:type="dxa"/>
            <w:vAlign w:val="center"/>
          </w:tcPr>
          <w:p w14:paraId="57B122F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5AE622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E0F16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06AC2E7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抑尘覆盖</w:t>
            </w:r>
          </w:p>
        </w:tc>
        <w:tc>
          <w:tcPr>
            <w:tcW w:w="1111" w:type="dxa"/>
            <w:vAlign w:val="center"/>
          </w:tcPr>
          <w:p w14:paraId="6C8F566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处</w:t>
            </w:r>
          </w:p>
        </w:tc>
        <w:tc>
          <w:tcPr>
            <w:tcW w:w="927" w:type="dxa"/>
            <w:vAlign w:val="center"/>
          </w:tcPr>
          <w:p w14:paraId="7080CEE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962" w:type="dxa"/>
            <w:vAlign w:val="center"/>
          </w:tcPr>
          <w:p w14:paraId="66E6800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color w:val="auto"/>
              </w:rPr>
              <w:t>2000</w:t>
            </w:r>
          </w:p>
        </w:tc>
        <w:tc>
          <w:tcPr>
            <w:tcW w:w="868" w:type="dxa"/>
            <w:vAlign w:val="center"/>
          </w:tcPr>
          <w:p w14:paraId="10F55539">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0.4</w:t>
            </w:r>
          </w:p>
        </w:tc>
        <w:tc>
          <w:tcPr>
            <w:tcW w:w="1660" w:type="dxa"/>
            <w:vAlign w:val="center"/>
          </w:tcPr>
          <w:p w14:paraId="05610F7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按施工月份计算</w:t>
            </w:r>
          </w:p>
        </w:tc>
      </w:tr>
      <w:tr w14:paraId="43B58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6FAF31C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五</w:t>
            </w:r>
          </w:p>
        </w:tc>
        <w:tc>
          <w:tcPr>
            <w:tcW w:w="1895" w:type="dxa"/>
            <w:vAlign w:val="center"/>
          </w:tcPr>
          <w:p w14:paraId="6C3BE0B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人群健康保护</w:t>
            </w:r>
          </w:p>
        </w:tc>
        <w:tc>
          <w:tcPr>
            <w:tcW w:w="1111" w:type="dxa"/>
            <w:vAlign w:val="center"/>
          </w:tcPr>
          <w:p w14:paraId="7A57F06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F4C7CA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373BDD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8945FD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c>
          <w:tcPr>
            <w:tcW w:w="1660" w:type="dxa"/>
            <w:vAlign w:val="center"/>
          </w:tcPr>
          <w:p w14:paraId="07B1058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06D4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40199C1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5404077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卫生防疫</w:t>
            </w:r>
          </w:p>
        </w:tc>
        <w:tc>
          <w:tcPr>
            <w:tcW w:w="1111" w:type="dxa"/>
            <w:vAlign w:val="center"/>
          </w:tcPr>
          <w:p w14:paraId="29EF2AF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年</w:t>
            </w:r>
          </w:p>
        </w:tc>
        <w:tc>
          <w:tcPr>
            <w:tcW w:w="927" w:type="dxa"/>
            <w:vAlign w:val="center"/>
          </w:tcPr>
          <w:p w14:paraId="44D3088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5F51050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10000</w:t>
            </w:r>
          </w:p>
        </w:tc>
        <w:tc>
          <w:tcPr>
            <w:tcW w:w="868" w:type="dxa"/>
            <w:vAlign w:val="center"/>
          </w:tcPr>
          <w:p w14:paraId="0E4F3144">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0883B6F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6B5712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E45C97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5A6E53E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饮用水卫生防护</w:t>
            </w:r>
          </w:p>
        </w:tc>
        <w:tc>
          <w:tcPr>
            <w:tcW w:w="1111" w:type="dxa"/>
            <w:vAlign w:val="center"/>
          </w:tcPr>
          <w:p w14:paraId="171DFB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年</w:t>
            </w:r>
          </w:p>
        </w:tc>
        <w:tc>
          <w:tcPr>
            <w:tcW w:w="927" w:type="dxa"/>
            <w:vAlign w:val="center"/>
          </w:tcPr>
          <w:p w14:paraId="1B4FA1F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962" w:type="dxa"/>
            <w:vAlign w:val="center"/>
          </w:tcPr>
          <w:p w14:paraId="14A974F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10000</w:t>
            </w:r>
          </w:p>
        </w:tc>
        <w:tc>
          <w:tcPr>
            <w:tcW w:w="868" w:type="dxa"/>
            <w:vAlign w:val="center"/>
          </w:tcPr>
          <w:p w14:paraId="25537A67">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1660" w:type="dxa"/>
            <w:vAlign w:val="center"/>
          </w:tcPr>
          <w:p w14:paraId="130F358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E55F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38F5D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六</w:t>
            </w:r>
          </w:p>
        </w:tc>
        <w:tc>
          <w:tcPr>
            <w:tcW w:w="1895" w:type="dxa"/>
            <w:vAlign w:val="center"/>
          </w:tcPr>
          <w:p w14:paraId="05F6AA1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生态保护</w:t>
            </w:r>
          </w:p>
        </w:tc>
        <w:tc>
          <w:tcPr>
            <w:tcW w:w="1111" w:type="dxa"/>
            <w:vAlign w:val="center"/>
          </w:tcPr>
          <w:p w14:paraId="130D07D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6B8466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CAD277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EF1572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1660" w:type="dxa"/>
            <w:vAlign w:val="center"/>
          </w:tcPr>
          <w:p w14:paraId="7229404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7361E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83C6C7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2FD89B5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陆生生态</w:t>
            </w:r>
          </w:p>
        </w:tc>
        <w:tc>
          <w:tcPr>
            <w:tcW w:w="1111" w:type="dxa"/>
            <w:vAlign w:val="center"/>
          </w:tcPr>
          <w:p w14:paraId="11CBA98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个</w:t>
            </w:r>
          </w:p>
        </w:tc>
        <w:tc>
          <w:tcPr>
            <w:tcW w:w="927" w:type="dxa"/>
            <w:vAlign w:val="center"/>
          </w:tcPr>
          <w:p w14:paraId="69781E1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w:t>
            </w:r>
          </w:p>
        </w:tc>
        <w:tc>
          <w:tcPr>
            <w:tcW w:w="962" w:type="dxa"/>
            <w:vAlign w:val="center"/>
          </w:tcPr>
          <w:p w14:paraId="44D42E4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700</w:t>
            </w:r>
          </w:p>
        </w:tc>
        <w:tc>
          <w:tcPr>
            <w:tcW w:w="868" w:type="dxa"/>
            <w:vAlign w:val="center"/>
          </w:tcPr>
          <w:p w14:paraId="76C91981">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1660" w:type="dxa"/>
            <w:vAlign w:val="center"/>
          </w:tcPr>
          <w:p w14:paraId="11B1B58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宣传标志牌</w:t>
            </w:r>
          </w:p>
        </w:tc>
      </w:tr>
      <w:tr w14:paraId="13880E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B3C99B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第三部分环境保护仪器设备及安装</w:t>
            </w:r>
          </w:p>
        </w:tc>
        <w:tc>
          <w:tcPr>
            <w:tcW w:w="1111" w:type="dxa"/>
            <w:vAlign w:val="center"/>
          </w:tcPr>
          <w:p w14:paraId="5C1B936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5C3862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B63D40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38C3B089">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6427301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54E182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FE8BF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E193D1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生态流量在线监测设备</w:t>
            </w:r>
            <w:r>
              <w:rPr>
                <w:rFonts w:hint="default" w:ascii="Times New Roman" w:hAnsi="Times New Roman" w:cs="Times New Roman"/>
                <w:snapToGrid/>
                <w:color w:val="auto"/>
                <w:kern w:val="2"/>
                <w:szCs w:val="22"/>
                <w:u w:val="none" w:color="auto"/>
                <w:lang w:val="en-US" w:eastAsia="zh-CN"/>
              </w:rPr>
              <w:t>安装</w:t>
            </w:r>
            <w:r>
              <w:rPr>
                <w:rFonts w:hint="default" w:ascii="Times New Roman" w:hAnsi="Times New Roman" w:eastAsia="宋体" w:cs="Times New Roman"/>
                <w:snapToGrid/>
                <w:color w:val="auto"/>
                <w:kern w:val="2"/>
                <w:szCs w:val="22"/>
                <w:u w:val="none" w:color="auto"/>
                <w:lang w:val="en-US" w:eastAsia="zh-CN"/>
              </w:rPr>
              <w:t>及维护</w:t>
            </w:r>
          </w:p>
        </w:tc>
        <w:tc>
          <w:tcPr>
            <w:tcW w:w="1111" w:type="dxa"/>
            <w:vAlign w:val="center"/>
          </w:tcPr>
          <w:p w14:paraId="6658E44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33C5FD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0303F8C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421E31B">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660" w:type="dxa"/>
            <w:vAlign w:val="center"/>
          </w:tcPr>
          <w:p w14:paraId="6A76A88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1CA1B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2851" w:type="dxa"/>
            <w:gridSpan w:val="2"/>
            <w:vAlign w:val="center"/>
          </w:tcPr>
          <w:p w14:paraId="5CE73AF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第四部分环境保护独立费用</w:t>
            </w:r>
          </w:p>
        </w:tc>
        <w:tc>
          <w:tcPr>
            <w:tcW w:w="1111" w:type="dxa"/>
            <w:vAlign w:val="center"/>
          </w:tcPr>
          <w:p w14:paraId="082381B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639EB0C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7CB52F6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A23242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44.37</w:t>
            </w:r>
          </w:p>
        </w:tc>
        <w:tc>
          <w:tcPr>
            <w:tcW w:w="1660" w:type="dxa"/>
            <w:vAlign w:val="center"/>
          </w:tcPr>
          <w:p w14:paraId="1F0A1D5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2787BC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354D0D8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一</w:t>
            </w:r>
          </w:p>
        </w:tc>
        <w:tc>
          <w:tcPr>
            <w:tcW w:w="1895" w:type="dxa"/>
            <w:vAlign w:val="center"/>
          </w:tcPr>
          <w:p w14:paraId="09B86A7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建设管理费</w:t>
            </w:r>
          </w:p>
        </w:tc>
        <w:tc>
          <w:tcPr>
            <w:tcW w:w="1111" w:type="dxa"/>
            <w:vAlign w:val="center"/>
          </w:tcPr>
          <w:p w14:paraId="06BA11E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644AFF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BF15ED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B70B595">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11.99</w:t>
            </w:r>
          </w:p>
        </w:tc>
        <w:tc>
          <w:tcPr>
            <w:tcW w:w="1660" w:type="dxa"/>
            <w:vAlign w:val="center"/>
          </w:tcPr>
          <w:p w14:paraId="74941E2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062BE2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6D6800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01A5578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环境管理费</w:t>
            </w:r>
          </w:p>
        </w:tc>
        <w:tc>
          <w:tcPr>
            <w:tcW w:w="1111" w:type="dxa"/>
            <w:vAlign w:val="center"/>
          </w:tcPr>
          <w:p w14:paraId="713AE7A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8F6AB4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54E06AA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0CF4C5E">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2.39</w:t>
            </w:r>
          </w:p>
        </w:tc>
        <w:tc>
          <w:tcPr>
            <w:tcW w:w="1660" w:type="dxa"/>
            <w:vAlign w:val="center"/>
          </w:tcPr>
          <w:p w14:paraId="23A78DF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I~Ⅲ部分合计3%</w:t>
            </w:r>
          </w:p>
        </w:tc>
      </w:tr>
      <w:tr w14:paraId="716ADC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B56545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12F270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环境保护设施竣工验收费</w:t>
            </w:r>
          </w:p>
        </w:tc>
        <w:tc>
          <w:tcPr>
            <w:tcW w:w="1111" w:type="dxa"/>
            <w:vAlign w:val="center"/>
          </w:tcPr>
          <w:p w14:paraId="67EF80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2DAFC6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CC233C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419E6CC">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p>
        </w:tc>
        <w:tc>
          <w:tcPr>
            <w:tcW w:w="1660" w:type="dxa"/>
            <w:vAlign w:val="center"/>
          </w:tcPr>
          <w:p w14:paraId="02A076D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业主组织</w:t>
            </w:r>
          </w:p>
        </w:tc>
      </w:tr>
      <w:tr w14:paraId="1EEFE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0685A2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vAlign w:val="center"/>
          </w:tcPr>
          <w:p w14:paraId="16E71E6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环境保护宣传及技术培训费</w:t>
            </w:r>
          </w:p>
        </w:tc>
        <w:tc>
          <w:tcPr>
            <w:tcW w:w="1111" w:type="dxa"/>
            <w:vAlign w:val="center"/>
          </w:tcPr>
          <w:p w14:paraId="207DE89B">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72C17A6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820918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648344D">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1.60</w:t>
            </w:r>
          </w:p>
        </w:tc>
        <w:tc>
          <w:tcPr>
            <w:tcW w:w="1660" w:type="dxa"/>
            <w:vAlign w:val="center"/>
          </w:tcPr>
          <w:p w14:paraId="45D942D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I~Ⅲ部分合计2%</w:t>
            </w:r>
          </w:p>
        </w:tc>
      </w:tr>
      <w:tr w14:paraId="53612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16A34B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二</w:t>
            </w:r>
          </w:p>
        </w:tc>
        <w:tc>
          <w:tcPr>
            <w:tcW w:w="1895" w:type="dxa"/>
            <w:vAlign w:val="center"/>
          </w:tcPr>
          <w:p w14:paraId="371A4CC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环境监理费</w:t>
            </w:r>
          </w:p>
        </w:tc>
        <w:tc>
          <w:tcPr>
            <w:tcW w:w="1111" w:type="dxa"/>
            <w:vAlign w:val="center"/>
          </w:tcPr>
          <w:p w14:paraId="5A768DE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人·月</w:t>
            </w:r>
          </w:p>
        </w:tc>
        <w:tc>
          <w:tcPr>
            <w:tcW w:w="927" w:type="dxa"/>
            <w:vAlign w:val="center"/>
          </w:tcPr>
          <w:p w14:paraId="35F91AF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12</w:t>
            </w:r>
          </w:p>
        </w:tc>
        <w:tc>
          <w:tcPr>
            <w:tcW w:w="962" w:type="dxa"/>
            <w:vAlign w:val="center"/>
          </w:tcPr>
          <w:p w14:paraId="051CD1B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5000</w:t>
            </w:r>
          </w:p>
        </w:tc>
        <w:tc>
          <w:tcPr>
            <w:tcW w:w="868" w:type="dxa"/>
            <w:vAlign w:val="center"/>
          </w:tcPr>
          <w:p w14:paraId="2DE4F59E">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w:t>
            </w:r>
          </w:p>
        </w:tc>
        <w:tc>
          <w:tcPr>
            <w:tcW w:w="1660" w:type="dxa"/>
            <w:vAlign w:val="center"/>
          </w:tcPr>
          <w:p w14:paraId="38C75A4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1D9DB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5B5EE49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三</w:t>
            </w:r>
          </w:p>
        </w:tc>
        <w:tc>
          <w:tcPr>
            <w:tcW w:w="1895" w:type="dxa"/>
            <w:vAlign w:val="center"/>
          </w:tcPr>
          <w:p w14:paraId="3630559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科研勘测设计咨询费</w:t>
            </w:r>
          </w:p>
        </w:tc>
        <w:tc>
          <w:tcPr>
            <w:tcW w:w="1111" w:type="dxa"/>
            <w:vAlign w:val="center"/>
          </w:tcPr>
          <w:p w14:paraId="28D311E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02995DC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15490DA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49D340BA">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26.38</w:t>
            </w:r>
          </w:p>
        </w:tc>
        <w:tc>
          <w:tcPr>
            <w:tcW w:w="1660" w:type="dxa"/>
            <w:vAlign w:val="center"/>
          </w:tcPr>
          <w:p w14:paraId="4121319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3693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76F9C33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1</w:t>
            </w:r>
          </w:p>
        </w:tc>
        <w:tc>
          <w:tcPr>
            <w:tcW w:w="1895" w:type="dxa"/>
            <w:vAlign w:val="center"/>
          </w:tcPr>
          <w:p w14:paraId="137F469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环境影响评价费</w:t>
            </w:r>
          </w:p>
        </w:tc>
        <w:tc>
          <w:tcPr>
            <w:tcW w:w="1111" w:type="dxa"/>
            <w:vAlign w:val="center"/>
          </w:tcPr>
          <w:p w14:paraId="1D5DEE3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4871B3E2">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0BE3F9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FE0E686">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660" w:type="dxa"/>
            <w:vAlign w:val="center"/>
          </w:tcPr>
          <w:p w14:paraId="2C31DF9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F5B0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289107F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2</w:t>
            </w:r>
          </w:p>
        </w:tc>
        <w:tc>
          <w:tcPr>
            <w:tcW w:w="1895" w:type="dxa"/>
            <w:vAlign w:val="center"/>
          </w:tcPr>
          <w:p w14:paraId="43A6CF1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事故风险应急预案</w:t>
            </w:r>
          </w:p>
        </w:tc>
        <w:tc>
          <w:tcPr>
            <w:tcW w:w="1111" w:type="dxa"/>
            <w:vAlign w:val="center"/>
          </w:tcPr>
          <w:p w14:paraId="48E49CA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1E1AB2D">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4C1D3EB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72BFF713">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c>
          <w:tcPr>
            <w:tcW w:w="1660" w:type="dxa"/>
            <w:vAlign w:val="center"/>
          </w:tcPr>
          <w:p w14:paraId="01698BF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4BC29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12" w:type="dxa"/>
          <w:trHeight w:val="340" w:hRule="atLeast"/>
          <w:jc w:val="center"/>
        </w:trPr>
        <w:tc>
          <w:tcPr>
            <w:tcW w:w="956" w:type="dxa"/>
            <w:vAlign w:val="center"/>
          </w:tcPr>
          <w:p w14:paraId="19C13B73">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3</w:t>
            </w:r>
          </w:p>
        </w:tc>
        <w:tc>
          <w:tcPr>
            <w:tcW w:w="1895" w:type="dxa"/>
            <w:tcBorders>
              <w:right w:val="single" w:color="000000" w:sz="2" w:space="0"/>
            </w:tcBorders>
            <w:vAlign w:val="center"/>
          </w:tcPr>
          <w:p w14:paraId="66C5D805">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环境保护勘测设计费</w:t>
            </w:r>
          </w:p>
        </w:tc>
        <w:tc>
          <w:tcPr>
            <w:tcW w:w="1111" w:type="dxa"/>
            <w:tcBorders>
              <w:left w:val="single" w:color="000000" w:sz="2" w:space="0"/>
            </w:tcBorders>
            <w:vAlign w:val="center"/>
          </w:tcPr>
          <w:p w14:paraId="505692DE">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23A3C63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F0B1B1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6169FE38">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6.38</w:t>
            </w:r>
          </w:p>
        </w:tc>
        <w:tc>
          <w:tcPr>
            <w:tcW w:w="1660" w:type="dxa"/>
            <w:vAlign w:val="center"/>
          </w:tcPr>
          <w:p w14:paraId="137E75A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I~Ⅲ部分合计8%</w:t>
            </w:r>
          </w:p>
        </w:tc>
      </w:tr>
      <w:tr w14:paraId="660693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18F33BDF">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第一至</w:t>
            </w:r>
            <w:r>
              <w:rPr>
                <w:rFonts w:hint="default" w:ascii="Times New Roman" w:hAnsi="Times New Roman" w:cs="Times New Roman"/>
                <w:snapToGrid/>
                <w:color w:val="auto"/>
                <w:kern w:val="2"/>
                <w:szCs w:val="22"/>
                <w:u w:val="none" w:color="auto"/>
                <w:lang w:val="en-US" w:eastAsia="zh-CN"/>
              </w:rPr>
              <w:t>四</w:t>
            </w:r>
            <w:r>
              <w:rPr>
                <w:rFonts w:hint="default" w:ascii="Times New Roman" w:hAnsi="Times New Roman" w:eastAsia="宋体" w:cs="Times New Roman"/>
                <w:snapToGrid/>
                <w:color w:val="auto"/>
                <w:kern w:val="2"/>
                <w:szCs w:val="22"/>
                <w:u w:val="none" w:color="auto"/>
                <w:lang w:val="en-US" w:eastAsia="zh-CN"/>
              </w:rPr>
              <w:t>部分合计</w:t>
            </w:r>
          </w:p>
        </w:tc>
        <w:tc>
          <w:tcPr>
            <w:tcW w:w="1111" w:type="dxa"/>
            <w:vAlign w:val="center"/>
          </w:tcPr>
          <w:p w14:paraId="298E0CB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36E0DA0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30B8C899">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0C1DAB22">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124.17</w:t>
            </w:r>
          </w:p>
        </w:tc>
        <w:tc>
          <w:tcPr>
            <w:tcW w:w="1672" w:type="dxa"/>
            <w:gridSpan w:val="2"/>
            <w:vAlign w:val="center"/>
          </w:tcPr>
          <w:p w14:paraId="60F5592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r w14:paraId="357B8B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780EB040">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基本预备费</w:t>
            </w:r>
          </w:p>
        </w:tc>
        <w:tc>
          <w:tcPr>
            <w:tcW w:w="1111" w:type="dxa"/>
            <w:vAlign w:val="center"/>
          </w:tcPr>
          <w:p w14:paraId="3EEB8B96">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78A6B3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290E7E2C">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1A9E8A40">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6.21</w:t>
            </w:r>
          </w:p>
        </w:tc>
        <w:tc>
          <w:tcPr>
            <w:tcW w:w="1672" w:type="dxa"/>
            <w:gridSpan w:val="2"/>
            <w:vAlign w:val="center"/>
          </w:tcPr>
          <w:p w14:paraId="46B3CCC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I</w:t>
            </w:r>
            <w:r>
              <w:rPr>
                <w:rFonts w:hint="default" w:ascii="Times New Roman" w:hAnsi="Times New Roman" w:cs="Times New Roman"/>
                <w:snapToGrid/>
                <w:color w:val="auto"/>
                <w:kern w:val="2"/>
                <w:szCs w:val="22"/>
                <w:u w:val="none" w:color="auto"/>
                <w:lang w:val="en-US" w:eastAsia="zh-CN"/>
              </w:rPr>
              <w:t>~</w:t>
            </w:r>
            <w:r>
              <w:rPr>
                <w:rFonts w:hint="default" w:ascii="Times New Roman" w:hAnsi="Times New Roman" w:eastAsia="宋体" w:cs="Times New Roman"/>
                <w:snapToGrid/>
                <w:color w:val="auto"/>
                <w:kern w:val="2"/>
                <w:szCs w:val="22"/>
                <w:u w:val="none" w:color="auto"/>
                <w:lang w:val="en-US" w:eastAsia="zh-CN"/>
              </w:rPr>
              <w:t>IV项之和5%</w:t>
            </w:r>
          </w:p>
        </w:tc>
      </w:tr>
      <w:tr w14:paraId="0B6ACB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51" w:type="dxa"/>
            <w:gridSpan w:val="2"/>
            <w:vAlign w:val="center"/>
          </w:tcPr>
          <w:p w14:paraId="17A6C4E8">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eastAsia="宋体" w:cs="Times New Roman"/>
                <w:snapToGrid/>
                <w:color w:val="auto"/>
                <w:kern w:val="2"/>
                <w:szCs w:val="22"/>
                <w:u w:val="none" w:color="auto"/>
                <w:lang w:val="en-US" w:eastAsia="zh-CN"/>
              </w:rPr>
              <w:t>环境保护静态总投资</w:t>
            </w:r>
          </w:p>
        </w:tc>
        <w:tc>
          <w:tcPr>
            <w:tcW w:w="1111" w:type="dxa"/>
            <w:vAlign w:val="center"/>
          </w:tcPr>
          <w:p w14:paraId="1673DDA1">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27" w:type="dxa"/>
            <w:vAlign w:val="center"/>
          </w:tcPr>
          <w:p w14:paraId="19D80544">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962" w:type="dxa"/>
            <w:vAlign w:val="center"/>
          </w:tcPr>
          <w:p w14:paraId="66FC38F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c>
          <w:tcPr>
            <w:tcW w:w="868" w:type="dxa"/>
            <w:vAlign w:val="center"/>
          </w:tcPr>
          <w:p w14:paraId="56D07237">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r>
              <w:rPr>
                <w:rFonts w:hint="default" w:ascii="Times New Roman" w:hAnsi="Times New Roman" w:cs="Times New Roman"/>
                <w:snapToGrid/>
                <w:color w:val="auto"/>
                <w:kern w:val="2"/>
                <w:szCs w:val="22"/>
                <w:u w:val="none" w:color="auto"/>
                <w:lang w:val="en-US" w:eastAsia="zh-CN"/>
              </w:rPr>
              <w:t>130.38</w:t>
            </w:r>
          </w:p>
        </w:tc>
        <w:tc>
          <w:tcPr>
            <w:tcW w:w="1672" w:type="dxa"/>
            <w:gridSpan w:val="2"/>
            <w:vAlign w:val="center"/>
          </w:tcPr>
          <w:p w14:paraId="2666D10A">
            <w:pPr>
              <w:pStyle w:val="85"/>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snapToGrid/>
                <w:color w:val="auto"/>
                <w:kern w:val="2"/>
                <w:szCs w:val="22"/>
                <w:u w:val="none" w:color="auto"/>
                <w:lang w:val="en-US" w:eastAsia="zh-CN"/>
              </w:rPr>
            </w:pPr>
          </w:p>
        </w:tc>
      </w:tr>
    </w:tbl>
    <w:p w14:paraId="34300FB2">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项目为道县廊洞水库除险加固工程，主要为施工期的环保投资，施工期采取的环保设施</w:t>
      </w:r>
      <w:r>
        <w:rPr>
          <w:rFonts w:hint="default" w:ascii="Times New Roman" w:hAnsi="Times New Roman" w:cs="Times New Roman"/>
          <w:color w:val="auto"/>
          <w:u w:val="none" w:color="auto"/>
        </w:rPr>
        <w:t>能满足有关污染治理方面的需要，项目环保投入比较合理，污染物经过各项设施处理后对周围环境影响比较小。</w:t>
      </w:r>
    </w:p>
    <w:p w14:paraId="620ADC85">
      <w:pPr>
        <w:pStyle w:val="3"/>
        <w:bidi w:val="0"/>
        <w:rPr>
          <w:rFonts w:hint="default" w:ascii="Times New Roman" w:hAnsi="Times New Roman" w:cs="Times New Roman"/>
          <w:color w:val="auto"/>
          <w:u w:val="none" w:color="auto"/>
        </w:rPr>
      </w:pPr>
      <w:bookmarkStart w:id="268" w:name="_Toc7329"/>
      <w:r>
        <w:rPr>
          <w:rFonts w:hint="default" w:ascii="Times New Roman" w:hAnsi="Times New Roman" w:cs="Times New Roman"/>
          <w:color w:val="auto"/>
          <w:u w:val="none" w:color="auto"/>
        </w:rPr>
        <w:t>环境经济损益分析</w:t>
      </w:r>
      <w:bookmarkEnd w:id="268"/>
    </w:p>
    <w:p w14:paraId="2544F0C0">
      <w:pPr>
        <w:bidi w:val="0"/>
        <w:rPr>
          <w:rFonts w:hint="default" w:ascii="Times New Roman" w:hAnsi="Times New Roman" w:cs="Times New Roman" w:eastAsiaTheme="minorEastAsia"/>
          <w:color w:val="auto"/>
          <w:sz w:val="24"/>
          <w:szCs w:val="24"/>
          <w:u w:val="none" w:color="auto"/>
          <w:lang w:eastAsia="zh-CN"/>
        </w:rPr>
      </w:pPr>
      <w:r>
        <w:rPr>
          <w:rFonts w:hint="default" w:ascii="Times New Roman" w:hAnsi="Times New Roman" w:cs="Times New Roman" w:eastAsiaTheme="minorEastAsia"/>
          <w:color w:val="auto"/>
          <w:sz w:val="24"/>
          <w:szCs w:val="24"/>
          <w:u w:val="none" w:color="auto"/>
          <w:lang w:eastAsia="zh-CN"/>
        </w:rPr>
        <w:t>廊洞水库</w:t>
      </w:r>
      <w:r>
        <w:rPr>
          <w:rFonts w:hint="default" w:ascii="Times New Roman" w:hAnsi="Times New Roman" w:cs="Times New Roman" w:eastAsiaTheme="minorEastAsia"/>
          <w:color w:val="auto"/>
          <w:sz w:val="24"/>
          <w:szCs w:val="24"/>
          <w:u w:val="none" w:color="auto"/>
        </w:rPr>
        <w:t>为</w:t>
      </w:r>
      <w:r>
        <w:rPr>
          <w:rFonts w:hint="default" w:ascii="Times New Roman" w:hAnsi="Times New Roman" w:cs="Times New Roman" w:eastAsiaTheme="minorEastAsia"/>
          <w:color w:val="auto"/>
          <w:sz w:val="24"/>
          <w:szCs w:val="24"/>
          <w:u w:val="none" w:color="auto"/>
          <w:lang w:eastAsia="zh-CN"/>
        </w:rPr>
        <w:t>宜水河</w:t>
      </w:r>
      <w:r>
        <w:rPr>
          <w:rFonts w:hint="default" w:ascii="Times New Roman" w:hAnsi="Times New Roman" w:cs="Times New Roman" w:eastAsiaTheme="minorEastAsia"/>
          <w:color w:val="auto"/>
          <w:sz w:val="24"/>
          <w:szCs w:val="24"/>
          <w:u w:val="none" w:color="auto"/>
        </w:rPr>
        <w:t>流域梯级开发中的龙头水库</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工程控制集雨面积</w:t>
      </w:r>
      <w:r>
        <w:rPr>
          <w:rFonts w:hint="default" w:ascii="Times New Roman" w:hAnsi="Times New Roman" w:cs="Times New Roman" w:eastAsiaTheme="minorEastAsia"/>
          <w:color w:val="auto"/>
          <w:sz w:val="24"/>
          <w:szCs w:val="24"/>
          <w:u w:val="none" w:color="auto"/>
          <w:lang w:eastAsia="zh-CN"/>
        </w:rPr>
        <w:t>35.60</w:t>
      </w:r>
      <w:r>
        <w:rPr>
          <w:rFonts w:hint="default" w:ascii="Times New Roman" w:hAnsi="Times New Roman" w:cs="Times New Roman" w:eastAsiaTheme="minorEastAsia"/>
          <w:color w:val="auto"/>
          <w:sz w:val="24"/>
          <w:szCs w:val="24"/>
          <w:u w:val="none" w:color="auto"/>
        </w:rPr>
        <w:t>km²</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设计灌溉面积</w:t>
      </w:r>
      <w:r>
        <w:rPr>
          <w:rFonts w:hint="default" w:ascii="Times New Roman" w:hAnsi="Times New Roman" w:cs="Times New Roman" w:eastAsiaTheme="minorEastAsia"/>
          <w:color w:val="auto"/>
          <w:sz w:val="24"/>
          <w:szCs w:val="24"/>
          <w:u w:val="none" w:color="auto"/>
          <w:lang w:eastAsia="zh-CN"/>
        </w:rPr>
        <w:t>3.15万</w:t>
      </w:r>
      <w:r>
        <w:rPr>
          <w:rFonts w:hint="default" w:ascii="Times New Roman" w:hAnsi="Times New Roman" w:cs="Times New Roman" w:eastAsiaTheme="minorEastAsia"/>
          <w:color w:val="auto"/>
          <w:sz w:val="24"/>
          <w:szCs w:val="24"/>
          <w:u w:val="none" w:color="auto"/>
        </w:rPr>
        <w:t>亩，电站多年平均发电量</w:t>
      </w:r>
      <w:r>
        <w:rPr>
          <w:rFonts w:hint="default" w:ascii="Times New Roman" w:hAnsi="Times New Roman" w:cs="Times New Roman" w:eastAsiaTheme="minorEastAsia"/>
          <w:color w:val="auto"/>
          <w:sz w:val="24"/>
          <w:szCs w:val="24"/>
          <w:u w:val="none" w:color="auto"/>
          <w:lang w:eastAsia="zh-CN"/>
        </w:rPr>
        <w:t>190万kW</w:t>
      </w:r>
      <w:r>
        <w:rPr>
          <w:rFonts w:hint="default" w:ascii="Times New Roman" w:hAnsi="Times New Roman" w:cs="Times New Roman" w:eastAsiaTheme="minorEastAsia"/>
          <w:color w:val="auto"/>
          <w:sz w:val="24"/>
          <w:szCs w:val="24"/>
          <w:u w:val="none" w:color="auto"/>
        </w:rPr>
        <w:t>h</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工程是一座以</w:t>
      </w:r>
      <w:r>
        <w:rPr>
          <w:rFonts w:hint="default" w:ascii="Times New Roman" w:hAnsi="Times New Roman" w:cs="Times New Roman" w:eastAsiaTheme="minorEastAsia"/>
          <w:color w:val="auto"/>
          <w:sz w:val="24"/>
          <w:szCs w:val="24"/>
          <w:u w:val="none" w:color="auto"/>
          <w:lang w:eastAsia="zh-CN"/>
        </w:rPr>
        <w:t>灌溉为主，兼顾防洪、发电等</w:t>
      </w:r>
      <w:r>
        <w:rPr>
          <w:rFonts w:hint="default" w:ascii="Times New Roman" w:hAnsi="Times New Roman" w:cs="Times New Roman" w:eastAsiaTheme="minorEastAsia"/>
          <w:color w:val="auto"/>
          <w:sz w:val="24"/>
          <w:szCs w:val="24"/>
          <w:u w:val="none" w:color="auto"/>
        </w:rPr>
        <w:t>综合效益的中型水利工程。</w:t>
      </w:r>
      <w:r>
        <w:rPr>
          <w:rFonts w:hint="default" w:ascii="Times New Roman" w:hAnsi="Times New Roman" w:cs="Times New Roman" w:eastAsiaTheme="minorEastAsia"/>
          <w:color w:val="auto"/>
          <w:spacing w:val="-3"/>
          <w:sz w:val="24"/>
          <w:szCs w:val="24"/>
        </w:rPr>
        <w:t>针对水库目前存在的问题，本工程建设</w:t>
      </w:r>
      <w:r>
        <w:rPr>
          <w:rFonts w:hint="default" w:ascii="Times New Roman" w:hAnsi="Times New Roman" w:cs="Times New Roman" w:eastAsiaTheme="minorEastAsia"/>
          <w:color w:val="auto"/>
          <w:spacing w:val="-4"/>
          <w:sz w:val="24"/>
          <w:szCs w:val="24"/>
        </w:rPr>
        <w:t>内容是对水库</w:t>
      </w:r>
      <w:r>
        <w:rPr>
          <w:rFonts w:hint="default" w:ascii="Times New Roman" w:hAnsi="Times New Roman" w:cs="Times New Roman" w:eastAsiaTheme="minorEastAsia"/>
          <w:color w:val="auto"/>
          <w:spacing w:val="-3"/>
          <w:sz w:val="24"/>
          <w:szCs w:val="24"/>
        </w:rPr>
        <w:t>进行除险加固，彻底根除水库病害，确保水库持续</w:t>
      </w:r>
      <w:r>
        <w:rPr>
          <w:rFonts w:hint="default" w:ascii="Times New Roman" w:hAnsi="Times New Roman" w:cs="Times New Roman" w:eastAsiaTheme="minorEastAsia"/>
          <w:color w:val="auto"/>
          <w:spacing w:val="-4"/>
          <w:sz w:val="24"/>
          <w:szCs w:val="24"/>
        </w:rPr>
        <w:t>高效运行，并为当</w:t>
      </w:r>
      <w:r>
        <w:rPr>
          <w:rFonts w:hint="default" w:ascii="Times New Roman" w:hAnsi="Times New Roman" w:cs="Times New Roman" w:eastAsiaTheme="minorEastAsia"/>
          <w:color w:val="auto"/>
          <w:spacing w:val="-1"/>
          <w:sz w:val="24"/>
          <w:szCs w:val="24"/>
        </w:rPr>
        <w:t>地带来经济效益。</w:t>
      </w:r>
      <w:r>
        <w:rPr>
          <w:rFonts w:hint="default" w:ascii="Times New Roman" w:hAnsi="Times New Roman" w:cs="Times New Roman" w:eastAsiaTheme="minorEastAsia"/>
          <w:color w:val="auto"/>
          <w:sz w:val="24"/>
          <w:szCs w:val="24"/>
          <w:u w:val="none" w:color="auto"/>
          <w:lang w:eastAsia="zh-CN"/>
        </w:rPr>
        <w:t>廊洞水库工</w:t>
      </w:r>
      <w:r>
        <w:rPr>
          <w:rFonts w:hint="default" w:ascii="Times New Roman" w:hAnsi="Times New Roman" w:cs="Times New Roman" w:eastAsiaTheme="minorEastAsia"/>
          <w:color w:val="auto"/>
          <w:sz w:val="24"/>
          <w:szCs w:val="24"/>
          <w:u w:val="none" w:color="auto"/>
        </w:rPr>
        <w:t>程除险加固后，主要产生效益为防洪效益</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灌溉</w:t>
      </w:r>
      <w:r>
        <w:rPr>
          <w:rFonts w:hint="default"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发电及其他社会经济效益</w:t>
      </w:r>
      <w:r>
        <w:rPr>
          <w:rFonts w:hint="default" w:ascii="Times New Roman" w:hAnsi="Times New Roman" w:cs="Times New Roman" w:eastAsiaTheme="minorEastAsia"/>
          <w:color w:val="auto"/>
          <w:sz w:val="24"/>
          <w:szCs w:val="24"/>
          <w:u w:val="none" w:color="auto"/>
          <w:lang w:eastAsia="zh-CN"/>
        </w:rPr>
        <w:t>:</w:t>
      </w:r>
    </w:p>
    <w:p w14:paraId="72C130B8">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highlight w:val="none"/>
          <w:u w:val="none" w:color="auto"/>
          <w:lang w:eastAsia="zh-CN"/>
        </w:rPr>
        <w:t>(</w:t>
      </w:r>
      <w:r>
        <w:rPr>
          <w:rFonts w:hint="default" w:ascii="Times New Roman" w:hAnsi="Times New Roman" w:cs="Times New Roman" w:eastAsiaTheme="minorEastAsia"/>
          <w:color w:val="auto"/>
          <w:sz w:val="24"/>
          <w:szCs w:val="24"/>
          <w:u w:val="none" w:color="auto"/>
          <w:lang w:val="en-US" w:eastAsia="zh-CN"/>
        </w:rPr>
        <w:t>1</w:t>
      </w:r>
      <w:r>
        <w:rPr>
          <w:rFonts w:hint="default" w:ascii="Times New Roman" w:hAnsi="Times New Roman" w:cs="Times New Roman" w:eastAsiaTheme="minorEastAsia"/>
          <w:color w:val="auto"/>
          <w:sz w:val="24"/>
          <w:szCs w:val="24"/>
          <w:highlight w:val="none"/>
          <w:u w:val="none" w:color="auto"/>
          <w:lang w:eastAsia="zh-CN"/>
        </w:rPr>
        <w:t>)</w:t>
      </w:r>
      <w:r>
        <w:rPr>
          <w:rFonts w:hint="default" w:ascii="Times New Roman" w:hAnsi="Times New Roman" w:cs="Times New Roman" w:eastAsiaTheme="minorEastAsia"/>
          <w:color w:val="auto"/>
          <w:sz w:val="24"/>
          <w:szCs w:val="24"/>
          <w:u w:val="none" w:color="auto"/>
        </w:rPr>
        <w:t>防洪效益</w:t>
      </w:r>
    </w:p>
    <w:p w14:paraId="6ADF905A">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防洪工程经济效益包括直接经济效益和间接经济效益。本工程直接淹没效益只计算财产淹没损失，间接经济效益是防洪工程可减免的间接经济损失，即因洪灾造成的直接损失给洪灾区内外带来影响而间接造成的经济损失，主要包括淹没区正常生产不能恢复造成的经济损失。间接损失采用间接损失系数法计算。根据《水利建设项目经济评价规范案例汇编》以及其他研究成果，结合当地实际情况，本次间接经济损失按直接经济损失的20%计算。因本工程为除险加固工程，仅考虑增量效益，经过测算本次水库防洪效益为188.00万元。</w:t>
      </w:r>
    </w:p>
    <w:p w14:paraId="42BE0FAC">
      <w:pPr>
        <w:bidi w:val="0"/>
        <w:rPr>
          <w:rFonts w:hint="default" w:ascii="Times New Roman" w:hAnsi="Times New Roman" w:cs="Times New Roman" w:eastAsiaTheme="minorEastAsia"/>
          <w:color w:val="auto"/>
          <w:sz w:val="24"/>
          <w:szCs w:val="24"/>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2</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灌溉效益</w:t>
      </w:r>
    </w:p>
    <w:p w14:paraId="4ABE3BE1">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灌溉效益计算，采用分摊系数法。水库设计灌溉面积3.15万亩，多年平均实际灌溉2.0万亩。水库除险加固工程完工后，水库的供水能力加强，改善并恢复灌溉面积到3.15万亩，增量灌溉效益为45.00万元。</w:t>
      </w:r>
    </w:p>
    <w:p w14:paraId="1CC37198">
      <w:pPr>
        <w:bidi w:val="0"/>
        <w:rPr>
          <w:rFonts w:hint="default" w:ascii="Times New Roman" w:hAnsi="Times New Roman" w:cs="Times New Roman" w:eastAsiaTheme="minorEastAsia"/>
          <w:color w:val="auto"/>
          <w:sz w:val="24"/>
          <w:szCs w:val="24"/>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3</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rPr>
        <w:t>发电效益</w:t>
      </w:r>
    </w:p>
    <w:p w14:paraId="6E4A4314">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本次加固改造后可同时增加发电效益15.00万元。</w:t>
      </w:r>
    </w:p>
    <w:p w14:paraId="3BC55E36">
      <w:pPr>
        <w:bidi w:val="0"/>
        <w:rPr>
          <w:rFonts w:hint="default" w:ascii="Times New Roman" w:hAnsi="Times New Roman" w:cs="Times New Roman" w:eastAsiaTheme="minorEastAsia"/>
          <w:color w:val="auto"/>
          <w:sz w:val="24"/>
          <w:szCs w:val="24"/>
          <w:u w:val="none" w:color="auto"/>
        </w:rPr>
      </w:pPr>
      <w:r>
        <w:rPr>
          <w:rFonts w:hint="default" w:ascii="Times New Roman" w:hAnsi="Times New Roman" w:cs="Times New Roman" w:eastAsiaTheme="minorEastAsia"/>
          <w:color w:val="auto"/>
          <w:sz w:val="24"/>
          <w:szCs w:val="24"/>
          <w:u w:val="none" w:color="auto"/>
        </w:rPr>
        <w:t>工程实施后，可提高水库运行稳定性，保障下游的防洪安全，计算多年平均防洪效益约为248.00万元。</w:t>
      </w:r>
    </w:p>
    <w:p w14:paraId="34531AB7">
      <w:pPr>
        <w:pStyle w:val="181"/>
        <w:ind w:firstLine="480"/>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4</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rPr>
        <w:t>供水效益</w:t>
      </w:r>
    </w:p>
    <w:p w14:paraId="0147F072">
      <w:pPr>
        <w:pStyle w:val="181"/>
        <w:ind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道县廊洞水库</w:t>
      </w:r>
      <w:r>
        <w:rPr>
          <w:rFonts w:hint="default" w:ascii="Times New Roman" w:hAnsi="Times New Roman" w:cs="Times New Roman" w:eastAsiaTheme="minorEastAsia"/>
          <w:color w:val="auto"/>
          <w:sz w:val="24"/>
          <w:szCs w:val="24"/>
        </w:rPr>
        <w:t>为下游石岩头等镇供水，供水规模为0.</w:t>
      </w:r>
      <w:r>
        <w:rPr>
          <w:rFonts w:hint="default" w:ascii="Times New Roman" w:hAnsi="Times New Roman"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rPr>
        <w:t>万t/d，即本工程供水年效益约</w:t>
      </w:r>
      <w:r>
        <w:rPr>
          <w:rFonts w:hint="default" w:ascii="Times New Roman" w:hAnsi="Times New Roman" w:cs="Times New Roman" w:eastAsiaTheme="minorEastAsia"/>
          <w:color w:val="auto"/>
          <w:sz w:val="24"/>
          <w:szCs w:val="24"/>
          <w:lang w:val="en-US" w:eastAsia="zh-CN"/>
        </w:rPr>
        <w:t>111</w:t>
      </w:r>
      <w:r>
        <w:rPr>
          <w:rFonts w:hint="default" w:ascii="Times New Roman" w:hAnsi="Times New Roman" w:cs="Times New Roman" w:eastAsiaTheme="minorEastAsia"/>
          <w:color w:val="auto"/>
          <w:sz w:val="24"/>
          <w:szCs w:val="24"/>
        </w:rPr>
        <w:t>万元。</w:t>
      </w:r>
    </w:p>
    <w:p w14:paraId="1E59503E">
      <w:pPr>
        <w:bidi w:val="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项目实施后，还可提高防洪标准、改善灌溉条件，对促进水利工程步入良性循环具有十分重要的意义</w:t>
      </w:r>
      <w:r>
        <w:rPr>
          <w:rFonts w:hint="default" w:ascii="Times New Roman" w:hAnsi="Times New Roman" w:cs="Times New Roman" w:eastAsiaTheme="minorEastAsia"/>
          <w:color w:val="auto"/>
          <w:sz w:val="24"/>
          <w:szCs w:val="24"/>
          <w:lang w:eastAsia="zh-CN"/>
        </w:rPr>
        <w:t>。</w:t>
      </w:r>
    </w:p>
    <w:p w14:paraId="24DC71D2">
      <w:pPr>
        <w:bidi w:val="0"/>
        <w:rPr>
          <w:rFonts w:hint="default" w:ascii="Times New Roman" w:hAnsi="Times New Roman" w:cs="Times New Roman"/>
          <w:color w:val="auto"/>
          <w:u w:val="none" w:color="auto"/>
        </w:rPr>
      </w:pP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eastAsiaTheme="minorEastAsia"/>
          <w:color w:val="auto"/>
          <w:sz w:val="24"/>
          <w:szCs w:val="24"/>
          <w:u w:val="none" w:color="auto"/>
          <w:lang w:val="en-US" w:eastAsia="zh-CN"/>
        </w:rPr>
        <w:t>5</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社会效益分析</w:t>
      </w:r>
    </w:p>
    <w:p w14:paraId="206CAD3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本次除险加固后，消除了影响水库安全运行的隐患，使灌区农业生产可以持续、稳定发展。同时，工程实施后，威胁水库溃坝的隐患可以完全消除，强化灌区农业基础，有效地改善农业生产条件，促进农、林、牧、副业的全面发展，为农业的适度发展和集约化经营创出一条新路。此次除险加固后，将有效地改善水库的运行条件，避免水库发生溃坝事故。</w:t>
      </w:r>
    </w:p>
    <w:p w14:paraId="7BFD5B2A">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工程实施后，可增加现有耕地的灌溉保证率，将有效地改善项目区农业生产条件，加快了项目区传统农业向节水农业、设施农业、生态农业发展的速度，促进了项目区农、林、牧、副业的全面发展，为该区实现节水增效、农民增收的经济发展创造了坚实的基础，为灌区农业生产和农村生活创造了良好的社会环境。</w:t>
      </w:r>
    </w:p>
    <w:p w14:paraId="7D180085">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r>
        <w:rPr>
          <w:rFonts w:hint="eastAsia" w:ascii="Times New Roman" w:hAnsi="Times New Roman" w:cs="Times New Roman" w:eastAsiaTheme="minorEastAsia"/>
          <w:color w:val="auto"/>
          <w:sz w:val="24"/>
          <w:szCs w:val="24"/>
          <w:u w:val="none" w:color="auto"/>
          <w:lang w:eastAsia="zh-CN"/>
        </w:rPr>
        <w:t>)</w:t>
      </w:r>
      <w:r>
        <w:rPr>
          <w:rFonts w:hint="default" w:ascii="Times New Roman" w:hAnsi="Times New Roman" w:cs="Times New Roman"/>
          <w:color w:val="auto"/>
          <w:u w:val="none" w:color="auto"/>
        </w:rPr>
        <w:t>水库加固后，大大提高了水库大坝的安全系数，确保下游耕地安全。下游人民生命财产安全将得到有效地保障，下游村镇农业和生活用水要求将得到满足，从而促进下游村镇的农业发展，保证农业高产稳定发展、农民增收和社会安定，同时对发展优质、高效农业起到促进作用；水库加固后，灌区农业种植结构调整，农民收入增加，可为当地的经济发展带来生机和活力。</w:t>
      </w:r>
    </w:p>
    <w:p w14:paraId="0C369A2D">
      <w:pPr>
        <w:pStyle w:val="3"/>
        <w:bidi w:val="0"/>
        <w:rPr>
          <w:rFonts w:hint="default" w:ascii="Times New Roman" w:hAnsi="Times New Roman" w:cs="Times New Roman"/>
          <w:color w:val="auto"/>
          <w:u w:val="none" w:color="auto"/>
        </w:rPr>
      </w:pPr>
      <w:bookmarkStart w:id="269" w:name="_Toc16144"/>
      <w:r>
        <w:rPr>
          <w:rFonts w:hint="default" w:ascii="Times New Roman" w:hAnsi="Times New Roman" w:cs="Times New Roman"/>
          <w:color w:val="auto"/>
          <w:u w:val="none" w:color="auto"/>
        </w:rPr>
        <w:t>生态环境效益</w:t>
      </w:r>
      <w:bookmarkEnd w:id="269"/>
    </w:p>
    <w:p w14:paraId="27CCDFD0">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rPr>
        <w:t>提高枯水期河道生态需水满足程度。结合库周污染源治理，水库水质得到改善。工程通过采取有效的水土保持措施，可恢复植被，美化环境，创造良好的生态环境，为当地经济发展创造良好的条件。</w:t>
      </w:r>
    </w:p>
    <w:p w14:paraId="6BD31600">
      <w:pPr>
        <w:rPr>
          <w:rFonts w:hint="default" w:ascii="Times New Roman" w:hAnsi="Times New Roman" w:cs="Times New Roman"/>
          <w:color w:val="auto"/>
          <w:u w:val="none" w:color="auto"/>
        </w:rPr>
        <w:sectPr>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pPr>
    </w:p>
    <w:p w14:paraId="59474325">
      <w:pPr>
        <w:pStyle w:val="2"/>
        <w:rPr>
          <w:rFonts w:hint="default" w:ascii="Times New Roman" w:hAnsi="Times New Roman" w:cs="Times New Roman"/>
          <w:color w:val="auto"/>
          <w:u w:val="none" w:color="auto"/>
        </w:rPr>
      </w:pPr>
      <w:bookmarkStart w:id="270" w:name="_Toc21294"/>
      <w:bookmarkStart w:id="271" w:name="_Toc494049407"/>
      <w:bookmarkStart w:id="272" w:name="_Toc1326"/>
      <w:bookmarkStart w:id="273" w:name="_Toc494233854"/>
      <w:bookmarkStart w:id="274" w:name="_Toc16226"/>
      <w:r>
        <w:rPr>
          <w:rFonts w:hint="default" w:ascii="Times New Roman" w:hAnsi="Times New Roman" w:cs="Times New Roman"/>
          <w:color w:val="auto"/>
          <w:u w:val="none" w:color="auto"/>
        </w:rPr>
        <w:t>结论和建议</w:t>
      </w:r>
      <w:bookmarkEnd w:id="270"/>
      <w:bookmarkEnd w:id="271"/>
      <w:bookmarkEnd w:id="272"/>
      <w:bookmarkEnd w:id="273"/>
      <w:bookmarkEnd w:id="274"/>
    </w:p>
    <w:p w14:paraId="212A1829">
      <w:pPr>
        <w:pStyle w:val="3"/>
        <w:rPr>
          <w:rFonts w:hint="default" w:ascii="Times New Roman" w:hAnsi="Times New Roman" w:cs="Times New Roman"/>
          <w:color w:val="auto"/>
          <w:u w:val="none" w:color="auto"/>
        </w:rPr>
      </w:pPr>
      <w:bookmarkStart w:id="275" w:name="_Toc3586"/>
      <w:bookmarkStart w:id="276" w:name="_Toc494049408"/>
      <w:bookmarkStart w:id="277" w:name="_Toc15256"/>
      <w:bookmarkStart w:id="278" w:name="_Toc32297"/>
      <w:bookmarkStart w:id="279" w:name="_Toc494233855"/>
      <w:r>
        <w:rPr>
          <w:rFonts w:hint="default" w:ascii="Times New Roman" w:hAnsi="Times New Roman" w:cs="Times New Roman"/>
          <w:color w:val="auto"/>
          <w:u w:val="none" w:color="auto"/>
        </w:rPr>
        <w:t>结论</w:t>
      </w:r>
      <w:bookmarkEnd w:id="275"/>
      <w:bookmarkEnd w:id="276"/>
      <w:bookmarkEnd w:id="277"/>
      <w:bookmarkEnd w:id="278"/>
      <w:bookmarkEnd w:id="279"/>
    </w:p>
    <w:p w14:paraId="14359970">
      <w:pPr>
        <w:pStyle w:val="4"/>
        <w:rPr>
          <w:rFonts w:hint="default" w:ascii="Times New Roman" w:hAnsi="Times New Roman" w:cs="Times New Roman"/>
          <w:color w:val="auto"/>
          <w:u w:val="none" w:color="auto"/>
        </w:rPr>
      </w:pPr>
      <w:bookmarkStart w:id="280" w:name="_Toc494233856"/>
      <w:bookmarkStart w:id="281" w:name="_Toc8087"/>
      <w:bookmarkStart w:id="282" w:name="_Toc18739"/>
      <w:r>
        <w:rPr>
          <w:rFonts w:hint="default" w:ascii="Times New Roman" w:hAnsi="Times New Roman" w:cs="Times New Roman"/>
          <w:color w:val="auto"/>
          <w:u w:val="none" w:color="auto"/>
        </w:rPr>
        <w:t>建设项目概况</w:t>
      </w:r>
      <w:bookmarkEnd w:id="280"/>
      <w:bookmarkEnd w:id="281"/>
      <w:bookmarkEnd w:id="282"/>
    </w:p>
    <w:p w14:paraId="7DE6CB4F">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道县廊洞水库除险加固工程</w:t>
      </w:r>
      <w:r>
        <w:rPr>
          <w:rFonts w:hint="default" w:ascii="Times New Roman" w:hAnsi="Times New Roman" w:cs="Times New Roman"/>
          <w:color w:val="auto"/>
          <w:u w:val="none" w:color="auto"/>
          <w:lang w:val="en-US" w:eastAsia="zh-CN"/>
        </w:rPr>
        <w:t>内容包括</w:t>
      </w:r>
      <w:r>
        <w:rPr>
          <w:rFonts w:hint="eastAsia" w:cs="Times New Roman"/>
          <w:color w:val="auto"/>
          <w:u w:val="none" w:color="auto"/>
          <w:lang w:val="en-US" w:eastAsia="zh-CN"/>
        </w:rPr>
        <w:t>：</w:t>
      </w:r>
      <w:r>
        <w:rPr>
          <w:rFonts w:hint="default" w:ascii="Times New Roman" w:hAnsi="Times New Roman" w:cs="Times New Roman"/>
          <w:color w:val="auto"/>
          <w:u w:val="none" w:color="auto"/>
          <w:lang w:eastAsia="zh-CN"/>
        </w:rPr>
        <w:t>(1)大坝坝体、坝基、坝肩防渗加固处理设计；(2)上游坝坡局部塌坡整修设计；(3)大坝下游排水沟延伸重建；(4)溢洪道加固设计；(5)新建塔式取水设施以及原隧洞加固；(6)防汛道路沿库岸边坡支护设计；(7)水库标准化建设</w:t>
      </w:r>
      <w:r>
        <w:rPr>
          <w:rFonts w:hint="default" w:ascii="Times New Roman" w:hAnsi="Times New Roman" w:cs="Times New Roman"/>
          <w:color w:val="auto"/>
          <w:u w:val="none" w:color="auto"/>
          <w:lang w:val="en-US" w:eastAsia="zh-CN"/>
        </w:rPr>
        <w:t>。</w:t>
      </w:r>
    </w:p>
    <w:p w14:paraId="34339335">
      <w:pPr>
        <w:pStyle w:val="181"/>
        <w:ind w:firstLine="480"/>
        <w:rPr>
          <w:rFonts w:hint="default" w:ascii="Times New Roman" w:hAnsi="Times New Roman" w:cs="Times New Roman"/>
          <w:color w:val="auto"/>
        </w:rPr>
      </w:pPr>
      <w:r>
        <w:rPr>
          <w:rFonts w:hint="default" w:ascii="Times New Roman" w:hAnsi="Times New Roman" w:cs="Times New Roman"/>
          <w:color w:val="auto"/>
        </w:rPr>
        <w:t>工程任务：对水库进行除险加固，完善必要的工程管理设施。</w:t>
      </w:r>
    </w:p>
    <w:p w14:paraId="36219E60">
      <w:pPr>
        <w:bidi w:val="0"/>
        <w:rPr>
          <w:rFonts w:hint="default" w:ascii="Times New Roman" w:hAnsi="Times New Roman" w:cs="Times New Roman"/>
          <w:color w:val="auto"/>
        </w:rPr>
      </w:pPr>
      <w:r>
        <w:rPr>
          <w:rFonts w:hint="default" w:ascii="Times New Roman" w:hAnsi="Times New Roman" w:cs="Times New Roman"/>
          <w:color w:val="auto"/>
        </w:rPr>
        <w:t>施工工期：施工总工期为15个月。</w:t>
      </w:r>
    </w:p>
    <w:p w14:paraId="4B6A78BC">
      <w:pPr>
        <w:bidi w:val="0"/>
        <w:rPr>
          <w:rFonts w:hint="default" w:ascii="Times New Roman" w:hAnsi="Times New Roman" w:cs="Times New Roman"/>
          <w:color w:val="auto"/>
          <w:u w:val="none" w:color="auto"/>
          <w:lang w:eastAsia="zh-CN"/>
        </w:rPr>
      </w:pPr>
      <w:r>
        <w:rPr>
          <w:rFonts w:hint="default" w:ascii="Times New Roman" w:hAnsi="Times New Roman" w:cs="Times New Roman"/>
          <w:color w:val="auto"/>
          <w:u w:val="none" w:color="auto"/>
        </w:rPr>
        <w:t>该项目总投资</w:t>
      </w:r>
      <w:r>
        <w:rPr>
          <w:rFonts w:hint="default" w:ascii="Times New Roman" w:hAnsi="Times New Roman" w:cs="Times New Roman"/>
          <w:color w:val="auto"/>
          <w:u w:val="none" w:color="auto"/>
          <w:lang w:eastAsia="zh-CN"/>
        </w:rPr>
        <w:t>4214.12万元</w:t>
      </w:r>
      <w:r>
        <w:rPr>
          <w:rFonts w:hint="default" w:ascii="Times New Roman" w:hAnsi="Times New Roman" w:cs="Times New Roman"/>
          <w:color w:val="auto"/>
          <w:u w:val="none" w:color="auto"/>
        </w:rPr>
        <w:t>，其中环保投资</w:t>
      </w:r>
      <w:r>
        <w:rPr>
          <w:rFonts w:hint="default" w:ascii="Times New Roman" w:hAnsi="Times New Roman" w:cs="Times New Roman"/>
          <w:color w:val="auto"/>
          <w:u w:val="none" w:color="auto"/>
          <w:lang w:eastAsia="zh-CN"/>
        </w:rPr>
        <w:t>130.38万元</w:t>
      </w:r>
      <w:r>
        <w:rPr>
          <w:rFonts w:hint="default" w:ascii="Times New Roman" w:hAnsi="Times New Roman" w:cs="Times New Roman"/>
          <w:color w:val="auto"/>
          <w:u w:val="none" w:color="auto"/>
        </w:rPr>
        <w:t>，占总投资的</w:t>
      </w:r>
      <w:r>
        <w:rPr>
          <w:rFonts w:hint="default" w:ascii="Times New Roman" w:hAnsi="Times New Roman" w:cs="Times New Roman"/>
          <w:color w:val="auto"/>
          <w:u w:val="none" w:color="auto"/>
          <w:lang w:val="en-US" w:eastAsia="zh-CN"/>
        </w:rPr>
        <w:t>3.09%</w:t>
      </w:r>
      <w:r>
        <w:rPr>
          <w:rFonts w:hint="default" w:ascii="Times New Roman" w:hAnsi="Times New Roman" w:cs="Times New Roman"/>
          <w:color w:val="auto"/>
          <w:u w:val="none" w:color="auto"/>
          <w:lang w:eastAsia="zh-CN"/>
        </w:rPr>
        <w:t>。</w:t>
      </w:r>
    </w:p>
    <w:p w14:paraId="5621CC0E">
      <w:pPr>
        <w:pStyle w:val="4"/>
        <w:rPr>
          <w:rFonts w:hint="default" w:ascii="Times New Roman" w:hAnsi="Times New Roman" w:cs="Times New Roman"/>
          <w:color w:val="auto"/>
          <w:u w:val="none" w:color="auto"/>
        </w:rPr>
      </w:pPr>
      <w:bookmarkStart w:id="283" w:name="_bookmark93"/>
      <w:bookmarkEnd w:id="283"/>
      <w:bookmarkStart w:id="284" w:name="_Toc29974"/>
      <w:bookmarkStart w:id="285" w:name="_Toc494233857"/>
      <w:bookmarkStart w:id="286" w:name="_Toc5605"/>
      <w:r>
        <w:rPr>
          <w:rFonts w:hint="default" w:ascii="Times New Roman" w:hAnsi="Times New Roman" w:cs="Times New Roman"/>
          <w:color w:val="auto"/>
          <w:u w:val="none" w:color="auto"/>
        </w:rPr>
        <w:t>环境质量现状</w:t>
      </w:r>
      <w:bookmarkEnd w:id="284"/>
      <w:bookmarkEnd w:id="285"/>
      <w:bookmarkEnd w:id="286"/>
      <w:r>
        <w:rPr>
          <w:rFonts w:hint="default" w:ascii="Times New Roman" w:hAnsi="Times New Roman" w:cs="Times New Roman"/>
          <w:color w:val="auto"/>
          <w:u w:val="none" w:color="auto"/>
        </w:rPr>
        <w:t>结论</w:t>
      </w:r>
    </w:p>
    <w:p w14:paraId="3F0A19C4">
      <w:pPr>
        <w:ind w:firstLine="480"/>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环境空气质量</w:t>
      </w:r>
      <w:r>
        <w:rPr>
          <w:rFonts w:hint="default" w:ascii="Times New Roman" w:hAnsi="Times New Roman" w:cs="Times New Roman"/>
          <w:color w:val="auto"/>
          <w:u w:val="none" w:color="auto"/>
          <w:lang w:val="en-US" w:eastAsia="zh-CN"/>
        </w:rPr>
        <w:t>现状</w:t>
      </w:r>
    </w:p>
    <w:p w14:paraId="16D118F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通过常规数据分析可知，</w:t>
      </w:r>
      <w:r>
        <w:rPr>
          <w:rFonts w:hint="default" w:ascii="Times New Roman" w:hAnsi="Times New Roman" w:cs="Times New Roman"/>
          <w:color w:val="auto"/>
          <w:u w:val="none" w:color="auto"/>
          <w:lang w:eastAsia="zh-CN"/>
        </w:rPr>
        <w:t>道县环境空气</w:t>
      </w:r>
      <w:r>
        <w:rPr>
          <w:rFonts w:hint="default" w:ascii="Times New Roman" w:hAnsi="Times New Roman" w:cs="Times New Roman"/>
          <w:color w:val="auto"/>
          <w:u w:val="none" w:color="auto"/>
        </w:rPr>
        <w:t>监测点202</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年</w:t>
      </w:r>
      <w:r>
        <w:rPr>
          <w:rFonts w:hint="eastAsia" w:cs="Times New Roman"/>
          <w:color w:val="auto"/>
          <w:u w:val="none" w:color="auto"/>
          <w:lang w:eastAsia="zh-CN"/>
        </w:rPr>
        <w:t>SO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NO</w:t>
      </w:r>
      <w:r>
        <w:rPr>
          <w:rFonts w:hint="eastAsia" w:cs="Times New Roman"/>
          <w:color w:val="auto"/>
          <w:u w:val="none" w:color="auto"/>
          <w:vertAlign w:val="subscript"/>
          <w:lang w:eastAsia="zh-CN"/>
        </w:rPr>
        <w:t>2</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10</w:t>
      </w:r>
      <w:r>
        <w:rPr>
          <w:rFonts w:hint="default" w:ascii="Times New Roman" w:hAnsi="Times New Roman" w:cs="Times New Roman"/>
          <w:color w:val="auto"/>
          <w:u w:val="none" w:color="auto"/>
        </w:rPr>
        <w:t>、</w:t>
      </w:r>
      <w:r>
        <w:rPr>
          <w:rFonts w:hint="eastAsia" w:cs="Times New Roman"/>
          <w:color w:val="auto"/>
          <w:u w:val="none" w:color="auto"/>
          <w:lang w:eastAsia="zh-CN"/>
        </w:rPr>
        <w:t>PM</w:t>
      </w:r>
      <w:r>
        <w:rPr>
          <w:rFonts w:hint="eastAsia" w:cs="Times New Roman"/>
          <w:color w:val="auto"/>
          <w:u w:val="none" w:color="auto"/>
          <w:vertAlign w:val="subscript"/>
          <w:lang w:eastAsia="zh-CN"/>
        </w:rPr>
        <w:t>2.5</w:t>
      </w:r>
      <w:r>
        <w:rPr>
          <w:rFonts w:hint="default" w:ascii="Times New Roman" w:hAnsi="Times New Roman" w:cs="Times New Roman"/>
          <w:color w:val="auto"/>
          <w:u w:val="none" w:color="auto"/>
        </w:rPr>
        <w:t>、CO、O</w:t>
      </w:r>
      <w:r>
        <w:rPr>
          <w:rFonts w:hint="default" w:ascii="Times New Roman" w:hAnsi="Times New Roman" w:cs="Times New Roman"/>
          <w:color w:val="auto"/>
          <w:u w:val="none" w:color="auto"/>
          <w:vertAlign w:val="subscript"/>
        </w:rPr>
        <w:t>3</w:t>
      </w:r>
      <w:r>
        <w:rPr>
          <w:rFonts w:hint="default" w:ascii="Times New Roman" w:hAnsi="Times New Roman" w:cs="Times New Roman"/>
          <w:color w:val="auto"/>
          <w:u w:val="none" w:color="auto"/>
        </w:rPr>
        <w:t>年评价指标中的年均浓度和相应的百分位数24h平均或8h平均质量浓度满足《环境空气质量</w:t>
      </w:r>
      <w:r>
        <w:rPr>
          <w:rFonts w:hint="default" w:ascii="Times New Roman" w:hAnsi="Times New Roman" w:cs="Times New Roman"/>
          <w:color w:val="auto"/>
          <w:u w:val="none" w:color="auto"/>
          <w:lang w:eastAsia="zh-CN"/>
        </w:rPr>
        <w:t>标准</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GB3095-2012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中二级标准要求，属于达标区。</w:t>
      </w:r>
    </w:p>
    <w:p w14:paraId="7378D134">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地表水环境质量</w:t>
      </w:r>
      <w:r>
        <w:rPr>
          <w:rFonts w:hint="default" w:ascii="Times New Roman" w:hAnsi="Times New Roman" w:cs="Times New Roman"/>
          <w:color w:val="auto"/>
          <w:u w:val="none" w:color="auto"/>
          <w:lang w:val="en-US" w:eastAsia="zh-CN"/>
        </w:rPr>
        <w:t>现状</w:t>
      </w:r>
    </w:p>
    <w:p w14:paraId="26F72C3B">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廊洞水库大坝上游各水质基本项目检测值均满足《地表水环境质量标准》(GB3838-2002)Ⅲ类；W2大坝下游500m处监测断面除总氮外，其余各水质基本项目检测值均满足《地表水环境质量标准》(GB3838-2002)Ⅲ类水质。根据《地表水环境质量评价方法（试行）》（环办[2011]22号）单因子评价法进行评价，以《地表水环境质量标准》（GB3838-2002）中表1的21项指标计，其中水温、总氮不参与评价，为参考指标。表明项目地水环境质量现状较好。</w:t>
      </w:r>
    </w:p>
    <w:p w14:paraId="01DCB1C1">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地下水环境质量</w:t>
      </w:r>
      <w:r>
        <w:rPr>
          <w:rFonts w:hint="default" w:ascii="Times New Roman" w:hAnsi="Times New Roman" w:cs="Times New Roman"/>
          <w:color w:val="auto"/>
          <w:u w:val="none" w:color="auto"/>
          <w:lang w:val="en-US" w:eastAsia="zh-CN"/>
        </w:rPr>
        <w:t>现状</w:t>
      </w:r>
    </w:p>
    <w:p w14:paraId="15CD768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监测结果表明，项目区各水井地下水监测因子均达到《地下水质量标准》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GB/T14848-2017</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ROMAN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III</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类标准。</w:t>
      </w:r>
    </w:p>
    <w:p w14:paraId="13EECF78">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4</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声环境质量</w:t>
      </w:r>
      <w:r>
        <w:rPr>
          <w:rFonts w:hint="default" w:ascii="Times New Roman" w:hAnsi="Times New Roman" w:cs="Times New Roman"/>
          <w:color w:val="auto"/>
          <w:u w:val="none" w:color="auto"/>
          <w:lang w:val="en-US" w:eastAsia="zh-CN"/>
        </w:rPr>
        <w:t>现状</w:t>
      </w:r>
    </w:p>
    <w:p w14:paraId="3555ED9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w:t>
      </w:r>
      <w:r>
        <w:rPr>
          <w:rFonts w:hint="default" w:ascii="Times New Roman" w:hAnsi="Times New Roman" w:cs="Times New Roman"/>
          <w:color w:val="auto"/>
          <w:u w:val="none" w:color="auto"/>
          <w:lang w:val="en-US" w:eastAsia="zh-CN"/>
        </w:rPr>
        <w:t>区</w:t>
      </w:r>
      <w:r>
        <w:rPr>
          <w:rFonts w:hint="default" w:ascii="Times New Roman" w:hAnsi="Times New Roman" w:cs="Times New Roman"/>
          <w:color w:val="auto"/>
          <w:u w:val="none" w:color="auto"/>
        </w:rPr>
        <w:t>声环境质量现状满足《声环境质量标准》</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GB3096-2008</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中的</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u w:val="none" w:color="auto"/>
        </w:rPr>
        <w:t>类标准要求。</w:t>
      </w:r>
    </w:p>
    <w:p w14:paraId="365B6E77">
      <w:pPr>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5</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土壤环境质量</w:t>
      </w:r>
      <w:r>
        <w:rPr>
          <w:rFonts w:hint="default" w:ascii="Times New Roman" w:hAnsi="Times New Roman" w:cs="Times New Roman"/>
          <w:color w:val="auto"/>
          <w:u w:val="none" w:color="auto"/>
          <w:lang w:val="en-US" w:eastAsia="zh-CN"/>
        </w:rPr>
        <w:t>现状</w:t>
      </w:r>
    </w:p>
    <w:p w14:paraId="03CF6D77">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监测结果表明，项目占地范围内的T1监测点各监测因子均满足《土壤环境质量 建设用地土壤污染风险管控标准(试行)》(GB36600-2018)第二类用地的筛选值要求，T2、T3监测点各监测因子均满足《土壤环境质量 农业用地土壤污染风险管控标准(试行)》(GB15618-2018)筛选值要求。。</w:t>
      </w:r>
    </w:p>
    <w:p w14:paraId="288E87C9">
      <w:pPr>
        <w:pStyle w:val="4"/>
        <w:rPr>
          <w:rFonts w:hint="default" w:ascii="Times New Roman" w:hAnsi="Times New Roman" w:cs="Times New Roman"/>
          <w:color w:val="auto"/>
          <w:u w:val="none" w:color="auto"/>
        </w:rPr>
      </w:pPr>
      <w:bookmarkStart w:id="287" w:name="_Toc30927"/>
      <w:bookmarkStart w:id="288" w:name="_Toc494233859"/>
      <w:bookmarkStart w:id="289" w:name="_Toc14679"/>
      <w:r>
        <w:rPr>
          <w:rFonts w:hint="default" w:ascii="Times New Roman" w:hAnsi="Times New Roman" w:cs="Times New Roman"/>
          <w:color w:val="auto"/>
          <w:u w:val="none" w:color="auto"/>
        </w:rPr>
        <w:t>环境影响分析</w:t>
      </w:r>
      <w:bookmarkEnd w:id="287"/>
      <w:bookmarkEnd w:id="288"/>
      <w:bookmarkEnd w:id="289"/>
      <w:r>
        <w:rPr>
          <w:rFonts w:hint="default" w:ascii="Times New Roman" w:hAnsi="Times New Roman" w:cs="Times New Roman"/>
          <w:color w:val="auto"/>
          <w:u w:val="none" w:color="auto"/>
        </w:rPr>
        <w:t>结论</w:t>
      </w:r>
    </w:p>
    <w:p w14:paraId="39FF3BAD">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1、现有工程环境影响回顾性评价结论</w:t>
      </w:r>
    </w:p>
    <w:p w14:paraId="49ECAAA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的建成，没有对水文情势、水环境、地下水环境、湘江侧水水质、陆生生态环境、水水生态环境、水土流失产生明显不利影响。</w:t>
      </w:r>
    </w:p>
    <w:p w14:paraId="770C130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2、施工期环境影响分析结论</w:t>
      </w:r>
    </w:p>
    <w:p w14:paraId="620659F4">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1）地表水环境影响结论</w:t>
      </w:r>
    </w:p>
    <w:p w14:paraId="5B97A721">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施工导流安排在枯水期，不会导致水位发生变化，不会对水文情势产生明显不利影响，且其影响是短暂的。</w:t>
      </w:r>
    </w:p>
    <w:p w14:paraId="283D90F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期污废水主要为砼搅拌系统废水、机械、车辆维修冲洗含油废水、基坑排水、灌浆施工废水和施工人员生活污水。砼搅拌系统废水、基坑排水及灌浆施工废水经沉淀处理后回用于砼搅拌系统或者洒水降尘；机械、车辆维修冲洗含油废水经隔油沉淀处理后回用于机械、车辆冲洗；生活污水依托</w:t>
      </w:r>
      <w:r>
        <w:rPr>
          <w:rFonts w:hint="eastAsia" w:cs="Times New Roman"/>
          <w:color w:val="auto"/>
          <w:u w:val="none" w:color="auto"/>
          <w:lang w:val="en-US" w:eastAsia="zh-CN"/>
        </w:rPr>
        <w:t>水库管理所</w:t>
      </w:r>
      <w:r>
        <w:rPr>
          <w:rFonts w:hint="default" w:ascii="Times New Roman" w:hAnsi="Times New Roman" w:cs="Times New Roman"/>
          <w:color w:val="auto"/>
          <w:u w:val="none" w:color="auto"/>
        </w:rPr>
        <w:t>已建化粪池处理后用作</w:t>
      </w:r>
      <w:r>
        <w:rPr>
          <w:rFonts w:hint="eastAsia" w:cs="Times New Roman"/>
          <w:color w:val="auto"/>
          <w:u w:val="none" w:color="auto"/>
          <w:lang w:val="en-US" w:eastAsia="zh-CN"/>
        </w:rPr>
        <w:t>厂内绿化</w:t>
      </w:r>
      <w:r>
        <w:rPr>
          <w:rFonts w:hint="default" w:ascii="Times New Roman" w:hAnsi="Times New Roman" w:cs="Times New Roman"/>
          <w:color w:val="auto"/>
          <w:u w:val="none" w:color="auto"/>
        </w:rPr>
        <w:t>，项目施工期无污废水外排，不会对周边水体产生明显影响。</w:t>
      </w:r>
    </w:p>
    <w:p w14:paraId="33773003">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2）大气环境影响结论</w:t>
      </w:r>
    </w:p>
    <w:p w14:paraId="4716062E">
      <w:pPr>
        <w:ind w:firstLine="480"/>
        <w:rPr>
          <w:rFonts w:hint="eastAsia" w:cs="Times New Roman"/>
          <w:color w:val="auto"/>
          <w:u w:val="none" w:color="auto"/>
          <w:lang w:val="en-US" w:eastAsia="zh-CN"/>
        </w:rPr>
      </w:pPr>
      <w:r>
        <w:rPr>
          <w:rFonts w:hint="eastAsia" w:cs="Times New Roman"/>
          <w:color w:val="auto"/>
          <w:u w:val="none" w:color="auto"/>
          <w:lang w:val="en-US" w:eastAsia="zh-CN"/>
        </w:rPr>
        <w:t>本工程对环境空气的影响主要在施工期。施工期环境空气污染物主要来源于施工开挖填筑、物料运输及装卸产生的扬尘，机动车辆和施工机械排放的燃油废气，主要污染物有粉尘、SO</w:t>
      </w:r>
      <w:r>
        <w:rPr>
          <w:rFonts w:hint="eastAsia" w:cs="Times New Roman"/>
          <w:color w:val="auto"/>
          <w:u w:val="none" w:color="auto"/>
          <w:vertAlign w:val="subscript"/>
          <w:lang w:val="en-US" w:eastAsia="zh-CN"/>
        </w:rPr>
        <w:t>2</w:t>
      </w:r>
      <w:r>
        <w:rPr>
          <w:rFonts w:hint="eastAsia" w:cs="Times New Roman"/>
          <w:color w:val="auto"/>
          <w:u w:val="none" w:color="auto"/>
          <w:lang w:val="en-US" w:eastAsia="zh-CN"/>
        </w:rPr>
        <w:t>、NO</w:t>
      </w:r>
      <w:r>
        <w:rPr>
          <w:rFonts w:hint="eastAsia" w:cs="Times New Roman"/>
          <w:color w:val="auto"/>
          <w:u w:val="none" w:color="auto"/>
          <w:vertAlign w:val="subscript"/>
          <w:lang w:val="en-US" w:eastAsia="zh-CN"/>
        </w:rPr>
        <w:t>X</w:t>
      </w:r>
      <w:r>
        <w:rPr>
          <w:rFonts w:hint="eastAsia" w:cs="Times New Roman"/>
          <w:color w:val="auto"/>
          <w:u w:val="none" w:color="auto"/>
          <w:lang w:val="en-US" w:eastAsia="zh-CN"/>
        </w:rPr>
        <w:t>等。</w:t>
      </w:r>
    </w:p>
    <w:p w14:paraId="75C6F9FB">
      <w:pPr>
        <w:ind w:firstLine="480"/>
        <w:rPr>
          <w:rFonts w:hint="eastAsia" w:cs="Times New Roman"/>
          <w:color w:val="auto"/>
          <w:u w:val="none" w:color="auto"/>
          <w:lang w:val="en-US" w:eastAsia="zh-CN"/>
        </w:rPr>
      </w:pPr>
      <w:r>
        <w:rPr>
          <w:rFonts w:hint="eastAsia" w:cs="Times New Roman"/>
          <w:color w:val="auto"/>
          <w:u w:val="none" w:color="auto"/>
          <w:lang w:val="en-US" w:eastAsia="zh-CN"/>
        </w:rPr>
        <w:t>施工过程中的扬尘起尘量与许多因素有关，应做好施工期扬尘的防护措施下施工，如采取道路硬化管理、边界围挡、裸露地面覆盖、物料遮盖、施工场地洒水降尘、保证路面清洁干净、车辆冲洗等措施后，施工扬尘的去除率可达90%，对周边环境影响较小。</w:t>
      </w:r>
    </w:p>
    <w:p w14:paraId="076C51BD">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施工机械燃油废气主要是施工机械和运输车辆排放的尾气，主要污染物有CO、NO</w:t>
      </w:r>
      <w:r>
        <w:rPr>
          <w:rFonts w:hint="eastAsia" w:cs="Times New Roman"/>
          <w:color w:val="auto"/>
          <w:u w:val="none" w:color="auto"/>
          <w:vertAlign w:val="subscript"/>
          <w:lang w:val="en-US" w:eastAsia="zh-CN"/>
        </w:rPr>
        <w:t>X</w:t>
      </w:r>
      <w:r>
        <w:rPr>
          <w:rFonts w:hint="eastAsia" w:cs="Times New Roman"/>
          <w:color w:val="auto"/>
          <w:u w:val="none" w:color="auto"/>
          <w:lang w:val="en-US" w:eastAsia="zh-CN"/>
        </w:rPr>
        <w:t>、SO</w:t>
      </w:r>
      <w:r>
        <w:rPr>
          <w:rFonts w:hint="eastAsia" w:cs="Times New Roman"/>
          <w:color w:val="auto"/>
          <w:u w:val="none" w:color="auto"/>
          <w:vertAlign w:val="subscript"/>
          <w:lang w:val="en-US" w:eastAsia="zh-CN"/>
        </w:rPr>
        <w:t>2</w:t>
      </w:r>
      <w:r>
        <w:rPr>
          <w:rFonts w:hint="eastAsia" w:cs="Times New Roman"/>
          <w:color w:val="auto"/>
          <w:u w:val="none" w:color="auto"/>
          <w:lang w:val="en-US" w:eastAsia="zh-CN"/>
        </w:rPr>
        <w:t>等。运输车辆的废气是沿交通路线沿程排放，施工机械的废气基本是以点源形成排放，均为无组织排放。由于项目施工区域地形开阔，空气流通性好，排放的废气对区域的环境空气质量影响是很小的，且施工结束后废气影响将随之消失。</w:t>
      </w:r>
    </w:p>
    <w:p w14:paraId="1885D9B5">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3）地下水环境影响结论</w:t>
      </w:r>
    </w:p>
    <w:p w14:paraId="025312D2">
      <w:pPr>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施工期废污水产生量不大，通过采取合理措施收集处理后回用，废污水的停留时间短。施工期对废污水集中收集并对处理设施做好防渗处理，不会对地下水产生影响。</w:t>
      </w:r>
    </w:p>
    <w:p w14:paraId="4CAD4D7F">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4）声环境影响结论</w:t>
      </w:r>
    </w:p>
    <w:p w14:paraId="0E8EF9C2">
      <w:pPr>
        <w:ind w:firstLine="480"/>
        <w:rPr>
          <w:rFonts w:hint="default" w:cs="Times New Roman"/>
          <w:color w:val="auto"/>
          <w:u w:val="none" w:color="auto"/>
          <w:lang w:val="en-US" w:eastAsia="zh-CN"/>
        </w:rPr>
      </w:pPr>
      <w:r>
        <w:rPr>
          <w:rFonts w:hint="default" w:cs="Times New Roman"/>
          <w:color w:val="auto"/>
          <w:u w:val="none" w:color="auto"/>
          <w:lang w:val="en-US" w:eastAsia="zh-CN"/>
        </w:rPr>
        <w:t>本项目的环境噪声源主要来自施工场地施工机械作业、车辆运输等。经预测，施工噪声对周边敏感点的影响较大。故本评价建议施工期采取积极有效的噪声防治措施减少对周边敏感点的影响。应合理布置施工机械设备位置，固定且高噪声的施工机械应设置在远离居民点的位置，临近敏感点的施工场地四周设置隔声屏障；合理安排施工时间，严禁夜间施工；运输车辆经过敏感点时降速行驶、禁止鸣笛。采取以上措施可将施工活动对声环境的不利影响降至可接受的程度。且随着施工的结束，施工机械噪声影响也就随着结束。</w:t>
      </w:r>
    </w:p>
    <w:p w14:paraId="0E67C94B">
      <w:pPr>
        <w:ind w:firstLine="48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固体废物影响结论</w:t>
      </w:r>
    </w:p>
    <w:p w14:paraId="0975C586">
      <w:pPr>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施工期固体废物主要包括施工过程产生清淤底泥、建筑垃圾、更换的废旧设备及钢材和、沉淀池沉渣、施工机械车辆维修产生的废机油及隔油池废油和施工人员生活垃圾。</w:t>
      </w:r>
    </w:p>
    <w:p w14:paraId="439A5538">
      <w:pPr>
        <w:ind w:firstLine="480"/>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弃土和沉淀池污泥外运至弃渣场或用于周边道路铺设；拆除废旧设备及废钢筋、废包装袋外售给废品回收公司，不能回收利用的建筑垃圾运至建设部门或环卫部门指定地点；废机油、隔油池废油委托有资质的单位处置；生活垃圾集中收集、定点投放，交由环卫部门处理。通过采取以上措施后，本项目施工期固体废物均得到合理处置，实现了资源化、利用化、无害化，不会对区域环境产生不利影响。</w:t>
      </w:r>
    </w:p>
    <w:p w14:paraId="3D7CED4C">
      <w:pPr>
        <w:ind w:firstLine="480"/>
        <w:rPr>
          <w:rFonts w:hint="eastAsia" w:cs="Times New Roman"/>
          <w:color w:val="auto"/>
          <w:u w:val="none" w:color="auto"/>
          <w:lang w:val="en-US" w:eastAsia="zh-CN"/>
        </w:rPr>
      </w:pPr>
      <w:r>
        <w:rPr>
          <w:rFonts w:hint="eastAsia" w:cs="Times New Roman"/>
          <w:color w:val="auto"/>
          <w:u w:val="none" w:color="auto"/>
          <w:lang w:val="en-US" w:eastAsia="zh-CN"/>
        </w:rPr>
        <w:t>（6）土壤影响结论</w:t>
      </w:r>
    </w:p>
    <w:p w14:paraId="2C5E768A">
      <w:pPr>
        <w:ind w:firstLine="480"/>
        <w:rPr>
          <w:rFonts w:hint="default" w:cs="Times New Roman"/>
          <w:color w:val="auto"/>
          <w:u w:val="none" w:color="auto"/>
          <w:lang w:val="en-US" w:eastAsia="zh-CN"/>
        </w:rPr>
      </w:pPr>
      <w:r>
        <w:rPr>
          <w:rFonts w:hint="default" w:cs="Times New Roman"/>
          <w:color w:val="auto"/>
          <w:u w:val="none" w:color="auto"/>
          <w:lang w:val="en-US" w:eastAsia="zh-CN"/>
        </w:rPr>
        <w:t>施工人员践踏和车辆行驶的碾压将使土壤结构变得紧实，最终将影响到土壤植物生长与种群结构，昆虫、动物也随之迁徙或者减少。施工活动中受到冲击的土壤，有机质和营养元素含量明显降低，进而影响着动植物的正常生长。</w:t>
      </w:r>
    </w:p>
    <w:p w14:paraId="43312F30">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u w:val="none" w:color="auto"/>
        </w:rPr>
        <w:t>、运营期环境影响结论</w:t>
      </w:r>
    </w:p>
    <w:p w14:paraId="40E8140E">
      <w:pPr>
        <w:ind w:firstLine="480"/>
        <w:rPr>
          <w:rFonts w:hint="eastAsia" w:cs="Times New Roman"/>
          <w:color w:val="auto"/>
          <w:u w:val="none" w:color="auto"/>
          <w:lang w:val="en-US" w:eastAsia="zh-CN"/>
        </w:rPr>
      </w:pPr>
      <w:r>
        <w:rPr>
          <w:rFonts w:hint="eastAsia" w:cs="Times New Roman"/>
          <w:color w:val="auto"/>
          <w:u w:val="none" w:color="auto"/>
          <w:lang w:eastAsia="zh-CN"/>
        </w:rPr>
        <w:t>（</w:t>
      </w:r>
      <w:r>
        <w:rPr>
          <w:rFonts w:hint="eastAsia" w:cs="Times New Roman"/>
          <w:color w:val="auto"/>
          <w:u w:val="none" w:color="auto"/>
          <w:lang w:val="en-US" w:eastAsia="zh-CN"/>
        </w:rPr>
        <w:t>1）地表水环境影响结论</w:t>
      </w:r>
    </w:p>
    <w:p w14:paraId="237CEF2A">
      <w:pPr>
        <w:ind w:firstLine="480"/>
        <w:rPr>
          <w:rFonts w:hint="eastAsia" w:cs="Times New Roman"/>
          <w:color w:val="auto"/>
          <w:u w:val="none" w:color="auto"/>
          <w:lang w:val="en-US" w:eastAsia="zh-CN"/>
        </w:rPr>
      </w:pPr>
      <w:r>
        <w:rPr>
          <w:rFonts w:hint="eastAsia" w:cs="Times New Roman"/>
          <w:color w:val="auto"/>
          <w:u w:val="none" w:color="auto"/>
          <w:lang w:val="en-US" w:eastAsia="zh-CN"/>
        </w:rPr>
        <w:t>在运行期，由于本项目实施后不改变水库的库容、流量、水位等工程特性，对水库的水利调度情况无影响，因而对库区的流速等水文特性影响较小。</w:t>
      </w:r>
    </w:p>
    <w:p w14:paraId="0F4821ED">
      <w:pPr>
        <w:ind w:firstLine="480"/>
        <w:rPr>
          <w:rFonts w:hint="eastAsia" w:cs="Times New Roman"/>
          <w:color w:val="auto"/>
          <w:u w:val="none" w:color="auto"/>
          <w:lang w:val="en-US" w:eastAsia="zh-CN"/>
        </w:rPr>
      </w:pPr>
      <w:r>
        <w:rPr>
          <w:rFonts w:hint="eastAsia" w:cs="Times New Roman"/>
          <w:color w:val="auto"/>
          <w:u w:val="none" w:color="auto"/>
          <w:lang w:val="en-US" w:eastAsia="zh-CN"/>
        </w:rPr>
        <w:t>本次除险加固工程完成后，水库运行本身不产生水污染物，管理人员生活污水化粪池预处理后用作厂内绿化。</w:t>
      </w:r>
    </w:p>
    <w:p w14:paraId="48C894D5">
      <w:pPr>
        <w:ind w:firstLine="480"/>
        <w:rPr>
          <w:rFonts w:hint="eastAsia" w:cs="Times New Roman"/>
          <w:color w:val="auto"/>
          <w:u w:val="none" w:color="auto"/>
          <w:lang w:val="en-US" w:eastAsia="zh-CN"/>
        </w:rPr>
      </w:pPr>
      <w:r>
        <w:rPr>
          <w:rFonts w:hint="eastAsia" w:cs="Times New Roman"/>
          <w:color w:val="auto"/>
          <w:u w:val="none" w:color="auto"/>
          <w:lang w:val="en-US" w:eastAsia="zh-CN"/>
        </w:rPr>
        <w:t>（2）大气环境影响结论</w:t>
      </w:r>
    </w:p>
    <w:p w14:paraId="2CD9CED9">
      <w:pPr>
        <w:ind w:firstLine="480"/>
        <w:rPr>
          <w:rFonts w:hint="eastAsia" w:cs="Times New Roman"/>
          <w:color w:val="auto"/>
          <w:u w:val="none" w:color="auto"/>
          <w:lang w:val="en-US" w:eastAsia="zh-CN"/>
        </w:rPr>
      </w:pPr>
      <w:r>
        <w:rPr>
          <w:rFonts w:hint="eastAsia" w:cs="Times New Roman"/>
          <w:color w:val="auto"/>
          <w:u w:val="none" w:color="auto"/>
          <w:lang w:val="en-US" w:eastAsia="zh-CN"/>
        </w:rPr>
        <w:t>本项目为非污染型建设项目，水库在运行期间不产生废气，对环境空气无影响。</w:t>
      </w:r>
    </w:p>
    <w:p w14:paraId="2270FADA">
      <w:pPr>
        <w:ind w:firstLine="480"/>
        <w:rPr>
          <w:rFonts w:hint="eastAsia" w:cs="Times New Roman"/>
          <w:color w:val="auto"/>
          <w:u w:val="none" w:color="auto"/>
          <w:lang w:val="en-US" w:eastAsia="zh-CN"/>
        </w:rPr>
      </w:pPr>
      <w:r>
        <w:rPr>
          <w:rFonts w:hint="eastAsia" w:cs="Times New Roman"/>
          <w:color w:val="auto"/>
          <w:u w:val="none" w:color="auto"/>
          <w:lang w:val="en-US" w:eastAsia="zh-CN"/>
        </w:rPr>
        <w:t>（3）地下水环境影响结论</w:t>
      </w:r>
    </w:p>
    <w:p w14:paraId="6C145635">
      <w:pPr>
        <w:ind w:firstLine="480"/>
        <w:rPr>
          <w:rFonts w:hint="eastAsia" w:cs="Times New Roman"/>
          <w:color w:val="auto"/>
          <w:u w:val="none" w:color="auto"/>
          <w:lang w:val="en-US" w:eastAsia="zh-CN"/>
        </w:rPr>
      </w:pPr>
      <w:r>
        <w:rPr>
          <w:rFonts w:hint="eastAsia" w:cs="Times New Roman"/>
          <w:color w:val="auto"/>
          <w:u w:val="none" w:color="auto"/>
          <w:lang w:val="en-US" w:eastAsia="zh-CN"/>
        </w:rPr>
        <w:t>本次除险加固后，各水库库容不变，水位不变，除险加固后可有效减少水库的水量渗漏损失，不会对本项目区域地下水位产生影响。</w:t>
      </w:r>
    </w:p>
    <w:p w14:paraId="43C9A6B2">
      <w:pPr>
        <w:ind w:firstLine="480"/>
        <w:rPr>
          <w:rFonts w:hint="eastAsia" w:cs="Times New Roman"/>
          <w:color w:val="auto"/>
          <w:u w:val="none" w:color="auto"/>
          <w:lang w:val="en-US" w:eastAsia="zh-CN"/>
        </w:rPr>
      </w:pPr>
      <w:r>
        <w:rPr>
          <w:rFonts w:hint="eastAsia" w:cs="Times New Roman"/>
          <w:color w:val="auto"/>
          <w:u w:val="none" w:color="auto"/>
          <w:lang w:val="en-US" w:eastAsia="zh-CN"/>
        </w:rPr>
        <w:t>（4）固废影响结论</w:t>
      </w:r>
    </w:p>
    <w:p w14:paraId="5136F1E3">
      <w:pPr>
        <w:ind w:firstLine="480"/>
        <w:rPr>
          <w:rFonts w:hint="eastAsia" w:cs="Times New Roman"/>
          <w:color w:val="auto"/>
          <w:u w:val="none" w:color="auto"/>
          <w:lang w:val="en-US" w:eastAsia="zh-CN"/>
        </w:rPr>
      </w:pPr>
      <w:r>
        <w:rPr>
          <w:rFonts w:hint="eastAsia" w:cs="Times New Roman"/>
          <w:color w:val="auto"/>
          <w:u w:val="none" w:color="auto"/>
          <w:lang w:val="en-US" w:eastAsia="zh-CN"/>
        </w:rPr>
        <w:t>本工程主要为施工期建设内容，除险加固工程完成后，管理人员维持原有的定编人数，运营期不产生新增固体废物。管理站产生生活垃圾集中收集后由工作人员清运至垃圾收集点进行集中处置。采取上述措施后，水库运行期产生的固体废物不会对区域环境产生不利影响。</w:t>
      </w:r>
    </w:p>
    <w:p w14:paraId="6C1636F8">
      <w:pPr>
        <w:ind w:firstLine="480"/>
        <w:rPr>
          <w:rFonts w:hint="eastAsia" w:cs="Times New Roman"/>
          <w:color w:val="auto"/>
          <w:u w:val="none" w:color="auto"/>
          <w:lang w:val="en-US" w:eastAsia="zh-CN"/>
        </w:rPr>
      </w:pPr>
      <w:r>
        <w:rPr>
          <w:rFonts w:hint="eastAsia" w:cs="Times New Roman"/>
          <w:color w:val="auto"/>
          <w:u w:val="none" w:color="auto"/>
          <w:lang w:val="en-US" w:eastAsia="zh-CN"/>
        </w:rPr>
        <w:t>（5）土壤影响结论</w:t>
      </w:r>
    </w:p>
    <w:p w14:paraId="60F8D470">
      <w:pPr>
        <w:ind w:firstLine="480"/>
        <w:rPr>
          <w:rFonts w:hint="default" w:cs="Times New Roman"/>
          <w:color w:val="auto"/>
          <w:u w:val="none" w:color="auto"/>
          <w:lang w:val="en-US" w:eastAsia="zh-CN"/>
        </w:rPr>
      </w:pPr>
      <w:r>
        <w:rPr>
          <w:rFonts w:hint="default" w:cs="Times New Roman"/>
          <w:color w:val="auto"/>
          <w:u w:val="none" w:color="auto"/>
          <w:lang w:val="en-US" w:eastAsia="zh-CN"/>
        </w:rPr>
        <w:t>本项目为水库除险加固工程，建设前后水库库容不变，项目本身不排放污染物，不会加重区域土壤污染，因此，对土壤环境影响较小。</w:t>
      </w:r>
    </w:p>
    <w:p w14:paraId="1C764C8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4、</w:t>
      </w:r>
      <w:r>
        <w:rPr>
          <w:rFonts w:hint="default" w:ascii="Times New Roman" w:hAnsi="Times New Roman" w:cs="Times New Roman"/>
          <w:color w:val="auto"/>
          <w:u w:val="none" w:color="auto"/>
        </w:rPr>
        <w:t>生态环境主要影响结论</w:t>
      </w:r>
    </w:p>
    <w:p w14:paraId="598B5973">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1）</w:t>
      </w:r>
      <w:r>
        <w:rPr>
          <w:rFonts w:hint="default" w:ascii="Times New Roman" w:hAnsi="Times New Roman" w:cs="Times New Roman"/>
          <w:color w:val="auto"/>
          <w:u w:val="none" w:color="auto"/>
        </w:rPr>
        <w:t>施工期生态影响结论</w:t>
      </w:r>
    </w:p>
    <w:p w14:paraId="5026D6E0">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陆生生态影响结论</w:t>
      </w:r>
    </w:p>
    <w:p w14:paraId="283A605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工程对区域生态系统不产生阻隔、切割和不可逆的影响，不影响物种和群落的组成；施工期间区域生物量有所下降，但施工结束后随着临时占地复耕复绿，生物量将得到补偿。项目不改变自然生态体系的结构，对生态功能不造成影响。</w:t>
      </w:r>
    </w:p>
    <w:p w14:paraId="187E96D4">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水生生态影响结论</w:t>
      </w:r>
    </w:p>
    <w:p w14:paraId="16406744">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水库中水生生物大多为常见种类，没有特殊种类或敏感物种，工程建设不会造成严重的水生生态影响。</w:t>
      </w:r>
    </w:p>
    <w:p w14:paraId="10A304A2">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运行期生态影响结论</w:t>
      </w:r>
    </w:p>
    <w:p w14:paraId="20BCEEF5">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①</w:t>
      </w:r>
      <w:r>
        <w:rPr>
          <w:rFonts w:hint="default" w:ascii="Times New Roman" w:hAnsi="Times New Roman" w:cs="Times New Roman"/>
          <w:color w:val="auto"/>
          <w:u w:val="none" w:color="auto"/>
        </w:rPr>
        <w:t>陆生生态影响结论</w:t>
      </w:r>
    </w:p>
    <w:p w14:paraId="765B9972">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工程完工后，临时占地清理后进行全面整地并恢复原地类，林地栽植乔灌木、撒播草籽，恢复原来地类的生态功能，经过生态恢复整治，临时占地对陆生生态环境影响不大。</w:t>
      </w:r>
    </w:p>
    <w:p w14:paraId="0D467BAE">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②</w:t>
      </w:r>
      <w:r>
        <w:rPr>
          <w:rFonts w:hint="default" w:ascii="Times New Roman" w:hAnsi="Times New Roman" w:cs="Times New Roman"/>
          <w:color w:val="auto"/>
          <w:u w:val="none" w:color="auto"/>
        </w:rPr>
        <w:t>水生生态影响结论</w:t>
      </w:r>
    </w:p>
    <w:p w14:paraId="19BECB8D">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廊洞</w:t>
      </w:r>
      <w:r>
        <w:rPr>
          <w:rFonts w:hint="default" w:ascii="Times New Roman" w:hAnsi="Times New Roman" w:cs="Times New Roman"/>
          <w:color w:val="auto"/>
          <w:u w:val="none" w:color="auto"/>
        </w:rPr>
        <w:t>水库已建成多年，当地的动植物已经适应了水库的运行规律，本项目运行期不改变以往水库运行规律，不产生新的生态影响。因此，本工程运行对水生生态环境不会造成影响。</w:t>
      </w:r>
    </w:p>
    <w:p w14:paraId="50AA9392">
      <w:pPr>
        <w:pStyle w:val="4"/>
        <w:bidi w:val="0"/>
        <w:rPr>
          <w:rFonts w:hint="default"/>
        </w:rPr>
      </w:pPr>
      <w:r>
        <w:rPr>
          <w:rFonts w:hint="default"/>
        </w:rPr>
        <w:t>主要环境保护措施</w:t>
      </w:r>
    </w:p>
    <w:p w14:paraId="2B0BB10A">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1、</w:t>
      </w:r>
      <w:r>
        <w:rPr>
          <w:rFonts w:hint="default" w:ascii="Times New Roman" w:hAnsi="Times New Roman" w:cs="Times New Roman"/>
          <w:color w:val="auto"/>
          <w:u w:val="none" w:color="auto"/>
        </w:rPr>
        <w:t>地表水环境保护措施</w:t>
      </w:r>
    </w:p>
    <w:p w14:paraId="611760FA">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1）</w:t>
      </w:r>
      <w:r>
        <w:rPr>
          <w:rFonts w:hint="default" w:ascii="Times New Roman" w:hAnsi="Times New Roman" w:cs="Times New Roman"/>
          <w:color w:val="auto"/>
          <w:u w:val="none" w:color="auto"/>
        </w:rPr>
        <w:t>施工期地表水环境保护措施</w:t>
      </w:r>
    </w:p>
    <w:p w14:paraId="413A926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项目施工期产生的砼搅拌系统废水、基坑排水及灌浆施工废水经沉淀处理后回用于砼搅拌系统或者洒水降尘；机械、车辆维修冲洗含油废水经隔油沉淀处理后回用于机械、车辆冲洗；生活污水依托</w:t>
      </w:r>
      <w:r>
        <w:rPr>
          <w:rFonts w:hint="eastAsia" w:cs="Times New Roman"/>
          <w:color w:val="auto"/>
          <w:u w:val="none" w:color="auto"/>
          <w:lang w:val="en-US" w:eastAsia="zh-CN"/>
        </w:rPr>
        <w:t>管理所</w:t>
      </w:r>
      <w:r>
        <w:rPr>
          <w:rFonts w:hint="default" w:ascii="Times New Roman" w:hAnsi="Times New Roman" w:cs="Times New Roman"/>
          <w:color w:val="auto"/>
          <w:u w:val="none" w:color="auto"/>
        </w:rPr>
        <w:t>已建化粪池处理后用作</w:t>
      </w:r>
      <w:r>
        <w:rPr>
          <w:rFonts w:hint="eastAsia" w:cs="Times New Roman"/>
          <w:color w:val="auto"/>
          <w:u w:val="none" w:color="auto"/>
          <w:lang w:val="en-US" w:eastAsia="zh-CN"/>
        </w:rPr>
        <w:t>厂内绿化</w:t>
      </w:r>
      <w:r>
        <w:rPr>
          <w:rFonts w:hint="default" w:ascii="Times New Roman" w:hAnsi="Times New Roman" w:cs="Times New Roman"/>
          <w:color w:val="auto"/>
          <w:u w:val="none" w:color="auto"/>
        </w:rPr>
        <w:t>。</w:t>
      </w:r>
    </w:p>
    <w:p w14:paraId="6CBA4FDC">
      <w:pPr>
        <w:ind w:firstLine="480"/>
        <w:rPr>
          <w:rFonts w:hint="default" w:ascii="Times New Roman" w:hAnsi="Times New Roman" w:cs="Times New Roman"/>
          <w:color w:val="auto"/>
          <w:u w:val="none" w:color="auto"/>
        </w:rPr>
      </w:pPr>
      <w:r>
        <w:rPr>
          <w:rFonts w:hint="eastAsia" w:cs="Times New Roman"/>
          <w:color w:val="auto"/>
          <w:u w:val="none" w:color="auto"/>
          <w:lang w:eastAsia="zh-CN"/>
        </w:rPr>
        <w:t>（</w:t>
      </w:r>
      <w:r>
        <w:rPr>
          <w:rFonts w:hint="eastAsia" w:cs="Times New Roman"/>
          <w:color w:val="auto"/>
          <w:u w:val="none" w:color="auto"/>
          <w:lang w:val="en-US" w:eastAsia="zh-CN"/>
        </w:rPr>
        <w:t>2）</w:t>
      </w:r>
      <w:r>
        <w:rPr>
          <w:rFonts w:hint="default" w:ascii="Times New Roman" w:hAnsi="Times New Roman" w:cs="Times New Roman"/>
          <w:color w:val="auto"/>
          <w:u w:val="none" w:color="auto"/>
        </w:rPr>
        <w:t>运行期地表水环境保护措施</w:t>
      </w:r>
    </w:p>
    <w:p w14:paraId="44B4293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应按水土保持绿化设计要求完成绿化设计及种植植被、树木等工作，以达到恢复植被、保护生态环境、减少水土流失、减少雨季径流污染水质，不设置裸露面，防止因雨天雨水冲刷随地表径流进入水库，加强水质监测。</w:t>
      </w:r>
    </w:p>
    <w:p w14:paraId="0ED98447">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2、</w:t>
      </w:r>
      <w:r>
        <w:rPr>
          <w:rFonts w:hint="default" w:ascii="Times New Roman" w:hAnsi="Times New Roman" w:cs="Times New Roman"/>
          <w:color w:val="auto"/>
          <w:u w:val="none" w:color="auto"/>
        </w:rPr>
        <w:t>大气环境保护措施</w:t>
      </w:r>
    </w:p>
    <w:p w14:paraId="15EC2843">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在土方、石料、水泥等物料运输过程中，加强物料转运、使用的管理，合理装卸、规范操作，密封运输，限制车速。加强弃渣场的管理，采取土方表面压实、定期洒水、覆盖（采用防尘网和防尘布覆盖）等措施，弃渣场做好挡护工程。加强运输车辆清洗保洁、遮盖和路面洒水。加强施工作业面保湿，减少扬尘。施工结束后，应及时对施工临时占地恢复植被绿化。</w:t>
      </w:r>
    </w:p>
    <w:p w14:paraId="71CD01FC">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施工单位应尽量选用低能耗、低污染排放的施工机械和车辆，并安装尾气净化装置。加强对施工机械、运输车辆的维修保养。</w:t>
      </w:r>
    </w:p>
    <w:p w14:paraId="406195C8">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水库清淤选择在枯水季节(冬春季)进行，采用密闭罐车，并对对污泥干化区喷洒除臭剂处理。</w:t>
      </w:r>
    </w:p>
    <w:p w14:paraId="36B5F54C">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3、</w:t>
      </w:r>
      <w:r>
        <w:rPr>
          <w:rFonts w:hint="default" w:ascii="Times New Roman" w:hAnsi="Times New Roman" w:cs="Times New Roman"/>
          <w:color w:val="auto"/>
          <w:u w:val="none" w:color="auto"/>
        </w:rPr>
        <w:t>地下水环境保护措施</w:t>
      </w:r>
    </w:p>
    <w:p w14:paraId="289810AE">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对施工区可能泄漏污染物的污染区地面进行防渗处理，并及时对泄漏的污染物进行收集和处理，防止污染物渗入地下。施工生活垃圾禁止随意丢弃，对生活垃圾收集点采取地面硬化，并定期安排环卫部门清运。</w:t>
      </w:r>
    </w:p>
    <w:p w14:paraId="7047CDF1">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4、</w:t>
      </w:r>
      <w:r>
        <w:rPr>
          <w:rFonts w:hint="default" w:ascii="Times New Roman" w:hAnsi="Times New Roman" w:cs="Times New Roman"/>
          <w:color w:val="auto"/>
          <w:u w:val="none" w:color="auto"/>
        </w:rPr>
        <w:t>土壤环境保护措施</w:t>
      </w:r>
    </w:p>
    <w:p w14:paraId="385B59E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严格控制施工范围；确保工程施工过程中各废污水的处理和回用，施工过程中产生的固体废弃物，尽可能收集堆置运走处理；工程的各项废污水处理构筑物（如沉淀池、隔油池等）应做好防渗措施；施工结束后，临时占地应在完工后平整场地，并撒播草籽进行绿化。</w:t>
      </w:r>
    </w:p>
    <w:p w14:paraId="1444A24A">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5、</w:t>
      </w:r>
      <w:r>
        <w:rPr>
          <w:rFonts w:hint="default" w:ascii="Times New Roman" w:hAnsi="Times New Roman" w:cs="Times New Roman"/>
          <w:color w:val="auto"/>
          <w:u w:val="none" w:color="auto"/>
        </w:rPr>
        <w:t>声环境保护措施</w:t>
      </w:r>
    </w:p>
    <w:p w14:paraId="3895890F">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设立警示牌；选用符合国家有关标准的施工机具，加强设备的维护和保养；加强道路养护和车辆的维修保养，禁止使用高噪声车辆，在居民点周围控制机动车辆行驶速度，并且禁止鸣笛；严格控制施工时间，禁止夜间施工，昼间合理安排施工时间；合理安排施工作业活动，尽可能避免多台施工机械集中在一个区域同时开展施工作业；同时改善施工人员作业条件，给施工人员配备耳塞、防声头盔等个人噪声防护用具。</w:t>
      </w:r>
    </w:p>
    <w:p w14:paraId="3D86617B">
      <w:pPr>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6、</w:t>
      </w:r>
      <w:r>
        <w:rPr>
          <w:rFonts w:hint="default" w:ascii="Times New Roman" w:hAnsi="Times New Roman" w:cs="Times New Roman"/>
          <w:color w:val="auto"/>
          <w:u w:val="none" w:color="auto"/>
        </w:rPr>
        <w:t>固体废弃物处置措施</w:t>
      </w:r>
    </w:p>
    <w:p w14:paraId="68FE4CD6">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项目施工产生的弃土和沉淀池污泥外运至弃渣场或用于周边道路铺设；拆除废旧设备及废钢筋、废包装袋外售给废品回收公司，不能回收利用的建筑垃圾运至建设部门或环卫部门指定地点；废机油、隔油池废油委托有资质的单位处置；生活垃圾集中收集、定点投放，交由环卫部门处理。</w:t>
      </w:r>
    </w:p>
    <w:p w14:paraId="4F710C09">
      <w:pPr>
        <w:pStyle w:val="4"/>
        <w:bidi w:val="0"/>
        <w:rPr>
          <w:rFonts w:hint="default"/>
        </w:rPr>
      </w:pPr>
      <w:r>
        <w:rPr>
          <w:rFonts w:hint="default"/>
        </w:rPr>
        <w:t>环境风险分析结论</w:t>
      </w:r>
    </w:p>
    <w:p w14:paraId="066F6F05">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本项目风险物质主要为柴油、汽油，环境风险潜势为Ⅰ。本工程根据工程施工及运行特点、周围环境特点以及工程与周围环境之间的关系，项目的环境风险为溢油污染风险、废水事故性排放和火灾、爆炸事故以及溃坝风险。经过风险分析和评价得出结论：项目事故风险水平较低，在进一步采取安全防范措施和事故应急措施后，基本满足国家有关环境保护和安全法规、标准的要求。</w:t>
      </w:r>
    </w:p>
    <w:p w14:paraId="659F9F99">
      <w:pPr>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建设单位需按照需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4625251C">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国家产业政策</w:t>
      </w:r>
    </w:p>
    <w:p w14:paraId="6C90565C">
      <w:pPr>
        <w:ind w:firstLine="480"/>
        <w:rPr>
          <w:rFonts w:hint="default" w:ascii="Times New Roman" w:hAnsi="Times New Roman" w:cs="Times New Roman"/>
          <w:color w:val="auto"/>
          <w:u w:val="none" w:color="auto"/>
          <w:lang w:val="zh-CN"/>
        </w:rPr>
      </w:pPr>
      <w:r>
        <w:rPr>
          <w:rFonts w:hint="default" w:ascii="Times New Roman" w:hAnsi="Times New Roman" w:cs="Times New Roman"/>
          <w:color w:val="auto"/>
          <w:u w:val="none" w:color="auto"/>
        </w:rPr>
        <w:t>本项目属于</w:t>
      </w:r>
      <w:r>
        <w:rPr>
          <w:rFonts w:hint="default" w:ascii="Times New Roman" w:hAnsi="Times New Roman" w:cs="Times New Roman"/>
          <w:color w:val="auto"/>
          <w:u w:val="none" w:color="auto"/>
          <w:lang w:val="en-US" w:eastAsia="zh-CN"/>
        </w:rPr>
        <w:t>水库大坝除险加固</w:t>
      </w:r>
      <w:r>
        <w:rPr>
          <w:rFonts w:hint="default" w:ascii="Times New Roman" w:hAnsi="Times New Roman" w:cs="Times New Roman"/>
          <w:color w:val="auto"/>
          <w:u w:val="none" w:color="auto"/>
        </w:rPr>
        <w:t>，属于《产业结构调整指导目录</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20</w:t>
      </w:r>
      <w:r>
        <w:rPr>
          <w:rFonts w:hint="default" w:ascii="Times New Roman" w:hAnsi="Times New Roman" w:cs="Times New Roman"/>
          <w:color w:val="auto"/>
          <w:u w:val="none" w:color="auto"/>
          <w:lang w:val="en-US" w:eastAsia="zh-CN"/>
        </w:rPr>
        <w:t>24</w:t>
      </w:r>
      <w:r>
        <w:rPr>
          <w:rFonts w:hint="default" w:ascii="Times New Roman" w:hAnsi="Times New Roman" w:cs="Times New Roman"/>
          <w:color w:val="auto"/>
          <w:u w:val="none" w:color="auto"/>
        </w:rPr>
        <w:t>年本</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w:t>
      </w:r>
      <w:r>
        <w:rPr>
          <w:rFonts w:hint="default" w:ascii="Times New Roman" w:hAnsi="Times New Roman" w:cs="Times New Roman"/>
          <w:color w:val="auto"/>
          <w:u w:val="none" w:color="auto"/>
          <w:lang w:val="en-US" w:eastAsia="zh-CN"/>
        </w:rPr>
        <w:t>鼓励类</w:t>
      </w:r>
      <w:r>
        <w:rPr>
          <w:rFonts w:hint="default" w:ascii="Times New Roman" w:hAnsi="Times New Roman" w:cs="Times New Roman"/>
          <w:color w:val="auto"/>
          <w:u w:val="none" w:color="auto"/>
        </w:rPr>
        <w:t>项目，符合国家产业政策的要求</w:t>
      </w:r>
      <w:r>
        <w:rPr>
          <w:rFonts w:hint="default" w:ascii="Times New Roman" w:hAnsi="Times New Roman" w:cs="Times New Roman"/>
          <w:color w:val="auto"/>
          <w:u w:val="none" w:color="auto"/>
          <w:lang w:val="zh-CN"/>
        </w:rPr>
        <w:t>。</w:t>
      </w:r>
    </w:p>
    <w:p w14:paraId="7CA4C4C7">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选址合理性</w:t>
      </w:r>
    </w:p>
    <w:p w14:paraId="13745128">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本次实施水库大坝除险加固在现址进行建设，</w:t>
      </w:r>
      <w:r>
        <w:rPr>
          <w:rFonts w:hint="default" w:ascii="Times New Roman" w:hAnsi="Times New Roman" w:cs="Times New Roman"/>
          <w:color w:val="auto"/>
          <w:u w:val="none" w:color="auto"/>
        </w:rPr>
        <w:t>选址唯一</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rPr>
        <w:t>无相关比选方案</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总体上选址合理</w:t>
      </w:r>
      <w:r>
        <w:rPr>
          <w:rFonts w:hint="default" w:ascii="Times New Roman" w:hAnsi="Times New Roman" w:cs="Times New Roman"/>
          <w:color w:val="auto"/>
          <w:u w:val="none" w:color="auto"/>
        </w:rPr>
        <w:t>。</w:t>
      </w:r>
    </w:p>
    <w:p w14:paraId="48336C9F">
      <w:pPr>
        <w:pStyle w:val="4"/>
        <w:rPr>
          <w:rFonts w:hint="default" w:ascii="Times New Roman" w:hAnsi="Times New Roman" w:cs="Times New Roman"/>
          <w:color w:val="auto"/>
          <w:u w:val="none" w:color="auto"/>
        </w:rPr>
      </w:pPr>
      <w:bookmarkStart w:id="290" w:name="_Toc29912"/>
      <w:bookmarkStart w:id="291" w:name="_Toc494233863"/>
      <w:bookmarkStart w:id="292" w:name="_Toc29786"/>
      <w:r>
        <w:rPr>
          <w:rFonts w:hint="default" w:ascii="Times New Roman" w:hAnsi="Times New Roman" w:cs="Times New Roman"/>
          <w:color w:val="auto"/>
          <w:u w:val="none" w:color="auto"/>
        </w:rPr>
        <w:t>公众参与</w:t>
      </w:r>
      <w:bookmarkEnd w:id="290"/>
      <w:bookmarkEnd w:id="291"/>
      <w:bookmarkEnd w:id="292"/>
      <w:r>
        <w:rPr>
          <w:rFonts w:hint="default" w:ascii="Times New Roman" w:hAnsi="Times New Roman" w:cs="Times New Roman"/>
          <w:color w:val="auto"/>
          <w:u w:val="none" w:color="auto"/>
        </w:rPr>
        <w:t>结论</w:t>
      </w:r>
    </w:p>
    <w:p w14:paraId="2FB67994">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公众参与调查由建设单位负责实施，</w:t>
      </w:r>
      <w:r>
        <w:rPr>
          <w:rFonts w:hint="default" w:ascii="Times New Roman" w:hAnsi="Times New Roman" w:cs="Times New Roman"/>
          <w:color w:val="auto"/>
        </w:rPr>
        <w:t>按照《环境影响评价公众参与办法》</w:t>
      </w:r>
      <w:r>
        <w:rPr>
          <w:rFonts w:hint="eastAsia" w:ascii="Times New Roman" w:hAnsi="Times New Roman" w:cs="Times New Roman"/>
          <w:color w:val="auto"/>
          <w:lang w:eastAsia="zh-CN"/>
        </w:rPr>
        <w:t>(</w:t>
      </w:r>
      <w:r>
        <w:rPr>
          <w:rFonts w:hint="default" w:ascii="Times New Roman" w:hAnsi="Times New Roman" w:cs="Times New Roman"/>
          <w:color w:val="auto"/>
        </w:rPr>
        <w:t>生态环境部第4号</w:t>
      </w:r>
      <w:r>
        <w:rPr>
          <w:rFonts w:hint="eastAsia" w:ascii="Times New Roman" w:hAnsi="Times New Roman" w:cs="Times New Roman"/>
          <w:color w:val="auto"/>
          <w:lang w:eastAsia="zh-CN"/>
        </w:rPr>
        <w:t>)</w:t>
      </w:r>
      <w:r>
        <w:rPr>
          <w:rFonts w:hint="default" w:ascii="Times New Roman" w:hAnsi="Times New Roman" w:cs="Times New Roman"/>
          <w:color w:val="auto"/>
        </w:rPr>
        <w:t>的规定，本次公众参与以公开公正的原则，通过网络公示、报纸公示及现场张贴公示等方式，对项目所在地周围的居民进行了公众参与调查。在公示期间，未收到公众对本项目建设提出的意见或建议</w:t>
      </w:r>
      <w:r>
        <w:rPr>
          <w:rFonts w:hint="default" w:ascii="Times New Roman" w:hAnsi="Times New Roman" w:cs="Times New Roman"/>
          <w:color w:val="auto"/>
          <w:u w:val="none" w:color="auto"/>
        </w:rPr>
        <w:t>。</w:t>
      </w:r>
    </w:p>
    <w:p w14:paraId="17BC7B1A">
      <w:pPr>
        <w:pStyle w:val="4"/>
        <w:rPr>
          <w:rFonts w:hint="default" w:ascii="Times New Roman" w:hAnsi="Times New Roman" w:cs="Times New Roman"/>
          <w:color w:val="auto"/>
          <w:u w:val="none" w:color="auto"/>
        </w:rPr>
      </w:pPr>
      <w:r>
        <w:rPr>
          <w:rFonts w:hint="default" w:ascii="Times New Roman" w:hAnsi="Times New Roman" w:cs="Times New Roman"/>
          <w:color w:val="auto"/>
          <w:u w:val="none" w:color="auto"/>
        </w:rPr>
        <w:t>综合结论</w:t>
      </w:r>
    </w:p>
    <w:p w14:paraId="201114DC">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lang w:val="en-US" w:eastAsia="zh-CN"/>
        </w:rPr>
        <w:t>项目</w:t>
      </w:r>
      <w:r>
        <w:rPr>
          <w:rFonts w:hint="default" w:ascii="Times New Roman" w:hAnsi="Times New Roman" w:cs="Times New Roman"/>
          <w:color w:val="auto"/>
          <w:u w:val="none" w:color="auto"/>
        </w:rPr>
        <w:t>建设符合国家产业政策，选址符合规划要求，无明显环境制约因素</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廊洞水库运行过程中本身不产生污染，属非污染生态型项目。工程的实施可为当地创造安全、稳定的生产生活环境，为当地居民、工业和农田灌溉提供水源，促进地区社会经济的可持续性发展，其经济效益和社会效益巨大。工程的短期不利影响主要体现在施工期对水环境的影响、对大气、声环境的影响、对生态环境的影响等，但这些影响在采取有效的保护和恢复措施以及协调好相关利益群体关系的前提下，项目建设总体上对环境影响较小，在可接受的范围内。因此，从环境保护的角度考虑，项目建设是可行的。</w:t>
      </w:r>
    </w:p>
    <w:p w14:paraId="59E122B6">
      <w:pPr>
        <w:pStyle w:val="3"/>
        <w:rPr>
          <w:rFonts w:hint="default" w:ascii="Times New Roman" w:hAnsi="Times New Roman" w:cs="Times New Roman"/>
          <w:color w:val="auto"/>
          <w:u w:val="none" w:color="auto"/>
        </w:rPr>
      </w:pPr>
      <w:bookmarkStart w:id="293" w:name="_Toc31662"/>
      <w:r>
        <w:rPr>
          <w:rFonts w:hint="default" w:ascii="Times New Roman" w:hAnsi="Times New Roman" w:cs="Times New Roman"/>
          <w:color w:val="auto"/>
          <w:u w:val="none" w:color="auto"/>
        </w:rPr>
        <w:t>建议</w:t>
      </w:r>
      <w:bookmarkEnd w:id="293"/>
    </w:p>
    <w:p w14:paraId="7CC42A9D">
      <w:pPr>
        <w:bidi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为保障项目建设运营对评价区域的环境影响控制在环境允许范围内，本报告还对建设单位提出以下建议：</w:t>
      </w:r>
    </w:p>
    <w:p w14:paraId="31128958">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1</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工程应重点做好生态环境保护工作，加强施工期环境管理，减轻工程实施对项目区生态环境的影响；</w:t>
      </w:r>
    </w:p>
    <w:p w14:paraId="44298F26">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2</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工程在实施过程中应严格落实本环评提出的各项环境保护对策和措施，减轻因工程施工活动对项目区环境和生态造成的影响，并在工程施工活动结束后立即对工程临时占地进行土地平整、绿化等生态恢复措施，使其尽早恢复到工程占压前的状态，减轻工程对生态环境的影响；</w:t>
      </w:r>
    </w:p>
    <w:p w14:paraId="40D1FCC7">
      <w:pPr>
        <w:bidi w:val="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lang w:val="en-US" w:eastAsia="zh-CN"/>
        </w:rPr>
        <w:t>3</w:t>
      </w:r>
      <w:r>
        <w:rPr>
          <w:rFonts w:hint="default" w:ascii="Times New Roman" w:hAnsi="Times New Roman" w:cs="Times New Roman"/>
          <w:color w:val="auto"/>
          <w:highlight w:val="none"/>
          <w:u w:val="none" w:color="auto"/>
          <w:lang w:eastAsia="zh-CN"/>
        </w:rPr>
        <w:t>)</w:t>
      </w:r>
      <w:r>
        <w:rPr>
          <w:rFonts w:hint="default" w:ascii="Times New Roman" w:hAnsi="Times New Roman" w:cs="Times New Roman"/>
          <w:color w:val="auto"/>
          <w:u w:val="none" w:color="auto"/>
        </w:rPr>
        <w:t>建议建设单位加强与</w:t>
      </w:r>
      <w:r>
        <w:rPr>
          <w:rFonts w:hint="default" w:ascii="Times New Roman" w:hAnsi="Times New Roman" w:cs="Times New Roman"/>
          <w:color w:val="auto"/>
          <w:u w:val="none" w:color="auto"/>
          <w:lang w:eastAsia="zh-CN"/>
        </w:rPr>
        <w:t>廊洞水库</w:t>
      </w:r>
      <w:r>
        <w:rPr>
          <w:rFonts w:hint="default" w:ascii="Times New Roman" w:hAnsi="Times New Roman" w:cs="Times New Roman"/>
          <w:color w:val="auto"/>
          <w:u w:val="none" w:color="auto"/>
        </w:rPr>
        <w:t>饮用水水源保护区主管部门的沟通协调，更好地实施对饮用水源保护区的保护。</w:t>
      </w:r>
    </w:p>
    <w:p w14:paraId="238E3D99">
      <w:pPr>
        <w:pStyle w:val="16"/>
        <w:ind w:firstLine="480"/>
        <w:rPr>
          <w:rFonts w:hint="default" w:ascii="Times New Roman" w:hAnsi="Times New Roman" w:cs="Times New Roman"/>
          <w:color w:val="auto"/>
          <w:kern w:val="0"/>
          <w:u w:val="none" w:color="auto"/>
        </w:rPr>
      </w:pPr>
    </w:p>
    <w:sectPr>
      <w:footerReference r:id="rId19" w:type="default"/>
      <w:pgSz w:w="11911" w:h="16838"/>
      <w:pgMar w:top="1440" w:right="1803" w:bottom="1440" w:left="1803" w:header="1020" w:footer="1083"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Rounded MT Bold">
    <w:panose1 w:val="020F0704030504030204"/>
    <w:charset w:val="00"/>
    <w:family w:val="swiss"/>
    <w:pitch w:val="default"/>
    <w:sig w:usb0="00000003" w:usb1="00000000" w:usb2="00000000" w:usb3="00000000" w:csb0="20000001" w:csb1="00000000"/>
  </w:font>
  <w:font w:name="楷体_GB2312">
    <w:panose1 w:val="02010609030101010101"/>
    <w:charset w:val="86"/>
    <w:family w:val="swiss"/>
    <w:pitch w:val="default"/>
    <w:sig w:usb0="00000001" w:usb1="080E0000" w:usb2="00000000" w:usb3="00000000" w:csb0="00040000" w:csb1="00000000"/>
  </w:font>
  <w:font w:name="仿宋_GB2312">
    <w:panose1 w:val="02010609030101010101"/>
    <w:charset w:val="86"/>
    <w:family w:val="swiss"/>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华文仿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FangSong_GB2312">
    <w:altName w:val="仿宋_GB2312"/>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F6B86">
    <w:pPr>
      <w:pStyle w:val="23"/>
      <w:ind w:firstLine="360"/>
    </w:pPr>
    <w:r>
      <mc:AlternateContent>
        <mc:Choice Requires="wps">
          <w:drawing>
            <wp:anchor distT="0" distB="0" distL="114300" distR="114300" simplePos="0" relativeHeight="251659264" behindDoc="0" locked="0" layoutInCell="1" allowOverlap="1">
              <wp:simplePos x="0" y="0"/>
              <wp:positionH relativeFrom="margin">
                <wp:posOffset>2507615</wp:posOffset>
              </wp:positionH>
              <wp:positionV relativeFrom="paragraph">
                <wp:posOffset>-73660</wp:posOffset>
              </wp:positionV>
              <wp:extent cx="476885" cy="270510"/>
              <wp:effectExtent l="0" t="0" r="0" b="0"/>
              <wp:wrapNone/>
              <wp:docPr id="197" name="文本框 2063"/>
              <wp:cNvGraphicFramePr/>
              <a:graphic xmlns:a="http://schemas.openxmlformats.org/drawingml/2006/main">
                <a:graphicData uri="http://schemas.microsoft.com/office/word/2010/wordprocessingShape">
                  <wps:wsp>
                    <wps:cNvSpPr txBox="1"/>
                    <wps:spPr>
                      <a:xfrm>
                        <a:off x="0" y="0"/>
                        <a:ext cx="476885" cy="270510"/>
                      </a:xfrm>
                      <a:prstGeom prst="rect">
                        <a:avLst/>
                      </a:prstGeom>
                      <a:noFill/>
                      <a:ln>
                        <a:noFill/>
                      </a:ln>
                    </wps:spPr>
                    <wps:txbx>
                      <w:txbxContent>
                        <w:p w14:paraId="3F3A1C30">
                          <w:pPr>
                            <w:pStyle w:val="23"/>
                            <w:ind w:firstLine="360"/>
                          </w:pPr>
                        </w:p>
                      </w:txbxContent>
                    </wps:txbx>
                    <wps:bodyPr vert="horz" wrap="square" lIns="0" tIns="0" rIns="0" bIns="0" anchor="t"/>
                  </wps:wsp>
                </a:graphicData>
              </a:graphic>
            </wp:anchor>
          </w:drawing>
        </mc:Choice>
        <mc:Fallback>
          <w:pict>
            <v:shape id="文本框 2063" o:spid="_x0000_s1026" o:spt="202" type="#_x0000_t202" style="position:absolute;left:0pt;margin-left:197.45pt;margin-top:-5.8pt;height:21.3pt;width:37.55pt;mso-position-horizontal-relative:margin;z-index:251659264;mso-width-relative:page;mso-height-relative:page;" filled="f" stroked="f" coordsize="21600,21600" o:gfxdata="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L2aYEdgAAAAKAQAADwAAAAAAAAABACAAAAAi&#10;AAAAZHJzL2Rvd25yZXYueG1sUEsBAhQAFAAAAAgAh07iQNZonaDRAQAAjwMAAA4AAAAAAAAAAQAg&#10;AAAAJwEAAGRycy9lMm9Eb2MueG1sUEsFBgAAAAAGAAYAWQEAAGoFAAAAAA==&#10;">
              <v:fill on="f" focussize="0,0"/>
              <v:stroke on="f"/>
              <v:imagedata o:title=""/>
              <o:lock v:ext="edit" aspectratio="f"/>
              <v:textbox inset="0mm,0mm,0mm,0mm">
                <w:txbxContent>
                  <w:p w14:paraId="3F3A1C30">
                    <w:pPr>
                      <w:pStyle w:val="23"/>
                      <w:ind w:firstLine="36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1C05A">
    <w:pPr>
      <w:pStyle w:val="2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13095">
    <w:pPr>
      <w:pStyle w:val="2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FE58E">
    <w:pPr>
      <w:pStyle w:val="23"/>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8"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73CFD3">
                          <w:pPr>
                            <w:pStyle w:val="23"/>
                            <w:ind w:firstLine="360"/>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wps:txbx>
                    <wps:bodyPr vert="horz" wrap="none" lIns="0" tIns="0" rIns="0" bIns="0" anchor="t">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zql5uc8AAAAFAQAADwAAAAAAAAABACAAAAAiAAAAZHJz&#10;L2Rvd25yZXYueG1sUEsBAhQAFAAAAAgAh07iQF1qQn3UAQAAqQMAAA4AAAAAAAAAAQAgAAAAHgEA&#10;AGRycy9lMm9Eb2MueG1sUEsFBgAAAAAGAAYAWQEAAGQFAAAAAA==&#10;">
              <v:fill on="f" focussize="0,0"/>
              <v:stroke on="f"/>
              <v:imagedata o:title=""/>
              <o:lock v:ext="edit" aspectratio="f"/>
              <v:textbox inset="0mm,0mm,0mm,0mm" style="mso-fit-shape-to-text:t;">
                <w:txbxContent>
                  <w:p w14:paraId="7B73CFD3">
                    <w:pPr>
                      <w:pStyle w:val="23"/>
                      <w:ind w:firstLine="360"/>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0C82A6">
    <w:pPr>
      <w:pStyle w:val="23"/>
      <w:ind w:firstLine="0" w:firstLineChars="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8D386D">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6C8D386D">
                    <w:pPr>
                      <w:pStyle w:val="2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147211">
    <w:pPr>
      <w:pStyle w:val="23"/>
      <w:ind w:firstLine="0" w:firstLineChars="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F6B69E">
                          <w:pPr>
                            <w:pStyle w:val="2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3FF6B69E">
                    <w:pPr>
                      <w:pStyle w:val="2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E3EFF2">
    <w:pPr>
      <w:pStyle w:val="23"/>
      <w:ind w:right="36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721337">
                          <w:pPr>
                            <w:pStyle w:val="23"/>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6B721337">
                    <w:pPr>
                      <w:pStyle w:val="23"/>
                    </w:pPr>
                    <w:r>
                      <w:fldChar w:fldCharType="begin"/>
                    </w:r>
                    <w:r>
                      <w:instrText xml:space="preserve"> PAGE  \* MERGEFORMAT </w:instrText>
                    </w:r>
                    <w:r>
                      <w:fldChar w:fldCharType="separate"/>
                    </w:r>
                    <w:r>
                      <w:t>28</w:t>
                    </w:r>
                    <w:r>
                      <w:fldChar w:fldCharType="end"/>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86"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B3A3F2">
                          <w:pPr>
                            <w:pStyle w:val="23"/>
                            <w:rPr>
                              <w:rStyle w:val="42"/>
                            </w:rPr>
                          </w:pPr>
                        </w:p>
                      </w:txbxContent>
                    </wps:txbx>
                    <wps:bodyPr wrap="none" lIns="0" tIns="0" rIns="0" bIns="0">
                      <a:spAutoFit/>
                    </wps:bodyPr>
                  </wps:wsp>
                </a:graphicData>
              </a:graphic>
            </wp:anchor>
          </w:drawing>
        </mc:Choice>
        <mc:Fallback>
          <w:pict>
            <v:shape id="文本框 4"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eohtXCAQAAjgMAAA4AAAAAAAAAAQAgAAAAHgEAAGRycy9lMm9Eb2MueG1sUEsF&#10;BgAAAAAGAAYAWQEAAFIFAAAAAA==&#10;">
              <v:fill on="f" focussize="0,0"/>
              <v:stroke on="f"/>
              <v:imagedata o:title=""/>
              <o:lock v:ext="edit" aspectratio="f"/>
              <v:textbox inset="0mm,0mm,0mm,0mm" style="mso-fit-shape-to-text:t;">
                <w:txbxContent>
                  <w:p w14:paraId="3EB3A3F2">
                    <w:pPr>
                      <w:pStyle w:val="23"/>
                      <w:rPr>
                        <w:rStyle w:val="42"/>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5FEE7">
    <w:pPr>
      <w:spacing w:line="174" w:lineRule="auto"/>
      <w:ind w:left="40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B6C6D8">
                          <w:pPr>
                            <w:pStyle w:val="23"/>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64B6C6D8">
                    <w:pPr>
                      <w:pStyle w:val="23"/>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CC0BD">
    <w:pPr>
      <w:spacing w:line="174" w:lineRule="auto"/>
      <w:ind w:left="40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FD6E3">
                          <w:pPr>
                            <w:pStyle w:val="23"/>
                            <w:bidi w:val="0"/>
                          </w:pPr>
                          <w:r>
                            <w:fldChar w:fldCharType="begin"/>
                          </w:r>
                          <w:r>
                            <w:instrText xml:space="preserve"> PAGE  \* MERGEFORMAT </w:instrText>
                          </w:r>
                          <w:r>
                            <w:fldChar w:fldCharType="separate"/>
                          </w:r>
                          <w:r>
                            <w:t>107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79CFD6E3">
                    <w:pPr>
                      <w:pStyle w:val="23"/>
                      <w:bidi w:val="0"/>
                    </w:pPr>
                    <w:r>
                      <w:fldChar w:fldCharType="begin"/>
                    </w:r>
                    <w:r>
                      <w:instrText xml:space="preserve"> PAGE  \* MERGEFORMAT </w:instrText>
                    </w:r>
                    <w:r>
                      <w:fldChar w:fldCharType="separate"/>
                    </w:r>
                    <w:r>
                      <w:t>107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300BB">
    <w:pPr>
      <w:ind w:firstLine="360"/>
      <w:jc w:val="cent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FF849">
    <w:pPr>
      <w:pStyle w:val="2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88841">
    <w:pPr>
      <w:pStyle w:val="2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D58D6">
    <w:pPr>
      <w:ind w:firstLine="360"/>
      <w:jc w:val="center"/>
      <w:rPr>
        <w:rFonts w:hint="default"/>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FF50E">
    <w:pPr>
      <w:tabs>
        <w:tab w:val="left" w:pos="1114"/>
      </w:tabs>
      <w:spacing w:line="175" w:lineRule="auto"/>
      <w:ind w:left="18"/>
      <w:rPr>
        <w:rFonts w:ascii="宋体" w:hAnsi="宋体" w:eastAsia="宋体" w:cs="宋体"/>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9DB62">
    <w:pPr>
      <w:tabs>
        <w:tab w:val="left" w:pos="1114"/>
      </w:tabs>
      <w:spacing w:line="175" w:lineRule="auto"/>
      <w:ind w:left="18"/>
      <w:rPr>
        <w:rFonts w:ascii="宋体" w:hAnsi="宋体" w:eastAsia="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9E77B5"/>
    <w:multiLevelType w:val="multilevel"/>
    <w:tmpl w:val="B69E77B5"/>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2702"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00000008"/>
    <w:multiLevelType w:val="singleLevel"/>
    <w:tmpl w:val="00000008"/>
    <w:lvl w:ilvl="0" w:tentative="0">
      <w:start w:val="1"/>
      <w:numFmt w:val="decimal"/>
      <w:pStyle w:val="11"/>
      <w:lvlText w:val="%1."/>
      <w:lvlJc w:val="left"/>
      <w:pPr>
        <w:tabs>
          <w:tab w:val="left" w:pos="360"/>
        </w:tabs>
        <w:ind w:left="360" w:hanging="360"/>
      </w:pPr>
    </w:lvl>
  </w:abstractNum>
  <w:abstractNum w:abstractNumId="2">
    <w:nsid w:val="2FC17EE2"/>
    <w:multiLevelType w:val="singleLevel"/>
    <w:tmpl w:val="2FC17EE2"/>
    <w:lvl w:ilvl="0" w:tentative="0">
      <w:start w:val="2"/>
      <w:numFmt w:val="decimal"/>
      <w:suff w:val="nothing"/>
      <w:lvlText w:val="%1）"/>
      <w:lvlJc w:val="left"/>
    </w:lvl>
  </w:abstractNum>
  <w:abstractNum w:abstractNumId="3">
    <w:nsid w:val="57C15F48"/>
    <w:multiLevelType w:val="singleLevel"/>
    <w:tmpl w:val="57C15F48"/>
    <w:lvl w:ilvl="0" w:tentative="0">
      <w:start w:val="1"/>
      <w:numFmt w:val="none"/>
      <w:pStyle w:val="13"/>
      <w:lvlText w:val="1-1"/>
      <w:lvlJc w:val="center"/>
      <w:pPr>
        <w:tabs>
          <w:tab w:val="left" w:pos="0"/>
        </w:tabs>
        <w:ind w:left="0" w:firstLine="0"/>
      </w:pPr>
      <w:rPr>
        <w:rFonts w:hint="default" w:ascii="Times New Roman" w:hAnsi="Times New Roman" w:eastAsia="宋体" w:cs="宋体"/>
        <w:sz w:val="21"/>
        <w:szCs w:val="21"/>
      </w:rPr>
    </w:lvl>
  </w:abstractNum>
  <w:abstractNum w:abstractNumId="4">
    <w:nsid w:val="63651619"/>
    <w:multiLevelType w:val="singleLevel"/>
    <w:tmpl w:val="63651619"/>
    <w:lvl w:ilvl="0" w:tentative="0">
      <w:start w:val="1"/>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4NjI5OTBmMDM1ODFlMDkzNDFlZTFiMWNhZWU5ZTMifQ=="/>
  </w:docVars>
  <w:rsids>
    <w:rsidRoot w:val="76E415DB"/>
    <w:rsid w:val="000217EA"/>
    <w:rsid w:val="00033256"/>
    <w:rsid w:val="00034863"/>
    <w:rsid w:val="00054CBE"/>
    <w:rsid w:val="00063F3F"/>
    <w:rsid w:val="00072CA9"/>
    <w:rsid w:val="00080354"/>
    <w:rsid w:val="0008200A"/>
    <w:rsid w:val="000931B8"/>
    <w:rsid w:val="000A4758"/>
    <w:rsid w:val="000C2917"/>
    <w:rsid w:val="000C2E7F"/>
    <w:rsid w:val="000C396D"/>
    <w:rsid w:val="000C5AFA"/>
    <w:rsid w:val="000D3A67"/>
    <w:rsid w:val="000F1926"/>
    <w:rsid w:val="000F4D5C"/>
    <w:rsid w:val="000F7C73"/>
    <w:rsid w:val="001001D5"/>
    <w:rsid w:val="00101DB2"/>
    <w:rsid w:val="0011725D"/>
    <w:rsid w:val="00124F45"/>
    <w:rsid w:val="00134FED"/>
    <w:rsid w:val="00142D82"/>
    <w:rsid w:val="00153088"/>
    <w:rsid w:val="00165432"/>
    <w:rsid w:val="00167F45"/>
    <w:rsid w:val="00190E7F"/>
    <w:rsid w:val="001A0949"/>
    <w:rsid w:val="001C3ACF"/>
    <w:rsid w:val="001D2578"/>
    <w:rsid w:val="001D4FBE"/>
    <w:rsid w:val="001E1AD1"/>
    <w:rsid w:val="001E2D92"/>
    <w:rsid w:val="001F0CB0"/>
    <w:rsid w:val="001F1BC4"/>
    <w:rsid w:val="001F1BEC"/>
    <w:rsid w:val="00207A5C"/>
    <w:rsid w:val="0021107D"/>
    <w:rsid w:val="002117B9"/>
    <w:rsid w:val="00216B2A"/>
    <w:rsid w:val="0022310F"/>
    <w:rsid w:val="002238F7"/>
    <w:rsid w:val="00231582"/>
    <w:rsid w:val="00244F00"/>
    <w:rsid w:val="0024523E"/>
    <w:rsid w:val="00260F0C"/>
    <w:rsid w:val="0026318B"/>
    <w:rsid w:val="00271E26"/>
    <w:rsid w:val="002B7069"/>
    <w:rsid w:val="002B7B52"/>
    <w:rsid w:val="002C5B7C"/>
    <w:rsid w:val="002C6F6D"/>
    <w:rsid w:val="002D4772"/>
    <w:rsid w:val="002F3FBC"/>
    <w:rsid w:val="0030486D"/>
    <w:rsid w:val="00307947"/>
    <w:rsid w:val="003113F6"/>
    <w:rsid w:val="00315613"/>
    <w:rsid w:val="003164CB"/>
    <w:rsid w:val="00322235"/>
    <w:rsid w:val="003301E4"/>
    <w:rsid w:val="003302FE"/>
    <w:rsid w:val="00330C7B"/>
    <w:rsid w:val="0033659F"/>
    <w:rsid w:val="003604AC"/>
    <w:rsid w:val="00363BB2"/>
    <w:rsid w:val="003861F1"/>
    <w:rsid w:val="003C1CDC"/>
    <w:rsid w:val="003E0715"/>
    <w:rsid w:val="003F22DF"/>
    <w:rsid w:val="003F39F9"/>
    <w:rsid w:val="003F3ABE"/>
    <w:rsid w:val="004010F9"/>
    <w:rsid w:val="00405E40"/>
    <w:rsid w:val="004225C1"/>
    <w:rsid w:val="00426D8B"/>
    <w:rsid w:val="00444B37"/>
    <w:rsid w:val="00445468"/>
    <w:rsid w:val="00445F40"/>
    <w:rsid w:val="0044687C"/>
    <w:rsid w:val="00446A00"/>
    <w:rsid w:val="00480526"/>
    <w:rsid w:val="00496DFD"/>
    <w:rsid w:val="004A2837"/>
    <w:rsid w:val="004B2D45"/>
    <w:rsid w:val="004E0DC7"/>
    <w:rsid w:val="004E1D25"/>
    <w:rsid w:val="004F1203"/>
    <w:rsid w:val="00511472"/>
    <w:rsid w:val="005169F8"/>
    <w:rsid w:val="00527EC9"/>
    <w:rsid w:val="0054045A"/>
    <w:rsid w:val="00541A38"/>
    <w:rsid w:val="00552DC1"/>
    <w:rsid w:val="005605DD"/>
    <w:rsid w:val="00565088"/>
    <w:rsid w:val="00585E39"/>
    <w:rsid w:val="005975E3"/>
    <w:rsid w:val="005A5374"/>
    <w:rsid w:val="005B38E3"/>
    <w:rsid w:val="005B6E67"/>
    <w:rsid w:val="005C088A"/>
    <w:rsid w:val="005C2DC2"/>
    <w:rsid w:val="005C6569"/>
    <w:rsid w:val="005D5D3B"/>
    <w:rsid w:val="005D6A5D"/>
    <w:rsid w:val="005E2418"/>
    <w:rsid w:val="005E3CA0"/>
    <w:rsid w:val="005E6352"/>
    <w:rsid w:val="005E715C"/>
    <w:rsid w:val="005F56E2"/>
    <w:rsid w:val="005F5EC7"/>
    <w:rsid w:val="00610AA9"/>
    <w:rsid w:val="006139B0"/>
    <w:rsid w:val="006230FE"/>
    <w:rsid w:val="00631D0A"/>
    <w:rsid w:val="0063315F"/>
    <w:rsid w:val="00640C67"/>
    <w:rsid w:val="00652E4C"/>
    <w:rsid w:val="0065492C"/>
    <w:rsid w:val="006554E1"/>
    <w:rsid w:val="006725ED"/>
    <w:rsid w:val="00676FCD"/>
    <w:rsid w:val="006A0E0F"/>
    <w:rsid w:val="006A33B1"/>
    <w:rsid w:val="006A67BD"/>
    <w:rsid w:val="006A7311"/>
    <w:rsid w:val="006A7D11"/>
    <w:rsid w:val="006B55EA"/>
    <w:rsid w:val="006C20A5"/>
    <w:rsid w:val="006C2DE8"/>
    <w:rsid w:val="006C4BAD"/>
    <w:rsid w:val="006D0F1C"/>
    <w:rsid w:val="006E0CA3"/>
    <w:rsid w:val="006E2E21"/>
    <w:rsid w:val="00726D73"/>
    <w:rsid w:val="00727CF6"/>
    <w:rsid w:val="0074247C"/>
    <w:rsid w:val="00764763"/>
    <w:rsid w:val="00767641"/>
    <w:rsid w:val="00775684"/>
    <w:rsid w:val="00775D92"/>
    <w:rsid w:val="0079098B"/>
    <w:rsid w:val="00791799"/>
    <w:rsid w:val="007976A0"/>
    <w:rsid w:val="007A0915"/>
    <w:rsid w:val="007A0D6F"/>
    <w:rsid w:val="007B6509"/>
    <w:rsid w:val="007D1455"/>
    <w:rsid w:val="007E2B8C"/>
    <w:rsid w:val="007E57A7"/>
    <w:rsid w:val="007E76F2"/>
    <w:rsid w:val="007F2B2A"/>
    <w:rsid w:val="00806BB8"/>
    <w:rsid w:val="00815294"/>
    <w:rsid w:val="00822B12"/>
    <w:rsid w:val="0083267C"/>
    <w:rsid w:val="00840978"/>
    <w:rsid w:val="00841E1A"/>
    <w:rsid w:val="00851823"/>
    <w:rsid w:val="0085424E"/>
    <w:rsid w:val="00861B6C"/>
    <w:rsid w:val="0088081F"/>
    <w:rsid w:val="00884CC6"/>
    <w:rsid w:val="0088567F"/>
    <w:rsid w:val="008954E4"/>
    <w:rsid w:val="008A5DB4"/>
    <w:rsid w:val="008C283A"/>
    <w:rsid w:val="008D35DB"/>
    <w:rsid w:val="008E65BB"/>
    <w:rsid w:val="008F56F8"/>
    <w:rsid w:val="00905A2C"/>
    <w:rsid w:val="00906672"/>
    <w:rsid w:val="0092728F"/>
    <w:rsid w:val="00944802"/>
    <w:rsid w:val="00946210"/>
    <w:rsid w:val="00947F0F"/>
    <w:rsid w:val="00973E50"/>
    <w:rsid w:val="009809E9"/>
    <w:rsid w:val="009A57A9"/>
    <w:rsid w:val="009B555E"/>
    <w:rsid w:val="009B778C"/>
    <w:rsid w:val="009C10AA"/>
    <w:rsid w:val="009C1E79"/>
    <w:rsid w:val="009C2734"/>
    <w:rsid w:val="009C2AD1"/>
    <w:rsid w:val="009C5871"/>
    <w:rsid w:val="009D384D"/>
    <w:rsid w:val="009D7BF8"/>
    <w:rsid w:val="009F2B56"/>
    <w:rsid w:val="009F3F1D"/>
    <w:rsid w:val="00A03024"/>
    <w:rsid w:val="00A15DC2"/>
    <w:rsid w:val="00A30ABC"/>
    <w:rsid w:val="00A33406"/>
    <w:rsid w:val="00A35328"/>
    <w:rsid w:val="00A36B89"/>
    <w:rsid w:val="00A4187D"/>
    <w:rsid w:val="00A42C3F"/>
    <w:rsid w:val="00A56F89"/>
    <w:rsid w:val="00A73D86"/>
    <w:rsid w:val="00A80E20"/>
    <w:rsid w:val="00A827D8"/>
    <w:rsid w:val="00A91922"/>
    <w:rsid w:val="00AB53EB"/>
    <w:rsid w:val="00AC6029"/>
    <w:rsid w:val="00AE20F7"/>
    <w:rsid w:val="00AE33EF"/>
    <w:rsid w:val="00AE7008"/>
    <w:rsid w:val="00AF3547"/>
    <w:rsid w:val="00B06B83"/>
    <w:rsid w:val="00B44BF5"/>
    <w:rsid w:val="00B52518"/>
    <w:rsid w:val="00B52679"/>
    <w:rsid w:val="00B56FBC"/>
    <w:rsid w:val="00B6084A"/>
    <w:rsid w:val="00B63FFF"/>
    <w:rsid w:val="00B67111"/>
    <w:rsid w:val="00B70FB9"/>
    <w:rsid w:val="00B71F71"/>
    <w:rsid w:val="00B954F7"/>
    <w:rsid w:val="00BA23A9"/>
    <w:rsid w:val="00BA2F40"/>
    <w:rsid w:val="00BB52C2"/>
    <w:rsid w:val="00BC2FE4"/>
    <w:rsid w:val="00BD39A2"/>
    <w:rsid w:val="00BD4653"/>
    <w:rsid w:val="00BD4BD5"/>
    <w:rsid w:val="00BE1787"/>
    <w:rsid w:val="00BF2EB8"/>
    <w:rsid w:val="00BF7805"/>
    <w:rsid w:val="00BF7E07"/>
    <w:rsid w:val="00C02C71"/>
    <w:rsid w:val="00C47BA1"/>
    <w:rsid w:val="00C63451"/>
    <w:rsid w:val="00C653F7"/>
    <w:rsid w:val="00C86AC4"/>
    <w:rsid w:val="00CA0947"/>
    <w:rsid w:val="00CB0750"/>
    <w:rsid w:val="00CB3694"/>
    <w:rsid w:val="00CB5396"/>
    <w:rsid w:val="00CC0E4B"/>
    <w:rsid w:val="00CC6D80"/>
    <w:rsid w:val="00CD17CC"/>
    <w:rsid w:val="00CD2FB2"/>
    <w:rsid w:val="00CD6B2C"/>
    <w:rsid w:val="00CF288F"/>
    <w:rsid w:val="00CF2F44"/>
    <w:rsid w:val="00D05740"/>
    <w:rsid w:val="00D15DF6"/>
    <w:rsid w:val="00D23B7D"/>
    <w:rsid w:val="00D31D58"/>
    <w:rsid w:val="00D47430"/>
    <w:rsid w:val="00D53CE7"/>
    <w:rsid w:val="00D7115A"/>
    <w:rsid w:val="00D7648C"/>
    <w:rsid w:val="00D91F65"/>
    <w:rsid w:val="00D96DBE"/>
    <w:rsid w:val="00DA17B5"/>
    <w:rsid w:val="00DA7D3A"/>
    <w:rsid w:val="00DD2EA4"/>
    <w:rsid w:val="00DD378A"/>
    <w:rsid w:val="00DF5F22"/>
    <w:rsid w:val="00DF6CF3"/>
    <w:rsid w:val="00E06FC1"/>
    <w:rsid w:val="00E238B0"/>
    <w:rsid w:val="00E2514E"/>
    <w:rsid w:val="00E37A76"/>
    <w:rsid w:val="00E40E42"/>
    <w:rsid w:val="00E42D18"/>
    <w:rsid w:val="00E50065"/>
    <w:rsid w:val="00E72D8D"/>
    <w:rsid w:val="00E83869"/>
    <w:rsid w:val="00E84BAC"/>
    <w:rsid w:val="00E84F4C"/>
    <w:rsid w:val="00E86F60"/>
    <w:rsid w:val="00E87852"/>
    <w:rsid w:val="00E936D9"/>
    <w:rsid w:val="00E97EBA"/>
    <w:rsid w:val="00EA1CC1"/>
    <w:rsid w:val="00EB795E"/>
    <w:rsid w:val="00ED139D"/>
    <w:rsid w:val="00F16B6B"/>
    <w:rsid w:val="00F22F9D"/>
    <w:rsid w:val="00F56307"/>
    <w:rsid w:val="00F5707E"/>
    <w:rsid w:val="00F73A95"/>
    <w:rsid w:val="00F73C5D"/>
    <w:rsid w:val="00F80FD2"/>
    <w:rsid w:val="00FA0424"/>
    <w:rsid w:val="00FA047E"/>
    <w:rsid w:val="00FA0904"/>
    <w:rsid w:val="00FB0345"/>
    <w:rsid w:val="00FB5258"/>
    <w:rsid w:val="00FD24D4"/>
    <w:rsid w:val="00FE5A0A"/>
    <w:rsid w:val="00FE6147"/>
    <w:rsid w:val="00FE6519"/>
    <w:rsid w:val="00FF03B3"/>
    <w:rsid w:val="01055944"/>
    <w:rsid w:val="010755B1"/>
    <w:rsid w:val="010758FA"/>
    <w:rsid w:val="010941E8"/>
    <w:rsid w:val="010E2099"/>
    <w:rsid w:val="01181731"/>
    <w:rsid w:val="011B342F"/>
    <w:rsid w:val="01281BB1"/>
    <w:rsid w:val="0129279D"/>
    <w:rsid w:val="012B3D88"/>
    <w:rsid w:val="012E7B54"/>
    <w:rsid w:val="01431E6A"/>
    <w:rsid w:val="0151347F"/>
    <w:rsid w:val="015E683C"/>
    <w:rsid w:val="0160084E"/>
    <w:rsid w:val="01624BE1"/>
    <w:rsid w:val="01665649"/>
    <w:rsid w:val="017225AD"/>
    <w:rsid w:val="017463F9"/>
    <w:rsid w:val="017566D9"/>
    <w:rsid w:val="017814FB"/>
    <w:rsid w:val="0179546C"/>
    <w:rsid w:val="017B5E9E"/>
    <w:rsid w:val="017F5A80"/>
    <w:rsid w:val="01824F54"/>
    <w:rsid w:val="01865748"/>
    <w:rsid w:val="018A6037"/>
    <w:rsid w:val="01921428"/>
    <w:rsid w:val="01937524"/>
    <w:rsid w:val="01A551DF"/>
    <w:rsid w:val="01AA03F5"/>
    <w:rsid w:val="01B4673B"/>
    <w:rsid w:val="01B52DCF"/>
    <w:rsid w:val="01C85640"/>
    <w:rsid w:val="01CE3E86"/>
    <w:rsid w:val="01D50CB6"/>
    <w:rsid w:val="01D97E8B"/>
    <w:rsid w:val="01DB1264"/>
    <w:rsid w:val="01E23D1D"/>
    <w:rsid w:val="01E25F1A"/>
    <w:rsid w:val="01E34903"/>
    <w:rsid w:val="01E50E42"/>
    <w:rsid w:val="01E82B2D"/>
    <w:rsid w:val="01E970FB"/>
    <w:rsid w:val="01ED30B6"/>
    <w:rsid w:val="01EF203E"/>
    <w:rsid w:val="01F4079F"/>
    <w:rsid w:val="02014E5B"/>
    <w:rsid w:val="02017F15"/>
    <w:rsid w:val="0204294B"/>
    <w:rsid w:val="0206170B"/>
    <w:rsid w:val="02065914"/>
    <w:rsid w:val="020E6E43"/>
    <w:rsid w:val="020F26BD"/>
    <w:rsid w:val="021031A3"/>
    <w:rsid w:val="021274BD"/>
    <w:rsid w:val="021330C1"/>
    <w:rsid w:val="02176E0B"/>
    <w:rsid w:val="021A6C4F"/>
    <w:rsid w:val="021F45D0"/>
    <w:rsid w:val="0221260B"/>
    <w:rsid w:val="022A47D4"/>
    <w:rsid w:val="022D29E0"/>
    <w:rsid w:val="022E1342"/>
    <w:rsid w:val="02355BC6"/>
    <w:rsid w:val="02363578"/>
    <w:rsid w:val="023E3005"/>
    <w:rsid w:val="023F6EA1"/>
    <w:rsid w:val="024263C3"/>
    <w:rsid w:val="02452D18"/>
    <w:rsid w:val="02490090"/>
    <w:rsid w:val="024F1400"/>
    <w:rsid w:val="02553E98"/>
    <w:rsid w:val="0259024D"/>
    <w:rsid w:val="025B0D98"/>
    <w:rsid w:val="025D35BD"/>
    <w:rsid w:val="026002FC"/>
    <w:rsid w:val="02607B71"/>
    <w:rsid w:val="02641DFB"/>
    <w:rsid w:val="026B60C4"/>
    <w:rsid w:val="027820AC"/>
    <w:rsid w:val="027E6893"/>
    <w:rsid w:val="02802FCA"/>
    <w:rsid w:val="02836C3B"/>
    <w:rsid w:val="0284618A"/>
    <w:rsid w:val="028D7421"/>
    <w:rsid w:val="028E1F87"/>
    <w:rsid w:val="029849A8"/>
    <w:rsid w:val="02A079B1"/>
    <w:rsid w:val="02A222D0"/>
    <w:rsid w:val="02A2264C"/>
    <w:rsid w:val="02A66735"/>
    <w:rsid w:val="02A91D81"/>
    <w:rsid w:val="02AD4924"/>
    <w:rsid w:val="02AD5514"/>
    <w:rsid w:val="02B544EF"/>
    <w:rsid w:val="02B56AD0"/>
    <w:rsid w:val="02BD5650"/>
    <w:rsid w:val="02C44AC0"/>
    <w:rsid w:val="02D0532D"/>
    <w:rsid w:val="02D06E80"/>
    <w:rsid w:val="02D106C0"/>
    <w:rsid w:val="02D2184A"/>
    <w:rsid w:val="02D63FE4"/>
    <w:rsid w:val="02D80DDE"/>
    <w:rsid w:val="02DC703D"/>
    <w:rsid w:val="02E260E2"/>
    <w:rsid w:val="02E8726A"/>
    <w:rsid w:val="02ED3652"/>
    <w:rsid w:val="02ED4748"/>
    <w:rsid w:val="02F47D10"/>
    <w:rsid w:val="02F665F2"/>
    <w:rsid w:val="02F9692B"/>
    <w:rsid w:val="02FE3E7B"/>
    <w:rsid w:val="03117F7E"/>
    <w:rsid w:val="03142AAD"/>
    <w:rsid w:val="03170467"/>
    <w:rsid w:val="032233AD"/>
    <w:rsid w:val="03233818"/>
    <w:rsid w:val="032812FD"/>
    <w:rsid w:val="033D6E0E"/>
    <w:rsid w:val="034128F1"/>
    <w:rsid w:val="03465D44"/>
    <w:rsid w:val="03467F56"/>
    <w:rsid w:val="03496239"/>
    <w:rsid w:val="03500CB4"/>
    <w:rsid w:val="03504802"/>
    <w:rsid w:val="0355077C"/>
    <w:rsid w:val="0355780A"/>
    <w:rsid w:val="03577817"/>
    <w:rsid w:val="03612B51"/>
    <w:rsid w:val="0369641A"/>
    <w:rsid w:val="036C09F8"/>
    <w:rsid w:val="03763C28"/>
    <w:rsid w:val="037B7045"/>
    <w:rsid w:val="037E25CA"/>
    <w:rsid w:val="03823A8E"/>
    <w:rsid w:val="03892212"/>
    <w:rsid w:val="038A1451"/>
    <w:rsid w:val="03940696"/>
    <w:rsid w:val="039C457A"/>
    <w:rsid w:val="039C6179"/>
    <w:rsid w:val="039D7405"/>
    <w:rsid w:val="03AC0DD8"/>
    <w:rsid w:val="03AF23E6"/>
    <w:rsid w:val="03BE20DD"/>
    <w:rsid w:val="03C33DF8"/>
    <w:rsid w:val="03CA5383"/>
    <w:rsid w:val="03CE34AE"/>
    <w:rsid w:val="03D07D3B"/>
    <w:rsid w:val="03D23E6F"/>
    <w:rsid w:val="03D8653B"/>
    <w:rsid w:val="03DB7F34"/>
    <w:rsid w:val="03DE3EC0"/>
    <w:rsid w:val="03E078A9"/>
    <w:rsid w:val="03E3355C"/>
    <w:rsid w:val="03E535C1"/>
    <w:rsid w:val="03EE3FF4"/>
    <w:rsid w:val="03F551EF"/>
    <w:rsid w:val="03FA3DFE"/>
    <w:rsid w:val="040C7782"/>
    <w:rsid w:val="040D3685"/>
    <w:rsid w:val="04137253"/>
    <w:rsid w:val="04162990"/>
    <w:rsid w:val="041B280B"/>
    <w:rsid w:val="041D7351"/>
    <w:rsid w:val="042A49FB"/>
    <w:rsid w:val="042D18BE"/>
    <w:rsid w:val="042D63CE"/>
    <w:rsid w:val="043210F1"/>
    <w:rsid w:val="04392C7B"/>
    <w:rsid w:val="043A07F4"/>
    <w:rsid w:val="043D1681"/>
    <w:rsid w:val="043E118A"/>
    <w:rsid w:val="04444AB8"/>
    <w:rsid w:val="044B7BE3"/>
    <w:rsid w:val="044E2BE0"/>
    <w:rsid w:val="04614A57"/>
    <w:rsid w:val="046A7D2D"/>
    <w:rsid w:val="046C4F3C"/>
    <w:rsid w:val="046E6C5D"/>
    <w:rsid w:val="047274EA"/>
    <w:rsid w:val="047864E3"/>
    <w:rsid w:val="047B6393"/>
    <w:rsid w:val="04816A57"/>
    <w:rsid w:val="04845C83"/>
    <w:rsid w:val="048C216B"/>
    <w:rsid w:val="0493002D"/>
    <w:rsid w:val="04A65486"/>
    <w:rsid w:val="04A96B88"/>
    <w:rsid w:val="04AA1FAF"/>
    <w:rsid w:val="04AF203C"/>
    <w:rsid w:val="04B14AA5"/>
    <w:rsid w:val="04B4582E"/>
    <w:rsid w:val="04C01B7C"/>
    <w:rsid w:val="04C23B92"/>
    <w:rsid w:val="04C74740"/>
    <w:rsid w:val="04D52ED7"/>
    <w:rsid w:val="04D64EB7"/>
    <w:rsid w:val="04DD57E5"/>
    <w:rsid w:val="04EB78F1"/>
    <w:rsid w:val="04EC05D7"/>
    <w:rsid w:val="04EE2FFF"/>
    <w:rsid w:val="04F035E2"/>
    <w:rsid w:val="04F14FCB"/>
    <w:rsid w:val="04F77BB6"/>
    <w:rsid w:val="04FD7110"/>
    <w:rsid w:val="04FE142C"/>
    <w:rsid w:val="04FE1D3B"/>
    <w:rsid w:val="04FE5005"/>
    <w:rsid w:val="04FF0573"/>
    <w:rsid w:val="04FF4657"/>
    <w:rsid w:val="04FF62E3"/>
    <w:rsid w:val="05024F1E"/>
    <w:rsid w:val="050568E6"/>
    <w:rsid w:val="05075366"/>
    <w:rsid w:val="05086162"/>
    <w:rsid w:val="050A4C6D"/>
    <w:rsid w:val="05104339"/>
    <w:rsid w:val="05112958"/>
    <w:rsid w:val="0513775E"/>
    <w:rsid w:val="051378ED"/>
    <w:rsid w:val="051850F1"/>
    <w:rsid w:val="051A4E7A"/>
    <w:rsid w:val="051C24C1"/>
    <w:rsid w:val="051D3B8E"/>
    <w:rsid w:val="05254F9B"/>
    <w:rsid w:val="0526124B"/>
    <w:rsid w:val="05281683"/>
    <w:rsid w:val="052B4E96"/>
    <w:rsid w:val="052F70CF"/>
    <w:rsid w:val="05317A58"/>
    <w:rsid w:val="0534326B"/>
    <w:rsid w:val="05385EFD"/>
    <w:rsid w:val="053C0C8A"/>
    <w:rsid w:val="05417FB1"/>
    <w:rsid w:val="0543026B"/>
    <w:rsid w:val="054334D3"/>
    <w:rsid w:val="054A1D36"/>
    <w:rsid w:val="054A784B"/>
    <w:rsid w:val="05535C50"/>
    <w:rsid w:val="05575210"/>
    <w:rsid w:val="05596B2C"/>
    <w:rsid w:val="05675870"/>
    <w:rsid w:val="0569376F"/>
    <w:rsid w:val="056D55F6"/>
    <w:rsid w:val="05726CCF"/>
    <w:rsid w:val="05727106"/>
    <w:rsid w:val="05752CD7"/>
    <w:rsid w:val="057933C1"/>
    <w:rsid w:val="05861780"/>
    <w:rsid w:val="058A4BA6"/>
    <w:rsid w:val="058E699F"/>
    <w:rsid w:val="059F28A9"/>
    <w:rsid w:val="05A000DA"/>
    <w:rsid w:val="05A17659"/>
    <w:rsid w:val="05A245CA"/>
    <w:rsid w:val="05A43E1E"/>
    <w:rsid w:val="05A65493"/>
    <w:rsid w:val="05A86F75"/>
    <w:rsid w:val="05AB6232"/>
    <w:rsid w:val="05AF0BBB"/>
    <w:rsid w:val="05B8365B"/>
    <w:rsid w:val="05BC4667"/>
    <w:rsid w:val="05BE4E98"/>
    <w:rsid w:val="05C017FD"/>
    <w:rsid w:val="05C92ACF"/>
    <w:rsid w:val="05CD4CC0"/>
    <w:rsid w:val="05CE427D"/>
    <w:rsid w:val="05D83BC6"/>
    <w:rsid w:val="05DB1650"/>
    <w:rsid w:val="05DD7A30"/>
    <w:rsid w:val="05DF603B"/>
    <w:rsid w:val="05E03D0C"/>
    <w:rsid w:val="05E0505B"/>
    <w:rsid w:val="05E82435"/>
    <w:rsid w:val="05E82C56"/>
    <w:rsid w:val="05EA1A37"/>
    <w:rsid w:val="05EC0DA3"/>
    <w:rsid w:val="05F73ED5"/>
    <w:rsid w:val="05F93EA8"/>
    <w:rsid w:val="05FB6DFB"/>
    <w:rsid w:val="060E537E"/>
    <w:rsid w:val="061836AA"/>
    <w:rsid w:val="061D6D0E"/>
    <w:rsid w:val="06262376"/>
    <w:rsid w:val="0629320B"/>
    <w:rsid w:val="062A245A"/>
    <w:rsid w:val="062D04BC"/>
    <w:rsid w:val="063076A4"/>
    <w:rsid w:val="06320987"/>
    <w:rsid w:val="06345E06"/>
    <w:rsid w:val="063808D0"/>
    <w:rsid w:val="063C1BF9"/>
    <w:rsid w:val="064F07E2"/>
    <w:rsid w:val="065873A7"/>
    <w:rsid w:val="065D4445"/>
    <w:rsid w:val="065E4D8D"/>
    <w:rsid w:val="065E7629"/>
    <w:rsid w:val="06604E26"/>
    <w:rsid w:val="066065DC"/>
    <w:rsid w:val="06615C88"/>
    <w:rsid w:val="06687C49"/>
    <w:rsid w:val="06714C8E"/>
    <w:rsid w:val="067642A4"/>
    <w:rsid w:val="067D1F5F"/>
    <w:rsid w:val="067F6182"/>
    <w:rsid w:val="06800A74"/>
    <w:rsid w:val="068A254B"/>
    <w:rsid w:val="068B425C"/>
    <w:rsid w:val="06942E5A"/>
    <w:rsid w:val="0696388E"/>
    <w:rsid w:val="069B1455"/>
    <w:rsid w:val="06A43516"/>
    <w:rsid w:val="06AC736C"/>
    <w:rsid w:val="06B0408A"/>
    <w:rsid w:val="06B73E05"/>
    <w:rsid w:val="06C02CD8"/>
    <w:rsid w:val="06C13841"/>
    <w:rsid w:val="06C33D74"/>
    <w:rsid w:val="06C44D8C"/>
    <w:rsid w:val="06C60472"/>
    <w:rsid w:val="06C64B0E"/>
    <w:rsid w:val="06C66B2C"/>
    <w:rsid w:val="06C72039"/>
    <w:rsid w:val="06C80D2C"/>
    <w:rsid w:val="06CB3D07"/>
    <w:rsid w:val="06D23420"/>
    <w:rsid w:val="06DD133A"/>
    <w:rsid w:val="06E606B8"/>
    <w:rsid w:val="06E61A4B"/>
    <w:rsid w:val="06ED06D9"/>
    <w:rsid w:val="06F131F4"/>
    <w:rsid w:val="07054393"/>
    <w:rsid w:val="07077BF8"/>
    <w:rsid w:val="071C0767"/>
    <w:rsid w:val="071C6FC5"/>
    <w:rsid w:val="071E2D3E"/>
    <w:rsid w:val="07235D4D"/>
    <w:rsid w:val="07236633"/>
    <w:rsid w:val="072C7A5F"/>
    <w:rsid w:val="072F0F89"/>
    <w:rsid w:val="072F7717"/>
    <w:rsid w:val="07373D50"/>
    <w:rsid w:val="07384486"/>
    <w:rsid w:val="07397B77"/>
    <w:rsid w:val="073C1416"/>
    <w:rsid w:val="07557CBE"/>
    <w:rsid w:val="07596166"/>
    <w:rsid w:val="075E5E13"/>
    <w:rsid w:val="07647402"/>
    <w:rsid w:val="076C3F23"/>
    <w:rsid w:val="076E4CB1"/>
    <w:rsid w:val="07741065"/>
    <w:rsid w:val="0776564B"/>
    <w:rsid w:val="07783A6E"/>
    <w:rsid w:val="077E299C"/>
    <w:rsid w:val="078D3A1F"/>
    <w:rsid w:val="078F5FAB"/>
    <w:rsid w:val="079A21F4"/>
    <w:rsid w:val="079C6E5D"/>
    <w:rsid w:val="07A12378"/>
    <w:rsid w:val="07A33D61"/>
    <w:rsid w:val="07A5520D"/>
    <w:rsid w:val="07A64AE1"/>
    <w:rsid w:val="07AA4031"/>
    <w:rsid w:val="07AE2288"/>
    <w:rsid w:val="07AF643E"/>
    <w:rsid w:val="07B13BB2"/>
    <w:rsid w:val="07BA11DA"/>
    <w:rsid w:val="07BB766B"/>
    <w:rsid w:val="07BE4C2C"/>
    <w:rsid w:val="07BE6F80"/>
    <w:rsid w:val="07C32BE3"/>
    <w:rsid w:val="07C5140B"/>
    <w:rsid w:val="07C53E08"/>
    <w:rsid w:val="07C8375D"/>
    <w:rsid w:val="07C9640D"/>
    <w:rsid w:val="07CF3C28"/>
    <w:rsid w:val="07D30C8E"/>
    <w:rsid w:val="07D91E6C"/>
    <w:rsid w:val="07D933C9"/>
    <w:rsid w:val="07E84E9C"/>
    <w:rsid w:val="07ED2E7C"/>
    <w:rsid w:val="07EE68C9"/>
    <w:rsid w:val="080A092D"/>
    <w:rsid w:val="08157775"/>
    <w:rsid w:val="081649BC"/>
    <w:rsid w:val="08196961"/>
    <w:rsid w:val="08197A33"/>
    <w:rsid w:val="082244B8"/>
    <w:rsid w:val="0824157E"/>
    <w:rsid w:val="082711A0"/>
    <w:rsid w:val="08275C22"/>
    <w:rsid w:val="08277659"/>
    <w:rsid w:val="08332A8D"/>
    <w:rsid w:val="083758CD"/>
    <w:rsid w:val="08396CC9"/>
    <w:rsid w:val="08426512"/>
    <w:rsid w:val="084B6402"/>
    <w:rsid w:val="084C263A"/>
    <w:rsid w:val="0857068F"/>
    <w:rsid w:val="085B3C7A"/>
    <w:rsid w:val="08615929"/>
    <w:rsid w:val="08690481"/>
    <w:rsid w:val="086C54AB"/>
    <w:rsid w:val="086E0249"/>
    <w:rsid w:val="08701A45"/>
    <w:rsid w:val="087205EF"/>
    <w:rsid w:val="0875336A"/>
    <w:rsid w:val="0881398E"/>
    <w:rsid w:val="08843DE0"/>
    <w:rsid w:val="08845B88"/>
    <w:rsid w:val="08900E03"/>
    <w:rsid w:val="08927300"/>
    <w:rsid w:val="089C542D"/>
    <w:rsid w:val="08A059D4"/>
    <w:rsid w:val="08A569F3"/>
    <w:rsid w:val="08AB45E8"/>
    <w:rsid w:val="08B05C92"/>
    <w:rsid w:val="08B64B06"/>
    <w:rsid w:val="08CF3F9E"/>
    <w:rsid w:val="08D803BB"/>
    <w:rsid w:val="08D86564"/>
    <w:rsid w:val="08E23952"/>
    <w:rsid w:val="08EB5064"/>
    <w:rsid w:val="08F316BF"/>
    <w:rsid w:val="08F329D1"/>
    <w:rsid w:val="08FA50E4"/>
    <w:rsid w:val="08FE1164"/>
    <w:rsid w:val="08FF1B4E"/>
    <w:rsid w:val="090D2068"/>
    <w:rsid w:val="09101224"/>
    <w:rsid w:val="09144450"/>
    <w:rsid w:val="09187C60"/>
    <w:rsid w:val="092224A4"/>
    <w:rsid w:val="09263DA8"/>
    <w:rsid w:val="09291796"/>
    <w:rsid w:val="09300B06"/>
    <w:rsid w:val="09310D9E"/>
    <w:rsid w:val="09343749"/>
    <w:rsid w:val="093D4D45"/>
    <w:rsid w:val="09406B1F"/>
    <w:rsid w:val="09421627"/>
    <w:rsid w:val="09436A8B"/>
    <w:rsid w:val="094F357A"/>
    <w:rsid w:val="09527083"/>
    <w:rsid w:val="09546C15"/>
    <w:rsid w:val="09594501"/>
    <w:rsid w:val="095A5BAB"/>
    <w:rsid w:val="095E1ED5"/>
    <w:rsid w:val="0960032A"/>
    <w:rsid w:val="09616F12"/>
    <w:rsid w:val="096568D3"/>
    <w:rsid w:val="09676E6A"/>
    <w:rsid w:val="096E7CD5"/>
    <w:rsid w:val="0972418C"/>
    <w:rsid w:val="097B52F9"/>
    <w:rsid w:val="097D3D7F"/>
    <w:rsid w:val="097D57A3"/>
    <w:rsid w:val="09824B3E"/>
    <w:rsid w:val="09851219"/>
    <w:rsid w:val="098F2FFE"/>
    <w:rsid w:val="098F439E"/>
    <w:rsid w:val="09960EC9"/>
    <w:rsid w:val="099A0675"/>
    <w:rsid w:val="099A562E"/>
    <w:rsid w:val="099E4418"/>
    <w:rsid w:val="099F1C77"/>
    <w:rsid w:val="09A129E2"/>
    <w:rsid w:val="09A42C7C"/>
    <w:rsid w:val="09A72F4F"/>
    <w:rsid w:val="09AA58B8"/>
    <w:rsid w:val="09AE43B9"/>
    <w:rsid w:val="09B162CF"/>
    <w:rsid w:val="09BE4EB0"/>
    <w:rsid w:val="09BE5267"/>
    <w:rsid w:val="09C64C86"/>
    <w:rsid w:val="09C7221E"/>
    <w:rsid w:val="09E57F4F"/>
    <w:rsid w:val="09E63AB9"/>
    <w:rsid w:val="09E66015"/>
    <w:rsid w:val="09E76BBD"/>
    <w:rsid w:val="09ED3DDF"/>
    <w:rsid w:val="0A0D1A44"/>
    <w:rsid w:val="0A181A79"/>
    <w:rsid w:val="0A2D1089"/>
    <w:rsid w:val="0A2F7DD4"/>
    <w:rsid w:val="0A322675"/>
    <w:rsid w:val="0A334CCE"/>
    <w:rsid w:val="0A3B59B5"/>
    <w:rsid w:val="0A3F0559"/>
    <w:rsid w:val="0A3F43FB"/>
    <w:rsid w:val="0A4047E7"/>
    <w:rsid w:val="0A452B09"/>
    <w:rsid w:val="0A4B1220"/>
    <w:rsid w:val="0A4E7DFC"/>
    <w:rsid w:val="0A5371B2"/>
    <w:rsid w:val="0A577651"/>
    <w:rsid w:val="0A5D7183"/>
    <w:rsid w:val="0A615103"/>
    <w:rsid w:val="0A62625A"/>
    <w:rsid w:val="0A6365E0"/>
    <w:rsid w:val="0A641E54"/>
    <w:rsid w:val="0A6477E3"/>
    <w:rsid w:val="0A6D7F0B"/>
    <w:rsid w:val="0A717628"/>
    <w:rsid w:val="0A786C09"/>
    <w:rsid w:val="0A7F7DD2"/>
    <w:rsid w:val="0A85103E"/>
    <w:rsid w:val="0A8A12F9"/>
    <w:rsid w:val="0A8F0039"/>
    <w:rsid w:val="0A9609A1"/>
    <w:rsid w:val="0A9713A6"/>
    <w:rsid w:val="0A992BD6"/>
    <w:rsid w:val="0AA06B99"/>
    <w:rsid w:val="0AA3031F"/>
    <w:rsid w:val="0AA34356"/>
    <w:rsid w:val="0AA466C4"/>
    <w:rsid w:val="0AA94876"/>
    <w:rsid w:val="0AAC68B2"/>
    <w:rsid w:val="0AAE591C"/>
    <w:rsid w:val="0AB1755D"/>
    <w:rsid w:val="0AB47B0F"/>
    <w:rsid w:val="0ABB1A76"/>
    <w:rsid w:val="0ABE5D0D"/>
    <w:rsid w:val="0AC66292"/>
    <w:rsid w:val="0AC91137"/>
    <w:rsid w:val="0ACB1021"/>
    <w:rsid w:val="0AD4591C"/>
    <w:rsid w:val="0AD55534"/>
    <w:rsid w:val="0AD907E7"/>
    <w:rsid w:val="0ADA07A8"/>
    <w:rsid w:val="0ADA24F1"/>
    <w:rsid w:val="0AE75FF6"/>
    <w:rsid w:val="0AEC6CAF"/>
    <w:rsid w:val="0AF8308E"/>
    <w:rsid w:val="0B075E12"/>
    <w:rsid w:val="0B0A7275"/>
    <w:rsid w:val="0B0F2493"/>
    <w:rsid w:val="0B10031A"/>
    <w:rsid w:val="0B176BE8"/>
    <w:rsid w:val="0B1E47F3"/>
    <w:rsid w:val="0B2135F5"/>
    <w:rsid w:val="0B263E24"/>
    <w:rsid w:val="0B27418B"/>
    <w:rsid w:val="0B292CFE"/>
    <w:rsid w:val="0B2C0129"/>
    <w:rsid w:val="0B306DC0"/>
    <w:rsid w:val="0B352586"/>
    <w:rsid w:val="0B3C3FD2"/>
    <w:rsid w:val="0B41524D"/>
    <w:rsid w:val="0B4334B7"/>
    <w:rsid w:val="0B476BE4"/>
    <w:rsid w:val="0B510D02"/>
    <w:rsid w:val="0B525AE4"/>
    <w:rsid w:val="0B540130"/>
    <w:rsid w:val="0B5439A8"/>
    <w:rsid w:val="0B547C52"/>
    <w:rsid w:val="0B587014"/>
    <w:rsid w:val="0B5C7986"/>
    <w:rsid w:val="0B5D73D1"/>
    <w:rsid w:val="0B6318B2"/>
    <w:rsid w:val="0B714456"/>
    <w:rsid w:val="0B7237E0"/>
    <w:rsid w:val="0B727909"/>
    <w:rsid w:val="0B773874"/>
    <w:rsid w:val="0B785932"/>
    <w:rsid w:val="0B7A22E1"/>
    <w:rsid w:val="0B80102E"/>
    <w:rsid w:val="0B82474F"/>
    <w:rsid w:val="0B854293"/>
    <w:rsid w:val="0B877FC0"/>
    <w:rsid w:val="0B937496"/>
    <w:rsid w:val="0B976C6A"/>
    <w:rsid w:val="0B9955A7"/>
    <w:rsid w:val="0B9C6927"/>
    <w:rsid w:val="0B9D3ABF"/>
    <w:rsid w:val="0BA060A9"/>
    <w:rsid w:val="0BA217B3"/>
    <w:rsid w:val="0BA40964"/>
    <w:rsid w:val="0BB9622A"/>
    <w:rsid w:val="0BC940F3"/>
    <w:rsid w:val="0BCC253F"/>
    <w:rsid w:val="0BCD4146"/>
    <w:rsid w:val="0BD55F94"/>
    <w:rsid w:val="0BD654AE"/>
    <w:rsid w:val="0BDE6804"/>
    <w:rsid w:val="0BDF7395"/>
    <w:rsid w:val="0BE22C8C"/>
    <w:rsid w:val="0BE350DB"/>
    <w:rsid w:val="0BE47B45"/>
    <w:rsid w:val="0BE53C10"/>
    <w:rsid w:val="0BEA335C"/>
    <w:rsid w:val="0BEC58E0"/>
    <w:rsid w:val="0BF00EAC"/>
    <w:rsid w:val="0BF013A0"/>
    <w:rsid w:val="0BF027CF"/>
    <w:rsid w:val="0BFE22B2"/>
    <w:rsid w:val="0C044A0F"/>
    <w:rsid w:val="0C0A1AE2"/>
    <w:rsid w:val="0C0D3381"/>
    <w:rsid w:val="0C125656"/>
    <w:rsid w:val="0C165640"/>
    <w:rsid w:val="0C18359A"/>
    <w:rsid w:val="0C287717"/>
    <w:rsid w:val="0C2E38DB"/>
    <w:rsid w:val="0C2F3F80"/>
    <w:rsid w:val="0C2F5D32"/>
    <w:rsid w:val="0C33523C"/>
    <w:rsid w:val="0C34090D"/>
    <w:rsid w:val="0C342F32"/>
    <w:rsid w:val="0C377780"/>
    <w:rsid w:val="0C38758F"/>
    <w:rsid w:val="0C3F0E27"/>
    <w:rsid w:val="0C3F109E"/>
    <w:rsid w:val="0C43096D"/>
    <w:rsid w:val="0C431164"/>
    <w:rsid w:val="0C455B98"/>
    <w:rsid w:val="0C4641CD"/>
    <w:rsid w:val="0C472FE2"/>
    <w:rsid w:val="0C492887"/>
    <w:rsid w:val="0C4F216D"/>
    <w:rsid w:val="0C593959"/>
    <w:rsid w:val="0C637FB5"/>
    <w:rsid w:val="0C660DB5"/>
    <w:rsid w:val="0C6763A6"/>
    <w:rsid w:val="0C6805B7"/>
    <w:rsid w:val="0C691B74"/>
    <w:rsid w:val="0C6D4844"/>
    <w:rsid w:val="0C6D5E72"/>
    <w:rsid w:val="0C7B43AE"/>
    <w:rsid w:val="0C81064C"/>
    <w:rsid w:val="0C8F6628"/>
    <w:rsid w:val="0C944E58"/>
    <w:rsid w:val="0C967EEC"/>
    <w:rsid w:val="0CA21DC7"/>
    <w:rsid w:val="0CA56371"/>
    <w:rsid w:val="0CAC76CC"/>
    <w:rsid w:val="0CAD2D59"/>
    <w:rsid w:val="0CAF480A"/>
    <w:rsid w:val="0CB02DEF"/>
    <w:rsid w:val="0CB80A2D"/>
    <w:rsid w:val="0CD24691"/>
    <w:rsid w:val="0CD51BBB"/>
    <w:rsid w:val="0CD61046"/>
    <w:rsid w:val="0CD6284B"/>
    <w:rsid w:val="0CD754A2"/>
    <w:rsid w:val="0CEB1126"/>
    <w:rsid w:val="0CF0639D"/>
    <w:rsid w:val="0CFC11DB"/>
    <w:rsid w:val="0CFC5B32"/>
    <w:rsid w:val="0D0A0447"/>
    <w:rsid w:val="0D0D4FF3"/>
    <w:rsid w:val="0D196C8D"/>
    <w:rsid w:val="0D1C4798"/>
    <w:rsid w:val="0D1D2BD7"/>
    <w:rsid w:val="0D1E2FE8"/>
    <w:rsid w:val="0D212098"/>
    <w:rsid w:val="0D22098B"/>
    <w:rsid w:val="0D24172D"/>
    <w:rsid w:val="0D256536"/>
    <w:rsid w:val="0D283592"/>
    <w:rsid w:val="0D2914E4"/>
    <w:rsid w:val="0D292FA3"/>
    <w:rsid w:val="0D345364"/>
    <w:rsid w:val="0D352639"/>
    <w:rsid w:val="0D373EEB"/>
    <w:rsid w:val="0D377665"/>
    <w:rsid w:val="0D3B135B"/>
    <w:rsid w:val="0D3B4129"/>
    <w:rsid w:val="0D3C1501"/>
    <w:rsid w:val="0D4466E8"/>
    <w:rsid w:val="0D495F1C"/>
    <w:rsid w:val="0D50750E"/>
    <w:rsid w:val="0D511F69"/>
    <w:rsid w:val="0D583CA3"/>
    <w:rsid w:val="0D68653F"/>
    <w:rsid w:val="0D6A0A7B"/>
    <w:rsid w:val="0D6E60A1"/>
    <w:rsid w:val="0D6F1859"/>
    <w:rsid w:val="0D777C1F"/>
    <w:rsid w:val="0D796046"/>
    <w:rsid w:val="0D7D02E2"/>
    <w:rsid w:val="0D7D2259"/>
    <w:rsid w:val="0D8A6BA5"/>
    <w:rsid w:val="0DB37F58"/>
    <w:rsid w:val="0DB50B6A"/>
    <w:rsid w:val="0DB851A3"/>
    <w:rsid w:val="0DBB7EFA"/>
    <w:rsid w:val="0DBC1068"/>
    <w:rsid w:val="0DBF27B3"/>
    <w:rsid w:val="0DC36A25"/>
    <w:rsid w:val="0DC45F46"/>
    <w:rsid w:val="0DC835DE"/>
    <w:rsid w:val="0DCE1E4E"/>
    <w:rsid w:val="0DD23647"/>
    <w:rsid w:val="0DD25862"/>
    <w:rsid w:val="0DE016D4"/>
    <w:rsid w:val="0DE54B3A"/>
    <w:rsid w:val="0DE7465B"/>
    <w:rsid w:val="0DE85E53"/>
    <w:rsid w:val="0DEC36D5"/>
    <w:rsid w:val="0DF540CC"/>
    <w:rsid w:val="0DF569FA"/>
    <w:rsid w:val="0DFB4EBD"/>
    <w:rsid w:val="0DFE47ED"/>
    <w:rsid w:val="0DFF05F8"/>
    <w:rsid w:val="0DFF1C47"/>
    <w:rsid w:val="0DFF2833"/>
    <w:rsid w:val="0E037EF2"/>
    <w:rsid w:val="0E061A7A"/>
    <w:rsid w:val="0E097DF6"/>
    <w:rsid w:val="0E0E7E73"/>
    <w:rsid w:val="0E115D2D"/>
    <w:rsid w:val="0E122901"/>
    <w:rsid w:val="0E124ED0"/>
    <w:rsid w:val="0E147AA9"/>
    <w:rsid w:val="0E1D18AA"/>
    <w:rsid w:val="0E1F0F9B"/>
    <w:rsid w:val="0E220ABE"/>
    <w:rsid w:val="0E2257F2"/>
    <w:rsid w:val="0E2427FB"/>
    <w:rsid w:val="0E2465D4"/>
    <w:rsid w:val="0E272EC6"/>
    <w:rsid w:val="0E29543B"/>
    <w:rsid w:val="0E2D4DCF"/>
    <w:rsid w:val="0E2F7C1A"/>
    <w:rsid w:val="0E386611"/>
    <w:rsid w:val="0E3E1396"/>
    <w:rsid w:val="0E3F0E68"/>
    <w:rsid w:val="0E461A23"/>
    <w:rsid w:val="0E464928"/>
    <w:rsid w:val="0E477FDC"/>
    <w:rsid w:val="0E4B5147"/>
    <w:rsid w:val="0E4F426C"/>
    <w:rsid w:val="0E522815"/>
    <w:rsid w:val="0E59511F"/>
    <w:rsid w:val="0E5D54CB"/>
    <w:rsid w:val="0E5E7146"/>
    <w:rsid w:val="0E6258EA"/>
    <w:rsid w:val="0E6B74B8"/>
    <w:rsid w:val="0E731BEE"/>
    <w:rsid w:val="0E7857A6"/>
    <w:rsid w:val="0E825A60"/>
    <w:rsid w:val="0E8438D7"/>
    <w:rsid w:val="0E8677ED"/>
    <w:rsid w:val="0E956338"/>
    <w:rsid w:val="0E992C76"/>
    <w:rsid w:val="0E9B4E33"/>
    <w:rsid w:val="0E9F1FF3"/>
    <w:rsid w:val="0EA224A6"/>
    <w:rsid w:val="0EA22A67"/>
    <w:rsid w:val="0EA53D44"/>
    <w:rsid w:val="0EB86F32"/>
    <w:rsid w:val="0EBE07F9"/>
    <w:rsid w:val="0EBE35E2"/>
    <w:rsid w:val="0EC465C7"/>
    <w:rsid w:val="0EC8006D"/>
    <w:rsid w:val="0EC87A33"/>
    <w:rsid w:val="0ECB430C"/>
    <w:rsid w:val="0ECE57AE"/>
    <w:rsid w:val="0EE15B77"/>
    <w:rsid w:val="0EE161A2"/>
    <w:rsid w:val="0EE86392"/>
    <w:rsid w:val="0EE95234"/>
    <w:rsid w:val="0EFD43AD"/>
    <w:rsid w:val="0F046FDD"/>
    <w:rsid w:val="0F0C1FC7"/>
    <w:rsid w:val="0F0C294B"/>
    <w:rsid w:val="0F105E3C"/>
    <w:rsid w:val="0F1409DF"/>
    <w:rsid w:val="0F15470F"/>
    <w:rsid w:val="0F185171"/>
    <w:rsid w:val="0F195CD1"/>
    <w:rsid w:val="0F19662E"/>
    <w:rsid w:val="0F2E1ED7"/>
    <w:rsid w:val="0F3062C5"/>
    <w:rsid w:val="0F382A90"/>
    <w:rsid w:val="0F392BC0"/>
    <w:rsid w:val="0F3C3BD1"/>
    <w:rsid w:val="0F472094"/>
    <w:rsid w:val="0F4A7F4E"/>
    <w:rsid w:val="0F5053D0"/>
    <w:rsid w:val="0F531FFC"/>
    <w:rsid w:val="0F5853D1"/>
    <w:rsid w:val="0F5E418E"/>
    <w:rsid w:val="0F634C0A"/>
    <w:rsid w:val="0F6535AE"/>
    <w:rsid w:val="0F6B08A1"/>
    <w:rsid w:val="0F6C0E5D"/>
    <w:rsid w:val="0F71340E"/>
    <w:rsid w:val="0F7C7F74"/>
    <w:rsid w:val="0F80206B"/>
    <w:rsid w:val="0F891B52"/>
    <w:rsid w:val="0F8A7DDE"/>
    <w:rsid w:val="0F8E0D27"/>
    <w:rsid w:val="0F8E3AF6"/>
    <w:rsid w:val="0F98045E"/>
    <w:rsid w:val="0F996D98"/>
    <w:rsid w:val="0F9A1903"/>
    <w:rsid w:val="0F9D6723"/>
    <w:rsid w:val="0FA57F77"/>
    <w:rsid w:val="0FAA6B82"/>
    <w:rsid w:val="0FBC27A1"/>
    <w:rsid w:val="0FC108F3"/>
    <w:rsid w:val="0FC572BD"/>
    <w:rsid w:val="0FC65768"/>
    <w:rsid w:val="0FC74CBD"/>
    <w:rsid w:val="0FC85F60"/>
    <w:rsid w:val="0FCE7AE8"/>
    <w:rsid w:val="0FD239F1"/>
    <w:rsid w:val="0FD33274"/>
    <w:rsid w:val="0FD865A0"/>
    <w:rsid w:val="0FE12B5A"/>
    <w:rsid w:val="0FE406FB"/>
    <w:rsid w:val="0FE663C2"/>
    <w:rsid w:val="0FE73398"/>
    <w:rsid w:val="0FEF78FE"/>
    <w:rsid w:val="0FF10E38"/>
    <w:rsid w:val="0FF20BE9"/>
    <w:rsid w:val="0FF43970"/>
    <w:rsid w:val="0FF90093"/>
    <w:rsid w:val="10006846"/>
    <w:rsid w:val="10093B4E"/>
    <w:rsid w:val="10103408"/>
    <w:rsid w:val="10136ED6"/>
    <w:rsid w:val="10172A20"/>
    <w:rsid w:val="1017657C"/>
    <w:rsid w:val="1017693B"/>
    <w:rsid w:val="101910F7"/>
    <w:rsid w:val="101E3799"/>
    <w:rsid w:val="10240C99"/>
    <w:rsid w:val="102664A1"/>
    <w:rsid w:val="102E38C6"/>
    <w:rsid w:val="102E5033"/>
    <w:rsid w:val="103542D7"/>
    <w:rsid w:val="1038512D"/>
    <w:rsid w:val="103F15D2"/>
    <w:rsid w:val="10426A38"/>
    <w:rsid w:val="104C5FA0"/>
    <w:rsid w:val="104D3DF1"/>
    <w:rsid w:val="10536835"/>
    <w:rsid w:val="1054744F"/>
    <w:rsid w:val="10554213"/>
    <w:rsid w:val="105A290D"/>
    <w:rsid w:val="10657B59"/>
    <w:rsid w:val="106A7A7B"/>
    <w:rsid w:val="107D7469"/>
    <w:rsid w:val="10817822"/>
    <w:rsid w:val="108F3FC5"/>
    <w:rsid w:val="109B7D6A"/>
    <w:rsid w:val="10A067B0"/>
    <w:rsid w:val="10A3332A"/>
    <w:rsid w:val="10A668FE"/>
    <w:rsid w:val="10A7658D"/>
    <w:rsid w:val="10A818CA"/>
    <w:rsid w:val="10AC5909"/>
    <w:rsid w:val="10AC6EF3"/>
    <w:rsid w:val="10AC760C"/>
    <w:rsid w:val="10B26D92"/>
    <w:rsid w:val="10BE4EA7"/>
    <w:rsid w:val="10C671D9"/>
    <w:rsid w:val="10CD0204"/>
    <w:rsid w:val="10CE049B"/>
    <w:rsid w:val="10CF0F55"/>
    <w:rsid w:val="10D31EE8"/>
    <w:rsid w:val="10DA4E39"/>
    <w:rsid w:val="10E41D2B"/>
    <w:rsid w:val="10E56458"/>
    <w:rsid w:val="10E737CC"/>
    <w:rsid w:val="10EF74F9"/>
    <w:rsid w:val="10F2374C"/>
    <w:rsid w:val="10F30F10"/>
    <w:rsid w:val="10FD39C4"/>
    <w:rsid w:val="10FE0111"/>
    <w:rsid w:val="10FE118E"/>
    <w:rsid w:val="110220FA"/>
    <w:rsid w:val="110F402D"/>
    <w:rsid w:val="11142614"/>
    <w:rsid w:val="111C0F33"/>
    <w:rsid w:val="11334A4E"/>
    <w:rsid w:val="11492DED"/>
    <w:rsid w:val="114A7783"/>
    <w:rsid w:val="114C645B"/>
    <w:rsid w:val="114F713C"/>
    <w:rsid w:val="11552DA1"/>
    <w:rsid w:val="11563EDC"/>
    <w:rsid w:val="11574F50"/>
    <w:rsid w:val="115973DC"/>
    <w:rsid w:val="115A5A74"/>
    <w:rsid w:val="116043FE"/>
    <w:rsid w:val="11662EEC"/>
    <w:rsid w:val="116A1FE8"/>
    <w:rsid w:val="116E7B05"/>
    <w:rsid w:val="11751FE0"/>
    <w:rsid w:val="11752D1D"/>
    <w:rsid w:val="117844FB"/>
    <w:rsid w:val="117C4BC0"/>
    <w:rsid w:val="117F79BC"/>
    <w:rsid w:val="118E0AC0"/>
    <w:rsid w:val="118E3A13"/>
    <w:rsid w:val="11920511"/>
    <w:rsid w:val="11930964"/>
    <w:rsid w:val="11981179"/>
    <w:rsid w:val="11985828"/>
    <w:rsid w:val="11AB28A2"/>
    <w:rsid w:val="11AE53C1"/>
    <w:rsid w:val="11B76268"/>
    <w:rsid w:val="11B823E7"/>
    <w:rsid w:val="11C271C7"/>
    <w:rsid w:val="11C56BB4"/>
    <w:rsid w:val="11C6431F"/>
    <w:rsid w:val="11C7301A"/>
    <w:rsid w:val="11C7593B"/>
    <w:rsid w:val="11C81383"/>
    <w:rsid w:val="11CF26A5"/>
    <w:rsid w:val="11D7430D"/>
    <w:rsid w:val="11D80777"/>
    <w:rsid w:val="11DB72D6"/>
    <w:rsid w:val="11DC5D53"/>
    <w:rsid w:val="11DF37A6"/>
    <w:rsid w:val="11E271E5"/>
    <w:rsid w:val="11E36164"/>
    <w:rsid w:val="11EC574A"/>
    <w:rsid w:val="11F80F3C"/>
    <w:rsid w:val="11FE448E"/>
    <w:rsid w:val="1206202E"/>
    <w:rsid w:val="12091EAA"/>
    <w:rsid w:val="120B012F"/>
    <w:rsid w:val="12155C7D"/>
    <w:rsid w:val="12246164"/>
    <w:rsid w:val="1227696F"/>
    <w:rsid w:val="122B0D49"/>
    <w:rsid w:val="12333415"/>
    <w:rsid w:val="12367C22"/>
    <w:rsid w:val="124040CD"/>
    <w:rsid w:val="124940D2"/>
    <w:rsid w:val="124D15A3"/>
    <w:rsid w:val="124E1A27"/>
    <w:rsid w:val="12546629"/>
    <w:rsid w:val="12552C20"/>
    <w:rsid w:val="12597FC4"/>
    <w:rsid w:val="125F2098"/>
    <w:rsid w:val="126005B9"/>
    <w:rsid w:val="126863CC"/>
    <w:rsid w:val="126A0E46"/>
    <w:rsid w:val="126C48EC"/>
    <w:rsid w:val="126E3885"/>
    <w:rsid w:val="126E5256"/>
    <w:rsid w:val="127579DD"/>
    <w:rsid w:val="127611C5"/>
    <w:rsid w:val="12762432"/>
    <w:rsid w:val="127669D8"/>
    <w:rsid w:val="127A7296"/>
    <w:rsid w:val="127E0B34"/>
    <w:rsid w:val="127E3AAB"/>
    <w:rsid w:val="12881160"/>
    <w:rsid w:val="128A7812"/>
    <w:rsid w:val="128B2F7E"/>
    <w:rsid w:val="128B3251"/>
    <w:rsid w:val="128C4882"/>
    <w:rsid w:val="12A0530F"/>
    <w:rsid w:val="12A648A9"/>
    <w:rsid w:val="12AC47A6"/>
    <w:rsid w:val="12B013E1"/>
    <w:rsid w:val="12B5032D"/>
    <w:rsid w:val="12B8260F"/>
    <w:rsid w:val="12B97DBE"/>
    <w:rsid w:val="12BD2461"/>
    <w:rsid w:val="12C235D4"/>
    <w:rsid w:val="12CE7AB1"/>
    <w:rsid w:val="12CF313E"/>
    <w:rsid w:val="12D1335A"/>
    <w:rsid w:val="12D5134E"/>
    <w:rsid w:val="12D75444"/>
    <w:rsid w:val="12E34699"/>
    <w:rsid w:val="12E50BB3"/>
    <w:rsid w:val="12EA216F"/>
    <w:rsid w:val="12F24556"/>
    <w:rsid w:val="12F5423B"/>
    <w:rsid w:val="12F70B38"/>
    <w:rsid w:val="12F83688"/>
    <w:rsid w:val="130B7EEE"/>
    <w:rsid w:val="130E2B64"/>
    <w:rsid w:val="130E6D6A"/>
    <w:rsid w:val="130F57C9"/>
    <w:rsid w:val="131062AB"/>
    <w:rsid w:val="1310745F"/>
    <w:rsid w:val="13171AF5"/>
    <w:rsid w:val="131E3DF1"/>
    <w:rsid w:val="13226FE9"/>
    <w:rsid w:val="13233C09"/>
    <w:rsid w:val="13236025"/>
    <w:rsid w:val="13276863"/>
    <w:rsid w:val="132A4818"/>
    <w:rsid w:val="132D1798"/>
    <w:rsid w:val="13387C26"/>
    <w:rsid w:val="13392CAD"/>
    <w:rsid w:val="135519F8"/>
    <w:rsid w:val="13606762"/>
    <w:rsid w:val="136354D4"/>
    <w:rsid w:val="13674327"/>
    <w:rsid w:val="136C593A"/>
    <w:rsid w:val="137A6302"/>
    <w:rsid w:val="13826402"/>
    <w:rsid w:val="138E4DA7"/>
    <w:rsid w:val="138F0F97"/>
    <w:rsid w:val="13912958"/>
    <w:rsid w:val="1392566E"/>
    <w:rsid w:val="13987882"/>
    <w:rsid w:val="139A4054"/>
    <w:rsid w:val="139B6E51"/>
    <w:rsid w:val="139B6F6C"/>
    <w:rsid w:val="13A669E0"/>
    <w:rsid w:val="13B872E5"/>
    <w:rsid w:val="13BB706F"/>
    <w:rsid w:val="13C46358"/>
    <w:rsid w:val="13D31181"/>
    <w:rsid w:val="13D73ABD"/>
    <w:rsid w:val="13DD70AE"/>
    <w:rsid w:val="13E10A6C"/>
    <w:rsid w:val="13E475BE"/>
    <w:rsid w:val="13EF6147"/>
    <w:rsid w:val="13EF6C03"/>
    <w:rsid w:val="13F37422"/>
    <w:rsid w:val="13F47524"/>
    <w:rsid w:val="14011A1D"/>
    <w:rsid w:val="14047A6F"/>
    <w:rsid w:val="14054714"/>
    <w:rsid w:val="14060764"/>
    <w:rsid w:val="14071EC5"/>
    <w:rsid w:val="14094DEB"/>
    <w:rsid w:val="14095DE0"/>
    <w:rsid w:val="140C599B"/>
    <w:rsid w:val="1416508A"/>
    <w:rsid w:val="141A3757"/>
    <w:rsid w:val="141B1E37"/>
    <w:rsid w:val="14280410"/>
    <w:rsid w:val="14284001"/>
    <w:rsid w:val="142E3144"/>
    <w:rsid w:val="143163CF"/>
    <w:rsid w:val="1434040A"/>
    <w:rsid w:val="14347118"/>
    <w:rsid w:val="143A53BF"/>
    <w:rsid w:val="143F0CC5"/>
    <w:rsid w:val="14404E90"/>
    <w:rsid w:val="14436603"/>
    <w:rsid w:val="144B2C98"/>
    <w:rsid w:val="14576927"/>
    <w:rsid w:val="145D0C70"/>
    <w:rsid w:val="14611454"/>
    <w:rsid w:val="146A4558"/>
    <w:rsid w:val="146D1F6B"/>
    <w:rsid w:val="146F5E2B"/>
    <w:rsid w:val="14785B56"/>
    <w:rsid w:val="148408E6"/>
    <w:rsid w:val="1486370C"/>
    <w:rsid w:val="148C0418"/>
    <w:rsid w:val="1493417A"/>
    <w:rsid w:val="149A5427"/>
    <w:rsid w:val="149D173C"/>
    <w:rsid w:val="149D30AC"/>
    <w:rsid w:val="14A21240"/>
    <w:rsid w:val="14A42E15"/>
    <w:rsid w:val="14A64954"/>
    <w:rsid w:val="14AE1F69"/>
    <w:rsid w:val="14B25D47"/>
    <w:rsid w:val="14B2762F"/>
    <w:rsid w:val="14B35E94"/>
    <w:rsid w:val="14B35F82"/>
    <w:rsid w:val="14B9057A"/>
    <w:rsid w:val="14BB6207"/>
    <w:rsid w:val="14C04C27"/>
    <w:rsid w:val="14C05C46"/>
    <w:rsid w:val="14C15622"/>
    <w:rsid w:val="14C16E44"/>
    <w:rsid w:val="14C73BA3"/>
    <w:rsid w:val="14C97B20"/>
    <w:rsid w:val="14CB4BB9"/>
    <w:rsid w:val="14D22B0F"/>
    <w:rsid w:val="14D61D85"/>
    <w:rsid w:val="14D64D11"/>
    <w:rsid w:val="14D955E8"/>
    <w:rsid w:val="14DA06AC"/>
    <w:rsid w:val="14DC7147"/>
    <w:rsid w:val="14E415D3"/>
    <w:rsid w:val="14ED7797"/>
    <w:rsid w:val="14F5226F"/>
    <w:rsid w:val="14FC6318"/>
    <w:rsid w:val="1502080C"/>
    <w:rsid w:val="15034E08"/>
    <w:rsid w:val="150644F9"/>
    <w:rsid w:val="150A6991"/>
    <w:rsid w:val="150D1DCC"/>
    <w:rsid w:val="150D7916"/>
    <w:rsid w:val="150F5AA0"/>
    <w:rsid w:val="151125B1"/>
    <w:rsid w:val="151C7E9F"/>
    <w:rsid w:val="153039BF"/>
    <w:rsid w:val="153320AA"/>
    <w:rsid w:val="15363383"/>
    <w:rsid w:val="15381BE1"/>
    <w:rsid w:val="15383CD2"/>
    <w:rsid w:val="1540500D"/>
    <w:rsid w:val="154847AB"/>
    <w:rsid w:val="15494BDC"/>
    <w:rsid w:val="154D1732"/>
    <w:rsid w:val="155010D8"/>
    <w:rsid w:val="1558541F"/>
    <w:rsid w:val="15617682"/>
    <w:rsid w:val="15620B2D"/>
    <w:rsid w:val="156458D1"/>
    <w:rsid w:val="156C4F89"/>
    <w:rsid w:val="156D0579"/>
    <w:rsid w:val="156E66B6"/>
    <w:rsid w:val="1572748F"/>
    <w:rsid w:val="15765304"/>
    <w:rsid w:val="157B16A8"/>
    <w:rsid w:val="157B37CD"/>
    <w:rsid w:val="157C59CB"/>
    <w:rsid w:val="157F1DCF"/>
    <w:rsid w:val="1588462A"/>
    <w:rsid w:val="15892AE3"/>
    <w:rsid w:val="158C048F"/>
    <w:rsid w:val="15A46B90"/>
    <w:rsid w:val="15AD78EF"/>
    <w:rsid w:val="15B82769"/>
    <w:rsid w:val="15BA2064"/>
    <w:rsid w:val="15BF6138"/>
    <w:rsid w:val="15C14B60"/>
    <w:rsid w:val="15C26565"/>
    <w:rsid w:val="15C34AB0"/>
    <w:rsid w:val="15C60E4D"/>
    <w:rsid w:val="15CA16A8"/>
    <w:rsid w:val="15CB234E"/>
    <w:rsid w:val="15D43100"/>
    <w:rsid w:val="15D633A3"/>
    <w:rsid w:val="15D70664"/>
    <w:rsid w:val="15D965DB"/>
    <w:rsid w:val="15E047F0"/>
    <w:rsid w:val="15E338A2"/>
    <w:rsid w:val="15E62E7C"/>
    <w:rsid w:val="15E87969"/>
    <w:rsid w:val="15EC60A0"/>
    <w:rsid w:val="15F06AFC"/>
    <w:rsid w:val="15F110E0"/>
    <w:rsid w:val="15F2600A"/>
    <w:rsid w:val="15F96B5B"/>
    <w:rsid w:val="15FA23CA"/>
    <w:rsid w:val="15FE79D5"/>
    <w:rsid w:val="16016C39"/>
    <w:rsid w:val="16022658"/>
    <w:rsid w:val="16040686"/>
    <w:rsid w:val="1608501E"/>
    <w:rsid w:val="16101AC2"/>
    <w:rsid w:val="16102397"/>
    <w:rsid w:val="16104199"/>
    <w:rsid w:val="16113034"/>
    <w:rsid w:val="161C2747"/>
    <w:rsid w:val="162E461F"/>
    <w:rsid w:val="1638792D"/>
    <w:rsid w:val="164361CF"/>
    <w:rsid w:val="164A36E1"/>
    <w:rsid w:val="164B34AF"/>
    <w:rsid w:val="164B71F1"/>
    <w:rsid w:val="164E6A70"/>
    <w:rsid w:val="16566D4A"/>
    <w:rsid w:val="16576E3B"/>
    <w:rsid w:val="166242C9"/>
    <w:rsid w:val="166249EF"/>
    <w:rsid w:val="166511CC"/>
    <w:rsid w:val="1665676E"/>
    <w:rsid w:val="16660A85"/>
    <w:rsid w:val="16680E73"/>
    <w:rsid w:val="166A2E39"/>
    <w:rsid w:val="166B30D5"/>
    <w:rsid w:val="166C4543"/>
    <w:rsid w:val="16760051"/>
    <w:rsid w:val="167E2CAD"/>
    <w:rsid w:val="167F6A2F"/>
    <w:rsid w:val="1682101F"/>
    <w:rsid w:val="16884AB3"/>
    <w:rsid w:val="168B606F"/>
    <w:rsid w:val="168C360A"/>
    <w:rsid w:val="168C41ED"/>
    <w:rsid w:val="168F1B52"/>
    <w:rsid w:val="168F43A2"/>
    <w:rsid w:val="16996FB1"/>
    <w:rsid w:val="169A4C0B"/>
    <w:rsid w:val="16A55D3B"/>
    <w:rsid w:val="16AB1DB7"/>
    <w:rsid w:val="16AC30DF"/>
    <w:rsid w:val="16B659C7"/>
    <w:rsid w:val="16BA4C1C"/>
    <w:rsid w:val="16BD7CBC"/>
    <w:rsid w:val="16C005E1"/>
    <w:rsid w:val="16C43555"/>
    <w:rsid w:val="16C86CD3"/>
    <w:rsid w:val="16D04DD5"/>
    <w:rsid w:val="16D2286D"/>
    <w:rsid w:val="16DD4B35"/>
    <w:rsid w:val="16E15B36"/>
    <w:rsid w:val="16EF1567"/>
    <w:rsid w:val="16F229F1"/>
    <w:rsid w:val="16F969DB"/>
    <w:rsid w:val="16FF3949"/>
    <w:rsid w:val="17046741"/>
    <w:rsid w:val="170544C0"/>
    <w:rsid w:val="170855CF"/>
    <w:rsid w:val="170B324D"/>
    <w:rsid w:val="170D1521"/>
    <w:rsid w:val="170E260C"/>
    <w:rsid w:val="17135142"/>
    <w:rsid w:val="17142CB6"/>
    <w:rsid w:val="171755CF"/>
    <w:rsid w:val="171802F8"/>
    <w:rsid w:val="171D5DD0"/>
    <w:rsid w:val="172D56AA"/>
    <w:rsid w:val="172F01FB"/>
    <w:rsid w:val="1731474E"/>
    <w:rsid w:val="173216E3"/>
    <w:rsid w:val="173A2AF1"/>
    <w:rsid w:val="173A70EB"/>
    <w:rsid w:val="173C7535"/>
    <w:rsid w:val="174271CA"/>
    <w:rsid w:val="17434642"/>
    <w:rsid w:val="174A36DB"/>
    <w:rsid w:val="174F1D6F"/>
    <w:rsid w:val="175A060D"/>
    <w:rsid w:val="17610D7C"/>
    <w:rsid w:val="176D31A2"/>
    <w:rsid w:val="176E687F"/>
    <w:rsid w:val="177121AB"/>
    <w:rsid w:val="177607D9"/>
    <w:rsid w:val="177764E4"/>
    <w:rsid w:val="177B3894"/>
    <w:rsid w:val="177F4F27"/>
    <w:rsid w:val="177F771A"/>
    <w:rsid w:val="17804C07"/>
    <w:rsid w:val="17816834"/>
    <w:rsid w:val="17817D5E"/>
    <w:rsid w:val="17847F2F"/>
    <w:rsid w:val="17895EC7"/>
    <w:rsid w:val="178C1FFF"/>
    <w:rsid w:val="17902477"/>
    <w:rsid w:val="179A46CB"/>
    <w:rsid w:val="179C2B76"/>
    <w:rsid w:val="179C6CCA"/>
    <w:rsid w:val="17A04E31"/>
    <w:rsid w:val="17A23605"/>
    <w:rsid w:val="17AF2468"/>
    <w:rsid w:val="17B5012D"/>
    <w:rsid w:val="17B854D8"/>
    <w:rsid w:val="17BB3135"/>
    <w:rsid w:val="17C2114F"/>
    <w:rsid w:val="17D40E9A"/>
    <w:rsid w:val="17D412CB"/>
    <w:rsid w:val="17D961C7"/>
    <w:rsid w:val="17DF7E64"/>
    <w:rsid w:val="17E07B9B"/>
    <w:rsid w:val="17E15DCC"/>
    <w:rsid w:val="17EB7ACD"/>
    <w:rsid w:val="17F57CDD"/>
    <w:rsid w:val="17FD0B5D"/>
    <w:rsid w:val="17FD3C06"/>
    <w:rsid w:val="17FE5302"/>
    <w:rsid w:val="1802631F"/>
    <w:rsid w:val="18056F50"/>
    <w:rsid w:val="180765B6"/>
    <w:rsid w:val="1808021A"/>
    <w:rsid w:val="18164257"/>
    <w:rsid w:val="18170560"/>
    <w:rsid w:val="181F3E05"/>
    <w:rsid w:val="182B391D"/>
    <w:rsid w:val="182F788E"/>
    <w:rsid w:val="18341531"/>
    <w:rsid w:val="18393F99"/>
    <w:rsid w:val="184917F3"/>
    <w:rsid w:val="18495740"/>
    <w:rsid w:val="185140BA"/>
    <w:rsid w:val="18523005"/>
    <w:rsid w:val="18563EC4"/>
    <w:rsid w:val="18574CBE"/>
    <w:rsid w:val="18596009"/>
    <w:rsid w:val="185C7D17"/>
    <w:rsid w:val="185E0219"/>
    <w:rsid w:val="185F343A"/>
    <w:rsid w:val="18640ED0"/>
    <w:rsid w:val="18651586"/>
    <w:rsid w:val="186725F9"/>
    <w:rsid w:val="186B761D"/>
    <w:rsid w:val="186F0617"/>
    <w:rsid w:val="18725CB0"/>
    <w:rsid w:val="18757134"/>
    <w:rsid w:val="187650CA"/>
    <w:rsid w:val="18770F23"/>
    <w:rsid w:val="187878FB"/>
    <w:rsid w:val="187F73B4"/>
    <w:rsid w:val="188433E7"/>
    <w:rsid w:val="1888270D"/>
    <w:rsid w:val="188A552E"/>
    <w:rsid w:val="188D3ACF"/>
    <w:rsid w:val="1892077C"/>
    <w:rsid w:val="189543D2"/>
    <w:rsid w:val="189618F2"/>
    <w:rsid w:val="189739FC"/>
    <w:rsid w:val="189C61B9"/>
    <w:rsid w:val="18A46622"/>
    <w:rsid w:val="18AC5B2B"/>
    <w:rsid w:val="18AC7BFC"/>
    <w:rsid w:val="18AF4F2C"/>
    <w:rsid w:val="18B34CB7"/>
    <w:rsid w:val="18B828C6"/>
    <w:rsid w:val="18B95189"/>
    <w:rsid w:val="18B95DE2"/>
    <w:rsid w:val="18BC35B1"/>
    <w:rsid w:val="18BE3BAF"/>
    <w:rsid w:val="18CC189D"/>
    <w:rsid w:val="18D63D86"/>
    <w:rsid w:val="18DD4E39"/>
    <w:rsid w:val="18E1409A"/>
    <w:rsid w:val="18E406D6"/>
    <w:rsid w:val="18EA0143"/>
    <w:rsid w:val="18EA2F0A"/>
    <w:rsid w:val="18F3507E"/>
    <w:rsid w:val="18F41B50"/>
    <w:rsid w:val="190018C7"/>
    <w:rsid w:val="190637E4"/>
    <w:rsid w:val="19067BB8"/>
    <w:rsid w:val="190705A1"/>
    <w:rsid w:val="190B4A69"/>
    <w:rsid w:val="1915420B"/>
    <w:rsid w:val="19173A91"/>
    <w:rsid w:val="191C0440"/>
    <w:rsid w:val="191E1717"/>
    <w:rsid w:val="192276AF"/>
    <w:rsid w:val="19267830"/>
    <w:rsid w:val="192A1E1D"/>
    <w:rsid w:val="19300BD6"/>
    <w:rsid w:val="19327B9F"/>
    <w:rsid w:val="19337C1C"/>
    <w:rsid w:val="193533DA"/>
    <w:rsid w:val="193A14DA"/>
    <w:rsid w:val="193D15A0"/>
    <w:rsid w:val="193E0799"/>
    <w:rsid w:val="193E28B1"/>
    <w:rsid w:val="194025D1"/>
    <w:rsid w:val="194A1115"/>
    <w:rsid w:val="194A7FD6"/>
    <w:rsid w:val="19561A13"/>
    <w:rsid w:val="19680E93"/>
    <w:rsid w:val="19755E83"/>
    <w:rsid w:val="19797C70"/>
    <w:rsid w:val="197A7A50"/>
    <w:rsid w:val="197B257F"/>
    <w:rsid w:val="197F26BA"/>
    <w:rsid w:val="197F7D5C"/>
    <w:rsid w:val="198153DB"/>
    <w:rsid w:val="19841AF9"/>
    <w:rsid w:val="1984244E"/>
    <w:rsid w:val="19877AF0"/>
    <w:rsid w:val="19903E07"/>
    <w:rsid w:val="19905F87"/>
    <w:rsid w:val="19953C71"/>
    <w:rsid w:val="19964636"/>
    <w:rsid w:val="19994F03"/>
    <w:rsid w:val="19A01665"/>
    <w:rsid w:val="19A075E2"/>
    <w:rsid w:val="19A22210"/>
    <w:rsid w:val="19A543A9"/>
    <w:rsid w:val="19AA5BC7"/>
    <w:rsid w:val="19B17207"/>
    <w:rsid w:val="19B5044F"/>
    <w:rsid w:val="19BA1798"/>
    <w:rsid w:val="19BE2942"/>
    <w:rsid w:val="19C022FD"/>
    <w:rsid w:val="19C15306"/>
    <w:rsid w:val="19C24451"/>
    <w:rsid w:val="19C86470"/>
    <w:rsid w:val="19CC67C5"/>
    <w:rsid w:val="19D57C7E"/>
    <w:rsid w:val="19E27927"/>
    <w:rsid w:val="19E77822"/>
    <w:rsid w:val="19F17097"/>
    <w:rsid w:val="19F367C4"/>
    <w:rsid w:val="19F36985"/>
    <w:rsid w:val="19FF74EB"/>
    <w:rsid w:val="1A0C782A"/>
    <w:rsid w:val="1A0F01CF"/>
    <w:rsid w:val="1A1219DC"/>
    <w:rsid w:val="1A1B14CC"/>
    <w:rsid w:val="1A1D2CCB"/>
    <w:rsid w:val="1A1E49AB"/>
    <w:rsid w:val="1A2502F9"/>
    <w:rsid w:val="1A2637E0"/>
    <w:rsid w:val="1A2944B5"/>
    <w:rsid w:val="1A2C356C"/>
    <w:rsid w:val="1A2F780D"/>
    <w:rsid w:val="1A452A00"/>
    <w:rsid w:val="1A4C059F"/>
    <w:rsid w:val="1A4C2D31"/>
    <w:rsid w:val="1A594B37"/>
    <w:rsid w:val="1A5959E3"/>
    <w:rsid w:val="1A5C64E8"/>
    <w:rsid w:val="1A5E3948"/>
    <w:rsid w:val="1A6073AE"/>
    <w:rsid w:val="1A6B26A6"/>
    <w:rsid w:val="1A6C1BBA"/>
    <w:rsid w:val="1A6E281A"/>
    <w:rsid w:val="1A7724D2"/>
    <w:rsid w:val="1A7D79AF"/>
    <w:rsid w:val="1A81759A"/>
    <w:rsid w:val="1A827CDF"/>
    <w:rsid w:val="1A830096"/>
    <w:rsid w:val="1A8423E2"/>
    <w:rsid w:val="1A855E13"/>
    <w:rsid w:val="1A8A6A81"/>
    <w:rsid w:val="1A8B2D5F"/>
    <w:rsid w:val="1A8B4546"/>
    <w:rsid w:val="1A8F364A"/>
    <w:rsid w:val="1A904D89"/>
    <w:rsid w:val="1A9378E0"/>
    <w:rsid w:val="1A97103D"/>
    <w:rsid w:val="1A972B45"/>
    <w:rsid w:val="1A9A7ACC"/>
    <w:rsid w:val="1A9C717A"/>
    <w:rsid w:val="1A9D18E8"/>
    <w:rsid w:val="1AA25DDF"/>
    <w:rsid w:val="1AA97BF6"/>
    <w:rsid w:val="1AAD1AD0"/>
    <w:rsid w:val="1ABD5EB8"/>
    <w:rsid w:val="1ABE6A01"/>
    <w:rsid w:val="1AC56D43"/>
    <w:rsid w:val="1AC83294"/>
    <w:rsid w:val="1AD80E6A"/>
    <w:rsid w:val="1AD81A1B"/>
    <w:rsid w:val="1AD854B0"/>
    <w:rsid w:val="1AD86D38"/>
    <w:rsid w:val="1AE147EA"/>
    <w:rsid w:val="1AE40BE0"/>
    <w:rsid w:val="1AE47156"/>
    <w:rsid w:val="1AE71D0E"/>
    <w:rsid w:val="1AEB4518"/>
    <w:rsid w:val="1AEC44AC"/>
    <w:rsid w:val="1AEF1C58"/>
    <w:rsid w:val="1AF42DA8"/>
    <w:rsid w:val="1AF61846"/>
    <w:rsid w:val="1B00735C"/>
    <w:rsid w:val="1B025445"/>
    <w:rsid w:val="1B063E03"/>
    <w:rsid w:val="1B1533A8"/>
    <w:rsid w:val="1B173C1A"/>
    <w:rsid w:val="1B1A1616"/>
    <w:rsid w:val="1B215469"/>
    <w:rsid w:val="1B220DC7"/>
    <w:rsid w:val="1B281E60"/>
    <w:rsid w:val="1B29260C"/>
    <w:rsid w:val="1B2A4E58"/>
    <w:rsid w:val="1B2E5E22"/>
    <w:rsid w:val="1B307172"/>
    <w:rsid w:val="1B3104BB"/>
    <w:rsid w:val="1B334486"/>
    <w:rsid w:val="1B3E4D32"/>
    <w:rsid w:val="1B447AD8"/>
    <w:rsid w:val="1B45604A"/>
    <w:rsid w:val="1B474E6E"/>
    <w:rsid w:val="1B496074"/>
    <w:rsid w:val="1B4B576A"/>
    <w:rsid w:val="1B5245BA"/>
    <w:rsid w:val="1B534A59"/>
    <w:rsid w:val="1B596645"/>
    <w:rsid w:val="1B5E76F6"/>
    <w:rsid w:val="1B5F527B"/>
    <w:rsid w:val="1B656C11"/>
    <w:rsid w:val="1B6A2613"/>
    <w:rsid w:val="1B6C2CFA"/>
    <w:rsid w:val="1B720673"/>
    <w:rsid w:val="1B777ACF"/>
    <w:rsid w:val="1B7D6926"/>
    <w:rsid w:val="1B7E1A51"/>
    <w:rsid w:val="1B807F18"/>
    <w:rsid w:val="1B811E8D"/>
    <w:rsid w:val="1B846DEF"/>
    <w:rsid w:val="1B8C0EE0"/>
    <w:rsid w:val="1B8E45E8"/>
    <w:rsid w:val="1B8E7F86"/>
    <w:rsid w:val="1B8F2737"/>
    <w:rsid w:val="1B925B41"/>
    <w:rsid w:val="1B96384A"/>
    <w:rsid w:val="1B982D53"/>
    <w:rsid w:val="1B983802"/>
    <w:rsid w:val="1B9B128D"/>
    <w:rsid w:val="1BA16EE5"/>
    <w:rsid w:val="1BA24099"/>
    <w:rsid w:val="1BA850D1"/>
    <w:rsid w:val="1BA94671"/>
    <w:rsid w:val="1BAA6004"/>
    <w:rsid w:val="1BAE3A9E"/>
    <w:rsid w:val="1BAE76B4"/>
    <w:rsid w:val="1BB51A2A"/>
    <w:rsid w:val="1BBF5E8A"/>
    <w:rsid w:val="1BC24B45"/>
    <w:rsid w:val="1BC67563"/>
    <w:rsid w:val="1BCB2D28"/>
    <w:rsid w:val="1BCF1ADC"/>
    <w:rsid w:val="1BD92691"/>
    <w:rsid w:val="1BDB584F"/>
    <w:rsid w:val="1BE909A6"/>
    <w:rsid w:val="1BEA0AC8"/>
    <w:rsid w:val="1BED0B5F"/>
    <w:rsid w:val="1BF17DE2"/>
    <w:rsid w:val="1BF411FC"/>
    <w:rsid w:val="1BF71712"/>
    <w:rsid w:val="1BF951F8"/>
    <w:rsid w:val="1BFB5627"/>
    <w:rsid w:val="1BFC2627"/>
    <w:rsid w:val="1C027595"/>
    <w:rsid w:val="1C065BD0"/>
    <w:rsid w:val="1C070607"/>
    <w:rsid w:val="1C0B2621"/>
    <w:rsid w:val="1C0C60BB"/>
    <w:rsid w:val="1C12645D"/>
    <w:rsid w:val="1C1C3549"/>
    <w:rsid w:val="1C27469E"/>
    <w:rsid w:val="1C287978"/>
    <w:rsid w:val="1C323493"/>
    <w:rsid w:val="1C344C68"/>
    <w:rsid w:val="1C357E74"/>
    <w:rsid w:val="1C377F1A"/>
    <w:rsid w:val="1C3F7F27"/>
    <w:rsid w:val="1C403E4C"/>
    <w:rsid w:val="1C477829"/>
    <w:rsid w:val="1C482DA3"/>
    <w:rsid w:val="1C483951"/>
    <w:rsid w:val="1C4C0E45"/>
    <w:rsid w:val="1C4E3849"/>
    <w:rsid w:val="1C5C3D95"/>
    <w:rsid w:val="1C5E2705"/>
    <w:rsid w:val="1C716F19"/>
    <w:rsid w:val="1C721082"/>
    <w:rsid w:val="1C761BB2"/>
    <w:rsid w:val="1C7F0E03"/>
    <w:rsid w:val="1C934E53"/>
    <w:rsid w:val="1C947772"/>
    <w:rsid w:val="1CA218C3"/>
    <w:rsid w:val="1CA5617E"/>
    <w:rsid w:val="1CAC10A3"/>
    <w:rsid w:val="1CC47A8B"/>
    <w:rsid w:val="1CC644CE"/>
    <w:rsid w:val="1CD00A1E"/>
    <w:rsid w:val="1CD32107"/>
    <w:rsid w:val="1CDC2C1F"/>
    <w:rsid w:val="1CDD1498"/>
    <w:rsid w:val="1CDF64CB"/>
    <w:rsid w:val="1CE447DF"/>
    <w:rsid w:val="1CED34D1"/>
    <w:rsid w:val="1CEE6867"/>
    <w:rsid w:val="1CEF17E6"/>
    <w:rsid w:val="1CF72825"/>
    <w:rsid w:val="1CF739BD"/>
    <w:rsid w:val="1CF91695"/>
    <w:rsid w:val="1CFC7F75"/>
    <w:rsid w:val="1CFD29B5"/>
    <w:rsid w:val="1CFD2E77"/>
    <w:rsid w:val="1CFD62B8"/>
    <w:rsid w:val="1D033C42"/>
    <w:rsid w:val="1D053E1B"/>
    <w:rsid w:val="1D062E42"/>
    <w:rsid w:val="1D066951"/>
    <w:rsid w:val="1D083E1C"/>
    <w:rsid w:val="1D0D6CB6"/>
    <w:rsid w:val="1D1225AE"/>
    <w:rsid w:val="1D132DB4"/>
    <w:rsid w:val="1D1B782D"/>
    <w:rsid w:val="1D2145C8"/>
    <w:rsid w:val="1D22285A"/>
    <w:rsid w:val="1D237A19"/>
    <w:rsid w:val="1D276E30"/>
    <w:rsid w:val="1D322EB1"/>
    <w:rsid w:val="1D363FBF"/>
    <w:rsid w:val="1D45065D"/>
    <w:rsid w:val="1D4677C3"/>
    <w:rsid w:val="1D474491"/>
    <w:rsid w:val="1D4C4F97"/>
    <w:rsid w:val="1D4D4A4E"/>
    <w:rsid w:val="1D4E2424"/>
    <w:rsid w:val="1D554CD2"/>
    <w:rsid w:val="1D5C1F20"/>
    <w:rsid w:val="1D6206C9"/>
    <w:rsid w:val="1D6B51B8"/>
    <w:rsid w:val="1D6B7E17"/>
    <w:rsid w:val="1D753323"/>
    <w:rsid w:val="1D7C2635"/>
    <w:rsid w:val="1D801E68"/>
    <w:rsid w:val="1D815D6B"/>
    <w:rsid w:val="1D8D24C4"/>
    <w:rsid w:val="1D8F16F3"/>
    <w:rsid w:val="1D991B32"/>
    <w:rsid w:val="1D9C0F3F"/>
    <w:rsid w:val="1D9F7282"/>
    <w:rsid w:val="1DA04055"/>
    <w:rsid w:val="1DAA72BB"/>
    <w:rsid w:val="1DAA77E6"/>
    <w:rsid w:val="1DAD3A7E"/>
    <w:rsid w:val="1DAF188E"/>
    <w:rsid w:val="1DAF371A"/>
    <w:rsid w:val="1DB6695C"/>
    <w:rsid w:val="1DB7314C"/>
    <w:rsid w:val="1DB748DA"/>
    <w:rsid w:val="1DBC0F3B"/>
    <w:rsid w:val="1DBE30AD"/>
    <w:rsid w:val="1DC37B8E"/>
    <w:rsid w:val="1DC64DDF"/>
    <w:rsid w:val="1DCE7B38"/>
    <w:rsid w:val="1DD2461D"/>
    <w:rsid w:val="1DD2514E"/>
    <w:rsid w:val="1DD43A8E"/>
    <w:rsid w:val="1DD71A40"/>
    <w:rsid w:val="1DE33F41"/>
    <w:rsid w:val="1DF06A14"/>
    <w:rsid w:val="1DF76BEB"/>
    <w:rsid w:val="1DF80C86"/>
    <w:rsid w:val="1E0063ED"/>
    <w:rsid w:val="1E020C44"/>
    <w:rsid w:val="1E045F6F"/>
    <w:rsid w:val="1E061BB3"/>
    <w:rsid w:val="1E0C2C75"/>
    <w:rsid w:val="1E0E2B0F"/>
    <w:rsid w:val="1E10102F"/>
    <w:rsid w:val="1E11214A"/>
    <w:rsid w:val="1E13619C"/>
    <w:rsid w:val="1E174C89"/>
    <w:rsid w:val="1E200CF1"/>
    <w:rsid w:val="1E212D97"/>
    <w:rsid w:val="1E257118"/>
    <w:rsid w:val="1E2F52D8"/>
    <w:rsid w:val="1E3417C7"/>
    <w:rsid w:val="1E355E20"/>
    <w:rsid w:val="1E363FAB"/>
    <w:rsid w:val="1E3C5CCD"/>
    <w:rsid w:val="1E3D370B"/>
    <w:rsid w:val="1E3F64C4"/>
    <w:rsid w:val="1E413737"/>
    <w:rsid w:val="1E472E74"/>
    <w:rsid w:val="1E4A7D3D"/>
    <w:rsid w:val="1E4C46CE"/>
    <w:rsid w:val="1E4C5F8A"/>
    <w:rsid w:val="1E4C79B1"/>
    <w:rsid w:val="1E551735"/>
    <w:rsid w:val="1E5B08E2"/>
    <w:rsid w:val="1E5E73FA"/>
    <w:rsid w:val="1E642E66"/>
    <w:rsid w:val="1E732684"/>
    <w:rsid w:val="1E742A8A"/>
    <w:rsid w:val="1E7E7372"/>
    <w:rsid w:val="1E7F099B"/>
    <w:rsid w:val="1E805C34"/>
    <w:rsid w:val="1E827BFE"/>
    <w:rsid w:val="1E8C3C99"/>
    <w:rsid w:val="1E8E0D55"/>
    <w:rsid w:val="1E8E2C68"/>
    <w:rsid w:val="1E925BB1"/>
    <w:rsid w:val="1E990D61"/>
    <w:rsid w:val="1E9A3250"/>
    <w:rsid w:val="1E9C6BC4"/>
    <w:rsid w:val="1EA0033C"/>
    <w:rsid w:val="1EAA1B6A"/>
    <w:rsid w:val="1EAF16D9"/>
    <w:rsid w:val="1EB26E7E"/>
    <w:rsid w:val="1EB4109D"/>
    <w:rsid w:val="1EB41BEC"/>
    <w:rsid w:val="1EB64B01"/>
    <w:rsid w:val="1EB82A35"/>
    <w:rsid w:val="1EB84AE5"/>
    <w:rsid w:val="1EC12BE6"/>
    <w:rsid w:val="1EC45033"/>
    <w:rsid w:val="1EC6466D"/>
    <w:rsid w:val="1EC7640D"/>
    <w:rsid w:val="1ECD6F4C"/>
    <w:rsid w:val="1ED63F7F"/>
    <w:rsid w:val="1EDC0931"/>
    <w:rsid w:val="1EDF27F5"/>
    <w:rsid w:val="1EDF3F2B"/>
    <w:rsid w:val="1EF02718"/>
    <w:rsid w:val="1EF32FF2"/>
    <w:rsid w:val="1EF949CF"/>
    <w:rsid w:val="1EFB52BB"/>
    <w:rsid w:val="1EFD03B3"/>
    <w:rsid w:val="1F054241"/>
    <w:rsid w:val="1F0742E6"/>
    <w:rsid w:val="1F0B237A"/>
    <w:rsid w:val="1F1A1BE5"/>
    <w:rsid w:val="1F1D43DE"/>
    <w:rsid w:val="1F204701"/>
    <w:rsid w:val="1F232B99"/>
    <w:rsid w:val="1F2864A5"/>
    <w:rsid w:val="1F291F4C"/>
    <w:rsid w:val="1F2A1BB5"/>
    <w:rsid w:val="1F2B06B0"/>
    <w:rsid w:val="1F302D69"/>
    <w:rsid w:val="1F335496"/>
    <w:rsid w:val="1F35421B"/>
    <w:rsid w:val="1F371F44"/>
    <w:rsid w:val="1F397919"/>
    <w:rsid w:val="1F4033FA"/>
    <w:rsid w:val="1F4B6E2C"/>
    <w:rsid w:val="1F4E3CA7"/>
    <w:rsid w:val="1F5C3B08"/>
    <w:rsid w:val="1F631853"/>
    <w:rsid w:val="1F631BC9"/>
    <w:rsid w:val="1F6B2A59"/>
    <w:rsid w:val="1F6C7FC1"/>
    <w:rsid w:val="1F6F5DFA"/>
    <w:rsid w:val="1F73260E"/>
    <w:rsid w:val="1F7744E1"/>
    <w:rsid w:val="1F800F9D"/>
    <w:rsid w:val="1F8020ED"/>
    <w:rsid w:val="1F823380"/>
    <w:rsid w:val="1F826EE4"/>
    <w:rsid w:val="1F847FE4"/>
    <w:rsid w:val="1F893006"/>
    <w:rsid w:val="1F8B71B3"/>
    <w:rsid w:val="1F901F28"/>
    <w:rsid w:val="1F936DDB"/>
    <w:rsid w:val="1F992D16"/>
    <w:rsid w:val="1F9A5C0B"/>
    <w:rsid w:val="1F9F2F4E"/>
    <w:rsid w:val="1FA409C4"/>
    <w:rsid w:val="1FA820DF"/>
    <w:rsid w:val="1FAD134C"/>
    <w:rsid w:val="1FAF6F47"/>
    <w:rsid w:val="1FB01DE1"/>
    <w:rsid w:val="1FB262C1"/>
    <w:rsid w:val="1FB61ACF"/>
    <w:rsid w:val="1FB8775D"/>
    <w:rsid w:val="1FBD4D82"/>
    <w:rsid w:val="1FC3526A"/>
    <w:rsid w:val="1FC918E7"/>
    <w:rsid w:val="1FCE4457"/>
    <w:rsid w:val="1FCF4C91"/>
    <w:rsid w:val="1FD12871"/>
    <w:rsid w:val="1FD6285D"/>
    <w:rsid w:val="1FDA0EB5"/>
    <w:rsid w:val="1FE0292F"/>
    <w:rsid w:val="1FE033EF"/>
    <w:rsid w:val="1FE13818"/>
    <w:rsid w:val="1FEA1406"/>
    <w:rsid w:val="1FED7DD9"/>
    <w:rsid w:val="1FF269E9"/>
    <w:rsid w:val="1FFD45A1"/>
    <w:rsid w:val="20012DA5"/>
    <w:rsid w:val="200203EE"/>
    <w:rsid w:val="20070D6A"/>
    <w:rsid w:val="201000B8"/>
    <w:rsid w:val="201778E7"/>
    <w:rsid w:val="20197D5B"/>
    <w:rsid w:val="201A79C2"/>
    <w:rsid w:val="201D6F1A"/>
    <w:rsid w:val="20215B23"/>
    <w:rsid w:val="2024292E"/>
    <w:rsid w:val="202B4FDB"/>
    <w:rsid w:val="202C1374"/>
    <w:rsid w:val="203631AC"/>
    <w:rsid w:val="20484530"/>
    <w:rsid w:val="20535898"/>
    <w:rsid w:val="2056385C"/>
    <w:rsid w:val="2060371E"/>
    <w:rsid w:val="2065217B"/>
    <w:rsid w:val="20674B6A"/>
    <w:rsid w:val="20680A43"/>
    <w:rsid w:val="206E1106"/>
    <w:rsid w:val="20725E3B"/>
    <w:rsid w:val="207937DF"/>
    <w:rsid w:val="208326F2"/>
    <w:rsid w:val="208A56DA"/>
    <w:rsid w:val="208D529C"/>
    <w:rsid w:val="20934B1B"/>
    <w:rsid w:val="209B2CC9"/>
    <w:rsid w:val="20A10133"/>
    <w:rsid w:val="20A157F2"/>
    <w:rsid w:val="20A230E5"/>
    <w:rsid w:val="20A36E8B"/>
    <w:rsid w:val="20A97827"/>
    <w:rsid w:val="20AC07AF"/>
    <w:rsid w:val="20B05130"/>
    <w:rsid w:val="20B179FB"/>
    <w:rsid w:val="20B27C55"/>
    <w:rsid w:val="20BD6AFC"/>
    <w:rsid w:val="20C20386"/>
    <w:rsid w:val="20C20786"/>
    <w:rsid w:val="20C44467"/>
    <w:rsid w:val="20C52024"/>
    <w:rsid w:val="20C83A5F"/>
    <w:rsid w:val="20C873B0"/>
    <w:rsid w:val="20D83885"/>
    <w:rsid w:val="20D9162C"/>
    <w:rsid w:val="20DB4492"/>
    <w:rsid w:val="20E03794"/>
    <w:rsid w:val="20E12DCE"/>
    <w:rsid w:val="20E41EED"/>
    <w:rsid w:val="20E97AC1"/>
    <w:rsid w:val="20EE3611"/>
    <w:rsid w:val="20F36EA6"/>
    <w:rsid w:val="210332AA"/>
    <w:rsid w:val="210A576D"/>
    <w:rsid w:val="211239E8"/>
    <w:rsid w:val="21171317"/>
    <w:rsid w:val="211850CB"/>
    <w:rsid w:val="211D1B62"/>
    <w:rsid w:val="211D776A"/>
    <w:rsid w:val="2121287D"/>
    <w:rsid w:val="21274400"/>
    <w:rsid w:val="213D5975"/>
    <w:rsid w:val="213E5BB1"/>
    <w:rsid w:val="21447F05"/>
    <w:rsid w:val="215C0731"/>
    <w:rsid w:val="215C3EDD"/>
    <w:rsid w:val="21610177"/>
    <w:rsid w:val="21634BA9"/>
    <w:rsid w:val="21703D3E"/>
    <w:rsid w:val="21775CF7"/>
    <w:rsid w:val="217F1555"/>
    <w:rsid w:val="21832C07"/>
    <w:rsid w:val="218470B2"/>
    <w:rsid w:val="2186109A"/>
    <w:rsid w:val="219A700D"/>
    <w:rsid w:val="219E4D4F"/>
    <w:rsid w:val="21A205FD"/>
    <w:rsid w:val="21A34E06"/>
    <w:rsid w:val="21A471EB"/>
    <w:rsid w:val="21AB0BF2"/>
    <w:rsid w:val="21AC2CCE"/>
    <w:rsid w:val="21B02D49"/>
    <w:rsid w:val="21B15711"/>
    <w:rsid w:val="21B22A9A"/>
    <w:rsid w:val="21B2514F"/>
    <w:rsid w:val="21B300DA"/>
    <w:rsid w:val="21B657DB"/>
    <w:rsid w:val="21B725B7"/>
    <w:rsid w:val="21BC14FE"/>
    <w:rsid w:val="21C23B8E"/>
    <w:rsid w:val="21CD361B"/>
    <w:rsid w:val="21CD453B"/>
    <w:rsid w:val="21D25109"/>
    <w:rsid w:val="21E03E72"/>
    <w:rsid w:val="21E9606A"/>
    <w:rsid w:val="21F0261F"/>
    <w:rsid w:val="21F107D4"/>
    <w:rsid w:val="21F85387"/>
    <w:rsid w:val="21F95977"/>
    <w:rsid w:val="21FF6662"/>
    <w:rsid w:val="2205442B"/>
    <w:rsid w:val="22055993"/>
    <w:rsid w:val="220753E2"/>
    <w:rsid w:val="2208252B"/>
    <w:rsid w:val="220B450E"/>
    <w:rsid w:val="220C4492"/>
    <w:rsid w:val="22135B75"/>
    <w:rsid w:val="221F7512"/>
    <w:rsid w:val="22241B99"/>
    <w:rsid w:val="222A136B"/>
    <w:rsid w:val="222D6521"/>
    <w:rsid w:val="222E176E"/>
    <w:rsid w:val="224156DA"/>
    <w:rsid w:val="224650EC"/>
    <w:rsid w:val="22487810"/>
    <w:rsid w:val="2249187C"/>
    <w:rsid w:val="22515068"/>
    <w:rsid w:val="2259588C"/>
    <w:rsid w:val="22597149"/>
    <w:rsid w:val="225E628C"/>
    <w:rsid w:val="22616603"/>
    <w:rsid w:val="226601B4"/>
    <w:rsid w:val="2268335D"/>
    <w:rsid w:val="226A2E83"/>
    <w:rsid w:val="226A569C"/>
    <w:rsid w:val="226B5F84"/>
    <w:rsid w:val="22702742"/>
    <w:rsid w:val="227069F3"/>
    <w:rsid w:val="22720548"/>
    <w:rsid w:val="2274108A"/>
    <w:rsid w:val="227D5D84"/>
    <w:rsid w:val="227F1696"/>
    <w:rsid w:val="228026A7"/>
    <w:rsid w:val="22822C19"/>
    <w:rsid w:val="22823C2A"/>
    <w:rsid w:val="22827E15"/>
    <w:rsid w:val="228442B1"/>
    <w:rsid w:val="22851E2E"/>
    <w:rsid w:val="229037C2"/>
    <w:rsid w:val="229628CB"/>
    <w:rsid w:val="22A324AB"/>
    <w:rsid w:val="22A54869"/>
    <w:rsid w:val="22A918EC"/>
    <w:rsid w:val="22AB600E"/>
    <w:rsid w:val="22AC24D1"/>
    <w:rsid w:val="22AE4551"/>
    <w:rsid w:val="22B20386"/>
    <w:rsid w:val="22CC769A"/>
    <w:rsid w:val="22D31642"/>
    <w:rsid w:val="22D6463C"/>
    <w:rsid w:val="22E03B8E"/>
    <w:rsid w:val="22E70685"/>
    <w:rsid w:val="22E707EE"/>
    <w:rsid w:val="22E9024C"/>
    <w:rsid w:val="22E9275A"/>
    <w:rsid w:val="22F6282D"/>
    <w:rsid w:val="22FA0664"/>
    <w:rsid w:val="22FD169B"/>
    <w:rsid w:val="23005F10"/>
    <w:rsid w:val="23041499"/>
    <w:rsid w:val="230A3F08"/>
    <w:rsid w:val="23172CCD"/>
    <w:rsid w:val="231A487E"/>
    <w:rsid w:val="23225A59"/>
    <w:rsid w:val="2325536A"/>
    <w:rsid w:val="232A4788"/>
    <w:rsid w:val="23311504"/>
    <w:rsid w:val="2334196C"/>
    <w:rsid w:val="23374D2A"/>
    <w:rsid w:val="233871C8"/>
    <w:rsid w:val="233D6D98"/>
    <w:rsid w:val="234363BA"/>
    <w:rsid w:val="23486A83"/>
    <w:rsid w:val="23494BED"/>
    <w:rsid w:val="234B3F77"/>
    <w:rsid w:val="2363024D"/>
    <w:rsid w:val="2364421D"/>
    <w:rsid w:val="23646386"/>
    <w:rsid w:val="236872F3"/>
    <w:rsid w:val="236D044F"/>
    <w:rsid w:val="236D3A72"/>
    <w:rsid w:val="236E119D"/>
    <w:rsid w:val="237F36FE"/>
    <w:rsid w:val="238B6B27"/>
    <w:rsid w:val="23912C5F"/>
    <w:rsid w:val="23915111"/>
    <w:rsid w:val="2392258C"/>
    <w:rsid w:val="239A5B47"/>
    <w:rsid w:val="239A7872"/>
    <w:rsid w:val="239E02DC"/>
    <w:rsid w:val="23A128D5"/>
    <w:rsid w:val="23A36303"/>
    <w:rsid w:val="23A75F8B"/>
    <w:rsid w:val="23A83517"/>
    <w:rsid w:val="23A85055"/>
    <w:rsid w:val="23AD44D8"/>
    <w:rsid w:val="23B07385"/>
    <w:rsid w:val="23B11506"/>
    <w:rsid w:val="23BE3441"/>
    <w:rsid w:val="23C21644"/>
    <w:rsid w:val="23C80EDF"/>
    <w:rsid w:val="23D22A8E"/>
    <w:rsid w:val="23DE0664"/>
    <w:rsid w:val="23E3429F"/>
    <w:rsid w:val="23E73E72"/>
    <w:rsid w:val="23E916DA"/>
    <w:rsid w:val="23EB1A1A"/>
    <w:rsid w:val="23ED0460"/>
    <w:rsid w:val="23F13063"/>
    <w:rsid w:val="24042088"/>
    <w:rsid w:val="240D5406"/>
    <w:rsid w:val="24121914"/>
    <w:rsid w:val="24156E1F"/>
    <w:rsid w:val="24194B61"/>
    <w:rsid w:val="241E2755"/>
    <w:rsid w:val="24212704"/>
    <w:rsid w:val="24226097"/>
    <w:rsid w:val="2429314E"/>
    <w:rsid w:val="242D71A3"/>
    <w:rsid w:val="242E43CB"/>
    <w:rsid w:val="242F233A"/>
    <w:rsid w:val="2435311C"/>
    <w:rsid w:val="243C1E88"/>
    <w:rsid w:val="243F286D"/>
    <w:rsid w:val="244720A8"/>
    <w:rsid w:val="244B3BE8"/>
    <w:rsid w:val="244C408E"/>
    <w:rsid w:val="245144F2"/>
    <w:rsid w:val="2454570F"/>
    <w:rsid w:val="245A0D81"/>
    <w:rsid w:val="245E729E"/>
    <w:rsid w:val="2464607D"/>
    <w:rsid w:val="24647A17"/>
    <w:rsid w:val="2468685E"/>
    <w:rsid w:val="246B7607"/>
    <w:rsid w:val="246C10ED"/>
    <w:rsid w:val="24726EE0"/>
    <w:rsid w:val="24742156"/>
    <w:rsid w:val="24783874"/>
    <w:rsid w:val="247F0882"/>
    <w:rsid w:val="24827C87"/>
    <w:rsid w:val="2483022C"/>
    <w:rsid w:val="248B4AC0"/>
    <w:rsid w:val="249220C7"/>
    <w:rsid w:val="249913AF"/>
    <w:rsid w:val="24A1137B"/>
    <w:rsid w:val="24A26DD3"/>
    <w:rsid w:val="24A34F2A"/>
    <w:rsid w:val="24AB539C"/>
    <w:rsid w:val="24AF7954"/>
    <w:rsid w:val="24B05FD1"/>
    <w:rsid w:val="24BA575C"/>
    <w:rsid w:val="24BD3AB5"/>
    <w:rsid w:val="24C53406"/>
    <w:rsid w:val="24CF3199"/>
    <w:rsid w:val="24D42DE8"/>
    <w:rsid w:val="24D83E80"/>
    <w:rsid w:val="24DB52B3"/>
    <w:rsid w:val="24E448AE"/>
    <w:rsid w:val="24E46D75"/>
    <w:rsid w:val="24E6617C"/>
    <w:rsid w:val="24E707BB"/>
    <w:rsid w:val="24E945D4"/>
    <w:rsid w:val="24EF1673"/>
    <w:rsid w:val="24FB6F9A"/>
    <w:rsid w:val="25002F51"/>
    <w:rsid w:val="2502191E"/>
    <w:rsid w:val="25150DE3"/>
    <w:rsid w:val="25173EE4"/>
    <w:rsid w:val="2517704B"/>
    <w:rsid w:val="25187D77"/>
    <w:rsid w:val="25193A8F"/>
    <w:rsid w:val="251D2029"/>
    <w:rsid w:val="251F0718"/>
    <w:rsid w:val="251F5240"/>
    <w:rsid w:val="25230D75"/>
    <w:rsid w:val="25260EC4"/>
    <w:rsid w:val="252B3218"/>
    <w:rsid w:val="252F3911"/>
    <w:rsid w:val="25341A52"/>
    <w:rsid w:val="25380CA0"/>
    <w:rsid w:val="25385A60"/>
    <w:rsid w:val="253B3EBD"/>
    <w:rsid w:val="253D662D"/>
    <w:rsid w:val="253F6CD1"/>
    <w:rsid w:val="254968AA"/>
    <w:rsid w:val="254B31D1"/>
    <w:rsid w:val="25502EA0"/>
    <w:rsid w:val="255551A7"/>
    <w:rsid w:val="255937FA"/>
    <w:rsid w:val="255C2C77"/>
    <w:rsid w:val="255F30D0"/>
    <w:rsid w:val="25673B18"/>
    <w:rsid w:val="256C362F"/>
    <w:rsid w:val="256F658A"/>
    <w:rsid w:val="2573295E"/>
    <w:rsid w:val="25733DFD"/>
    <w:rsid w:val="257977F3"/>
    <w:rsid w:val="257B4A75"/>
    <w:rsid w:val="257F18AA"/>
    <w:rsid w:val="258545F4"/>
    <w:rsid w:val="258D6542"/>
    <w:rsid w:val="25934BED"/>
    <w:rsid w:val="25960825"/>
    <w:rsid w:val="259D0114"/>
    <w:rsid w:val="259E3EC8"/>
    <w:rsid w:val="25A4045A"/>
    <w:rsid w:val="25A509D8"/>
    <w:rsid w:val="25A71714"/>
    <w:rsid w:val="25A86264"/>
    <w:rsid w:val="25A94530"/>
    <w:rsid w:val="25AA390F"/>
    <w:rsid w:val="25B17475"/>
    <w:rsid w:val="25B67778"/>
    <w:rsid w:val="25B94321"/>
    <w:rsid w:val="25B9622D"/>
    <w:rsid w:val="25BA7A64"/>
    <w:rsid w:val="25BE3656"/>
    <w:rsid w:val="25BF3DC2"/>
    <w:rsid w:val="25CB240D"/>
    <w:rsid w:val="25D4529B"/>
    <w:rsid w:val="25D83159"/>
    <w:rsid w:val="25E87C00"/>
    <w:rsid w:val="25EC56DA"/>
    <w:rsid w:val="25ED27BC"/>
    <w:rsid w:val="25EF30BE"/>
    <w:rsid w:val="25F07966"/>
    <w:rsid w:val="25FB11E1"/>
    <w:rsid w:val="260F3826"/>
    <w:rsid w:val="2611735F"/>
    <w:rsid w:val="26174099"/>
    <w:rsid w:val="261D03B7"/>
    <w:rsid w:val="26265E90"/>
    <w:rsid w:val="2639770E"/>
    <w:rsid w:val="264326ED"/>
    <w:rsid w:val="2653236D"/>
    <w:rsid w:val="265749F4"/>
    <w:rsid w:val="26591956"/>
    <w:rsid w:val="26596B6D"/>
    <w:rsid w:val="265C1138"/>
    <w:rsid w:val="265F4F6F"/>
    <w:rsid w:val="26624CA0"/>
    <w:rsid w:val="2663784B"/>
    <w:rsid w:val="266D329C"/>
    <w:rsid w:val="266E291D"/>
    <w:rsid w:val="266E3247"/>
    <w:rsid w:val="266E3574"/>
    <w:rsid w:val="26710DE8"/>
    <w:rsid w:val="267314C1"/>
    <w:rsid w:val="267C03E7"/>
    <w:rsid w:val="268369C8"/>
    <w:rsid w:val="268748B0"/>
    <w:rsid w:val="26874F65"/>
    <w:rsid w:val="26891D1E"/>
    <w:rsid w:val="26895608"/>
    <w:rsid w:val="26945D04"/>
    <w:rsid w:val="269975B1"/>
    <w:rsid w:val="269C0568"/>
    <w:rsid w:val="269D093D"/>
    <w:rsid w:val="269D2E03"/>
    <w:rsid w:val="269F7A77"/>
    <w:rsid w:val="26A050C5"/>
    <w:rsid w:val="26A51F63"/>
    <w:rsid w:val="26B223EE"/>
    <w:rsid w:val="26B5461C"/>
    <w:rsid w:val="26B65506"/>
    <w:rsid w:val="26C418C2"/>
    <w:rsid w:val="26C436A5"/>
    <w:rsid w:val="26D1789F"/>
    <w:rsid w:val="26D519C6"/>
    <w:rsid w:val="26D62895"/>
    <w:rsid w:val="26D7673D"/>
    <w:rsid w:val="26EA0F7F"/>
    <w:rsid w:val="26ED7BDF"/>
    <w:rsid w:val="26F665B7"/>
    <w:rsid w:val="26F76F10"/>
    <w:rsid w:val="26F7797C"/>
    <w:rsid w:val="26FA35C3"/>
    <w:rsid w:val="26FB552A"/>
    <w:rsid w:val="26FE2F3A"/>
    <w:rsid w:val="27085698"/>
    <w:rsid w:val="270C1361"/>
    <w:rsid w:val="27111B1F"/>
    <w:rsid w:val="27176504"/>
    <w:rsid w:val="27180441"/>
    <w:rsid w:val="271B3E17"/>
    <w:rsid w:val="271D545F"/>
    <w:rsid w:val="271F6FCA"/>
    <w:rsid w:val="2725381D"/>
    <w:rsid w:val="2727584F"/>
    <w:rsid w:val="272A498F"/>
    <w:rsid w:val="272A6E20"/>
    <w:rsid w:val="27312FD9"/>
    <w:rsid w:val="273916EB"/>
    <w:rsid w:val="273F796B"/>
    <w:rsid w:val="27404E10"/>
    <w:rsid w:val="274723F9"/>
    <w:rsid w:val="27487C0B"/>
    <w:rsid w:val="274C015A"/>
    <w:rsid w:val="27550742"/>
    <w:rsid w:val="27574934"/>
    <w:rsid w:val="275A0FAB"/>
    <w:rsid w:val="275E288B"/>
    <w:rsid w:val="27603B29"/>
    <w:rsid w:val="27651A9D"/>
    <w:rsid w:val="276C6C12"/>
    <w:rsid w:val="276E5285"/>
    <w:rsid w:val="27767A7C"/>
    <w:rsid w:val="277C71FF"/>
    <w:rsid w:val="277D146C"/>
    <w:rsid w:val="278665C0"/>
    <w:rsid w:val="278749E0"/>
    <w:rsid w:val="27891059"/>
    <w:rsid w:val="279763FA"/>
    <w:rsid w:val="27976E5C"/>
    <w:rsid w:val="279E7520"/>
    <w:rsid w:val="27A615FA"/>
    <w:rsid w:val="27A94DC1"/>
    <w:rsid w:val="27AB729A"/>
    <w:rsid w:val="27AF780B"/>
    <w:rsid w:val="27B04258"/>
    <w:rsid w:val="27B24DD2"/>
    <w:rsid w:val="27BE71AF"/>
    <w:rsid w:val="27C10623"/>
    <w:rsid w:val="27C16EDB"/>
    <w:rsid w:val="27C2343E"/>
    <w:rsid w:val="27C569C6"/>
    <w:rsid w:val="27CA1ED3"/>
    <w:rsid w:val="27CF10B1"/>
    <w:rsid w:val="27D24408"/>
    <w:rsid w:val="27D82B73"/>
    <w:rsid w:val="27D83873"/>
    <w:rsid w:val="27DA2C94"/>
    <w:rsid w:val="27DB78D8"/>
    <w:rsid w:val="27DC40D5"/>
    <w:rsid w:val="27DC49A7"/>
    <w:rsid w:val="27E601FE"/>
    <w:rsid w:val="27E915D5"/>
    <w:rsid w:val="27EB2A0C"/>
    <w:rsid w:val="27ED238A"/>
    <w:rsid w:val="280F530B"/>
    <w:rsid w:val="281169CD"/>
    <w:rsid w:val="28120E01"/>
    <w:rsid w:val="28123DA1"/>
    <w:rsid w:val="281F4E60"/>
    <w:rsid w:val="28224BB4"/>
    <w:rsid w:val="28234236"/>
    <w:rsid w:val="28290AD0"/>
    <w:rsid w:val="282975DC"/>
    <w:rsid w:val="283D22A6"/>
    <w:rsid w:val="2842096C"/>
    <w:rsid w:val="284610CB"/>
    <w:rsid w:val="28496FD5"/>
    <w:rsid w:val="28557EE6"/>
    <w:rsid w:val="28582800"/>
    <w:rsid w:val="285D19FD"/>
    <w:rsid w:val="285D2109"/>
    <w:rsid w:val="28615DCF"/>
    <w:rsid w:val="286224B5"/>
    <w:rsid w:val="286D5409"/>
    <w:rsid w:val="28760779"/>
    <w:rsid w:val="28760D0C"/>
    <w:rsid w:val="28776B74"/>
    <w:rsid w:val="28854CA4"/>
    <w:rsid w:val="28887BBF"/>
    <w:rsid w:val="288C138E"/>
    <w:rsid w:val="288C7A89"/>
    <w:rsid w:val="288D55D4"/>
    <w:rsid w:val="288E3BFD"/>
    <w:rsid w:val="289056DF"/>
    <w:rsid w:val="28921887"/>
    <w:rsid w:val="28937915"/>
    <w:rsid w:val="28B72621"/>
    <w:rsid w:val="28BA32FB"/>
    <w:rsid w:val="28C004D7"/>
    <w:rsid w:val="28C20D68"/>
    <w:rsid w:val="28C26CFB"/>
    <w:rsid w:val="28C31B53"/>
    <w:rsid w:val="28C8445F"/>
    <w:rsid w:val="28CD3DEC"/>
    <w:rsid w:val="28D4031E"/>
    <w:rsid w:val="28D60E5B"/>
    <w:rsid w:val="28D70B46"/>
    <w:rsid w:val="28DB0FBA"/>
    <w:rsid w:val="28DC0553"/>
    <w:rsid w:val="28E44909"/>
    <w:rsid w:val="28EA2E75"/>
    <w:rsid w:val="28ED7EC3"/>
    <w:rsid w:val="28EE731B"/>
    <w:rsid w:val="28F0145A"/>
    <w:rsid w:val="28F40E4E"/>
    <w:rsid w:val="28F474F0"/>
    <w:rsid w:val="28F820BC"/>
    <w:rsid w:val="28FF2906"/>
    <w:rsid w:val="29017896"/>
    <w:rsid w:val="29085DF0"/>
    <w:rsid w:val="290C0EA9"/>
    <w:rsid w:val="2916780F"/>
    <w:rsid w:val="29200A44"/>
    <w:rsid w:val="29277635"/>
    <w:rsid w:val="2928464B"/>
    <w:rsid w:val="292F0982"/>
    <w:rsid w:val="292F3EAD"/>
    <w:rsid w:val="29304BBB"/>
    <w:rsid w:val="293908AF"/>
    <w:rsid w:val="293A3F4C"/>
    <w:rsid w:val="293C16FD"/>
    <w:rsid w:val="293D6BFB"/>
    <w:rsid w:val="293F2AEB"/>
    <w:rsid w:val="2949435A"/>
    <w:rsid w:val="294E5F5A"/>
    <w:rsid w:val="2953513B"/>
    <w:rsid w:val="2954525D"/>
    <w:rsid w:val="29581027"/>
    <w:rsid w:val="295E0667"/>
    <w:rsid w:val="296341F3"/>
    <w:rsid w:val="29652151"/>
    <w:rsid w:val="297B616B"/>
    <w:rsid w:val="297B7A26"/>
    <w:rsid w:val="297C6428"/>
    <w:rsid w:val="297D63BE"/>
    <w:rsid w:val="298327EE"/>
    <w:rsid w:val="29870DE7"/>
    <w:rsid w:val="298753B3"/>
    <w:rsid w:val="299443B5"/>
    <w:rsid w:val="299E3412"/>
    <w:rsid w:val="299E70E5"/>
    <w:rsid w:val="299F131A"/>
    <w:rsid w:val="29A67B14"/>
    <w:rsid w:val="29AF495D"/>
    <w:rsid w:val="29B03541"/>
    <w:rsid w:val="29B64C00"/>
    <w:rsid w:val="29B725B7"/>
    <w:rsid w:val="29C62A77"/>
    <w:rsid w:val="29CA2E43"/>
    <w:rsid w:val="29CC2775"/>
    <w:rsid w:val="29CE0E1A"/>
    <w:rsid w:val="29D02127"/>
    <w:rsid w:val="29D72C7E"/>
    <w:rsid w:val="29D8483A"/>
    <w:rsid w:val="29E46BC4"/>
    <w:rsid w:val="29E70F7B"/>
    <w:rsid w:val="29F965D9"/>
    <w:rsid w:val="2A031B7E"/>
    <w:rsid w:val="2A046EA8"/>
    <w:rsid w:val="2A0B542C"/>
    <w:rsid w:val="2A135743"/>
    <w:rsid w:val="2A1A11CC"/>
    <w:rsid w:val="2A314286"/>
    <w:rsid w:val="2A351414"/>
    <w:rsid w:val="2A364E53"/>
    <w:rsid w:val="2A370CDD"/>
    <w:rsid w:val="2A3B23F0"/>
    <w:rsid w:val="2A3B316A"/>
    <w:rsid w:val="2A3D5A45"/>
    <w:rsid w:val="2A3E6123"/>
    <w:rsid w:val="2A3F4397"/>
    <w:rsid w:val="2A406A65"/>
    <w:rsid w:val="2A451012"/>
    <w:rsid w:val="2A4F6D22"/>
    <w:rsid w:val="2A51426D"/>
    <w:rsid w:val="2A53244F"/>
    <w:rsid w:val="2A5E3159"/>
    <w:rsid w:val="2A621F02"/>
    <w:rsid w:val="2A742C8F"/>
    <w:rsid w:val="2A7523C5"/>
    <w:rsid w:val="2A794C19"/>
    <w:rsid w:val="2A7A723E"/>
    <w:rsid w:val="2A801147"/>
    <w:rsid w:val="2A813F2A"/>
    <w:rsid w:val="2A8645D2"/>
    <w:rsid w:val="2A8A7189"/>
    <w:rsid w:val="2A8C07DD"/>
    <w:rsid w:val="2A8E16D9"/>
    <w:rsid w:val="2A9039AE"/>
    <w:rsid w:val="2A98000D"/>
    <w:rsid w:val="2A99469B"/>
    <w:rsid w:val="2AA033A1"/>
    <w:rsid w:val="2AA26D82"/>
    <w:rsid w:val="2AA543EA"/>
    <w:rsid w:val="2AAC21FA"/>
    <w:rsid w:val="2AB379F0"/>
    <w:rsid w:val="2AC1546E"/>
    <w:rsid w:val="2AC311C7"/>
    <w:rsid w:val="2AC90069"/>
    <w:rsid w:val="2AD529BE"/>
    <w:rsid w:val="2AD870F8"/>
    <w:rsid w:val="2ADE62B2"/>
    <w:rsid w:val="2AE12378"/>
    <w:rsid w:val="2AE2540F"/>
    <w:rsid w:val="2AEE2FCE"/>
    <w:rsid w:val="2AF163A8"/>
    <w:rsid w:val="2AF20181"/>
    <w:rsid w:val="2AF35FAB"/>
    <w:rsid w:val="2AF506A5"/>
    <w:rsid w:val="2AF77885"/>
    <w:rsid w:val="2AFA7336"/>
    <w:rsid w:val="2B06700B"/>
    <w:rsid w:val="2B1A46C4"/>
    <w:rsid w:val="2B1C0F2A"/>
    <w:rsid w:val="2B1C2D15"/>
    <w:rsid w:val="2B214E79"/>
    <w:rsid w:val="2B32475A"/>
    <w:rsid w:val="2B336FEB"/>
    <w:rsid w:val="2B3921D7"/>
    <w:rsid w:val="2B411F91"/>
    <w:rsid w:val="2B431D0C"/>
    <w:rsid w:val="2B4A3BFD"/>
    <w:rsid w:val="2B503D9E"/>
    <w:rsid w:val="2B510C6B"/>
    <w:rsid w:val="2B5973D2"/>
    <w:rsid w:val="2B5F3599"/>
    <w:rsid w:val="2B67004B"/>
    <w:rsid w:val="2B69017C"/>
    <w:rsid w:val="2B6959DB"/>
    <w:rsid w:val="2B6A25D9"/>
    <w:rsid w:val="2B6D3CF8"/>
    <w:rsid w:val="2B746B21"/>
    <w:rsid w:val="2B7A30B5"/>
    <w:rsid w:val="2B805BD5"/>
    <w:rsid w:val="2B874F17"/>
    <w:rsid w:val="2B883133"/>
    <w:rsid w:val="2B944F43"/>
    <w:rsid w:val="2B9535C8"/>
    <w:rsid w:val="2BA51AAC"/>
    <w:rsid w:val="2BA7372D"/>
    <w:rsid w:val="2BAA6354"/>
    <w:rsid w:val="2BAB1873"/>
    <w:rsid w:val="2BAF7FED"/>
    <w:rsid w:val="2BB1566B"/>
    <w:rsid w:val="2BB64D8D"/>
    <w:rsid w:val="2BBD0020"/>
    <w:rsid w:val="2BC2085A"/>
    <w:rsid w:val="2BC36F77"/>
    <w:rsid w:val="2BC62899"/>
    <w:rsid w:val="2BD23073"/>
    <w:rsid w:val="2BD26600"/>
    <w:rsid w:val="2BD757A8"/>
    <w:rsid w:val="2BDE340D"/>
    <w:rsid w:val="2BE062DA"/>
    <w:rsid w:val="2BE11DC1"/>
    <w:rsid w:val="2BE6008F"/>
    <w:rsid w:val="2BEA0092"/>
    <w:rsid w:val="2BEA0B91"/>
    <w:rsid w:val="2BED0F47"/>
    <w:rsid w:val="2BF54ECB"/>
    <w:rsid w:val="2BF61713"/>
    <w:rsid w:val="2BF91D68"/>
    <w:rsid w:val="2BFE7F4F"/>
    <w:rsid w:val="2C032E37"/>
    <w:rsid w:val="2C065448"/>
    <w:rsid w:val="2C0B7EAB"/>
    <w:rsid w:val="2C13194A"/>
    <w:rsid w:val="2C192450"/>
    <w:rsid w:val="2C1A3224"/>
    <w:rsid w:val="2C1B0EE8"/>
    <w:rsid w:val="2C241CF3"/>
    <w:rsid w:val="2C2D7F09"/>
    <w:rsid w:val="2C380380"/>
    <w:rsid w:val="2C3F3BD0"/>
    <w:rsid w:val="2C416BAA"/>
    <w:rsid w:val="2C4275E3"/>
    <w:rsid w:val="2C4349E5"/>
    <w:rsid w:val="2C4C029B"/>
    <w:rsid w:val="2C4D7E39"/>
    <w:rsid w:val="2C516511"/>
    <w:rsid w:val="2C5A5D16"/>
    <w:rsid w:val="2C5B1E7D"/>
    <w:rsid w:val="2C5D7979"/>
    <w:rsid w:val="2C6027DB"/>
    <w:rsid w:val="2C624C4C"/>
    <w:rsid w:val="2C6C49C4"/>
    <w:rsid w:val="2C732383"/>
    <w:rsid w:val="2C7B21DC"/>
    <w:rsid w:val="2C803C34"/>
    <w:rsid w:val="2C824C72"/>
    <w:rsid w:val="2C841765"/>
    <w:rsid w:val="2C867064"/>
    <w:rsid w:val="2C8B2374"/>
    <w:rsid w:val="2C8E1603"/>
    <w:rsid w:val="2C9254B0"/>
    <w:rsid w:val="2C9452EB"/>
    <w:rsid w:val="2C9642C8"/>
    <w:rsid w:val="2CA201CC"/>
    <w:rsid w:val="2CA4690C"/>
    <w:rsid w:val="2CA5663E"/>
    <w:rsid w:val="2CA7706E"/>
    <w:rsid w:val="2CB371D5"/>
    <w:rsid w:val="2CB52504"/>
    <w:rsid w:val="2CB73378"/>
    <w:rsid w:val="2CC14FE1"/>
    <w:rsid w:val="2CC17D34"/>
    <w:rsid w:val="2CC203FD"/>
    <w:rsid w:val="2CD5791C"/>
    <w:rsid w:val="2CDA29B3"/>
    <w:rsid w:val="2CDE05B2"/>
    <w:rsid w:val="2CE13511"/>
    <w:rsid w:val="2CEA33C9"/>
    <w:rsid w:val="2CF50E24"/>
    <w:rsid w:val="2CFC2CAA"/>
    <w:rsid w:val="2D042773"/>
    <w:rsid w:val="2D045CA0"/>
    <w:rsid w:val="2D07471E"/>
    <w:rsid w:val="2D090E36"/>
    <w:rsid w:val="2D0973BE"/>
    <w:rsid w:val="2D0A237E"/>
    <w:rsid w:val="2D102879"/>
    <w:rsid w:val="2D134274"/>
    <w:rsid w:val="2D163802"/>
    <w:rsid w:val="2D1D43C9"/>
    <w:rsid w:val="2D1E5293"/>
    <w:rsid w:val="2D251FE5"/>
    <w:rsid w:val="2D2F313A"/>
    <w:rsid w:val="2D306F11"/>
    <w:rsid w:val="2D3A0B77"/>
    <w:rsid w:val="2D3C5A1F"/>
    <w:rsid w:val="2D3D41C7"/>
    <w:rsid w:val="2D3E71ED"/>
    <w:rsid w:val="2D406ACD"/>
    <w:rsid w:val="2D423DD0"/>
    <w:rsid w:val="2D475389"/>
    <w:rsid w:val="2D497194"/>
    <w:rsid w:val="2D4D685B"/>
    <w:rsid w:val="2D510B71"/>
    <w:rsid w:val="2D531A54"/>
    <w:rsid w:val="2D544423"/>
    <w:rsid w:val="2D564A24"/>
    <w:rsid w:val="2D581A0E"/>
    <w:rsid w:val="2D5903B7"/>
    <w:rsid w:val="2D6A514E"/>
    <w:rsid w:val="2D6C021F"/>
    <w:rsid w:val="2D737429"/>
    <w:rsid w:val="2D7A4328"/>
    <w:rsid w:val="2D802B58"/>
    <w:rsid w:val="2D833CC1"/>
    <w:rsid w:val="2D84029C"/>
    <w:rsid w:val="2D8A43D9"/>
    <w:rsid w:val="2D8E256C"/>
    <w:rsid w:val="2D8E3C58"/>
    <w:rsid w:val="2D8E6552"/>
    <w:rsid w:val="2D8F5A9A"/>
    <w:rsid w:val="2D916404"/>
    <w:rsid w:val="2D931792"/>
    <w:rsid w:val="2D9666D7"/>
    <w:rsid w:val="2D973E8A"/>
    <w:rsid w:val="2D9A33E1"/>
    <w:rsid w:val="2D9D1F85"/>
    <w:rsid w:val="2DA507E5"/>
    <w:rsid w:val="2DAB026D"/>
    <w:rsid w:val="2DB07DE4"/>
    <w:rsid w:val="2DBF6D5B"/>
    <w:rsid w:val="2DC25EF5"/>
    <w:rsid w:val="2DC44EB2"/>
    <w:rsid w:val="2DC870B8"/>
    <w:rsid w:val="2DD06B61"/>
    <w:rsid w:val="2DD5373D"/>
    <w:rsid w:val="2DDE3E55"/>
    <w:rsid w:val="2DE026DD"/>
    <w:rsid w:val="2DE6282C"/>
    <w:rsid w:val="2DED03BA"/>
    <w:rsid w:val="2DFA79F3"/>
    <w:rsid w:val="2E04601B"/>
    <w:rsid w:val="2E056D07"/>
    <w:rsid w:val="2E0D52E0"/>
    <w:rsid w:val="2E127841"/>
    <w:rsid w:val="2E16310C"/>
    <w:rsid w:val="2E185475"/>
    <w:rsid w:val="2E294EC1"/>
    <w:rsid w:val="2E2C490A"/>
    <w:rsid w:val="2E2F226D"/>
    <w:rsid w:val="2E3001CD"/>
    <w:rsid w:val="2E3131E7"/>
    <w:rsid w:val="2E397534"/>
    <w:rsid w:val="2E3A2655"/>
    <w:rsid w:val="2E3A419A"/>
    <w:rsid w:val="2E3D47C3"/>
    <w:rsid w:val="2E4918A3"/>
    <w:rsid w:val="2E4C4CFF"/>
    <w:rsid w:val="2E4F13E2"/>
    <w:rsid w:val="2E5070D4"/>
    <w:rsid w:val="2E535144"/>
    <w:rsid w:val="2E54089B"/>
    <w:rsid w:val="2E550800"/>
    <w:rsid w:val="2E563A70"/>
    <w:rsid w:val="2E586A31"/>
    <w:rsid w:val="2E5A046F"/>
    <w:rsid w:val="2E5B4F3E"/>
    <w:rsid w:val="2E6B385B"/>
    <w:rsid w:val="2E6C3ADF"/>
    <w:rsid w:val="2E726A87"/>
    <w:rsid w:val="2E731311"/>
    <w:rsid w:val="2E7510C8"/>
    <w:rsid w:val="2E77045F"/>
    <w:rsid w:val="2E7E784B"/>
    <w:rsid w:val="2E8A2D7A"/>
    <w:rsid w:val="2E8B1F37"/>
    <w:rsid w:val="2E8B326C"/>
    <w:rsid w:val="2E90768F"/>
    <w:rsid w:val="2E945BFC"/>
    <w:rsid w:val="2E9637FB"/>
    <w:rsid w:val="2E992738"/>
    <w:rsid w:val="2E9C1F40"/>
    <w:rsid w:val="2E9D1147"/>
    <w:rsid w:val="2EA13F78"/>
    <w:rsid w:val="2EA15811"/>
    <w:rsid w:val="2EA33D05"/>
    <w:rsid w:val="2EA46394"/>
    <w:rsid w:val="2EAB0CAE"/>
    <w:rsid w:val="2EAE4A99"/>
    <w:rsid w:val="2EB540B0"/>
    <w:rsid w:val="2EB726DD"/>
    <w:rsid w:val="2EBB3690"/>
    <w:rsid w:val="2EBD2660"/>
    <w:rsid w:val="2EC521C4"/>
    <w:rsid w:val="2ECE6E15"/>
    <w:rsid w:val="2ECF7511"/>
    <w:rsid w:val="2EDB429D"/>
    <w:rsid w:val="2EDE484B"/>
    <w:rsid w:val="2EE771C4"/>
    <w:rsid w:val="2EE82232"/>
    <w:rsid w:val="2EEB04F1"/>
    <w:rsid w:val="2EF01090"/>
    <w:rsid w:val="2EF35AC2"/>
    <w:rsid w:val="2EF6216A"/>
    <w:rsid w:val="2EF91CCE"/>
    <w:rsid w:val="2EFF39F9"/>
    <w:rsid w:val="2F0F3D65"/>
    <w:rsid w:val="2F120427"/>
    <w:rsid w:val="2F1908D2"/>
    <w:rsid w:val="2F193057"/>
    <w:rsid w:val="2F2E60EA"/>
    <w:rsid w:val="2F2F6331"/>
    <w:rsid w:val="2F350B23"/>
    <w:rsid w:val="2F377E6D"/>
    <w:rsid w:val="2F3800CE"/>
    <w:rsid w:val="2F385CE6"/>
    <w:rsid w:val="2F3B64A6"/>
    <w:rsid w:val="2F4D0BEB"/>
    <w:rsid w:val="2F4F001A"/>
    <w:rsid w:val="2F50654F"/>
    <w:rsid w:val="2F521E93"/>
    <w:rsid w:val="2F545C4F"/>
    <w:rsid w:val="2F5D460A"/>
    <w:rsid w:val="2F733533"/>
    <w:rsid w:val="2F750757"/>
    <w:rsid w:val="2F83275F"/>
    <w:rsid w:val="2F862758"/>
    <w:rsid w:val="2F901F0C"/>
    <w:rsid w:val="2F957DF5"/>
    <w:rsid w:val="2F9774FB"/>
    <w:rsid w:val="2FA22687"/>
    <w:rsid w:val="2FB72468"/>
    <w:rsid w:val="2FB94686"/>
    <w:rsid w:val="2FCC5DF6"/>
    <w:rsid w:val="2FCC6F2B"/>
    <w:rsid w:val="2FCD4181"/>
    <w:rsid w:val="2FCF5B55"/>
    <w:rsid w:val="2FD72173"/>
    <w:rsid w:val="2FE22F22"/>
    <w:rsid w:val="2FE85726"/>
    <w:rsid w:val="2FEC707E"/>
    <w:rsid w:val="2FF342E1"/>
    <w:rsid w:val="2FF64EA9"/>
    <w:rsid w:val="2FF8158F"/>
    <w:rsid w:val="300A283B"/>
    <w:rsid w:val="300F506A"/>
    <w:rsid w:val="3010741C"/>
    <w:rsid w:val="301563C0"/>
    <w:rsid w:val="301C7A82"/>
    <w:rsid w:val="301D7729"/>
    <w:rsid w:val="30264E4C"/>
    <w:rsid w:val="30271033"/>
    <w:rsid w:val="302A3DBE"/>
    <w:rsid w:val="302A46A5"/>
    <w:rsid w:val="30354AD0"/>
    <w:rsid w:val="303845C1"/>
    <w:rsid w:val="303A5C6F"/>
    <w:rsid w:val="30457659"/>
    <w:rsid w:val="304A4BEE"/>
    <w:rsid w:val="304D612C"/>
    <w:rsid w:val="304F5A63"/>
    <w:rsid w:val="305422C3"/>
    <w:rsid w:val="305746C1"/>
    <w:rsid w:val="306350AE"/>
    <w:rsid w:val="30673A76"/>
    <w:rsid w:val="306C0A36"/>
    <w:rsid w:val="306F5F0D"/>
    <w:rsid w:val="306F6E8F"/>
    <w:rsid w:val="30772223"/>
    <w:rsid w:val="30777594"/>
    <w:rsid w:val="307C33F5"/>
    <w:rsid w:val="30810083"/>
    <w:rsid w:val="30827EC1"/>
    <w:rsid w:val="30851EA0"/>
    <w:rsid w:val="30861519"/>
    <w:rsid w:val="308966B3"/>
    <w:rsid w:val="308A64AA"/>
    <w:rsid w:val="308C0468"/>
    <w:rsid w:val="3099691E"/>
    <w:rsid w:val="30A27C8C"/>
    <w:rsid w:val="30A43FC7"/>
    <w:rsid w:val="30A56A0A"/>
    <w:rsid w:val="30A64BFD"/>
    <w:rsid w:val="30A73FDC"/>
    <w:rsid w:val="30AC6D6E"/>
    <w:rsid w:val="30AD7887"/>
    <w:rsid w:val="30B24E3A"/>
    <w:rsid w:val="30B906D4"/>
    <w:rsid w:val="30B91ED7"/>
    <w:rsid w:val="30C65984"/>
    <w:rsid w:val="30C74325"/>
    <w:rsid w:val="30CF1539"/>
    <w:rsid w:val="30D04D92"/>
    <w:rsid w:val="30D16752"/>
    <w:rsid w:val="30D60B05"/>
    <w:rsid w:val="30DE20C3"/>
    <w:rsid w:val="30E32C14"/>
    <w:rsid w:val="30EB1633"/>
    <w:rsid w:val="30ED4FD4"/>
    <w:rsid w:val="30ED5ED9"/>
    <w:rsid w:val="30F01B9D"/>
    <w:rsid w:val="30FA51CA"/>
    <w:rsid w:val="30FD4EC2"/>
    <w:rsid w:val="310A7469"/>
    <w:rsid w:val="311174A9"/>
    <w:rsid w:val="311C22A0"/>
    <w:rsid w:val="31225387"/>
    <w:rsid w:val="31273364"/>
    <w:rsid w:val="312A05A2"/>
    <w:rsid w:val="312A64FC"/>
    <w:rsid w:val="312D1C4B"/>
    <w:rsid w:val="313308E4"/>
    <w:rsid w:val="31382D50"/>
    <w:rsid w:val="313B248C"/>
    <w:rsid w:val="31407FBF"/>
    <w:rsid w:val="314F2F00"/>
    <w:rsid w:val="31521180"/>
    <w:rsid w:val="31523460"/>
    <w:rsid w:val="3153677F"/>
    <w:rsid w:val="315455E6"/>
    <w:rsid w:val="316171A1"/>
    <w:rsid w:val="31625295"/>
    <w:rsid w:val="31633AA7"/>
    <w:rsid w:val="31642694"/>
    <w:rsid w:val="31674D07"/>
    <w:rsid w:val="3167795B"/>
    <w:rsid w:val="3171164C"/>
    <w:rsid w:val="317B246C"/>
    <w:rsid w:val="318A6B5D"/>
    <w:rsid w:val="318D41A0"/>
    <w:rsid w:val="31915497"/>
    <w:rsid w:val="319740F5"/>
    <w:rsid w:val="31984A3E"/>
    <w:rsid w:val="319C4D5B"/>
    <w:rsid w:val="319E32F8"/>
    <w:rsid w:val="31A032E8"/>
    <w:rsid w:val="31A64582"/>
    <w:rsid w:val="31AF7290"/>
    <w:rsid w:val="31B41209"/>
    <w:rsid w:val="31B54A1D"/>
    <w:rsid w:val="31B74082"/>
    <w:rsid w:val="31B8514D"/>
    <w:rsid w:val="31C03A91"/>
    <w:rsid w:val="31C31176"/>
    <w:rsid w:val="31C43517"/>
    <w:rsid w:val="31CA36E1"/>
    <w:rsid w:val="31D050DC"/>
    <w:rsid w:val="31D8203D"/>
    <w:rsid w:val="31DD1AC0"/>
    <w:rsid w:val="31E23840"/>
    <w:rsid w:val="31E44839"/>
    <w:rsid w:val="31E515B4"/>
    <w:rsid w:val="31E651EC"/>
    <w:rsid w:val="31E66AA6"/>
    <w:rsid w:val="31E83D09"/>
    <w:rsid w:val="31E85DB6"/>
    <w:rsid w:val="31E90C11"/>
    <w:rsid w:val="31EA5EE3"/>
    <w:rsid w:val="31F17E76"/>
    <w:rsid w:val="31F55689"/>
    <w:rsid w:val="31FD161E"/>
    <w:rsid w:val="31FD7D2E"/>
    <w:rsid w:val="32074F8D"/>
    <w:rsid w:val="320A1EF9"/>
    <w:rsid w:val="320D08B1"/>
    <w:rsid w:val="321502BA"/>
    <w:rsid w:val="321921D0"/>
    <w:rsid w:val="321B039B"/>
    <w:rsid w:val="321C0698"/>
    <w:rsid w:val="32243530"/>
    <w:rsid w:val="32243A6C"/>
    <w:rsid w:val="32253B1A"/>
    <w:rsid w:val="32330492"/>
    <w:rsid w:val="323A6E2B"/>
    <w:rsid w:val="323B5A28"/>
    <w:rsid w:val="323C0191"/>
    <w:rsid w:val="324315CF"/>
    <w:rsid w:val="32441EAD"/>
    <w:rsid w:val="324B0A31"/>
    <w:rsid w:val="324E5595"/>
    <w:rsid w:val="32501700"/>
    <w:rsid w:val="32532BD0"/>
    <w:rsid w:val="325869F7"/>
    <w:rsid w:val="325C19E6"/>
    <w:rsid w:val="325C54D0"/>
    <w:rsid w:val="325D0C13"/>
    <w:rsid w:val="3264480E"/>
    <w:rsid w:val="326936FD"/>
    <w:rsid w:val="326A643B"/>
    <w:rsid w:val="326E17A8"/>
    <w:rsid w:val="326F0A36"/>
    <w:rsid w:val="327763DC"/>
    <w:rsid w:val="327E6060"/>
    <w:rsid w:val="328A613C"/>
    <w:rsid w:val="3291171E"/>
    <w:rsid w:val="32934C79"/>
    <w:rsid w:val="32950142"/>
    <w:rsid w:val="3299459B"/>
    <w:rsid w:val="329A4345"/>
    <w:rsid w:val="329D0286"/>
    <w:rsid w:val="329E197F"/>
    <w:rsid w:val="329F6B99"/>
    <w:rsid w:val="32A13529"/>
    <w:rsid w:val="32A76F7C"/>
    <w:rsid w:val="32A911BC"/>
    <w:rsid w:val="32AD741F"/>
    <w:rsid w:val="32AE2918"/>
    <w:rsid w:val="32B23400"/>
    <w:rsid w:val="32B45965"/>
    <w:rsid w:val="32B92904"/>
    <w:rsid w:val="32BA2935"/>
    <w:rsid w:val="32C16030"/>
    <w:rsid w:val="32C52CC1"/>
    <w:rsid w:val="32C95BDE"/>
    <w:rsid w:val="32CC1BFD"/>
    <w:rsid w:val="32D01238"/>
    <w:rsid w:val="32D0288E"/>
    <w:rsid w:val="32D1570F"/>
    <w:rsid w:val="32D76DB8"/>
    <w:rsid w:val="32DB1233"/>
    <w:rsid w:val="32DF7877"/>
    <w:rsid w:val="32EE1747"/>
    <w:rsid w:val="32EE776C"/>
    <w:rsid w:val="32EF1F72"/>
    <w:rsid w:val="32F00F21"/>
    <w:rsid w:val="32F107D2"/>
    <w:rsid w:val="32F23DA3"/>
    <w:rsid w:val="330439E4"/>
    <w:rsid w:val="330C714C"/>
    <w:rsid w:val="330E18D2"/>
    <w:rsid w:val="330E6117"/>
    <w:rsid w:val="331135E6"/>
    <w:rsid w:val="331307F6"/>
    <w:rsid w:val="33281664"/>
    <w:rsid w:val="332B0144"/>
    <w:rsid w:val="33354615"/>
    <w:rsid w:val="33423060"/>
    <w:rsid w:val="33425CCE"/>
    <w:rsid w:val="334E12BB"/>
    <w:rsid w:val="334F0DBB"/>
    <w:rsid w:val="3356485E"/>
    <w:rsid w:val="335F1B66"/>
    <w:rsid w:val="336456CD"/>
    <w:rsid w:val="33673EF9"/>
    <w:rsid w:val="336F4723"/>
    <w:rsid w:val="33755CC9"/>
    <w:rsid w:val="337766CA"/>
    <w:rsid w:val="33813440"/>
    <w:rsid w:val="33877DD9"/>
    <w:rsid w:val="33956949"/>
    <w:rsid w:val="33986EB4"/>
    <w:rsid w:val="339B1BBA"/>
    <w:rsid w:val="339B37C1"/>
    <w:rsid w:val="339E4139"/>
    <w:rsid w:val="33A83188"/>
    <w:rsid w:val="33A87851"/>
    <w:rsid w:val="33A9123A"/>
    <w:rsid w:val="33AA49AE"/>
    <w:rsid w:val="33AB054F"/>
    <w:rsid w:val="33AF4DD3"/>
    <w:rsid w:val="33B20349"/>
    <w:rsid w:val="33B211EF"/>
    <w:rsid w:val="33B71CA0"/>
    <w:rsid w:val="33BB353F"/>
    <w:rsid w:val="33BD61A9"/>
    <w:rsid w:val="33C14428"/>
    <w:rsid w:val="33C61535"/>
    <w:rsid w:val="33CC4935"/>
    <w:rsid w:val="33CC574C"/>
    <w:rsid w:val="33D31188"/>
    <w:rsid w:val="33D56E4B"/>
    <w:rsid w:val="33DA1434"/>
    <w:rsid w:val="33DC7530"/>
    <w:rsid w:val="33E03D21"/>
    <w:rsid w:val="33E14263"/>
    <w:rsid w:val="33E701B5"/>
    <w:rsid w:val="33ED6341"/>
    <w:rsid w:val="33EE1CBF"/>
    <w:rsid w:val="33EE3FD8"/>
    <w:rsid w:val="33F31E39"/>
    <w:rsid w:val="33F54B4F"/>
    <w:rsid w:val="33F7209D"/>
    <w:rsid w:val="340515C1"/>
    <w:rsid w:val="340C3D9A"/>
    <w:rsid w:val="340F2497"/>
    <w:rsid w:val="341910D7"/>
    <w:rsid w:val="341B7BF7"/>
    <w:rsid w:val="34201A10"/>
    <w:rsid w:val="34262CB5"/>
    <w:rsid w:val="342976E4"/>
    <w:rsid w:val="342C2100"/>
    <w:rsid w:val="342C5B78"/>
    <w:rsid w:val="342E6D51"/>
    <w:rsid w:val="34322EC3"/>
    <w:rsid w:val="343677CA"/>
    <w:rsid w:val="34390FE1"/>
    <w:rsid w:val="343C3078"/>
    <w:rsid w:val="34401C96"/>
    <w:rsid w:val="34407498"/>
    <w:rsid w:val="34506D1E"/>
    <w:rsid w:val="34563267"/>
    <w:rsid w:val="346963EF"/>
    <w:rsid w:val="346E6719"/>
    <w:rsid w:val="347318B3"/>
    <w:rsid w:val="3473581A"/>
    <w:rsid w:val="34786A61"/>
    <w:rsid w:val="34815CD1"/>
    <w:rsid w:val="34847DD4"/>
    <w:rsid w:val="348640A2"/>
    <w:rsid w:val="348F07B7"/>
    <w:rsid w:val="349A13A6"/>
    <w:rsid w:val="34A81ECF"/>
    <w:rsid w:val="34B06ADD"/>
    <w:rsid w:val="34B27A3C"/>
    <w:rsid w:val="34C16BFD"/>
    <w:rsid w:val="34C17C6F"/>
    <w:rsid w:val="34C226AB"/>
    <w:rsid w:val="34CA1D4D"/>
    <w:rsid w:val="34CA77B1"/>
    <w:rsid w:val="34D85F24"/>
    <w:rsid w:val="34E15021"/>
    <w:rsid w:val="34E24D9D"/>
    <w:rsid w:val="34E42ABF"/>
    <w:rsid w:val="34EC3DE2"/>
    <w:rsid w:val="34F373ED"/>
    <w:rsid w:val="34FC0CF1"/>
    <w:rsid w:val="35065304"/>
    <w:rsid w:val="35067F42"/>
    <w:rsid w:val="35096809"/>
    <w:rsid w:val="350A6E1A"/>
    <w:rsid w:val="350E67A0"/>
    <w:rsid w:val="351125FD"/>
    <w:rsid w:val="3514694F"/>
    <w:rsid w:val="35235501"/>
    <w:rsid w:val="352A05B3"/>
    <w:rsid w:val="352A2BDD"/>
    <w:rsid w:val="352B2259"/>
    <w:rsid w:val="352B3AB9"/>
    <w:rsid w:val="3530794A"/>
    <w:rsid w:val="35445F9B"/>
    <w:rsid w:val="35455359"/>
    <w:rsid w:val="354A7E77"/>
    <w:rsid w:val="35536F11"/>
    <w:rsid w:val="3555332D"/>
    <w:rsid w:val="35556A04"/>
    <w:rsid w:val="35583DB2"/>
    <w:rsid w:val="35590361"/>
    <w:rsid w:val="35594E2F"/>
    <w:rsid w:val="355B7D16"/>
    <w:rsid w:val="355C783D"/>
    <w:rsid w:val="355C7E73"/>
    <w:rsid w:val="3562615F"/>
    <w:rsid w:val="356516BE"/>
    <w:rsid w:val="35651E8C"/>
    <w:rsid w:val="356705AA"/>
    <w:rsid w:val="35683DDC"/>
    <w:rsid w:val="356927A2"/>
    <w:rsid w:val="356C5A4F"/>
    <w:rsid w:val="357331BF"/>
    <w:rsid w:val="3574669E"/>
    <w:rsid w:val="35757D76"/>
    <w:rsid w:val="35766068"/>
    <w:rsid w:val="3578364A"/>
    <w:rsid w:val="35794950"/>
    <w:rsid w:val="357C52B9"/>
    <w:rsid w:val="357E214E"/>
    <w:rsid w:val="35823F1A"/>
    <w:rsid w:val="358E402B"/>
    <w:rsid w:val="359027A9"/>
    <w:rsid w:val="35935DF5"/>
    <w:rsid w:val="359669AE"/>
    <w:rsid w:val="35996116"/>
    <w:rsid w:val="359A28C7"/>
    <w:rsid w:val="359B265C"/>
    <w:rsid w:val="35A0505A"/>
    <w:rsid w:val="35A12FEC"/>
    <w:rsid w:val="35A41CC1"/>
    <w:rsid w:val="35B069A7"/>
    <w:rsid w:val="35B41453"/>
    <w:rsid w:val="35B842F2"/>
    <w:rsid w:val="35BF7531"/>
    <w:rsid w:val="35C13E42"/>
    <w:rsid w:val="35C74DB3"/>
    <w:rsid w:val="35C869C9"/>
    <w:rsid w:val="35CC6A4B"/>
    <w:rsid w:val="35D33DBD"/>
    <w:rsid w:val="35D51D1B"/>
    <w:rsid w:val="35D81AD1"/>
    <w:rsid w:val="35D94F02"/>
    <w:rsid w:val="35DC59EE"/>
    <w:rsid w:val="35DF4E62"/>
    <w:rsid w:val="35E205A6"/>
    <w:rsid w:val="35E502BB"/>
    <w:rsid w:val="35E52431"/>
    <w:rsid w:val="35E96E21"/>
    <w:rsid w:val="35EC766C"/>
    <w:rsid w:val="35ED6F2D"/>
    <w:rsid w:val="35ED7F8B"/>
    <w:rsid w:val="35EE02D4"/>
    <w:rsid w:val="35F1130D"/>
    <w:rsid w:val="35F241E5"/>
    <w:rsid w:val="35FF5779"/>
    <w:rsid w:val="36001145"/>
    <w:rsid w:val="36043452"/>
    <w:rsid w:val="360951A9"/>
    <w:rsid w:val="361435DB"/>
    <w:rsid w:val="361725A4"/>
    <w:rsid w:val="3618333E"/>
    <w:rsid w:val="361D0ED0"/>
    <w:rsid w:val="362167DA"/>
    <w:rsid w:val="3622606D"/>
    <w:rsid w:val="36246CEA"/>
    <w:rsid w:val="36257B6A"/>
    <w:rsid w:val="362A219B"/>
    <w:rsid w:val="362C192A"/>
    <w:rsid w:val="362D23C3"/>
    <w:rsid w:val="3632786A"/>
    <w:rsid w:val="36354DF7"/>
    <w:rsid w:val="36380CE7"/>
    <w:rsid w:val="36396F1E"/>
    <w:rsid w:val="36445390"/>
    <w:rsid w:val="364B6B71"/>
    <w:rsid w:val="365872A9"/>
    <w:rsid w:val="365B6B4A"/>
    <w:rsid w:val="365D4441"/>
    <w:rsid w:val="366478B1"/>
    <w:rsid w:val="3666696B"/>
    <w:rsid w:val="366D14EC"/>
    <w:rsid w:val="367363BA"/>
    <w:rsid w:val="36775DBA"/>
    <w:rsid w:val="367C0487"/>
    <w:rsid w:val="3694409B"/>
    <w:rsid w:val="369465F9"/>
    <w:rsid w:val="369E07F7"/>
    <w:rsid w:val="36A5690C"/>
    <w:rsid w:val="36A70DDD"/>
    <w:rsid w:val="36A77E1C"/>
    <w:rsid w:val="36AB0A29"/>
    <w:rsid w:val="36B35DD3"/>
    <w:rsid w:val="36B61F5B"/>
    <w:rsid w:val="36B809F9"/>
    <w:rsid w:val="36BC2295"/>
    <w:rsid w:val="36C14E78"/>
    <w:rsid w:val="36C36710"/>
    <w:rsid w:val="36C9340F"/>
    <w:rsid w:val="36CE7001"/>
    <w:rsid w:val="36D722C4"/>
    <w:rsid w:val="36D83E65"/>
    <w:rsid w:val="36DF76FA"/>
    <w:rsid w:val="36E27E94"/>
    <w:rsid w:val="36E83ACC"/>
    <w:rsid w:val="36ED0FF1"/>
    <w:rsid w:val="36ED6E16"/>
    <w:rsid w:val="36EE7787"/>
    <w:rsid w:val="36EF4550"/>
    <w:rsid w:val="36F34D9D"/>
    <w:rsid w:val="36F84343"/>
    <w:rsid w:val="37070167"/>
    <w:rsid w:val="370A05ED"/>
    <w:rsid w:val="370A6A5C"/>
    <w:rsid w:val="370B5E26"/>
    <w:rsid w:val="371B6F33"/>
    <w:rsid w:val="37265173"/>
    <w:rsid w:val="372B25AC"/>
    <w:rsid w:val="372E6D97"/>
    <w:rsid w:val="37325C98"/>
    <w:rsid w:val="3739069D"/>
    <w:rsid w:val="373E1355"/>
    <w:rsid w:val="373E3F28"/>
    <w:rsid w:val="37483DCA"/>
    <w:rsid w:val="37502EDA"/>
    <w:rsid w:val="37514B26"/>
    <w:rsid w:val="375366B6"/>
    <w:rsid w:val="37541EE0"/>
    <w:rsid w:val="375816AA"/>
    <w:rsid w:val="37603770"/>
    <w:rsid w:val="37607F03"/>
    <w:rsid w:val="376D2DA2"/>
    <w:rsid w:val="377F1F9A"/>
    <w:rsid w:val="37841E99"/>
    <w:rsid w:val="37933072"/>
    <w:rsid w:val="37956169"/>
    <w:rsid w:val="37985945"/>
    <w:rsid w:val="379E40BD"/>
    <w:rsid w:val="37A02287"/>
    <w:rsid w:val="37A100AF"/>
    <w:rsid w:val="37A30B50"/>
    <w:rsid w:val="37A729CB"/>
    <w:rsid w:val="37AC75E6"/>
    <w:rsid w:val="37B23A97"/>
    <w:rsid w:val="37BC4C94"/>
    <w:rsid w:val="37C160C0"/>
    <w:rsid w:val="37C600DA"/>
    <w:rsid w:val="37C6432A"/>
    <w:rsid w:val="37C8622A"/>
    <w:rsid w:val="37CB092C"/>
    <w:rsid w:val="37CD17BC"/>
    <w:rsid w:val="37DA48EC"/>
    <w:rsid w:val="37DF22F0"/>
    <w:rsid w:val="37DF3DD3"/>
    <w:rsid w:val="37E3392F"/>
    <w:rsid w:val="37E56B9A"/>
    <w:rsid w:val="37EE4373"/>
    <w:rsid w:val="37FC3CE4"/>
    <w:rsid w:val="37FE14CE"/>
    <w:rsid w:val="37FE3B6D"/>
    <w:rsid w:val="37FE7A5A"/>
    <w:rsid w:val="38060F79"/>
    <w:rsid w:val="380C785D"/>
    <w:rsid w:val="38131513"/>
    <w:rsid w:val="381659C7"/>
    <w:rsid w:val="38180E94"/>
    <w:rsid w:val="38190A3D"/>
    <w:rsid w:val="381D6EC4"/>
    <w:rsid w:val="381F065A"/>
    <w:rsid w:val="382F6969"/>
    <w:rsid w:val="38310C0D"/>
    <w:rsid w:val="38320786"/>
    <w:rsid w:val="383400C5"/>
    <w:rsid w:val="383677B3"/>
    <w:rsid w:val="383A48CB"/>
    <w:rsid w:val="383B01C6"/>
    <w:rsid w:val="383C4C26"/>
    <w:rsid w:val="383E345B"/>
    <w:rsid w:val="38420CA9"/>
    <w:rsid w:val="3843231B"/>
    <w:rsid w:val="3851060E"/>
    <w:rsid w:val="385712BA"/>
    <w:rsid w:val="38573C0E"/>
    <w:rsid w:val="38665326"/>
    <w:rsid w:val="38727CF9"/>
    <w:rsid w:val="3874600B"/>
    <w:rsid w:val="387537D3"/>
    <w:rsid w:val="38762532"/>
    <w:rsid w:val="387C7A13"/>
    <w:rsid w:val="387D59E4"/>
    <w:rsid w:val="388E0751"/>
    <w:rsid w:val="38912AC0"/>
    <w:rsid w:val="38991CE9"/>
    <w:rsid w:val="389A73DA"/>
    <w:rsid w:val="38AB4A8F"/>
    <w:rsid w:val="38AF0610"/>
    <w:rsid w:val="38B8629F"/>
    <w:rsid w:val="38BF1443"/>
    <w:rsid w:val="38C1359A"/>
    <w:rsid w:val="38C34BB0"/>
    <w:rsid w:val="38C70C83"/>
    <w:rsid w:val="38CC1A83"/>
    <w:rsid w:val="38CC4621"/>
    <w:rsid w:val="38D3500A"/>
    <w:rsid w:val="38D75A4F"/>
    <w:rsid w:val="38DE1D31"/>
    <w:rsid w:val="38E20B26"/>
    <w:rsid w:val="38E452E6"/>
    <w:rsid w:val="38E50BC0"/>
    <w:rsid w:val="38F328D9"/>
    <w:rsid w:val="38F64C80"/>
    <w:rsid w:val="38FA0207"/>
    <w:rsid w:val="38FA3EE1"/>
    <w:rsid w:val="38FB65EA"/>
    <w:rsid w:val="38FC0DCD"/>
    <w:rsid w:val="39090230"/>
    <w:rsid w:val="39093AC1"/>
    <w:rsid w:val="390C09D9"/>
    <w:rsid w:val="391B5C86"/>
    <w:rsid w:val="391C6107"/>
    <w:rsid w:val="39214CC9"/>
    <w:rsid w:val="39276BFD"/>
    <w:rsid w:val="392B49E5"/>
    <w:rsid w:val="39312CF5"/>
    <w:rsid w:val="3932380B"/>
    <w:rsid w:val="393269E0"/>
    <w:rsid w:val="393A2270"/>
    <w:rsid w:val="393B03F6"/>
    <w:rsid w:val="393B5BBA"/>
    <w:rsid w:val="393C7388"/>
    <w:rsid w:val="394812DE"/>
    <w:rsid w:val="394A2C6F"/>
    <w:rsid w:val="394E5742"/>
    <w:rsid w:val="39514A93"/>
    <w:rsid w:val="395457AB"/>
    <w:rsid w:val="39572945"/>
    <w:rsid w:val="395E7CA5"/>
    <w:rsid w:val="39661D0C"/>
    <w:rsid w:val="39695BD7"/>
    <w:rsid w:val="39703F36"/>
    <w:rsid w:val="397855D8"/>
    <w:rsid w:val="397A3FB5"/>
    <w:rsid w:val="397B6D83"/>
    <w:rsid w:val="398C14D9"/>
    <w:rsid w:val="398D144F"/>
    <w:rsid w:val="3992585E"/>
    <w:rsid w:val="39957106"/>
    <w:rsid w:val="399735DB"/>
    <w:rsid w:val="39977EB0"/>
    <w:rsid w:val="3998445D"/>
    <w:rsid w:val="399D386E"/>
    <w:rsid w:val="399F2ACB"/>
    <w:rsid w:val="399F57CF"/>
    <w:rsid w:val="39A151C9"/>
    <w:rsid w:val="39A27653"/>
    <w:rsid w:val="39A334F9"/>
    <w:rsid w:val="39A405D1"/>
    <w:rsid w:val="39A44826"/>
    <w:rsid w:val="39A53DE1"/>
    <w:rsid w:val="39B07331"/>
    <w:rsid w:val="39B242B8"/>
    <w:rsid w:val="39B407CD"/>
    <w:rsid w:val="39B5451D"/>
    <w:rsid w:val="39B97245"/>
    <w:rsid w:val="39C01A40"/>
    <w:rsid w:val="39CE6256"/>
    <w:rsid w:val="39D200DA"/>
    <w:rsid w:val="39D41758"/>
    <w:rsid w:val="39D65E2E"/>
    <w:rsid w:val="39DB054A"/>
    <w:rsid w:val="39DF3CFF"/>
    <w:rsid w:val="39E13D03"/>
    <w:rsid w:val="39E16540"/>
    <w:rsid w:val="39E20439"/>
    <w:rsid w:val="39E27667"/>
    <w:rsid w:val="39E44E71"/>
    <w:rsid w:val="39E6508D"/>
    <w:rsid w:val="39E82C04"/>
    <w:rsid w:val="39E9655C"/>
    <w:rsid w:val="39ED162C"/>
    <w:rsid w:val="39EE4971"/>
    <w:rsid w:val="39EF7EA7"/>
    <w:rsid w:val="39F04B90"/>
    <w:rsid w:val="3A01380A"/>
    <w:rsid w:val="3A0473EF"/>
    <w:rsid w:val="3A054867"/>
    <w:rsid w:val="3A0A6445"/>
    <w:rsid w:val="3A1215FA"/>
    <w:rsid w:val="3A125AE4"/>
    <w:rsid w:val="3A1834E7"/>
    <w:rsid w:val="3A197D98"/>
    <w:rsid w:val="3A1B0791"/>
    <w:rsid w:val="3A1B300A"/>
    <w:rsid w:val="3A1E59FB"/>
    <w:rsid w:val="3A377067"/>
    <w:rsid w:val="3A44110E"/>
    <w:rsid w:val="3A4745D0"/>
    <w:rsid w:val="3A4F744A"/>
    <w:rsid w:val="3A523D63"/>
    <w:rsid w:val="3A544EA0"/>
    <w:rsid w:val="3A570077"/>
    <w:rsid w:val="3A5771C4"/>
    <w:rsid w:val="3A577FED"/>
    <w:rsid w:val="3A602052"/>
    <w:rsid w:val="3A6051C1"/>
    <w:rsid w:val="3A72782B"/>
    <w:rsid w:val="3A78461B"/>
    <w:rsid w:val="3A787684"/>
    <w:rsid w:val="3A791921"/>
    <w:rsid w:val="3A80478E"/>
    <w:rsid w:val="3A8161E6"/>
    <w:rsid w:val="3A8334DB"/>
    <w:rsid w:val="3A8A671A"/>
    <w:rsid w:val="3A8B6EAA"/>
    <w:rsid w:val="3A904665"/>
    <w:rsid w:val="3AA90D7D"/>
    <w:rsid w:val="3AAE76C9"/>
    <w:rsid w:val="3AB01526"/>
    <w:rsid w:val="3AB01989"/>
    <w:rsid w:val="3AB5795C"/>
    <w:rsid w:val="3AB656F1"/>
    <w:rsid w:val="3ABA7AA1"/>
    <w:rsid w:val="3ACD1599"/>
    <w:rsid w:val="3ACD53F7"/>
    <w:rsid w:val="3AD34179"/>
    <w:rsid w:val="3AD43CD2"/>
    <w:rsid w:val="3AD647D8"/>
    <w:rsid w:val="3AD85269"/>
    <w:rsid w:val="3ADA4DE9"/>
    <w:rsid w:val="3ADB60C8"/>
    <w:rsid w:val="3ADE0608"/>
    <w:rsid w:val="3ADE7C47"/>
    <w:rsid w:val="3ADF6D50"/>
    <w:rsid w:val="3AE621E0"/>
    <w:rsid w:val="3AE64A14"/>
    <w:rsid w:val="3AE6676A"/>
    <w:rsid w:val="3AEC355C"/>
    <w:rsid w:val="3AF22D0E"/>
    <w:rsid w:val="3AFD45CE"/>
    <w:rsid w:val="3B007395"/>
    <w:rsid w:val="3B05253B"/>
    <w:rsid w:val="3B086144"/>
    <w:rsid w:val="3B093BB7"/>
    <w:rsid w:val="3B0E0794"/>
    <w:rsid w:val="3B0E0ACB"/>
    <w:rsid w:val="3B1039F4"/>
    <w:rsid w:val="3B1730B5"/>
    <w:rsid w:val="3B2259B5"/>
    <w:rsid w:val="3B293D1D"/>
    <w:rsid w:val="3B2E79CF"/>
    <w:rsid w:val="3B304812"/>
    <w:rsid w:val="3B376547"/>
    <w:rsid w:val="3B3955B9"/>
    <w:rsid w:val="3B3C6B39"/>
    <w:rsid w:val="3B3E5616"/>
    <w:rsid w:val="3B43219B"/>
    <w:rsid w:val="3B46796D"/>
    <w:rsid w:val="3B470C5D"/>
    <w:rsid w:val="3B4C67D8"/>
    <w:rsid w:val="3B4E5F63"/>
    <w:rsid w:val="3B564B69"/>
    <w:rsid w:val="3B5D01E0"/>
    <w:rsid w:val="3B5D1378"/>
    <w:rsid w:val="3B6114A6"/>
    <w:rsid w:val="3B6B5BCA"/>
    <w:rsid w:val="3B705C67"/>
    <w:rsid w:val="3B756D46"/>
    <w:rsid w:val="3B7D087F"/>
    <w:rsid w:val="3B8259BC"/>
    <w:rsid w:val="3B895F5D"/>
    <w:rsid w:val="3B8A4A6D"/>
    <w:rsid w:val="3B8F3E84"/>
    <w:rsid w:val="3B903A49"/>
    <w:rsid w:val="3B932B00"/>
    <w:rsid w:val="3BA15EE2"/>
    <w:rsid w:val="3BA21765"/>
    <w:rsid w:val="3BA70EDE"/>
    <w:rsid w:val="3BA743A8"/>
    <w:rsid w:val="3BAA4BAE"/>
    <w:rsid w:val="3BAC5924"/>
    <w:rsid w:val="3BAF4626"/>
    <w:rsid w:val="3BB569EA"/>
    <w:rsid w:val="3BB64C62"/>
    <w:rsid w:val="3BB81356"/>
    <w:rsid w:val="3BB900D2"/>
    <w:rsid w:val="3BBA229E"/>
    <w:rsid w:val="3BBF05EF"/>
    <w:rsid w:val="3BC05E40"/>
    <w:rsid w:val="3BC136BC"/>
    <w:rsid w:val="3BC1593D"/>
    <w:rsid w:val="3BC879FE"/>
    <w:rsid w:val="3BC92299"/>
    <w:rsid w:val="3BD540C0"/>
    <w:rsid w:val="3BDD218A"/>
    <w:rsid w:val="3BE25A3A"/>
    <w:rsid w:val="3BE37C0D"/>
    <w:rsid w:val="3BE52066"/>
    <w:rsid w:val="3BE82D42"/>
    <w:rsid w:val="3BE97530"/>
    <w:rsid w:val="3BEA6B45"/>
    <w:rsid w:val="3BEC3EE8"/>
    <w:rsid w:val="3BEF1864"/>
    <w:rsid w:val="3BFA2DE2"/>
    <w:rsid w:val="3BFD65FB"/>
    <w:rsid w:val="3C0217BE"/>
    <w:rsid w:val="3C0B0106"/>
    <w:rsid w:val="3C0D057F"/>
    <w:rsid w:val="3C0D06AF"/>
    <w:rsid w:val="3C0E6DFC"/>
    <w:rsid w:val="3C125024"/>
    <w:rsid w:val="3C125CC6"/>
    <w:rsid w:val="3C157F72"/>
    <w:rsid w:val="3C1C08F2"/>
    <w:rsid w:val="3C2C6125"/>
    <w:rsid w:val="3C3130AD"/>
    <w:rsid w:val="3C32581B"/>
    <w:rsid w:val="3C3521E5"/>
    <w:rsid w:val="3C354780"/>
    <w:rsid w:val="3C383543"/>
    <w:rsid w:val="3C3C024E"/>
    <w:rsid w:val="3C411489"/>
    <w:rsid w:val="3C461FD0"/>
    <w:rsid w:val="3C4B4270"/>
    <w:rsid w:val="3C4F0080"/>
    <w:rsid w:val="3C5178AE"/>
    <w:rsid w:val="3C562EDC"/>
    <w:rsid w:val="3C5B7561"/>
    <w:rsid w:val="3C5E3103"/>
    <w:rsid w:val="3C5E7AB7"/>
    <w:rsid w:val="3C6263E8"/>
    <w:rsid w:val="3C673CF4"/>
    <w:rsid w:val="3C6F112F"/>
    <w:rsid w:val="3C793A32"/>
    <w:rsid w:val="3C7E2CC8"/>
    <w:rsid w:val="3C7E4E41"/>
    <w:rsid w:val="3C815C51"/>
    <w:rsid w:val="3C965FC3"/>
    <w:rsid w:val="3C97078E"/>
    <w:rsid w:val="3C9E388D"/>
    <w:rsid w:val="3CA21CCA"/>
    <w:rsid w:val="3CAA5C7A"/>
    <w:rsid w:val="3CB52289"/>
    <w:rsid w:val="3CB736C0"/>
    <w:rsid w:val="3CBC2806"/>
    <w:rsid w:val="3CBD3770"/>
    <w:rsid w:val="3CD22516"/>
    <w:rsid w:val="3CE76467"/>
    <w:rsid w:val="3CE83FE4"/>
    <w:rsid w:val="3CEE3144"/>
    <w:rsid w:val="3CEF4D59"/>
    <w:rsid w:val="3CF70461"/>
    <w:rsid w:val="3CF734B7"/>
    <w:rsid w:val="3CFA7D19"/>
    <w:rsid w:val="3CFE7E3B"/>
    <w:rsid w:val="3CFF613E"/>
    <w:rsid w:val="3D0B18C1"/>
    <w:rsid w:val="3D11626F"/>
    <w:rsid w:val="3D116503"/>
    <w:rsid w:val="3D1D6799"/>
    <w:rsid w:val="3D221046"/>
    <w:rsid w:val="3D264254"/>
    <w:rsid w:val="3D281DA3"/>
    <w:rsid w:val="3D301E70"/>
    <w:rsid w:val="3D334199"/>
    <w:rsid w:val="3D3C3430"/>
    <w:rsid w:val="3D456F2F"/>
    <w:rsid w:val="3D48033C"/>
    <w:rsid w:val="3D4A5F32"/>
    <w:rsid w:val="3D5179F8"/>
    <w:rsid w:val="3D5655AB"/>
    <w:rsid w:val="3D66234A"/>
    <w:rsid w:val="3D6F79A0"/>
    <w:rsid w:val="3D7B4F13"/>
    <w:rsid w:val="3D7D39C5"/>
    <w:rsid w:val="3D841787"/>
    <w:rsid w:val="3D8C3E06"/>
    <w:rsid w:val="3D902E15"/>
    <w:rsid w:val="3D9602CB"/>
    <w:rsid w:val="3DA233A0"/>
    <w:rsid w:val="3DA5240A"/>
    <w:rsid w:val="3DB35286"/>
    <w:rsid w:val="3DB41D35"/>
    <w:rsid w:val="3DB5715C"/>
    <w:rsid w:val="3DB74620"/>
    <w:rsid w:val="3DB9635F"/>
    <w:rsid w:val="3DBC6324"/>
    <w:rsid w:val="3DBD7EB3"/>
    <w:rsid w:val="3DC12D0A"/>
    <w:rsid w:val="3DC167B0"/>
    <w:rsid w:val="3DC87917"/>
    <w:rsid w:val="3DC94AAA"/>
    <w:rsid w:val="3DD77DE3"/>
    <w:rsid w:val="3DDA1A32"/>
    <w:rsid w:val="3DDD0555"/>
    <w:rsid w:val="3DDD1559"/>
    <w:rsid w:val="3DDD63B5"/>
    <w:rsid w:val="3DDD7368"/>
    <w:rsid w:val="3DF12D6D"/>
    <w:rsid w:val="3DF31B27"/>
    <w:rsid w:val="3DF64F0C"/>
    <w:rsid w:val="3DFA425E"/>
    <w:rsid w:val="3E076650"/>
    <w:rsid w:val="3E0F7FA3"/>
    <w:rsid w:val="3E10413D"/>
    <w:rsid w:val="3E122BEF"/>
    <w:rsid w:val="3E13166E"/>
    <w:rsid w:val="3E197BF0"/>
    <w:rsid w:val="3E1C2CDE"/>
    <w:rsid w:val="3E284891"/>
    <w:rsid w:val="3E2E4775"/>
    <w:rsid w:val="3E37139E"/>
    <w:rsid w:val="3E3D0446"/>
    <w:rsid w:val="3E42660A"/>
    <w:rsid w:val="3E444311"/>
    <w:rsid w:val="3E4474BA"/>
    <w:rsid w:val="3E475D6B"/>
    <w:rsid w:val="3E490108"/>
    <w:rsid w:val="3E4969E7"/>
    <w:rsid w:val="3E4C7FAF"/>
    <w:rsid w:val="3E5274FA"/>
    <w:rsid w:val="3E553C42"/>
    <w:rsid w:val="3E654100"/>
    <w:rsid w:val="3E6C3BB1"/>
    <w:rsid w:val="3E6E0754"/>
    <w:rsid w:val="3E744DFF"/>
    <w:rsid w:val="3E816D15"/>
    <w:rsid w:val="3E823B0A"/>
    <w:rsid w:val="3E8A248B"/>
    <w:rsid w:val="3E8B1FBE"/>
    <w:rsid w:val="3E9326FE"/>
    <w:rsid w:val="3E9930E0"/>
    <w:rsid w:val="3E9A2ABF"/>
    <w:rsid w:val="3EAE61E2"/>
    <w:rsid w:val="3EB50E1F"/>
    <w:rsid w:val="3EBC7762"/>
    <w:rsid w:val="3EBE3DD1"/>
    <w:rsid w:val="3EBF1A09"/>
    <w:rsid w:val="3EC50FE8"/>
    <w:rsid w:val="3ECE737B"/>
    <w:rsid w:val="3ECF463A"/>
    <w:rsid w:val="3ED50CA5"/>
    <w:rsid w:val="3ED71720"/>
    <w:rsid w:val="3EDA68C3"/>
    <w:rsid w:val="3EDB13A4"/>
    <w:rsid w:val="3EDF4B5C"/>
    <w:rsid w:val="3EE01103"/>
    <w:rsid w:val="3EF21AD1"/>
    <w:rsid w:val="3EF46053"/>
    <w:rsid w:val="3EF87117"/>
    <w:rsid w:val="3EFA56DD"/>
    <w:rsid w:val="3F0279E8"/>
    <w:rsid w:val="3F0D28C9"/>
    <w:rsid w:val="3F1050E6"/>
    <w:rsid w:val="3F173D91"/>
    <w:rsid w:val="3F181226"/>
    <w:rsid w:val="3F2058AD"/>
    <w:rsid w:val="3F2316FA"/>
    <w:rsid w:val="3F2816AA"/>
    <w:rsid w:val="3F2F29ED"/>
    <w:rsid w:val="3F2F34A8"/>
    <w:rsid w:val="3F384ECC"/>
    <w:rsid w:val="3F39162F"/>
    <w:rsid w:val="3F3F620C"/>
    <w:rsid w:val="3F422AD6"/>
    <w:rsid w:val="3F49270E"/>
    <w:rsid w:val="3F4C0BFD"/>
    <w:rsid w:val="3F5462F2"/>
    <w:rsid w:val="3F5E7638"/>
    <w:rsid w:val="3F610664"/>
    <w:rsid w:val="3F6B5353"/>
    <w:rsid w:val="3F7D0487"/>
    <w:rsid w:val="3F814B1D"/>
    <w:rsid w:val="3F8A215C"/>
    <w:rsid w:val="3F8A64BB"/>
    <w:rsid w:val="3F9119DB"/>
    <w:rsid w:val="3F932319"/>
    <w:rsid w:val="3F963DB4"/>
    <w:rsid w:val="3F9A0429"/>
    <w:rsid w:val="3F9A4CFB"/>
    <w:rsid w:val="3F9B09D2"/>
    <w:rsid w:val="3FA2246A"/>
    <w:rsid w:val="3FA349F5"/>
    <w:rsid w:val="3FA4788D"/>
    <w:rsid w:val="3FA52CD7"/>
    <w:rsid w:val="3FA70AF7"/>
    <w:rsid w:val="3FA851D5"/>
    <w:rsid w:val="3FAB6F02"/>
    <w:rsid w:val="3FAD6994"/>
    <w:rsid w:val="3FAF2ECF"/>
    <w:rsid w:val="3FB37BBD"/>
    <w:rsid w:val="3FB42055"/>
    <w:rsid w:val="3FBF4C24"/>
    <w:rsid w:val="3FCB6C5A"/>
    <w:rsid w:val="3FD4717D"/>
    <w:rsid w:val="3FD67878"/>
    <w:rsid w:val="3FD8399D"/>
    <w:rsid w:val="3FD958A5"/>
    <w:rsid w:val="3FDF7C82"/>
    <w:rsid w:val="3FE2041E"/>
    <w:rsid w:val="3FEA1FD3"/>
    <w:rsid w:val="3FEF019E"/>
    <w:rsid w:val="3FF613CB"/>
    <w:rsid w:val="3FF90FF1"/>
    <w:rsid w:val="3FFB13D4"/>
    <w:rsid w:val="400251AB"/>
    <w:rsid w:val="40093F05"/>
    <w:rsid w:val="400954AA"/>
    <w:rsid w:val="400F1F3A"/>
    <w:rsid w:val="40147FD7"/>
    <w:rsid w:val="401E057E"/>
    <w:rsid w:val="40253F0D"/>
    <w:rsid w:val="40283BE7"/>
    <w:rsid w:val="402A64BB"/>
    <w:rsid w:val="402A6942"/>
    <w:rsid w:val="402A7925"/>
    <w:rsid w:val="402E32EA"/>
    <w:rsid w:val="40322DDA"/>
    <w:rsid w:val="40324323"/>
    <w:rsid w:val="40331104"/>
    <w:rsid w:val="40353A15"/>
    <w:rsid w:val="40367202"/>
    <w:rsid w:val="40387CC5"/>
    <w:rsid w:val="403B1AE1"/>
    <w:rsid w:val="403B55EE"/>
    <w:rsid w:val="40470EFB"/>
    <w:rsid w:val="40492131"/>
    <w:rsid w:val="404D1D89"/>
    <w:rsid w:val="40516789"/>
    <w:rsid w:val="40520D5D"/>
    <w:rsid w:val="40556C32"/>
    <w:rsid w:val="40574C1C"/>
    <w:rsid w:val="40575537"/>
    <w:rsid w:val="405D0FFB"/>
    <w:rsid w:val="40736F4F"/>
    <w:rsid w:val="40780911"/>
    <w:rsid w:val="407D76F5"/>
    <w:rsid w:val="407F2953"/>
    <w:rsid w:val="40823BD6"/>
    <w:rsid w:val="408301D0"/>
    <w:rsid w:val="40911421"/>
    <w:rsid w:val="4091728B"/>
    <w:rsid w:val="40965A05"/>
    <w:rsid w:val="40974420"/>
    <w:rsid w:val="409A0E44"/>
    <w:rsid w:val="409F3B92"/>
    <w:rsid w:val="40A513C2"/>
    <w:rsid w:val="40A565A2"/>
    <w:rsid w:val="40B26FBB"/>
    <w:rsid w:val="40BC08F6"/>
    <w:rsid w:val="40C57C70"/>
    <w:rsid w:val="40D12367"/>
    <w:rsid w:val="40DC2979"/>
    <w:rsid w:val="40DE1008"/>
    <w:rsid w:val="40E37446"/>
    <w:rsid w:val="40E44E67"/>
    <w:rsid w:val="40E635A3"/>
    <w:rsid w:val="40E94A6F"/>
    <w:rsid w:val="40E95C1A"/>
    <w:rsid w:val="40ED62AB"/>
    <w:rsid w:val="40F40555"/>
    <w:rsid w:val="40F409AC"/>
    <w:rsid w:val="40F74DED"/>
    <w:rsid w:val="41026010"/>
    <w:rsid w:val="410334F0"/>
    <w:rsid w:val="41095920"/>
    <w:rsid w:val="410A340F"/>
    <w:rsid w:val="410A75C1"/>
    <w:rsid w:val="410A78B3"/>
    <w:rsid w:val="410D1C69"/>
    <w:rsid w:val="41132116"/>
    <w:rsid w:val="41172F2A"/>
    <w:rsid w:val="411B3B46"/>
    <w:rsid w:val="41230103"/>
    <w:rsid w:val="41230401"/>
    <w:rsid w:val="412546ED"/>
    <w:rsid w:val="412E6C21"/>
    <w:rsid w:val="412F7AB2"/>
    <w:rsid w:val="41301B59"/>
    <w:rsid w:val="41317869"/>
    <w:rsid w:val="413333D6"/>
    <w:rsid w:val="41344930"/>
    <w:rsid w:val="41437BF9"/>
    <w:rsid w:val="4149026A"/>
    <w:rsid w:val="414D56AF"/>
    <w:rsid w:val="414E53C7"/>
    <w:rsid w:val="41537D17"/>
    <w:rsid w:val="41555735"/>
    <w:rsid w:val="4162324B"/>
    <w:rsid w:val="416437D7"/>
    <w:rsid w:val="41654E59"/>
    <w:rsid w:val="41681526"/>
    <w:rsid w:val="41690D8D"/>
    <w:rsid w:val="416A4218"/>
    <w:rsid w:val="416A6143"/>
    <w:rsid w:val="41743B2E"/>
    <w:rsid w:val="41784134"/>
    <w:rsid w:val="417A686E"/>
    <w:rsid w:val="417B35F9"/>
    <w:rsid w:val="417E0063"/>
    <w:rsid w:val="41891962"/>
    <w:rsid w:val="418A695E"/>
    <w:rsid w:val="418F1026"/>
    <w:rsid w:val="418F6989"/>
    <w:rsid w:val="41903E6E"/>
    <w:rsid w:val="41914544"/>
    <w:rsid w:val="41983729"/>
    <w:rsid w:val="41985C89"/>
    <w:rsid w:val="419F3469"/>
    <w:rsid w:val="41A078ED"/>
    <w:rsid w:val="41AA4248"/>
    <w:rsid w:val="41B47709"/>
    <w:rsid w:val="41B8355E"/>
    <w:rsid w:val="41BB5B58"/>
    <w:rsid w:val="41C55CE7"/>
    <w:rsid w:val="41C62CEA"/>
    <w:rsid w:val="41CF62E8"/>
    <w:rsid w:val="41DF4752"/>
    <w:rsid w:val="41E07484"/>
    <w:rsid w:val="41E30075"/>
    <w:rsid w:val="41E60474"/>
    <w:rsid w:val="41ED10E8"/>
    <w:rsid w:val="41F13912"/>
    <w:rsid w:val="41F2488F"/>
    <w:rsid w:val="41F47D10"/>
    <w:rsid w:val="41F54C23"/>
    <w:rsid w:val="42025F5C"/>
    <w:rsid w:val="42026915"/>
    <w:rsid w:val="42035267"/>
    <w:rsid w:val="42042555"/>
    <w:rsid w:val="420A64E5"/>
    <w:rsid w:val="420C31B7"/>
    <w:rsid w:val="420C50BF"/>
    <w:rsid w:val="420D3F0F"/>
    <w:rsid w:val="42130FEB"/>
    <w:rsid w:val="4214206C"/>
    <w:rsid w:val="42145E76"/>
    <w:rsid w:val="421F113C"/>
    <w:rsid w:val="422908F2"/>
    <w:rsid w:val="423018BA"/>
    <w:rsid w:val="423114F5"/>
    <w:rsid w:val="42373D08"/>
    <w:rsid w:val="42377E73"/>
    <w:rsid w:val="423F2A71"/>
    <w:rsid w:val="42405D57"/>
    <w:rsid w:val="42426705"/>
    <w:rsid w:val="424675C8"/>
    <w:rsid w:val="424C78E2"/>
    <w:rsid w:val="424D4EB2"/>
    <w:rsid w:val="424F5C15"/>
    <w:rsid w:val="42503B18"/>
    <w:rsid w:val="42520126"/>
    <w:rsid w:val="42532400"/>
    <w:rsid w:val="4256407A"/>
    <w:rsid w:val="425E3651"/>
    <w:rsid w:val="425F6221"/>
    <w:rsid w:val="426013F2"/>
    <w:rsid w:val="42624039"/>
    <w:rsid w:val="426B0730"/>
    <w:rsid w:val="426B1FC1"/>
    <w:rsid w:val="426B6E88"/>
    <w:rsid w:val="42734FE4"/>
    <w:rsid w:val="42780119"/>
    <w:rsid w:val="427C714A"/>
    <w:rsid w:val="428337A6"/>
    <w:rsid w:val="42864EB0"/>
    <w:rsid w:val="428B0804"/>
    <w:rsid w:val="429F2C2C"/>
    <w:rsid w:val="42A44203"/>
    <w:rsid w:val="42A71EFF"/>
    <w:rsid w:val="42A72F2F"/>
    <w:rsid w:val="42AE5A41"/>
    <w:rsid w:val="42AE65F0"/>
    <w:rsid w:val="42B206A2"/>
    <w:rsid w:val="42B813B2"/>
    <w:rsid w:val="42BE6BA7"/>
    <w:rsid w:val="42C74994"/>
    <w:rsid w:val="42D43416"/>
    <w:rsid w:val="42D53762"/>
    <w:rsid w:val="42D624C6"/>
    <w:rsid w:val="42DD5055"/>
    <w:rsid w:val="42DE354C"/>
    <w:rsid w:val="42E94F55"/>
    <w:rsid w:val="42F8373B"/>
    <w:rsid w:val="42FB1329"/>
    <w:rsid w:val="42FC6174"/>
    <w:rsid w:val="42FD54A0"/>
    <w:rsid w:val="43013E6A"/>
    <w:rsid w:val="430752EB"/>
    <w:rsid w:val="43120162"/>
    <w:rsid w:val="43176DD1"/>
    <w:rsid w:val="431B56E6"/>
    <w:rsid w:val="43216EE7"/>
    <w:rsid w:val="432276DB"/>
    <w:rsid w:val="43256681"/>
    <w:rsid w:val="43396158"/>
    <w:rsid w:val="433D6D2B"/>
    <w:rsid w:val="43430DD8"/>
    <w:rsid w:val="43591872"/>
    <w:rsid w:val="435C18F0"/>
    <w:rsid w:val="435E28E5"/>
    <w:rsid w:val="435F6909"/>
    <w:rsid w:val="436107CE"/>
    <w:rsid w:val="4365152C"/>
    <w:rsid w:val="436E2E25"/>
    <w:rsid w:val="4372779D"/>
    <w:rsid w:val="437277EF"/>
    <w:rsid w:val="4374679B"/>
    <w:rsid w:val="437B6857"/>
    <w:rsid w:val="437D48AE"/>
    <w:rsid w:val="438105DD"/>
    <w:rsid w:val="438D7C61"/>
    <w:rsid w:val="438F03DE"/>
    <w:rsid w:val="43906BE3"/>
    <w:rsid w:val="4396141E"/>
    <w:rsid w:val="43964DBC"/>
    <w:rsid w:val="439D4A0F"/>
    <w:rsid w:val="439D74CF"/>
    <w:rsid w:val="439F3B36"/>
    <w:rsid w:val="43A751A8"/>
    <w:rsid w:val="43A85599"/>
    <w:rsid w:val="43AD3318"/>
    <w:rsid w:val="43B02087"/>
    <w:rsid w:val="43B03699"/>
    <w:rsid w:val="43B63024"/>
    <w:rsid w:val="43B66D8F"/>
    <w:rsid w:val="43B71E0F"/>
    <w:rsid w:val="43C0796C"/>
    <w:rsid w:val="43C1223C"/>
    <w:rsid w:val="43C43199"/>
    <w:rsid w:val="43C82881"/>
    <w:rsid w:val="43CB7C2E"/>
    <w:rsid w:val="43CF67BA"/>
    <w:rsid w:val="43D47874"/>
    <w:rsid w:val="43D61CCF"/>
    <w:rsid w:val="43D95010"/>
    <w:rsid w:val="43DB18DB"/>
    <w:rsid w:val="43E22D2F"/>
    <w:rsid w:val="43E354EA"/>
    <w:rsid w:val="43EA34A8"/>
    <w:rsid w:val="43EA596C"/>
    <w:rsid w:val="43EC5707"/>
    <w:rsid w:val="43F0655B"/>
    <w:rsid w:val="43F06A8C"/>
    <w:rsid w:val="43FD0F6F"/>
    <w:rsid w:val="44010309"/>
    <w:rsid w:val="440534A7"/>
    <w:rsid w:val="44065390"/>
    <w:rsid w:val="44112C88"/>
    <w:rsid w:val="44115F22"/>
    <w:rsid w:val="44163AF5"/>
    <w:rsid w:val="441A63DC"/>
    <w:rsid w:val="4420559F"/>
    <w:rsid w:val="442311BC"/>
    <w:rsid w:val="44263157"/>
    <w:rsid w:val="44304C5B"/>
    <w:rsid w:val="44351721"/>
    <w:rsid w:val="443855DB"/>
    <w:rsid w:val="44480394"/>
    <w:rsid w:val="444A137C"/>
    <w:rsid w:val="444E2BD5"/>
    <w:rsid w:val="445A714C"/>
    <w:rsid w:val="445F5FF9"/>
    <w:rsid w:val="446B1DA1"/>
    <w:rsid w:val="446B446C"/>
    <w:rsid w:val="447816A8"/>
    <w:rsid w:val="44786959"/>
    <w:rsid w:val="447C3364"/>
    <w:rsid w:val="44846FEE"/>
    <w:rsid w:val="448A6D4E"/>
    <w:rsid w:val="448F0C81"/>
    <w:rsid w:val="44903D7D"/>
    <w:rsid w:val="44960870"/>
    <w:rsid w:val="449E3EB5"/>
    <w:rsid w:val="44A05BDB"/>
    <w:rsid w:val="44A64A5D"/>
    <w:rsid w:val="44B57B36"/>
    <w:rsid w:val="44BC32F5"/>
    <w:rsid w:val="44BD16B4"/>
    <w:rsid w:val="44BE2447"/>
    <w:rsid w:val="44BF51C8"/>
    <w:rsid w:val="44C26949"/>
    <w:rsid w:val="44C97681"/>
    <w:rsid w:val="44CE14EA"/>
    <w:rsid w:val="44D206E8"/>
    <w:rsid w:val="44DD42B3"/>
    <w:rsid w:val="44DE1F09"/>
    <w:rsid w:val="44DE708D"/>
    <w:rsid w:val="44DF6E02"/>
    <w:rsid w:val="44EE2E8C"/>
    <w:rsid w:val="44FA19ED"/>
    <w:rsid w:val="45000B9C"/>
    <w:rsid w:val="45036189"/>
    <w:rsid w:val="451E2533"/>
    <w:rsid w:val="45272C18"/>
    <w:rsid w:val="452E29F9"/>
    <w:rsid w:val="45317D9C"/>
    <w:rsid w:val="453579B5"/>
    <w:rsid w:val="453A56DB"/>
    <w:rsid w:val="453E319D"/>
    <w:rsid w:val="45401AA2"/>
    <w:rsid w:val="45451C8B"/>
    <w:rsid w:val="45486BFC"/>
    <w:rsid w:val="454B473F"/>
    <w:rsid w:val="45527BA8"/>
    <w:rsid w:val="455A1058"/>
    <w:rsid w:val="455A6D8E"/>
    <w:rsid w:val="455B1B51"/>
    <w:rsid w:val="45623997"/>
    <w:rsid w:val="45662D6A"/>
    <w:rsid w:val="45667596"/>
    <w:rsid w:val="45685620"/>
    <w:rsid w:val="4569079D"/>
    <w:rsid w:val="45692B8A"/>
    <w:rsid w:val="456F07B1"/>
    <w:rsid w:val="45783135"/>
    <w:rsid w:val="457C05B0"/>
    <w:rsid w:val="45837C34"/>
    <w:rsid w:val="458918AF"/>
    <w:rsid w:val="458C5B7B"/>
    <w:rsid w:val="458D73CA"/>
    <w:rsid w:val="45962ED9"/>
    <w:rsid w:val="45980FBB"/>
    <w:rsid w:val="45AD3057"/>
    <w:rsid w:val="45AD37EC"/>
    <w:rsid w:val="45AD5CC5"/>
    <w:rsid w:val="45AE3D2C"/>
    <w:rsid w:val="45B440F5"/>
    <w:rsid w:val="45BB73CE"/>
    <w:rsid w:val="45BE70DA"/>
    <w:rsid w:val="45C4738C"/>
    <w:rsid w:val="45D827AC"/>
    <w:rsid w:val="45DE7342"/>
    <w:rsid w:val="45EF4C9C"/>
    <w:rsid w:val="45EF5E53"/>
    <w:rsid w:val="45F02916"/>
    <w:rsid w:val="45F37EA4"/>
    <w:rsid w:val="46022BE9"/>
    <w:rsid w:val="46030DC4"/>
    <w:rsid w:val="460D16C7"/>
    <w:rsid w:val="46106B0D"/>
    <w:rsid w:val="4612319B"/>
    <w:rsid w:val="46162856"/>
    <w:rsid w:val="461B7C64"/>
    <w:rsid w:val="461D393E"/>
    <w:rsid w:val="4622405A"/>
    <w:rsid w:val="46335FA0"/>
    <w:rsid w:val="46380873"/>
    <w:rsid w:val="463D7F56"/>
    <w:rsid w:val="46425991"/>
    <w:rsid w:val="4644409D"/>
    <w:rsid w:val="464D35D3"/>
    <w:rsid w:val="464E0B03"/>
    <w:rsid w:val="465A48FC"/>
    <w:rsid w:val="46621A02"/>
    <w:rsid w:val="46625D28"/>
    <w:rsid w:val="466B408E"/>
    <w:rsid w:val="46715481"/>
    <w:rsid w:val="4673154E"/>
    <w:rsid w:val="46751136"/>
    <w:rsid w:val="46822AC6"/>
    <w:rsid w:val="46843C64"/>
    <w:rsid w:val="468674B0"/>
    <w:rsid w:val="468A0BF1"/>
    <w:rsid w:val="468A2DC7"/>
    <w:rsid w:val="468E6891"/>
    <w:rsid w:val="46985968"/>
    <w:rsid w:val="46B172A4"/>
    <w:rsid w:val="46B948DC"/>
    <w:rsid w:val="46C362C1"/>
    <w:rsid w:val="46CF522D"/>
    <w:rsid w:val="46D2078F"/>
    <w:rsid w:val="46D341CB"/>
    <w:rsid w:val="46DA460B"/>
    <w:rsid w:val="46E8383B"/>
    <w:rsid w:val="46EC581B"/>
    <w:rsid w:val="470A6501"/>
    <w:rsid w:val="470C627B"/>
    <w:rsid w:val="47101A8B"/>
    <w:rsid w:val="472076D7"/>
    <w:rsid w:val="47286127"/>
    <w:rsid w:val="472F1465"/>
    <w:rsid w:val="47335410"/>
    <w:rsid w:val="4741335D"/>
    <w:rsid w:val="474318B1"/>
    <w:rsid w:val="474702B0"/>
    <w:rsid w:val="474965C8"/>
    <w:rsid w:val="474B62CF"/>
    <w:rsid w:val="475E44B5"/>
    <w:rsid w:val="47637F91"/>
    <w:rsid w:val="47694C08"/>
    <w:rsid w:val="476A2FE6"/>
    <w:rsid w:val="476B2192"/>
    <w:rsid w:val="476D2A2F"/>
    <w:rsid w:val="476F016A"/>
    <w:rsid w:val="47701502"/>
    <w:rsid w:val="47723655"/>
    <w:rsid w:val="4775292D"/>
    <w:rsid w:val="477833F2"/>
    <w:rsid w:val="477E0ACC"/>
    <w:rsid w:val="47801018"/>
    <w:rsid w:val="478B359D"/>
    <w:rsid w:val="478B7AB6"/>
    <w:rsid w:val="479661C5"/>
    <w:rsid w:val="479D746F"/>
    <w:rsid w:val="479F390E"/>
    <w:rsid w:val="47A371F3"/>
    <w:rsid w:val="47A40315"/>
    <w:rsid w:val="47A56157"/>
    <w:rsid w:val="47A57DAC"/>
    <w:rsid w:val="47A73111"/>
    <w:rsid w:val="47AD3AD6"/>
    <w:rsid w:val="47AF0CCD"/>
    <w:rsid w:val="47B619C1"/>
    <w:rsid w:val="47B647BB"/>
    <w:rsid w:val="47B67F06"/>
    <w:rsid w:val="47CA4981"/>
    <w:rsid w:val="47CA77CE"/>
    <w:rsid w:val="47CE523D"/>
    <w:rsid w:val="47D0677E"/>
    <w:rsid w:val="47D329E5"/>
    <w:rsid w:val="47D93154"/>
    <w:rsid w:val="47DB42B8"/>
    <w:rsid w:val="47DE42AF"/>
    <w:rsid w:val="47DE6C76"/>
    <w:rsid w:val="47E330FF"/>
    <w:rsid w:val="47E370D3"/>
    <w:rsid w:val="47E54F18"/>
    <w:rsid w:val="47E56F93"/>
    <w:rsid w:val="47E66EBD"/>
    <w:rsid w:val="47E95008"/>
    <w:rsid w:val="47EC65FF"/>
    <w:rsid w:val="47F0717A"/>
    <w:rsid w:val="47F14D5B"/>
    <w:rsid w:val="47F867C7"/>
    <w:rsid w:val="47FA2223"/>
    <w:rsid w:val="47FE7EC6"/>
    <w:rsid w:val="48021647"/>
    <w:rsid w:val="480A0199"/>
    <w:rsid w:val="480A1A55"/>
    <w:rsid w:val="480C2163"/>
    <w:rsid w:val="480D3F42"/>
    <w:rsid w:val="4821773D"/>
    <w:rsid w:val="48244674"/>
    <w:rsid w:val="482D5076"/>
    <w:rsid w:val="483224EA"/>
    <w:rsid w:val="48331E2B"/>
    <w:rsid w:val="483C15B8"/>
    <w:rsid w:val="483F2E4E"/>
    <w:rsid w:val="48437799"/>
    <w:rsid w:val="48486BC3"/>
    <w:rsid w:val="484B0DF6"/>
    <w:rsid w:val="48591D17"/>
    <w:rsid w:val="485F1978"/>
    <w:rsid w:val="485F3F27"/>
    <w:rsid w:val="48694963"/>
    <w:rsid w:val="486D54E1"/>
    <w:rsid w:val="486E30B0"/>
    <w:rsid w:val="48774A99"/>
    <w:rsid w:val="487772EF"/>
    <w:rsid w:val="487B180C"/>
    <w:rsid w:val="487C3BA7"/>
    <w:rsid w:val="48832DBA"/>
    <w:rsid w:val="4887352C"/>
    <w:rsid w:val="48891FF4"/>
    <w:rsid w:val="488E224C"/>
    <w:rsid w:val="48986A55"/>
    <w:rsid w:val="48A23C2A"/>
    <w:rsid w:val="48A539AE"/>
    <w:rsid w:val="48A57031"/>
    <w:rsid w:val="48A76290"/>
    <w:rsid w:val="48AD3E8B"/>
    <w:rsid w:val="48B003E6"/>
    <w:rsid w:val="48BF0059"/>
    <w:rsid w:val="48C51359"/>
    <w:rsid w:val="48CC02D4"/>
    <w:rsid w:val="48CD41B0"/>
    <w:rsid w:val="48CE077F"/>
    <w:rsid w:val="48CE4C37"/>
    <w:rsid w:val="48D32A07"/>
    <w:rsid w:val="48D4156B"/>
    <w:rsid w:val="48D52555"/>
    <w:rsid w:val="48D671A7"/>
    <w:rsid w:val="48DA5C15"/>
    <w:rsid w:val="48DC6ADB"/>
    <w:rsid w:val="48DF5182"/>
    <w:rsid w:val="48E679E3"/>
    <w:rsid w:val="48EA7B28"/>
    <w:rsid w:val="48F273B9"/>
    <w:rsid w:val="48F651FA"/>
    <w:rsid w:val="48FC3684"/>
    <w:rsid w:val="48FC5DC9"/>
    <w:rsid w:val="48FD6279"/>
    <w:rsid w:val="49027735"/>
    <w:rsid w:val="49045F1A"/>
    <w:rsid w:val="490B14AC"/>
    <w:rsid w:val="490E1F0B"/>
    <w:rsid w:val="49113332"/>
    <w:rsid w:val="491603ED"/>
    <w:rsid w:val="491D214E"/>
    <w:rsid w:val="491D25C2"/>
    <w:rsid w:val="491D2C98"/>
    <w:rsid w:val="491E0454"/>
    <w:rsid w:val="491F5084"/>
    <w:rsid w:val="49284452"/>
    <w:rsid w:val="49290845"/>
    <w:rsid w:val="493A4A7D"/>
    <w:rsid w:val="494C283F"/>
    <w:rsid w:val="494E3C9A"/>
    <w:rsid w:val="49505CD0"/>
    <w:rsid w:val="495627BB"/>
    <w:rsid w:val="4957381C"/>
    <w:rsid w:val="4959650E"/>
    <w:rsid w:val="495D0B45"/>
    <w:rsid w:val="495E5933"/>
    <w:rsid w:val="4961356F"/>
    <w:rsid w:val="49632FE0"/>
    <w:rsid w:val="496C357F"/>
    <w:rsid w:val="496D6517"/>
    <w:rsid w:val="49722D0A"/>
    <w:rsid w:val="49737889"/>
    <w:rsid w:val="497A6E0B"/>
    <w:rsid w:val="497B2D8C"/>
    <w:rsid w:val="4983629D"/>
    <w:rsid w:val="498460AE"/>
    <w:rsid w:val="498546E6"/>
    <w:rsid w:val="498D1081"/>
    <w:rsid w:val="498E5D97"/>
    <w:rsid w:val="498E70B8"/>
    <w:rsid w:val="49926702"/>
    <w:rsid w:val="49942410"/>
    <w:rsid w:val="499F55C3"/>
    <w:rsid w:val="49A452DD"/>
    <w:rsid w:val="49A51876"/>
    <w:rsid w:val="49A84169"/>
    <w:rsid w:val="49A944D5"/>
    <w:rsid w:val="49AA464C"/>
    <w:rsid w:val="49BF4FB3"/>
    <w:rsid w:val="49C11A37"/>
    <w:rsid w:val="49C20111"/>
    <w:rsid w:val="49C907A4"/>
    <w:rsid w:val="49CA0FAD"/>
    <w:rsid w:val="49CD4A13"/>
    <w:rsid w:val="49DC7913"/>
    <w:rsid w:val="49DE097D"/>
    <w:rsid w:val="49E37D82"/>
    <w:rsid w:val="49E84508"/>
    <w:rsid w:val="49ED605A"/>
    <w:rsid w:val="49EE73A2"/>
    <w:rsid w:val="49F103CF"/>
    <w:rsid w:val="49F10FC0"/>
    <w:rsid w:val="49F35503"/>
    <w:rsid w:val="49F447FE"/>
    <w:rsid w:val="49FB37E0"/>
    <w:rsid w:val="4A0453E0"/>
    <w:rsid w:val="4A0C12F9"/>
    <w:rsid w:val="4A0C59A4"/>
    <w:rsid w:val="4A107F6E"/>
    <w:rsid w:val="4A1452FF"/>
    <w:rsid w:val="4A161077"/>
    <w:rsid w:val="4A195364"/>
    <w:rsid w:val="4A1B2244"/>
    <w:rsid w:val="4A2509B6"/>
    <w:rsid w:val="4A2B6D8C"/>
    <w:rsid w:val="4A3D4856"/>
    <w:rsid w:val="4A3E239A"/>
    <w:rsid w:val="4A486D91"/>
    <w:rsid w:val="4A4E3F59"/>
    <w:rsid w:val="4A4F5DF3"/>
    <w:rsid w:val="4A5255AE"/>
    <w:rsid w:val="4A531281"/>
    <w:rsid w:val="4A5A482B"/>
    <w:rsid w:val="4A5B2442"/>
    <w:rsid w:val="4A5E3812"/>
    <w:rsid w:val="4A5E657A"/>
    <w:rsid w:val="4A5E6A73"/>
    <w:rsid w:val="4A665565"/>
    <w:rsid w:val="4A6D4AB9"/>
    <w:rsid w:val="4A6E7EE6"/>
    <w:rsid w:val="4A713E7F"/>
    <w:rsid w:val="4A744242"/>
    <w:rsid w:val="4A752712"/>
    <w:rsid w:val="4A7B35D0"/>
    <w:rsid w:val="4A7D490B"/>
    <w:rsid w:val="4A83274D"/>
    <w:rsid w:val="4A8A47D0"/>
    <w:rsid w:val="4A9101BF"/>
    <w:rsid w:val="4A93444B"/>
    <w:rsid w:val="4A940469"/>
    <w:rsid w:val="4A985F30"/>
    <w:rsid w:val="4A9A578F"/>
    <w:rsid w:val="4AB27138"/>
    <w:rsid w:val="4AB42FB8"/>
    <w:rsid w:val="4AB91F26"/>
    <w:rsid w:val="4ABB223E"/>
    <w:rsid w:val="4ABC76B0"/>
    <w:rsid w:val="4ABD68B3"/>
    <w:rsid w:val="4ABE0870"/>
    <w:rsid w:val="4AC00C01"/>
    <w:rsid w:val="4AC75605"/>
    <w:rsid w:val="4AC910BC"/>
    <w:rsid w:val="4AC91E4C"/>
    <w:rsid w:val="4ACB34A9"/>
    <w:rsid w:val="4AD021E6"/>
    <w:rsid w:val="4ADD71B7"/>
    <w:rsid w:val="4AF53986"/>
    <w:rsid w:val="4AF65B97"/>
    <w:rsid w:val="4AFC7D5A"/>
    <w:rsid w:val="4AFF7D97"/>
    <w:rsid w:val="4B0747F7"/>
    <w:rsid w:val="4B0F5DB9"/>
    <w:rsid w:val="4B153AF4"/>
    <w:rsid w:val="4B196A2D"/>
    <w:rsid w:val="4B1A7AD9"/>
    <w:rsid w:val="4B1D48AC"/>
    <w:rsid w:val="4B291BE3"/>
    <w:rsid w:val="4B2A4394"/>
    <w:rsid w:val="4B2A63DE"/>
    <w:rsid w:val="4B2B2071"/>
    <w:rsid w:val="4B2D1473"/>
    <w:rsid w:val="4B3D2E1E"/>
    <w:rsid w:val="4B3D75FD"/>
    <w:rsid w:val="4B4077F4"/>
    <w:rsid w:val="4B4227D7"/>
    <w:rsid w:val="4B473790"/>
    <w:rsid w:val="4B5914A4"/>
    <w:rsid w:val="4B5A1437"/>
    <w:rsid w:val="4B5C2AE9"/>
    <w:rsid w:val="4B672DE1"/>
    <w:rsid w:val="4B6C0C65"/>
    <w:rsid w:val="4B6D2D53"/>
    <w:rsid w:val="4B6D2F43"/>
    <w:rsid w:val="4B7554E9"/>
    <w:rsid w:val="4B780FBE"/>
    <w:rsid w:val="4B7A73E4"/>
    <w:rsid w:val="4B8244EA"/>
    <w:rsid w:val="4B824E06"/>
    <w:rsid w:val="4B847D71"/>
    <w:rsid w:val="4B887D52"/>
    <w:rsid w:val="4B8919D6"/>
    <w:rsid w:val="4B8A1D1C"/>
    <w:rsid w:val="4B94000C"/>
    <w:rsid w:val="4B951311"/>
    <w:rsid w:val="4B9C37FE"/>
    <w:rsid w:val="4B9E3409"/>
    <w:rsid w:val="4B9E6646"/>
    <w:rsid w:val="4BA47FCD"/>
    <w:rsid w:val="4BB00E11"/>
    <w:rsid w:val="4BB64FE5"/>
    <w:rsid w:val="4BB80116"/>
    <w:rsid w:val="4BB87A84"/>
    <w:rsid w:val="4BBA35FD"/>
    <w:rsid w:val="4BBA54F6"/>
    <w:rsid w:val="4BBB7ECB"/>
    <w:rsid w:val="4BC93EC7"/>
    <w:rsid w:val="4BD2153F"/>
    <w:rsid w:val="4BD25ADC"/>
    <w:rsid w:val="4BD50ABE"/>
    <w:rsid w:val="4BDD051C"/>
    <w:rsid w:val="4BE82009"/>
    <w:rsid w:val="4BED5D5B"/>
    <w:rsid w:val="4BED5DF4"/>
    <w:rsid w:val="4BF0366F"/>
    <w:rsid w:val="4BF1358F"/>
    <w:rsid w:val="4BF2237A"/>
    <w:rsid w:val="4BFB0CB5"/>
    <w:rsid w:val="4BFF2A4B"/>
    <w:rsid w:val="4C003D8D"/>
    <w:rsid w:val="4C0B25A7"/>
    <w:rsid w:val="4C101AF6"/>
    <w:rsid w:val="4C1836D6"/>
    <w:rsid w:val="4C1857C9"/>
    <w:rsid w:val="4C1F7E39"/>
    <w:rsid w:val="4C215233"/>
    <w:rsid w:val="4C260808"/>
    <w:rsid w:val="4C2802C8"/>
    <w:rsid w:val="4C333EF9"/>
    <w:rsid w:val="4C335F5D"/>
    <w:rsid w:val="4C341647"/>
    <w:rsid w:val="4C361E83"/>
    <w:rsid w:val="4C3860F6"/>
    <w:rsid w:val="4C45621C"/>
    <w:rsid w:val="4C4A4A6E"/>
    <w:rsid w:val="4C4A70B7"/>
    <w:rsid w:val="4C4F073F"/>
    <w:rsid w:val="4C50123D"/>
    <w:rsid w:val="4C513C42"/>
    <w:rsid w:val="4C5D11DF"/>
    <w:rsid w:val="4C664C71"/>
    <w:rsid w:val="4C667DA2"/>
    <w:rsid w:val="4C743A5C"/>
    <w:rsid w:val="4C7946B6"/>
    <w:rsid w:val="4C7A7A6C"/>
    <w:rsid w:val="4C7B53A6"/>
    <w:rsid w:val="4C7F3017"/>
    <w:rsid w:val="4C8268E7"/>
    <w:rsid w:val="4C8F3727"/>
    <w:rsid w:val="4C93024D"/>
    <w:rsid w:val="4C971C57"/>
    <w:rsid w:val="4C972061"/>
    <w:rsid w:val="4CA2136B"/>
    <w:rsid w:val="4CA357C8"/>
    <w:rsid w:val="4CA66E7E"/>
    <w:rsid w:val="4CA9084A"/>
    <w:rsid w:val="4CAA581C"/>
    <w:rsid w:val="4CAC50E0"/>
    <w:rsid w:val="4CAF68BA"/>
    <w:rsid w:val="4CB57181"/>
    <w:rsid w:val="4CB755CF"/>
    <w:rsid w:val="4CBA4579"/>
    <w:rsid w:val="4CBA7062"/>
    <w:rsid w:val="4CBB3C23"/>
    <w:rsid w:val="4CBD726E"/>
    <w:rsid w:val="4CBE1552"/>
    <w:rsid w:val="4CC145D3"/>
    <w:rsid w:val="4CC26AE2"/>
    <w:rsid w:val="4CC51CA1"/>
    <w:rsid w:val="4CC743C2"/>
    <w:rsid w:val="4CC83D3B"/>
    <w:rsid w:val="4CC94611"/>
    <w:rsid w:val="4CCC0032"/>
    <w:rsid w:val="4CCC79A6"/>
    <w:rsid w:val="4CCE063F"/>
    <w:rsid w:val="4CD26EC1"/>
    <w:rsid w:val="4CD9553D"/>
    <w:rsid w:val="4CE46A58"/>
    <w:rsid w:val="4CE56E0A"/>
    <w:rsid w:val="4CE660A8"/>
    <w:rsid w:val="4CE96063"/>
    <w:rsid w:val="4CED3B57"/>
    <w:rsid w:val="4CEE4725"/>
    <w:rsid w:val="4CF35E85"/>
    <w:rsid w:val="4CF4457F"/>
    <w:rsid w:val="4CF64378"/>
    <w:rsid w:val="4CF96B46"/>
    <w:rsid w:val="4CFA09BC"/>
    <w:rsid w:val="4CFC6E69"/>
    <w:rsid w:val="4D014A5A"/>
    <w:rsid w:val="4D0C5447"/>
    <w:rsid w:val="4D122ED7"/>
    <w:rsid w:val="4D137386"/>
    <w:rsid w:val="4D176156"/>
    <w:rsid w:val="4D1A2A7C"/>
    <w:rsid w:val="4D21013D"/>
    <w:rsid w:val="4D262AED"/>
    <w:rsid w:val="4D27559B"/>
    <w:rsid w:val="4D2954AD"/>
    <w:rsid w:val="4D3C51ED"/>
    <w:rsid w:val="4D3F1421"/>
    <w:rsid w:val="4D4E232C"/>
    <w:rsid w:val="4D5961C8"/>
    <w:rsid w:val="4D5F0F87"/>
    <w:rsid w:val="4D642ACC"/>
    <w:rsid w:val="4D67120C"/>
    <w:rsid w:val="4D6F0C49"/>
    <w:rsid w:val="4D743DD8"/>
    <w:rsid w:val="4D7661E5"/>
    <w:rsid w:val="4D7C7AD3"/>
    <w:rsid w:val="4D81328C"/>
    <w:rsid w:val="4D8967D6"/>
    <w:rsid w:val="4D8C32BF"/>
    <w:rsid w:val="4D97393A"/>
    <w:rsid w:val="4D9819DB"/>
    <w:rsid w:val="4D994299"/>
    <w:rsid w:val="4DA4135A"/>
    <w:rsid w:val="4DA857B4"/>
    <w:rsid w:val="4DAA2960"/>
    <w:rsid w:val="4DB222AC"/>
    <w:rsid w:val="4DB7662C"/>
    <w:rsid w:val="4DD43D3B"/>
    <w:rsid w:val="4DD5716D"/>
    <w:rsid w:val="4DDA3C0A"/>
    <w:rsid w:val="4DDE5318"/>
    <w:rsid w:val="4DDE5D85"/>
    <w:rsid w:val="4DE36520"/>
    <w:rsid w:val="4DEE4968"/>
    <w:rsid w:val="4DF42E56"/>
    <w:rsid w:val="4DFA6661"/>
    <w:rsid w:val="4DFC16FF"/>
    <w:rsid w:val="4E06500B"/>
    <w:rsid w:val="4E082BC6"/>
    <w:rsid w:val="4E144670"/>
    <w:rsid w:val="4E19102F"/>
    <w:rsid w:val="4E1C481D"/>
    <w:rsid w:val="4E1E4984"/>
    <w:rsid w:val="4E263853"/>
    <w:rsid w:val="4E2863E8"/>
    <w:rsid w:val="4E2E7256"/>
    <w:rsid w:val="4E360151"/>
    <w:rsid w:val="4E373670"/>
    <w:rsid w:val="4E385659"/>
    <w:rsid w:val="4E3E294A"/>
    <w:rsid w:val="4E4049CC"/>
    <w:rsid w:val="4E4F060F"/>
    <w:rsid w:val="4E5C5B01"/>
    <w:rsid w:val="4E6F7A73"/>
    <w:rsid w:val="4E763E12"/>
    <w:rsid w:val="4E7A0045"/>
    <w:rsid w:val="4E884FC1"/>
    <w:rsid w:val="4E89225B"/>
    <w:rsid w:val="4E8A5AC6"/>
    <w:rsid w:val="4E95366D"/>
    <w:rsid w:val="4E9A385D"/>
    <w:rsid w:val="4EA221C2"/>
    <w:rsid w:val="4EA9200C"/>
    <w:rsid w:val="4EB02684"/>
    <w:rsid w:val="4EB3122E"/>
    <w:rsid w:val="4EB73161"/>
    <w:rsid w:val="4EC37D10"/>
    <w:rsid w:val="4EC952F7"/>
    <w:rsid w:val="4ECA785A"/>
    <w:rsid w:val="4ECB0FAD"/>
    <w:rsid w:val="4ED17C62"/>
    <w:rsid w:val="4ED20609"/>
    <w:rsid w:val="4ED33CD3"/>
    <w:rsid w:val="4EDA4A80"/>
    <w:rsid w:val="4EE24670"/>
    <w:rsid w:val="4EE80A09"/>
    <w:rsid w:val="4EEA730A"/>
    <w:rsid w:val="4EEE22F3"/>
    <w:rsid w:val="4EF42495"/>
    <w:rsid w:val="4EFA2729"/>
    <w:rsid w:val="4EFC7EC8"/>
    <w:rsid w:val="4F0374B4"/>
    <w:rsid w:val="4F0760D5"/>
    <w:rsid w:val="4F0764FA"/>
    <w:rsid w:val="4F086BEE"/>
    <w:rsid w:val="4F090D78"/>
    <w:rsid w:val="4F0F7DDE"/>
    <w:rsid w:val="4F1213CE"/>
    <w:rsid w:val="4F142B52"/>
    <w:rsid w:val="4F171053"/>
    <w:rsid w:val="4F1A1676"/>
    <w:rsid w:val="4F1E7ACA"/>
    <w:rsid w:val="4F200625"/>
    <w:rsid w:val="4F211862"/>
    <w:rsid w:val="4F212576"/>
    <w:rsid w:val="4F2404A0"/>
    <w:rsid w:val="4F261E8F"/>
    <w:rsid w:val="4F38759B"/>
    <w:rsid w:val="4F3B460A"/>
    <w:rsid w:val="4F3B7572"/>
    <w:rsid w:val="4F3D60A8"/>
    <w:rsid w:val="4F43610D"/>
    <w:rsid w:val="4F440E24"/>
    <w:rsid w:val="4F4421E2"/>
    <w:rsid w:val="4F4A1C79"/>
    <w:rsid w:val="4F4B26EB"/>
    <w:rsid w:val="4F4F0B87"/>
    <w:rsid w:val="4F53601C"/>
    <w:rsid w:val="4F611997"/>
    <w:rsid w:val="4F6720CB"/>
    <w:rsid w:val="4F695963"/>
    <w:rsid w:val="4F6A3E59"/>
    <w:rsid w:val="4F6A5425"/>
    <w:rsid w:val="4F7D42E2"/>
    <w:rsid w:val="4F7E7286"/>
    <w:rsid w:val="4F8265F7"/>
    <w:rsid w:val="4F875B38"/>
    <w:rsid w:val="4F9057E7"/>
    <w:rsid w:val="4F932167"/>
    <w:rsid w:val="4FA144C2"/>
    <w:rsid w:val="4FA765F1"/>
    <w:rsid w:val="4FA871E8"/>
    <w:rsid w:val="4FB339D7"/>
    <w:rsid w:val="4FB37DB7"/>
    <w:rsid w:val="4FB801D5"/>
    <w:rsid w:val="4FC27FCE"/>
    <w:rsid w:val="4FC95CBA"/>
    <w:rsid w:val="4FCB630D"/>
    <w:rsid w:val="4FCE6F88"/>
    <w:rsid w:val="4FCF2E0B"/>
    <w:rsid w:val="4FCF2E22"/>
    <w:rsid w:val="4FD03E75"/>
    <w:rsid w:val="4FD0752F"/>
    <w:rsid w:val="4FD83492"/>
    <w:rsid w:val="4FDF730D"/>
    <w:rsid w:val="4FE04DF9"/>
    <w:rsid w:val="4FE5773B"/>
    <w:rsid w:val="4FE91D72"/>
    <w:rsid w:val="4FEB341A"/>
    <w:rsid w:val="4FED287A"/>
    <w:rsid w:val="4FEF1BE1"/>
    <w:rsid w:val="4FF00DD5"/>
    <w:rsid w:val="4FF014C2"/>
    <w:rsid w:val="4FF30A59"/>
    <w:rsid w:val="4FF638B2"/>
    <w:rsid w:val="4FFA7113"/>
    <w:rsid w:val="4FFB2915"/>
    <w:rsid w:val="4FFC345C"/>
    <w:rsid w:val="500165A3"/>
    <w:rsid w:val="500A482D"/>
    <w:rsid w:val="5012548C"/>
    <w:rsid w:val="50170F97"/>
    <w:rsid w:val="501C4F0D"/>
    <w:rsid w:val="501E5C9A"/>
    <w:rsid w:val="50245B70"/>
    <w:rsid w:val="502F1511"/>
    <w:rsid w:val="50382448"/>
    <w:rsid w:val="503E0E60"/>
    <w:rsid w:val="503F26F5"/>
    <w:rsid w:val="50403A8F"/>
    <w:rsid w:val="5040623B"/>
    <w:rsid w:val="50427560"/>
    <w:rsid w:val="50515A2A"/>
    <w:rsid w:val="50525B59"/>
    <w:rsid w:val="505B0703"/>
    <w:rsid w:val="506414C7"/>
    <w:rsid w:val="5065677D"/>
    <w:rsid w:val="50752416"/>
    <w:rsid w:val="507C246C"/>
    <w:rsid w:val="507E3E4D"/>
    <w:rsid w:val="50831186"/>
    <w:rsid w:val="5085331D"/>
    <w:rsid w:val="508B1D2D"/>
    <w:rsid w:val="508D0194"/>
    <w:rsid w:val="508F71DB"/>
    <w:rsid w:val="50957AA7"/>
    <w:rsid w:val="509A0B41"/>
    <w:rsid w:val="50A1369E"/>
    <w:rsid w:val="50A57F28"/>
    <w:rsid w:val="50B138A7"/>
    <w:rsid w:val="50B1591D"/>
    <w:rsid w:val="50B7737A"/>
    <w:rsid w:val="50BA4A97"/>
    <w:rsid w:val="50C0528B"/>
    <w:rsid w:val="50C518F3"/>
    <w:rsid w:val="50CA756E"/>
    <w:rsid w:val="50CA7C23"/>
    <w:rsid w:val="50CC3A9C"/>
    <w:rsid w:val="50CD7F8A"/>
    <w:rsid w:val="50CE00A0"/>
    <w:rsid w:val="50D85E50"/>
    <w:rsid w:val="50DA0714"/>
    <w:rsid w:val="50DF73D5"/>
    <w:rsid w:val="50E20CED"/>
    <w:rsid w:val="50E7560D"/>
    <w:rsid w:val="50E76458"/>
    <w:rsid w:val="50E825C0"/>
    <w:rsid w:val="50E93458"/>
    <w:rsid w:val="50EB4B86"/>
    <w:rsid w:val="50EB55E5"/>
    <w:rsid w:val="50F81A56"/>
    <w:rsid w:val="50F8375A"/>
    <w:rsid w:val="50FE75CC"/>
    <w:rsid w:val="510228C7"/>
    <w:rsid w:val="5105364D"/>
    <w:rsid w:val="51065145"/>
    <w:rsid w:val="5108650A"/>
    <w:rsid w:val="51127EE9"/>
    <w:rsid w:val="51143E36"/>
    <w:rsid w:val="511A4038"/>
    <w:rsid w:val="512168CF"/>
    <w:rsid w:val="51280C7E"/>
    <w:rsid w:val="51305806"/>
    <w:rsid w:val="513475EC"/>
    <w:rsid w:val="513B41A1"/>
    <w:rsid w:val="513F7D6C"/>
    <w:rsid w:val="51415435"/>
    <w:rsid w:val="51496133"/>
    <w:rsid w:val="514C35D0"/>
    <w:rsid w:val="514E6C12"/>
    <w:rsid w:val="51504602"/>
    <w:rsid w:val="51563A00"/>
    <w:rsid w:val="515F33A9"/>
    <w:rsid w:val="51611575"/>
    <w:rsid w:val="51621945"/>
    <w:rsid w:val="5166240A"/>
    <w:rsid w:val="51746ECA"/>
    <w:rsid w:val="51782D52"/>
    <w:rsid w:val="517851F9"/>
    <w:rsid w:val="518D1204"/>
    <w:rsid w:val="518D6D3A"/>
    <w:rsid w:val="518E7E89"/>
    <w:rsid w:val="518F0756"/>
    <w:rsid w:val="51935787"/>
    <w:rsid w:val="519C7D92"/>
    <w:rsid w:val="51A229D8"/>
    <w:rsid w:val="51A92822"/>
    <w:rsid w:val="51B31B04"/>
    <w:rsid w:val="51BD2838"/>
    <w:rsid w:val="51D25BD5"/>
    <w:rsid w:val="51D33846"/>
    <w:rsid w:val="51D4703A"/>
    <w:rsid w:val="51D95681"/>
    <w:rsid w:val="51DA28C8"/>
    <w:rsid w:val="51DB6702"/>
    <w:rsid w:val="51DC2BA6"/>
    <w:rsid w:val="51EE5F4B"/>
    <w:rsid w:val="51F46691"/>
    <w:rsid w:val="520132BF"/>
    <w:rsid w:val="52053F64"/>
    <w:rsid w:val="52093BCB"/>
    <w:rsid w:val="520E6953"/>
    <w:rsid w:val="521C6649"/>
    <w:rsid w:val="521D57D1"/>
    <w:rsid w:val="52203343"/>
    <w:rsid w:val="52215EDC"/>
    <w:rsid w:val="52263A34"/>
    <w:rsid w:val="52267E5D"/>
    <w:rsid w:val="52421A59"/>
    <w:rsid w:val="52431728"/>
    <w:rsid w:val="525057AA"/>
    <w:rsid w:val="5253098E"/>
    <w:rsid w:val="525766EF"/>
    <w:rsid w:val="525A2A1B"/>
    <w:rsid w:val="525F064E"/>
    <w:rsid w:val="52612DD8"/>
    <w:rsid w:val="526A24FC"/>
    <w:rsid w:val="526A7AC6"/>
    <w:rsid w:val="526A7B88"/>
    <w:rsid w:val="52701540"/>
    <w:rsid w:val="5271001F"/>
    <w:rsid w:val="52755769"/>
    <w:rsid w:val="52784C96"/>
    <w:rsid w:val="527978B3"/>
    <w:rsid w:val="527A1638"/>
    <w:rsid w:val="52930E9E"/>
    <w:rsid w:val="529407D6"/>
    <w:rsid w:val="5296385A"/>
    <w:rsid w:val="52992877"/>
    <w:rsid w:val="529E714C"/>
    <w:rsid w:val="52A333B9"/>
    <w:rsid w:val="52A56CF8"/>
    <w:rsid w:val="52A63561"/>
    <w:rsid w:val="52AC2E25"/>
    <w:rsid w:val="52B007B9"/>
    <w:rsid w:val="52B24CD9"/>
    <w:rsid w:val="52B81973"/>
    <w:rsid w:val="52BA3B63"/>
    <w:rsid w:val="52BB7DFA"/>
    <w:rsid w:val="52BC7095"/>
    <w:rsid w:val="52BE62B0"/>
    <w:rsid w:val="52C06024"/>
    <w:rsid w:val="52C33D66"/>
    <w:rsid w:val="52C72D52"/>
    <w:rsid w:val="52CA2F74"/>
    <w:rsid w:val="52D16F55"/>
    <w:rsid w:val="52E31D12"/>
    <w:rsid w:val="52EC414B"/>
    <w:rsid w:val="52F432D8"/>
    <w:rsid w:val="52F83996"/>
    <w:rsid w:val="52FA13BC"/>
    <w:rsid w:val="52FC4033"/>
    <w:rsid w:val="52FF0F70"/>
    <w:rsid w:val="53012DFF"/>
    <w:rsid w:val="53035F10"/>
    <w:rsid w:val="53057ED6"/>
    <w:rsid w:val="53073D4C"/>
    <w:rsid w:val="53170651"/>
    <w:rsid w:val="53182C06"/>
    <w:rsid w:val="531C2B1E"/>
    <w:rsid w:val="53211100"/>
    <w:rsid w:val="532C15DC"/>
    <w:rsid w:val="532D1285"/>
    <w:rsid w:val="53304A0E"/>
    <w:rsid w:val="5330708A"/>
    <w:rsid w:val="53327A8E"/>
    <w:rsid w:val="5334032A"/>
    <w:rsid w:val="53354319"/>
    <w:rsid w:val="53373E0C"/>
    <w:rsid w:val="533851D4"/>
    <w:rsid w:val="533E4E8C"/>
    <w:rsid w:val="53420F76"/>
    <w:rsid w:val="534310D8"/>
    <w:rsid w:val="534421E5"/>
    <w:rsid w:val="53465AE9"/>
    <w:rsid w:val="53481246"/>
    <w:rsid w:val="534F3792"/>
    <w:rsid w:val="53517132"/>
    <w:rsid w:val="535979F1"/>
    <w:rsid w:val="535A00CC"/>
    <w:rsid w:val="535D52D0"/>
    <w:rsid w:val="53605BC1"/>
    <w:rsid w:val="53673D2A"/>
    <w:rsid w:val="536A41E2"/>
    <w:rsid w:val="536D26B2"/>
    <w:rsid w:val="536D5B9C"/>
    <w:rsid w:val="537162A1"/>
    <w:rsid w:val="53746FAE"/>
    <w:rsid w:val="537644B6"/>
    <w:rsid w:val="53787B2F"/>
    <w:rsid w:val="537E2F73"/>
    <w:rsid w:val="538C2227"/>
    <w:rsid w:val="539046B8"/>
    <w:rsid w:val="539058A9"/>
    <w:rsid w:val="53927BF9"/>
    <w:rsid w:val="53980D4F"/>
    <w:rsid w:val="53981C88"/>
    <w:rsid w:val="53A132B6"/>
    <w:rsid w:val="53A146A2"/>
    <w:rsid w:val="53A23273"/>
    <w:rsid w:val="53A5374F"/>
    <w:rsid w:val="53AA6ADA"/>
    <w:rsid w:val="53B62265"/>
    <w:rsid w:val="53BB09A0"/>
    <w:rsid w:val="53BB4A3D"/>
    <w:rsid w:val="53BF1B1D"/>
    <w:rsid w:val="53BF47B8"/>
    <w:rsid w:val="53C303BB"/>
    <w:rsid w:val="53C81845"/>
    <w:rsid w:val="53C90F08"/>
    <w:rsid w:val="53D278B5"/>
    <w:rsid w:val="53D340BA"/>
    <w:rsid w:val="53D576BF"/>
    <w:rsid w:val="53D64D18"/>
    <w:rsid w:val="53DC7E9A"/>
    <w:rsid w:val="53DE52F7"/>
    <w:rsid w:val="53DE7D92"/>
    <w:rsid w:val="53E33BDA"/>
    <w:rsid w:val="53ED1284"/>
    <w:rsid w:val="53F10E1C"/>
    <w:rsid w:val="53F31E24"/>
    <w:rsid w:val="53FC29F9"/>
    <w:rsid w:val="540041D6"/>
    <w:rsid w:val="540634CC"/>
    <w:rsid w:val="54066C87"/>
    <w:rsid w:val="540830D9"/>
    <w:rsid w:val="540922AE"/>
    <w:rsid w:val="540A4DA0"/>
    <w:rsid w:val="540D1479"/>
    <w:rsid w:val="540D46E9"/>
    <w:rsid w:val="54123CB6"/>
    <w:rsid w:val="54191D0E"/>
    <w:rsid w:val="541C47BA"/>
    <w:rsid w:val="542240DA"/>
    <w:rsid w:val="54310EDE"/>
    <w:rsid w:val="54362112"/>
    <w:rsid w:val="54367F31"/>
    <w:rsid w:val="543A4095"/>
    <w:rsid w:val="544662D1"/>
    <w:rsid w:val="544736F6"/>
    <w:rsid w:val="54494286"/>
    <w:rsid w:val="54540E6A"/>
    <w:rsid w:val="54655700"/>
    <w:rsid w:val="54655DE4"/>
    <w:rsid w:val="546D5CDE"/>
    <w:rsid w:val="546F2E82"/>
    <w:rsid w:val="5470756A"/>
    <w:rsid w:val="547C705B"/>
    <w:rsid w:val="547D1CF3"/>
    <w:rsid w:val="5489175A"/>
    <w:rsid w:val="54894F0F"/>
    <w:rsid w:val="54906644"/>
    <w:rsid w:val="54917CEC"/>
    <w:rsid w:val="54931F0E"/>
    <w:rsid w:val="54947768"/>
    <w:rsid w:val="549B7AF5"/>
    <w:rsid w:val="549C4E06"/>
    <w:rsid w:val="54A6333D"/>
    <w:rsid w:val="54A97F08"/>
    <w:rsid w:val="54BA1CDE"/>
    <w:rsid w:val="54BA696E"/>
    <w:rsid w:val="54BA7B42"/>
    <w:rsid w:val="54BB2720"/>
    <w:rsid w:val="54BC281B"/>
    <w:rsid w:val="54BC6CBF"/>
    <w:rsid w:val="54BD3C52"/>
    <w:rsid w:val="54D36316"/>
    <w:rsid w:val="54D36958"/>
    <w:rsid w:val="54D6500F"/>
    <w:rsid w:val="54D65EAE"/>
    <w:rsid w:val="54D87171"/>
    <w:rsid w:val="54DB0899"/>
    <w:rsid w:val="54DD01AE"/>
    <w:rsid w:val="54E10BC3"/>
    <w:rsid w:val="54E20B97"/>
    <w:rsid w:val="54E570D4"/>
    <w:rsid w:val="54EB4E51"/>
    <w:rsid w:val="54ED4E23"/>
    <w:rsid w:val="54F520AA"/>
    <w:rsid w:val="54FA7D21"/>
    <w:rsid w:val="54FC1907"/>
    <w:rsid w:val="54FE13FC"/>
    <w:rsid w:val="5502488B"/>
    <w:rsid w:val="5502550B"/>
    <w:rsid w:val="5509132D"/>
    <w:rsid w:val="550F4581"/>
    <w:rsid w:val="551115B8"/>
    <w:rsid w:val="551325F1"/>
    <w:rsid w:val="551568E6"/>
    <w:rsid w:val="55161FE8"/>
    <w:rsid w:val="55166098"/>
    <w:rsid w:val="55170B78"/>
    <w:rsid w:val="55287EE9"/>
    <w:rsid w:val="552B7B41"/>
    <w:rsid w:val="55334853"/>
    <w:rsid w:val="55362C97"/>
    <w:rsid w:val="553E705D"/>
    <w:rsid w:val="554232CE"/>
    <w:rsid w:val="554A3254"/>
    <w:rsid w:val="554C1DF1"/>
    <w:rsid w:val="55515659"/>
    <w:rsid w:val="555931AA"/>
    <w:rsid w:val="556713CF"/>
    <w:rsid w:val="55693934"/>
    <w:rsid w:val="556C5FEF"/>
    <w:rsid w:val="556E7FB9"/>
    <w:rsid w:val="557564E7"/>
    <w:rsid w:val="55760EAA"/>
    <w:rsid w:val="557B615C"/>
    <w:rsid w:val="557D28B3"/>
    <w:rsid w:val="557E71EA"/>
    <w:rsid w:val="558379BB"/>
    <w:rsid w:val="55841D62"/>
    <w:rsid w:val="558439D2"/>
    <w:rsid w:val="558E78ED"/>
    <w:rsid w:val="559955A1"/>
    <w:rsid w:val="55A05B3C"/>
    <w:rsid w:val="55A4526A"/>
    <w:rsid w:val="55AB061A"/>
    <w:rsid w:val="55B32CD9"/>
    <w:rsid w:val="55D17D53"/>
    <w:rsid w:val="55D9311F"/>
    <w:rsid w:val="55E203E0"/>
    <w:rsid w:val="55E35349"/>
    <w:rsid w:val="55EC7C86"/>
    <w:rsid w:val="55F400F5"/>
    <w:rsid w:val="55F45068"/>
    <w:rsid w:val="55F8445C"/>
    <w:rsid w:val="55FB16D9"/>
    <w:rsid w:val="55FE07DF"/>
    <w:rsid w:val="55FE33AB"/>
    <w:rsid w:val="5602750E"/>
    <w:rsid w:val="56095D61"/>
    <w:rsid w:val="560E566E"/>
    <w:rsid w:val="560E5BD3"/>
    <w:rsid w:val="560F6237"/>
    <w:rsid w:val="5612078C"/>
    <w:rsid w:val="56165D78"/>
    <w:rsid w:val="56170651"/>
    <w:rsid w:val="56193C4E"/>
    <w:rsid w:val="561C2058"/>
    <w:rsid w:val="561F0008"/>
    <w:rsid w:val="561F3FB8"/>
    <w:rsid w:val="562C5985"/>
    <w:rsid w:val="56310536"/>
    <w:rsid w:val="5631528E"/>
    <w:rsid w:val="5634007B"/>
    <w:rsid w:val="563668C1"/>
    <w:rsid w:val="563E0BEE"/>
    <w:rsid w:val="564C2E6D"/>
    <w:rsid w:val="564D38A1"/>
    <w:rsid w:val="564E500C"/>
    <w:rsid w:val="56503B63"/>
    <w:rsid w:val="56517F97"/>
    <w:rsid w:val="565A65E2"/>
    <w:rsid w:val="565F6497"/>
    <w:rsid w:val="5661367A"/>
    <w:rsid w:val="56634486"/>
    <w:rsid w:val="566A71E8"/>
    <w:rsid w:val="566B20A3"/>
    <w:rsid w:val="566E3FE9"/>
    <w:rsid w:val="56710779"/>
    <w:rsid w:val="56762202"/>
    <w:rsid w:val="567755E8"/>
    <w:rsid w:val="56841CB1"/>
    <w:rsid w:val="568455BA"/>
    <w:rsid w:val="56853D72"/>
    <w:rsid w:val="568829BB"/>
    <w:rsid w:val="568D0E8F"/>
    <w:rsid w:val="569F39B3"/>
    <w:rsid w:val="56A0008A"/>
    <w:rsid w:val="56A32887"/>
    <w:rsid w:val="56AB0458"/>
    <w:rsid w:val="56AB4156"/>
    <w:rsid w:val="56B31238"/>
    <w:rsid w:val="56B51470"/>
    <w:rsid w:val="56B51C18"/>
    <w:rsid w:val="56BA66DA"/>
    <w:rsid w:val="56BC33D4"/>
    <w:rsid w:val="56BD14C6"/>
    <w:rsid w:val="56C458FD"/>
    <w:rsid w:val="56C54904"/>
    <w:rsid w:val="56CD725E"/>
    <w:rsid w:val="56E01187"/>
    <w:rsid w:val="56E11251"/>
    <w:rsid w:val="56E15C15"/>
    <w:rsid w:val="56E533A9"/>
    <w:rsid w:val="56E634A5"/>
    <w:rsid w:val="56E67D5B"/>
    <w:rsid w:val="56E76430"/>
    <w:rsid w:val="56EC20B7"/>
    <w:rsid w:val="56F27A81"/>
    <w:rsid w:val="56FA73D7"/>
    <w:rsid w:val="57020499"/>
    <w:rsid w:val="5702471C"/>
    <w:rsid w:val="570B5470"/>
    <w:rsid w:val="570F77EE"/>
    <w:rsid w:val="57115FED"/>
    <w:rsid w:val="57134BC3"/>
    <w:rsid w:val="571701DC"/>
    <w:rsid w:val="5718099B"/>
    <w:rsid w:val="571A7039"/>
    <w:rsid w:val="571C36A9"/>
    <w:rsid w:val="57224401"/>
    <w:rsid w:val="5729264B"/>
    <w:rsid w:val="572957ED"/>
    <w:rsid w:val="572B18A4"/>
    <w:rsid w:val="572C704D"/>
    <w:rsid w:val="57330F18"/>
    <w:rsid w:val="573510C8"/>
    <w:rsid w:val="57375CEC"/>
    <w:rsid w:val="57400BA4"/>
    <w:rsid w:val="57436261"/>
    <w:rsid w:val="57443353"/>
    <w:rsid w:val="57452C22"/>
    <w:rsid w:val="574718ED"/>
    <w:rsid w:val="574C09F4"/>
    <w:rsid w:val="574F015A"/>
    <w:rsid w:val="575150C4"/>
    <w:rsid w:val="57516E68"/>
    <w:rsid w:val="57525F88"/>
    <w:rsid w:val="57552FC4"/>
    <w:rsid w:val="5757754C"/>
    <w:rsid w:val="5759616F"/>
    <w:rsid w:val="575A0224"/>
    <w:rsid w:val="575E6A88"/>
    <w:rsid w:val="57601B83"/>
    <w:rsid w:val="57611C88"/>
    <w:rsid w:val="5765767A"/>
    <w:rsid w:val="576A5012"/>
    <w:rsid w:val="576E5D4B"/>
    <w:rsid w:val="576F55AE"/>
    <w:rsid w:val="577521D4"/>
    <w:rsid w:val="578B669C"/>
    <w:rsid w:val="578B7357"/>
    <w:rsid w:val="579126B7"/>
    <w:rsid w:val="57981BDB"/>
    <w:rsid w:val="57A34F76"/>
    <w:rsid w:val="57A371DE"/>
    <w:rsid w:val="57A53A3A"/>
    <w:rsid w:val="57B940E4"/>
    <w:rsid w:val="57BF2B66"/>
    <w:rsid w:val="57C303F2"/>
    <w:rsid w:val="57C36DC2"/>
    <w:rsid w:val="57C648B5"/>
    <w:rsid w:val="57D43951"/>
    <w:rsid w:val="57D72EA7"/>
    <w:rsid w:val="57D91A30"/>
    <w:rsid w:val="57DA40C0"/>
    <w:rsid w:val="57DB4C5D"/>
    <w:rsid w:val="57DD49CE"/>
    <w:rsid w:val="57E7671E"/>
    <w:rsid w:val="57F26ED2"/>
    <w:rsid w:val="57FF6C54"/>
    <w:rsid w:val="58060D2E"/>
    <w:rsid w:val="580E6520"/>
    <w:rsid w:val="580F4CCF"/>
    <w:rsid w:val="580F7D87"/>
    <w:rsid w:val="58183713"/>
    <w:rsid w:val="58226710"/>
    <w:rsid w:val="582420C5"/>
    <w:rsid w:val="5825082B"/>
    <w:rsid w:val="582C301A"/>
    <w:rsid w:val="58300AEB"/>
    <w:rsid w:val="58350D8C"/>
    <w:rsid w:val="58354DBE"/>
    <w:rsid w:val="5836242A"/>
    <w:rsid w:val="583C484D"/>
    <w:rsid w:val="58472D43"/>
    <w:rsid w:val="584862C3"/>
    <w:rsid w:val="584D14C8"/>
    <w:rsid w:val="58545F0B"/>
    <w:rsid w:val="58560294"/>
    <w:rsid w:val="5858721A"/>
    <w:rsid w:val="585B4511"/>
    <w:rsid w:val="585D3F0C"/>
    <w:rsid w:val="585F4DFC"/>
    <w:rsid w:val="5860518C"/>
    <w:rsid w:val="5864640D"/>
    <w:rsid w:val="58670B2D"/>
    <w:rsid w:val="58703514"/>
    <w:rsid w:val="58790994"/>
    <w:rsid w:val="587E21BE"/>
    <w:rsid w:val="58865549"/>
    <w:rsid w:val="588A40DB"/>
    <w:rsid w:val="588F3A24"/>
    <w:rsid w:val="589033E7"/>
    <w:rsid w:val="58927361"/>
    <w:rsid w:val="589E62A3"/>
    <w:rsid w:val="58A042A7"/>
    <w:rsid w:val="58A12ABE"/>
    <w:rsid w:val="58A61E06"/>
    <w:rsid w:val="58A63FDE"/>
    <w:rsid w:val="58A85D2A"/>
    <w:rsid w:val="58AB6E2E"/>
    <w:rsid w:val="58BF1E0C"/>
    <w:rsid w:val="58BF70A8"/>
    <w:rsid w:val="58CB0A3C"/>
    <w:rsid w:val="58D13744"/>
    <w:rsid w:val="58D2460A"/>
    <w:rsid w:val="58D5330F"/>
    <w:rsid w:val="58DA4680"/>
    <w:rsid w:val="58DB3463"/>
    <w:rsid w:val="58EF42F3"/>
    <w:rsid w:val="58F624BA"/>
    <w:rsid w:val="58F65959"/>
    <w:rsid w:val="58F85DEC"/>
    <w:rsid w:val="58FB7105"/>
    <w:rsid w:val="58FD7CC3"/>
    <w:rsid w:val="58FF6A27"/>
    <w:rsid w:val="5903080A"/>
    <w:rsid w:val="590854B5"/>
    <w:rsid w:val="590D65AE"/>
    <w:rsid w:val="5912060E"/>
    <w:rsid w:val="591C104B"/>
    <w:rsid w:val="591D1501"/>
    <w:rsid w:val="592772E1"/>
    <w:rsid w:val="59294CB4"/>
    <w:rsid w:val="592C4032"/>
    <w:rsid w:val="592E4B29"/>
    <w:rsid w:val="593B02DE"/>
    <w:rsid w:val="593B36EC"/>
    <w:rsid w:val="59457C24"/>
    <w:rsid w:val="59487204"/>
    <w:rsid w:val="594B5BAE"/>
    <w:rsid w:val="594F0DE8"/>
    <w:rsid w:val="5952108F"/>
    <w:rsid w:val="595A3738"/>
    <w:rsid w:val="59620A0C"/>
    <w:rsid w:val="596A2E0A"/>
    <w:rsid w:val="59725B9E"/>
    <w:rsid w:val="597A40D0"/>
    <w:rsid w:val="597C5638"/>
    <w:rsid w:val="597F1AF8"/>
    <w:rsid w:val="5984750C"/>
    <w:rsid w:val="5989305F"/>
    <w:rsid w:val="598F41E4"/>
    <w:rsid w:val="59984FCD"/>
    <w:rsid w:val="59986FC8"/>
    <w:rsid w:val="599B0A7C"/>
    <w:rsid w:val="599E4BE5"/>
    <w:rsid w:val="59A55DCE"/>
    <w:rsid w:val="59AF376F"/>
    <w:rsid w:val="59B12BAD"/>
    <w:rsid w:val="59B47F65"/>
    <w:rsid w:val="59BB63CF"/>
    <w:rsid w:val="59C227B9"/>
    <w:rsid w:val="59C24BA3"/>
    <w:rsid w:val="59CD5F86"/>
    <w:rsid w:val="59CF6D19"/>
    <w:rsid w:val="59D24006"/>
    <w:rsid w:val="59D52A35"/>
    <w:rsid w:val="59D544ED"/>
    <w:rsid w:val="59E618D7"/>
    <w:rsid w:val="59F337C6"/>
    <w:rsid w:val="59F95F09"/>
    <w:rsid w:val="59FE0E95"/>
    <w:rsid w:val="59FE27D1"/>
    <w:rsid w:val="5A00717A"/>
    <w:rsid w:val="5A084242"/>
    <w:rsid w:val="5A0E1C0B"/>
    <w:rsid w:val="5A1A5256"/>
    <w:rsid w:val="5A200FB2"/>
    <w:rsid w:val="5A316538"/>
    <w:rsid w:val="5A3410A5"/>
    <w:rsid w:val="5A364CF7"/>
    <w:rsid w:val="5A41464E"/>
    <w:rsid w:val="5A44277C"/>
    <w:rsid w:val="5A487621"/>
    <w:rsid w:val="5A4C2893"/>
    <w:rsid w:val="5A512889"/>
    <w:rsid w:val="5A516DED"/>
    <w:rsid w:val="5A526D41"/>
    <w:rsid w:val="5A5752C7"/>
    <w:rsid w:val="5A5832FD"/>
    <w:rsid w:val="5A5C174F"/>
    <w:rsid w:val="5A5E4FF6"/>
    <w:rsid w:val="5A61633E"/>
    <w:rsid w:val="5A662004"/>
    <w:rsid w:val="5A734735"/>
    <w:rsid w:val="5A764614"/>
    <w:rsid w:val="5A792683"/>
    <w:rsid w:val="5A8012C0"/>
    <w:rsid w:val="5A8262B5"/>
    <w:rsid w:val="5A854A55"/>
    <w:rsid w:val="5A8711F4"/>
    <w:rsid w:val="5A877481"/>
    <w:rsid w:val="5A8D30E6"/>
    <w:rsid w:val="5A8E1892"/>
    <w:rsid w:val="5A9C15D0"/>
    <w:rsid w:val="5A9C2BCC"/>
    <w:rsid w:val="5AA870E5"/>
    <w:rsid w:val="5AAE7F5B"/>
    <w:rsid w:val="5AAF2628"/>
    <w:rsid w:val="5AB2379E"/>
    <w:rsid w:val="5AB3249B"/>
    <w:rsid w:val="5AB346C0"/>
    <w:rsid w:val="5AC30B3F"/>
    <w:rsid w:val="5AC90E4A"/>
    <w:rsid w:val="5ACB2345"/>
    <w:rsid w:val="5AD11E3B"/>
    <w:rsid w:val="5AE35882"/>
    <w:rsid w:val="5AE56572"/>
    <w:rsid w:val="5AF5281B"/>
    <w:rsid w:val="5AF75140"/>
    <w:rsid w:val="5AF84848"/>
    <w:rsid w:val="5AFF1171"/>
    <w:rsid w:val="5B0544E6"/>
    <w:rsid w:val="5B092532"/>
    <w:rsid w:val="5B19373A"/>
    <w:rsid w:val="5B1B3601"/>
    <w:rsid w:val="5B1D0603"/>
    <w:rsid w:val="5B1F3B03"/>
    <w:rsid w:val="5B27413E"/>
    <w:rsid w:val="5B2B529F"/>
    <w:rsid w:val="5B332DDD"/>
    <w:rsid w:val="5B3A26EB"/>
    <w:rsid w:val="5B3A6025"/>
    <w:rsid w:val="5B3C1530"/>
    <w:rsid w:val="5B522CF5"/>
    <w:rsid w:val="5B541457"/>
    <w:rsid w:val="5B585C39"/>
    <w:rsid w:val="5B5B5AD4"/>
    <w:rsid w:val="5B5D626C"/>
    <w:rsid w:val="5B614FFC"/>
    <w:rsid w:val="5B6B3B74"/>
    <w:rsid w:val="5B721AC5"/>
    <w:rsid w:val="5B74375D"/>
    <w:rsid w:val="5B767BC7"/>
    <w:rsid w:val="5B7839AA"/>
    <w:rsid w:val="5B78444D"/>
    <w:rsid w:val="5B794214"/>
    <w:rsid w:val="5B7D5873"/>
    <w:rsid w:val="5B7F25DA"/>
    <w:rsid w:val="5B881FE4"/>
    <w:rsid w:val="5B8C1B95"/>
    <w:rsid w:val="5B900EC5"/>
    <w:rsid w:val="5B910EA6"/>
    <w:rsid w:val="5B92325D"/>
    <w:rsid w:val="5B99183B"/>
    <w:rsid w:val="5B9B00B1"/>
    <w:rsid w:val="5B9C20DB"/>
    <w:rsid w:val="5B9F7A41"/>
    <w:rsid w:val="5BA570F5"/>
    <w:rsid w:val="5BB030F4"/>
    <w:rsid w:val="5BB04B21"/>
    <w:rsid w:val="5BB35D6F"/>
    <w:rsid w:val="5BB478E2"/>
    <w:rsid w:val="5BB5120E"/>
    <w:rsid w:val="5BC21ABF"/>
    <w:rsid w:val="5BC304A6"/>
    <w:rsid w:val="5BC33BB0"/>
    <w:rsid w:val="5BC92BB3"/>
    <w:rsid w:val="5BCD7D20"/>
    <w:rsid w:val="5BCF09CF"/>
    <w:rsid w:val="5BE9370A"/>
    <w:rsid w:val="5BEB56DE"/>
    <w:rsid w:val="5BED39E7"/>
    <w:rsid w:val="5BEE773A"/>
    <w:rsid w:val="5BF32F47"/>
    <w:rsid w:val="5BF4736A"/>
    <w:rsid w:val="5BF705DC"/>
    <w:rsid w:val="5BFB32CE"/>
    <w:rsid w:val="5BFB4322"/>
    <w:rsid w:val="5BFC66F5"/>
    <w:rsid w:val="5C05275F"/>
    <w:rsid w:val="5C091CFC"/>
    <w:rsid w:val="5C0E4F84"/>
    <w:rsid w:val="5C156195"/>
    <w:rsid w:val="5C163E5D"/>
    <w:rsid w:val="5C1752AE"/>
    <w:rsid w:val="5C1A7126"/>
    <w:rsid w:val="5C1F404F"/>
    <w:rsid w:val="5C24711B"/>
    <w:rsid w:val="5C247585"/>
    <w:rsid w:val="5C247B6B"/>
    <w:rsid w:val="5C287F3B"/>
    <w:rsid w:val="5C2A649B"/>
    <w:rsid w:val="5C2B1493"/>
    <w:rsid w:val="5C335426"/>
    <w:rsid w:val="5C355E7B"/>
    <w:rsid w:val="5C3B3F8B"/>
    <w:rsid w:val="5C3F6973"/>
    <w:rsid w:val="5C497C75"/>
    <w:rsid w:val="5C5208D8"/>
    <w:rsid w:val="5C5336EB"/>
    <w:rsid w:val="5C58705A"/>
    <w:rsid w:val="5C5A672D"/>
    <w:rsid w:val="5C661637"/>
    <w:rsid w:val="5C7C595F"/>
    <w:rsid w:val="5C7F02EC"/>
    <w:rsid w:val="5C82699B"/>
    <w:rsid w:val="5C8B17A4"/>
    <w:rsid w:val="5C8E57E1"/>
    <w:rsid w:val="5C910C60"/>
    <w:rsid w:val="5C937D8B"/>
    <w:rsid w:val="5C9B1909"/>
    <w:rsid w:val="5C9D587A"/>
    <w:rsid w:val="5CA21AF6"/>
    <w:rsid w:val="5CA22C3E"/>
    <w:rsid w:val="5CA41504"/>
    <w:rsid w:val="5CA50038"/>
    <w:rsid w:val="5CA553F7"/>
    <w:rsid w:val="5CA90C24"/>
    <w:rsid w:val="5CA96DE4"/>
    <w:rsid w:val="5CAA6811"/>
    <w:rsid w:val="5CAB0D47"/>
    <w:rsid w:val="5CAB6943"/>
    <w:rsid w:val="5CAD4702"/>
    <w:rsid w:val="5CB24BF4"/>
    <w:rsid w:val="5CBB4223"/>
    <w:rsid w:val="5CBD21B3"/>
    <w:rsid w:val="5CC178A3"/>
    <w:rsid w:val="5CC20BEA"/>
    <w:rsid w:val="5CC530B5"/>
    <w:rsid w:val="5CCE504C"/>
    <w:rsid w:val="5CD40496"/>
    <w:rsid w:val="5CD47AAF"/>
    <w:rsid w:val="5CD5135D"/>
    <w:rsid w:val="5CDB4D26"/>
    <w:rsid w:val="5CDE6613"/>
    <w:rsid w:val="5CE271D9"/>
    <w:rsid w:val="5CED17DF"/>
    <w:rsid w:val="5CF1327E"/>
    <w:rsid w:val="5CF17C76"/>
    <w:rsid w:val="5CF70A4A"/>
    <w:rsid w:val="5CF73BD9"/>
    <w:rsid w:val="5CF75893"/>
    <w:rsid w:val="5CFE2AC0"/>
    <w:rsid w:val="5D0E26F3"/>
    <w:rsid w:val="5D1154C0"/>
    <w:rsid w:val="5D152BB5"/>
    <w:rsid w:val="5D196598"/>
    <w:rsid w:val="5D1F4578"/>
    <w:rsid w:val="5D232C1E"/>
    <w:rsid w:val="5D2A3881"/>
    <w:rsid w:val="5D2E6280"/>
    <w:rsid w:val="5D310787"/>
    <w:rsid w:val="5D31225D"/>
    <w:rsid w:val="5D335F95"/>
    <w:rsid w:val="5D33620B"/>
    <w:rsid w:val="5D346979"/>
    <w:rsid w:val="5D386231"/>
    <w:rsid w:val="5D3F7D14"/>
    <w:rsid w:val="5D406F74"/>
    <w:rsid w:val="5D451909"/>
    <w:rsid w:val="5D487B98"/>
    <w:rsid w:val="5D5A2CC2"/>
    <w:rsid w:val="5D5D3C1F"/>
    <w:rsid w:val="5D610270"/>
    <w:rsid w:val="5D6439CA"/>
    <w:rsid w:val="5D6B041C"/>
    <w:rsid w:val="5D6F5686"/>
    <w:rsid w:val="5D720368"/>
    <w:rsid w:val="5D7706E8"/>
    <w:rsid w:val="5D7864F9"/>
    <w:rsid w:val="5D795DB7"/>
    <w:rsid w:val="5D7E0C32"/>
    <w:rsid w:val="5D8453A4"/>
    <w:rsid w:val="5D8744CF"/>
    <w:rsid w:val="5D881826"/>
    <w:rsid w:val="5D894A40"/>
    <w:rsid w:val="5D9266BC"/>
    <w:rsid w:val="5D94672D"/>
    <w:rsid w:val="5D9B5178"/>
    <w:rsid w:val="5D9F5535"/>
    <w:rsid w:val="5DA46A74"/>
    <w:rsid w:val="5DAF0A18"/>
    <w:rsid w:val="5DB411EB"/>
    <w:rsid w:val="5DBD55D9"/>
    <w:rsid w:val="5DBE18CD"/>
    <w:rsid w:val="5DCE7182"/>
    <w:rsid w:val="5DCF6BE5"/>
    <w:rsid w:val="5DD42130"/>
    <w:rsid w:val="5DD67AC4"/>
    <w:rsid w:val="5DE413D7"/>
    <w:rsid w:val="5DEE060B"/>
    <w:rsid w:val="5DEE7B2B"/>
    <w:rsid w:val="5DEF2ACF"/>
    <w:rsid w:val="5DF840C0"/>
    <w:rsid w:val="5DFB73D6"/>
    <w:rsid w:val="5DFD66D2"/>
    <w:rsid w:val="5DFE2AE1"/>
    <w:rsid w:val="5E021780"/>
    <w:rsid w:val="5E056158"/>
    <w:rsid w:val="5E0634A3"/>
    <w:rsid w:val="5E0A56D8"/>
    <w:rsid w:val="5E0F6395"/>
    <w:rsid w:val="5E1010FB"/>
    <w:rsid w:val="5E127950"/>
    <w:rsid w:val="5E153A69"/>
    <w:rsid w:val="5E16132E"/>
    <w:rsid w:val="5E1A3221"/>
    <w:rsid w:val="5E1A7052"/>
    <w:rsid w:val="5E1E4605"/>
    <w:rsid w:val="5E216174"/>
    <w:rsid w:val="5E246C75"/>
    <w:rsid w:val="5E283BF9"/>
    <w:rsid w:val="5E2847E1"/>
    <w:rsid w:val="5E2A018B"/>
    <w:rsid w:val="5E2A2A99"/>
    <w:rsid w:val="5E2F509C"/>
    <w:rsid w:val="5E3210AF"/>
    <w:rsid w:val="5E333BEB"/>
    <w:rsid w:val="5E3342AA"/>
    <w:rsid w:val="5E39312E"/>
    <w:rsid w:val="5E3A0EE1"/>
    <w:rsid w:val="5E3F4E59"/>
    <w:rsid w:val="5E40626B"/>
    <w:rsid w:val="5E44360B"/>
    <w:rsid w:val="5E4B3145"/>
    <w:rsid w:val="5E4B7559"/>
    <w:rsid w:val="5E4D60D9"/>
    <w:rsid w:val="5E5974D0"/>
    <w:rsid w:val="5E5D3F0F"/>
    <w:rsid w:val="5E5E0480"/>
    <w:rsid w:val="5E663AD6"/>
    <w:rsid w:val="5E6B56CF"/>
    <w:rsid w:val="5E713002"/>
    <w:rsid w:val="5E743823"/>
    <w:rsid w:val="5E7641B2"/>
    <w:rsid w:val="5E78316B"/>
    <w:rsid w:val="5E7D0325"/>
    <w:rsid w:val="5E7D2FED"/>
    <w:rsid w:val="5E80571F"/>
    <w:rsid w:val="5E806ED1"/>
    <w:rsid w:val="5E9B7945"/>
    <w:rsid w:val="5E9C06F8"/>
    <w:rsid w:val="5E9D133A"/>
    <w:rsid w:val="5E9E4EF7"/>
    <w:rsid w:val="5E9F08C8"/>
    <w:rsid w:val="5EA40B10"/>
    <w:rsid w:val="5EAE53B0"/>
    <w:rsid w:val="5EB1741D"/>
    <w:rsid w:val="5EB33854"/>
    <w:rsid w:val="5EB75EB4"/>
    <w:rsid w:val="5EB97991"/>
    <w:rsid w:val="5EBC7676"/>
    <w:rsid w:val="5EC04139"/>
    <w:rsid w:val="5ECE5416"/>
    <w:rsid w:val="5ED47E94"/>
    <w:rsid w:val="5ED90353"/>
    <w:rsid w:val="5EDE0F33"/>
    <w:rsid w:val="5EE16F5E"/>
    <w:rsid w:val="5EE3477A"/>
    <w:rsid w:val="5EE65064"/>
    <w:rsid w:val="5EE90580"/>
    <w:rsid w:val="5EF17565"/>
    <w:rsid w:val="5F047A55"/>
    <w:rsid w:val="5F09791F"/>
    <w:rsid w:val="5F120A1F"/>
    <w:rsid w:val="5F1307CC"/>
    <w:rsid w:val="5F203B9E"/>
    <w:rsid w:val="5F2B7945"/>
    <w:rsid w:val="5F2E4364"/>
    <w:rsid w:val="5F2E6A0B"/>
    <w:rsid w:val="5F325914"/>
    <w:rsid w:val="5F36203A"/>
    <w:rsid w:val="5F3901EE"/>
    <w:rsid w:val="5F3976AF"/>
    <w:rsid w:val="5F3E224D"/>
    <w:rsid w:val="5F45179A"/>
    <w:rsid w:val="5F462EDC"/>
    <w:rsid w:val="5F4B3119"/>
    <w:rsid w:val="5F4C4132"/>
    <w:rsid w:val="5F4D7ADD"/>
    <w:rsid w:val="5F507341"/>
    <w:rsid w:val="5F532368"/>
    <w:rsid w:val="5F5543F5"/>
    <w:rsid w:val="5F5A3F6B"/>
    <w:rsid w:val="5F5E0892"/>
    <w:rsid w:val="5F701FCF"/>
    <w:rsid w:val="5F750FD1"/>
    <w:rsid w:val="5F755267"/>
    <w:rsid w:val="5F77327F"/>
    <w:rsid w:val="5F82297D"/>
    <w:rsid w:val="5F84124F"/>
    <w:rsid w:val="5F8903A5"/>
    <w:rsid w:val="5F892FC0"/>
    <w:rsid w:val="5F990328"/>
    <w:rsid w:val="5F9C7F97"/>
    <w:rsid w:val="5FA825D3"/>
    <w:rsid w:val="5FB06D1C"/>
    <w:rsid w:val="5FB24F46"/>
    <w:rsid w:val="5FB94527"/>
    <w:rsid w:val="5FBF4E6E"/>
    <w:rsid w:val="5FC2342F"/>
    <w:rsid w:val="5FC76676"/>
    <w:rsid w:val="5FC829BC"/>
    <w:rsid w:val="5FD30403"/>
    <w:rsid w:val="5FD53D9F"/>
    <w:rsid w:val="5FDA3857"/>
    <w:rsid w:val="5FDC2174"/>
    <w:rsid w:val="5FDE6A2F"/>
    <w:rsid w:val="5FE1582B"/>
    <w:rsid w:val="5FE76832"/>
    <w:rsid w:val="5FEB2206"/>
    <w:rsid w:val="5FEE7D8F"/>
    <w:rsid w:val="5FF4730D"/>
    <w:rsid w:val="5FFE018B"/>
    <w:rsid w:val="5FFF7AA9"/>
    <w:rsid w:val="600025A1"/>
    <w:rsid w:val="60016769"/>
    <w:rsid w:val="60045493"/>
    <w:rsid w:val="602A3920"/>
    <w:rsid w:val="602D5D0B"/>
    <w:rsid w:val="602D6CC3"/>
    <w:rsid w:val="60397A9D"/>
    <w:rsid w:val="603F7A37"/>
    <w:rsid w:val="6044561F"/>
    <w:rsid w:val="60464BB9"/>
    <w:rsid w:val="604B3AFC"/>
    <w:rsid w:val="604C5005"/>
    <w:rsid w:val="604D4C6F"/>
    <w:rsid w:val="6052399C"/>
    <w:rsid w:val="60553F73"/>
    <w:rsid w:val="605E265A"/>
    <w:rsid w:val="606376DE"/>
    <w:rsid w:val="606A5821"/>
    <w:rsid w:val="606F108D"/>
    <w:rsid w:val="60730B79"/>
    <w:rsid w:val="60783610"/>
    <w:rsid w:val="607911AC"/>
    <w:rsid w:val="607A6234"/>
    <w:rsid w:val="60811F25"/>
    <w:rsid w:val="6085097E"/>
    <w:rsid w:val="60875A6C"/>
    <w:rsid w:val="60882550"/>
    <w:rsid w:val="60883AAE"/>
    <w:rsid w:val="608D1877"/>
    <w:rsid w:val="608F485D"/>
    <w:rsid w:val="609232EF"/>
    <w:rsid w:val="6093585C"/>
    <w:rsid w:val="6098097B"/>
    <w:rsid w:val="60995AE1"/>
    <w:rsid w:val="609C2A10"/>
    <w:rsid w:val="60A76A75"/>
    <w:rsid w:val="60AA633A"/>
    <w:rsid w:val="60AD178C"/>
    <w:rsid w:val="60B64803"/>
    <w:rsid w:val="60B82A30"/>
    <w:rsid w:val="60BB2CF9"/>
    <w:rsid w:val="60BC626D"/>
    <w:rsid w:val="60C52C88"/>
    <w:rsid w:val="60C833BC"/>
    <w:rsid w:val="60C967E9"/>
    <w:rsid w:val="60CB4678"/>
    <w:rsid w:val="60CF2969"/>
    <w:rsid w:val="60CF3EBB"/>
    <w:rsid w:val="60D1764E"/>
    <w:rsid w:val="60D462BC"/>
    <w:rsid w:val="60D970EB"/>
    <w:rsid w:val="60DF620F"/>
    <w:rsid w:val="60E511F2"/>
    <w:rsid w:val="60E745B8"/>
    <w:rsid w:val="60EB581F"/>
    <w:rsid w:val="60F2773F"/>
    <w:rsid w:val="60F325BD"/>
    <w:rsid w:val="60F33A68"/>
    <w:rsid w:val="60FE7250"/>
    <w:rsid w:val="60FE756F"/>
    <w:rsid w:val="61040198"/>
    <w:rsid w:val="61040C4E"/>
    <w:rsid w:val="6105422C"/>
    <w:rsid w:val="61072F6E"/>
    <w:rsid w:val="61081025"/>
    <w:rsid w:val="610C3ADB"/>
    <w:rsid w:val="61195C59"/>
    <w:rsid w:val="612C62F6"/>
    <w:rsid w:val="613633FD"/>
    <w:rsid w:val="613B6FA9"/>
    <w:rsid w:val="613D2930"/>
    <w:rsid w:val="613D4CE3"/>
    <w:rsid w:val="61405ADF"/>
    <w:rsid w:val="61421775"/>
    <w:rsid w:val="6147100C"/>
    <w:rsid w:val="61480A43"/>
    <w:rsid w:val="61487D91"/>
    <w:rsid w:val="614E6B44"/>
    <w:rsid w:val="61566D3E"/>
    <w:rsid w:val="61593D53"/>
    <w:rsid w:val="615B78C4"/>
    <w:rsid w:val="615C43E1"/>
    <w:rsid w:val="616109D2"/>
    <w:rsid w:val="61651EA2"/>
    <w:rsid w:val="6167288C"/>
    <w:rsid w:val="616C5588"/>
    <w:rsid w:val="616E4922"/>
    <w:rsid w:val="6171355A"/>
    <w:rsid w:val="61726851"/>
    <w:rsid w:val="617B57E8"/>
    <w:rsid w:val="617F0202"/>
    <w:rsid w:val="6180718C"/>
    <w:rsid w:val="6185051D"/>
    <w:rsid w:val="61852957"/>
    <w:rsid w:val="618B1459"/>
    <w:rsid w:val="618C1A96"/>
    <w:rsid w:val="618E6EEC"/>
    <w:rsid w:val="61904269"/>
    <w:rsid w:val="61937BAD"/>
    <w:rsid w:val="61951DA3"/>
    <w:rsid w:val="619960B3"/>
    <w:rsid w:val="619C1119"/>
    <w:rsid w:val="61A450E0"/>
    <w:rsid w:val="61A87FCE"/>
    <w:rsid w:val="61B30DCB"/>
    <w:rsid w:val="61B50F74"/>
    <w:rsid w:val="61BA6029"/>
    <w:rsid w:val="61BB346A"/>
    <w:rsid w:val="61BC7F9E"/>
    <w:rsid w:val="61C66319"/>
    <w:rsid w:val="61C67570"/>
    <w:rsid w:val="61CE161D"/>
    <w:rsid w:val="61D152A0"/>
    <w:rsid w:val="61D317D5"/>
    <w:rsid w:val="61D35F42"/>
    <w:rsid w:val="61D532BB"/>
    <w:rsid w:val="61D75EF6"/>
    <w:rsid w:val="61E15FB7"/>
    <w:rsid w:val="61E72763"/>
    <w:rsid w:val="61E91312"/>
    <w:rsid w:val="61ED5B53"/>
    <w:rsid w:val="61F07FA8"/>
    <w:rsid w:val="61F450C6"/>
    <w:rsid w:val="61F514C6"/>
    <w:rsid w:val="61FB4DC8"/>
    <w:rsid w:val="6200468F"/>
    <w:rsid w:val="6202576F"/>
    <w:rsid w:val="62056FF8"/>
    <w:rsid w:val="62085163"/>
    <w:rsid w:val="621226BC"/>
    <w:rsid w:val="62125834"/>
    <w:rsid w:val="62234BBB"/>
    <w:rsid w:val="62263B93"/>
    <w:rsid w:val="622812D8"/>
    <w:rsid w:val="62322338"/>
    <w:rsid w:val="62365C31"/>
    <w:rsid w:val="623B6B1E"/>
    <w:rsid w:val="623C71B1"/>
    <w:rsid w:val="6243337A"/>
    <w:rsid w:val="62464748"/>
    <w:rsid w:val="62484E8E"/>
    <w:rsid w:val="62573FCC"/>
    <w:rsid w:val="625A1004"/>
    <w:rsid w:val="625C5173"/>
    <w:rsid w:val="625D4F42"/>
    <w:rsid w:val="6269729D"/>
    <w:rsid w:val="626D76FD"/>
    <w:rsid w:val="626E3F5D"/>
    <w:rsid w:val="627251E2"/>
    <w:rsid w:val="627842BA"/>
    <w:rsid w:val="6286024D"/>
    <w:rsid w:val="62892EA4"/>
    <w:rsid w:val="62917095"/>
    <w:rsid w:val="629209BC"/>
    <w:rsid w:val="62925732"/>
    <w:rsid w:val="629815FD"/>
    <w:rsid w:val="629938AF"/>
    <w:rsid w:val="629D7DA2"/>
    <w:rsid w:val="62A6448C"/>
    <w:rsid w:val="62B23AC0"/>
    <w:rsid w:val="62B405FF"/>
    <w:rsid w:val="62BA1592"/>
    <w:rsid w:val="62BC00C1"/>
    <w:rsid w:val="62BD06DF"/>
    <w:rsid w:val="62BE01A0"/>
    <w:rsid w:val="62C52CB1"/>
    <w:rsid w:val="62C87A61"/>
    <w:rsid w:val="62CC5CA6"/>
    <w:rsid w:val="62D23CE8"/>
    <w:rsid w:val="62D452B1"/>
    <w:rsid w:val="62D67C6C"/>
    <w:rsid w:val="62DE7960"/>
    <w:rsid w:val="62E12FFA"/>
    <w:rsid w:val="62E52CD0"/>
    <w:rsid w:val="62EE3F20"/>
    <w:rsid w:val="62F1301D"/>
    <w:rsid w:val="62F330C5"/>
    <w:rsid w:val="62FD15EA"/>
    <w:rsid w:val="62FF6316"/>
    <w:rsid w:val="631139C5"/>
    <w:rsid w:val="63116CD0"/>
    <w:rsid w:val="6312277D"/>
    <w:rsid w:val="63186A68"/>
    <w:rsid w:val="631A4AB8"/>
    <w:rsid w:val="631C2C21"/>
    <w:rsid w:val="631C45CF"/>
    <w:rsid w:val="631F1756"/>
    <w:rsid w:val="63201145"/>
    <w:rsid w:val="63263098"/>
    <w:rsid w:val="63310742"/>
    <w:rsid w:val="63335CF2"/>
    <w:rsid w:val="63337CAB"/>
    <w:rsid w:val="63346403"/>
    <w:rsid w:val="633473CB"/>
    <w:rsid w:val="63351E9E"/>
    <w:rsid w:val="63402402"/>
    <w:rsid w:val="634F5088"/>
    <w:rsid w:val="635C2B9E"/>
    <w:rsid w:val="63616199"/>
    <w:rsid w:val="6361653A"/>
    <w:rsid w:val="63627FAF"/>
    <w:rsid w:val="63646123"/>
    <w:rsid w:val="6366408B"/>
    <w:rsid w:val="63732BF5"/>
    <w:rsid w:val="637F065A"/>
    <w:rsid w:val="63866846"/>
    <w:rsid w:val="63875D22"/>
    <w:rsid w:val="63885E38"/>
    <w:rsid w:val="638913C6"/>
    <w:rsid w:val="638953C9"/>
    <w:rsid w:val="638B31E1"/>
    <w:rsid w:val="638F21AA"/>
    <w:rsid w:val="638F2284"/>
    <w:rsid w:val="63914EB8"/>
    <w:rsid w:val="63931444"/>
    <w:rsid w:val="639332E1"/>
    <w:rsid w:val="63933EFD"/>
    <w:rsid w:val="6396673B"/>
    <w:rsid w:val="63986285"/>
    <w:rsid w:val="639A01CB"/>
    <w:rsid w:val="63A35A22"/>
    <w:rsid w:val="63B82D47"/>
    <w:rsid w:val="63B84AF5"/>
    <w:rsid w:val="63BD1430"/>
    <w:rsid w:val="63BD7DE9"/>
    <w:rsid w:val="63C07C9E"/>
    <w:rsid w:val="63C302C6"/>
    <w:rsid w:val="63C54156"/>
    <w:rsid w:val="63C74311"/>
    <w:rsid w:val="63D0463C"/>
    <w:rsid w:val="63D062E3"/>
    <w:rsid w:val="63D24F57"/>
    <w:rsid w:val="63D61D37"/>
    <w:rsid w:val="63D97BEB"/>
    <w:rsid w:val="63DD466E"/>
    <w:rsid w:val="63E1118E"/>
    <w:rsid w:val="63E172C7"/>
    <w:rsid w:val="63EA4768"/>
    <w:rsid w:val="63F068E5"/>
    <w:rsid w:val="63F2380B"/>
    <w:rsid w:val="63F27CF4"/>
    <w:rsid w:val="63F5521F"/>
    <w:rsid w:val="63F66B5F"/>
    <w:rsid w:val="63F77844"/>
    <w:rsid w:val="63FF1BE8"/>
    <w:rsid w:val="64084CED"/>
    <w:rsid w:val="641B7E6C"/>
    <w:rsid w:val="64203F50"/>
    <w:rsid w:val="6424355E"/>
    <w:rsid w:val="64272A41"/>
    <w:rsid w:val="64330738"/>
    <w:rsid w:val="643463AE"/>
    <w:rsid w:val="64403BF8"/>
    <w:rsid w:val="6444420E"/>
    <w:rsid w:val="644A57F4"/>
    <w:rsid w:val="644F17FE"/>
    <w:rsid w:val="6451202A"/>
    <w:rsid w:val="6454268C"/>
    <w:rsid w:val="64551416"/>
    <w:rsid w:val="64582982"/>
    <w:rsid w:val="64597E98"/>
    <w:rsid w:val="645A2CB7"/>
    <w:rsid w:val="645B7FBA"/>
    <w:rsid w:val="645E501A"/>
    <w:rsid w:val="64721942"/>
    <w:rsid w:val="6475642E"/>
    <w:rsid w:val="647D4B0E"/>
    <w:rsid w:val="648922CF"/>
    <w:rsid w:val="648B3A5F"/>
    <w:rsid w:val="64914A82"/>
    <w:rsid w:val="649613B5"/>
    <w:rsid w:val="64A02DC5"/>
    <w:rsid w:val="64A37F58"/>
    <w:rsid w:val="64A63AC6"/>
    <w:rsid w:val="64AA6534"/>
    <w:rsid w:val="64B318C4"/>
    <w:rsid w:val="64B322C3"/>
    <w:rsid w:val="64B73E69"/>
    <w:rsid w:val="64B74065"/>
    <w:rsid w:val="64C37BF6"/>
    <w:rsid w:val="64C545F5"/>
    <w:rsid w:val="64E25228"/>
    <w:rsid w:val="64EC6B05"/>
    <w:rsid w:val="64FA47CA"/>
    <w:rsid w:val="65037FF2"/>
    <w:rsid w:val="65064640"/>
    <w:rsid w:val="650A23A6"/>
    <w:rsid w:val="650F7B40"/>
    <w:rsid w:val="65130898"/>
    <w:rsid w:val="65166966"/>
    <w:rsid w:val="65190823"/>
    <w:rsid w:val="651B0FC0"/>
    <w:rsid w:val="651C1463"/>
    <w:rsid w:val="651C3B06"/>
    <w:rsid w:val="651C646F"/>
    <w:rsid w:val="651F307E"/>
    <w:rsid w:val="65297D03"/>
    <w:rsid w:val="653177FD"/>
    <w:rsid w:val="6533124B"/>
    <w:rsid w:val="653C3192"/>
    <w:rsid w:val="653E6E79"/>
    <w:rsid w:val="654044EF"/>
    <w:rsid w:val="65501FD5"/>
    <w:rsid w:val="65551A94"/>
    <w:rsid w:val="655D64AE"/>
    <w:rsid w:val="65666AFC"/>
    <w:rsid w:val="65684888"/>
    <w:rsid w:val="65687BEC"/>
    <w:rsid w:val="65695C29"/>
    <w:rsid w:val="656A6DE4"/>
    <w:rsid w:val="65710EED"/>
    <w:rsid w:val="65720EAD"/>
    <w:rsid w:val="65743825"/>
    <w:rsid w:val="6578453C"/>
    <w:rsid w:val="65786B89"/>
    <w:rsid w:val="657B4534"/>
    <w:rsid w:val="65886A37"/>
    <w:rsid w:val="65892532"/>
    <w:rsid w:val="658C2020"/>
    <w:rsid w:val="658C6488"/>
    <w:rsid w:val="659255CE"/>
    <w:rsid w:val="65955B78"/>
    <w:rsid w:val="65A11F4C"/>
    <w:rsid w:val="65A758B2"/>
    <w:rsid w:val="65A96DEB"/>
    <w:rsid w:val="65AD288A"/>
    <w:rsid w:val="65B167A3"/>
    <w:rsid w:val="65B25BD6"/>
    <w:rsid w:val="65B649E8"/>
    <w:rsid w:val="65B744F5"/>
    <w:rsid w:val="65BA678E"/>
    <w:rsid w:val="65BC0138"/>
    <w:rsid w:val="65C4177D"/>
    <w:rsid w:val="65C42EF6"/>
    <w:rsid w:val="65D00BE9"/>
    <w:rsid w:val="65DA711C"/>
    <w:rsid w:val="65E27AB4"/>
    <w:rsid w:val="65E3720B"/>
    <w:rsid w:val="65EB3645"/>
    <w:rsid w:val="65ED0D46"/>
    <w:rsid w:val="65EF7ACC"/>
    <w:rsid w:val="65F20792"/>
    <w:rsid w:val="65F20EA7"/>
    <w:rsid w:val="65FA25DA"/>
    <w:rsid w:val="660416A3"/>
    <w:rsid w:val="6612673F"/>
    <w:rsid w:val="661A530F"/>
    <w:rsid w:val="661C526C"/>
    <w:rsid w:val="661F05C2"/>
    <w:rsid w:val="6620592B"/>
    <w:rsid w:val="6620614E"/>
    <w:rsid w:val="662A2A6F"/>
    <w:rsid w:val="662B7847"/>
    <w:rsid w:val="662C21A6"/>
    <w:rsid w:val="662F40B7"/>
    <w:rsid w:val="66456343"/>
    <w:rsid w:val="6647483C"/>
    <w:rsid w:val="664A3253"/>
    <w:rsid w:val="664F46BA"/>
    <w:rsid w:val="66504519"/>
    <w:rsid w:val="665761F7"/>
    <w:rsid w:val="665B5ADC"/>
    <w:rsid w:val="665B67D8"/>
    <w:rsid w:val="665D31ED"/>
    <w:rsid w:val="66604C3D"/>
    <w:rsid w:val="66682953"/>
    <w:rsid w:val="66686DD6"/>
    <w:rsid w:val="667043EB"/>
    <w:rsid w:val="6673711D"/>
    <w:rsid w:val="66747FA0"/>
    <w:rsid w:val="66751E51"/>
    <w:rsid w:val="667A7162"/>
    <w:rsid w:val="667D115F"/>
    <w:rsid w:val="66803D9C"/>
    <w:rsid w:val="66894448"/>
    <w:rsid w:val="668A76AB"/>
    <w:rsid w:val="668D5048"/>
    <w:rsid w:val="669D6093"/>
    <w:rsid w:val="66A403C7"/>
    <w:rsid w:val="66AA78DA"/>
    <w:rsid w:val="66AD21CC"/>
    <w:rsid w:val="66AE210D"/>
    <w:rsid w:val="66AE50D3"/>
    <w:rsid w:val="66BA49B3"/>
    <w:rsid w:val="66BF7F82"/>
    <w:rsid w:val="66C057AF"/>
    <w:rsid w:val="66C83738"/>
    <w:rsid w:val="66CD03B4"/>
    <w:rsid w:val="66D35994"/>
    <w:rsid w:val="66D65AB1"/>
    <w:rsid w:val="66E915F3"/>
    <w:rsid w:val="66E924FE"/>
    <w:rsid w:val="66EA0C5A"/>
    <w:rsid w:val="66F01963"/>
    <w:rsid w:val="66F72843"/>
    <w:rsid w:val="66FE3654"/>
    <w:rsid w:val="670544F5"/>
    <w:rsid w:val="670668F0"/>
    <w:rsid w:val="67090219"/>
    <w:rsid w:val="670F2519"/>
    <w:rsid w:val="67104457"/>
    <w:rsid w:val="67131953"/>
    <w:rsid w:val="67161BB9"/>
    <w:rsid w:val="67185186"/>
    <w:rsid w:val="671923CD"/>
    <w:rsid w:val="671A0B03"/>
    <w:rsid w:val="67237B54"/>
    <w:rsid w:val="67246074"/>
    <w:rsid w:val="672E54F8"/>
    <w:rsid w:val="672E6362"/>
    <w:rsid w:val="67346534"/>
    <w:rsid w:val="673C5E80"/>
    <w:rsid w:val="67402F06"/>
    <w:rsid w:val="67433A86"/>
    <w:rsid w:val="67481997"/>
    <w:rsid w:val="674E3A7F"/>
    <w:rsid w:val="675319D0"/>
    <w:rsid w:val="67535261"/>
    <w:rsid w:val="67576D5E"/>
    <w:rsid w:val="675F513B"/>
    <w:rsid w:val="67681CF6"/>
    <w:rsid w:val="676D10D6"/>
    <w:rsid w:val="67730FC4"/>
    <w:rsid w:val="67731E47"/>
    <w:rsid w:val="677456CA"/>
    <w:rsid w:val="678056E3"/>
    <w:rsid w:val="67837EE3"/>
    <w:rsid w:val="6786712C"/>
    <w:rsid w:val="678B5FFA"/>
    <w:rsid w:val="678E6274"/>
    <w:rsid w:val="678F7C7D"/>
    <w:rsid w:val="67991484"/>
    <w:rsid w:val="67A73261"/>
    <w:rsid w:val="67AA194C"/>
    <w:rsid w:val="67AE5E48"/>
    <w:rsid w:val="67B06428"/>
    <w:rsid w:val="67B51EB6"/>
    <w:rsid w:val="67B84D7F"/>
    <w:rsid w:val="67BD07D3"/>
    <w:rsid w:val="67BE3434"/>
    <w:rsid w:val="67BF192B"/>
    <w:rsid w:val="67C13DEB"/>
    <w:rsid w:val="67C14836"/>
    <w:rsid w:val="67C3769D"/>
    <w:rsid w:val="67C50196"/>
    <w:rsid w:val="67C8558E"/>
    <w:rsid w:val="67CE43F7"/>
    <w:rsid w:val="67E001FD"/>
    <w:rsid w:val="67E11597"/>
    <w:rsid w:val="67E1461B"/>
    <w:rsid w:val="67ED00D8"/>
    <w:rsid w:val="67F176F6"/>
    <w:rsid w:val="67F51E74"/>
    <w:rsid w:val="67F7629E"/>
    <w:rsid w:val="67FB2C55"/>
    <w:rsid w:val="67FC0AA6"/>
    <w:rsid w:val="67FD6528"/>
    <w:rsid w:val="680110F7"/>
    <w:rsid w:val="680B421D"/>
    <w:rsid w:val="680F6007"/>
    <w:rsid w:val="6810200B"/>
    <w:rsid w:val="68154E6E"/>
    <w:rsid w:val="681928F7"/>
    <w:rsid w:val="681A1BF7"/>
    <w:rsid w:val="681F2B7E"/>
    <w:rsid w:val="68200627"/>
    <w:rsid w:val="68220CE6"/>
    <w:rsid w:val="682B463D"/>
    <w:rsid w:val="682E1EE7"/>
    <w:rsid w:val="68314576"/>
    <w:rsid w:val="6836320A"/>
    <w:rsid w:val="683A69EB"/>
    <w:rsid w:val="683B3840"/>
    <w:rsid w:val="68441940"/>
    <w:rsid w:val="68495C41"/>
    <w:rsid w:val="6851359B"/>
    <w:rsid w:val="68556DB7"/>
    <w:rsid w:val="68581CC5"/>
    <w:rsid w:val="685C4ADE"/>
    <w:rsid w:val="68644415"/>
    <w:rsid w:val="68691054"/>
    <w:rsid w:val="68696EDC"/>
    <w:rsid w:val="686E34D6"/>
    <w:rsid w:val="687C1C55"/>
    <w:rsid w:val="687C373F"/>
    <w:rsid w:val="68860A0A"/>
    <w:rsid w:val="688825F1"/>
    <w:rsid w:val="688A17C5"/>
    <w:rsid w:val="688A62E5"/>
    <w:rsid w:val="688B1489"/>
    <w:rsid w:val="688B3E43"/>
    <w:rsid w:val="68960D5C"/>
    <w:rsid w:val="68A0791F"/>
    <w:rsid w:val="68A35274"/>
    <w:rsid w:val="68A4063D"/>
    <w:rsid w:val="68A53F7E"/>
    <w:rsid w:val="68A557A5"/>
    <w:rsid w:val="68A55A3C"/>
    <w:rsid w:val="68A61F00"/>
    <w:rsid w:val="68AF4FD2"/>
    <w:rsid w:val="68B00DBD"/>
    <w:rsid w:val="68B00F35"/>
    <w:rsid w:val="68BB1A49"/>
    <w:rsid w:val="68C16FD7"/>
    <w:rsid w:val="68C65A17"/>
    <w:rsid w:val="68D42689"/>
    <w:rsid w:val="68D52D14"/>
    <w:rsid w:val="68D92C89"/>
    <w:rsid w:val="68DC021E"/>
    <w:rsid w:val="68DF5F6F"/>
    <w:rsid w:val="68E00AAE"/>
    <w:rsid w:val="68E11851"/>
    <w:rsid w:val="68E42FA2"/>
    <w:rsid w:val="68FB3864"/>
    <w:rsid w:val="69083D6A"/>
    <w:rsid w:val="69084744"/>
    <w:rsid w:val="690F0FFE"/>
    <w:rsid w:val="69103BEB"/>
    <w:rsid w:val="69170DB8"/>
    <w:rsid w:val="691722BE"/>
    <w:rsid w:val="69185D7B"/>
    <w:rsid w:val="6919278D"/>
    <w:rsid w:val="691A0D02"/>
    <w:rsid w:val="69243D8C"/>
    <w:rsid w:val="692E610E"/>
    <w:rsid w:val="69331F16"/>
    <w:rsid w:val="69342E70"/>
    <w:rsid w:val="693463A0"/>
    <w:rsid w:val="693469B3"/>
    <w:rsid w:val="694302E0"/>
    <w:rsid w:val="69440D24"/>
    <w:rsid w:val="69491B7A"/>
    <w:rsid w:val="694F2F26"/>
    <w:rsid w:val="69505E96"/>
    <w:rsid w:val="695B1D95"/>
    <w:rsid w:val="695E25C7"/>
    <w:rsid w:val="695E7D96"/>
    <w:rsid w:val="69654099"/>
    <w:rsid w:val="69660A25"/>
    <w:rsid w:val="69670B4F"/>
    <w:rsid w:val="696B7961"/>
    <w:rsid w:val="696F2703"/>
    <w:rsid w:val="696F4496"/>
    <w:rsid w:val="696F6433"/>
    <w:rsid w:val="697532CD"/>
    <w:rsid w:val="697C61A5"/>
    <w:rsid w:val="697D278F"/>
    <w:rsid w:val="697E5441"/>
    <w:rsid w:val="69877D4B"/>
    <w:rsid w:val="698D7E01"/>
    <w:rsid w:val="698E780B"/>
    <w:rsid w:val="69906A7D"/>
    <w:rsid w:val="699178F0"/>
    <w:rsid w:val="69933CEE"/>
    <w:rsid w:val="69974EAB"/>
    <w:rsid w:val="699931B7"/>
    <w:rsid w:val="699A20BD"/>
    <w:rsid w:val="699B4796"/>
    <w:rsid w:val="699E49D2"/>
    <w:rsid w:val="69A001DC"/>
    <w:rsid w:val="69A01128"/>
    <w:rsid w:val="69A21782"/>
    <w:rsid w:val="69AA0C00"/>
    <w:rsid w:val="69AF3CAB"/>
    <w:rsid w:val="69B32D9D"/>
    <w:rsid w:val="69B46C59"/>
    <w:rsid w:val="69B61AD7"/>
    <w:rsid w:val="69BA1D0A"/>
    <w:rsid w:val="69BE49D5"/>
    <w:rsid w:val="69C039A9"/>
    <w:rsid w:val="69C93388"/>
    <w:rsid w:val="69CA2889"/>
    <w:rsid w:val="69D43E4F"/>
    <w:rsid w:val="69D46D70"/>
    <w:rsid w:val="69DB71ED"/>
    <w:rsid w:val="69E8651B"/>
    <w:rsid w:val="69F77586"/>
    <w:rsid w:val="69FA555E"/>
    <w:rsid w:val="69FA5DFB"/>
    <w:rsid w:val="69FC74AF"/>
    <w:rsid w:val="6A0049A7"/>
    <w:rsid w:val="6A022A3F"/>
    <w:rsid w:val="6A0350A7"/>
    <w:rsid w:val="6A087881"/>
    <w:rsid w:val="6A0969C9"/>
    <w:rsid w:val="6A0A4A73"/>
    <w:rsid w:val="6A0C361A"/>
    <w:rsid w:val="6A0F2304"/>
    <w:rsid w:val="6A117589"/>
    <w:rsid w:val="6A175749"/>
    <w:rsid w:val="6A1762AF"/>
    <w:rsid w:val="6A185C27"/>
    <w:rsid w:val="6A1E3CBC"/>
    <w:rsid w:val="6A1E4D15"/>
    <w:rsid w:val="6A227FF8"/>
    <w:rsid w:val="6A232FC1"/>
    <w:rsid w:val="6A244321"/>
    <w:rsid w:val="6A2E7262"/>
    <w:rsid w:val="6A3007D9"/>
    <w:rsid w:val="6A372C18"/>
    <w:rsid w:val="6A396744"/>
    <w:rsid w:val="6A444BA5"/>
    <w:rsid w:val="6A4660A6"/>
    <w:rsid w:val="6A4B6749"/>
    <w:rsid w:val="6A4E5DD7"/>
    <w:rsid w:val="6A4F6396"/>
    <w:rsid w:val="6A552E1A"/>
    <w:rsid w:val="6A5C068A"/>
    <w:rsid w:val="6A5C07D9"/>
    <w:rsid w:val="6A667180"/>
    <w:rsid w:val="6A6975F2"/>
    <w:rsid w:val="6A6A4508"/>
    <w:rsid w:val="6A6D4B8C"/>
    <w:rsid w:val="6A7728C7"/>
    <w:rsid w:val="6A7D37C4"/>
    <w:rsid w:val="6A96318B"/>
    <w:rsid w:val="6AA22992"/>
    <w:rsid w:val="6AA302AD"/>
    <w:rsid w:val="6AA5602A"/>
    <w:rsid w:val="6AAD2EDA"/>
    <w:rsid w:val="6AAD4C88"/>
    <w:rsid w:val="6AAD6CF7"/>
    <w:rsid w:val="6AB22ED5"/>
    <w:rsid w:val="6ABF440C"/>
    <w:rsid w:val="6AD466D4"/>
    <w:rsid w:val="6ADF0BB9"/>
    <w:rsid w:val="6AE327BE"/>
    <w:rsid w:val="6AE61F48"/>
    <w:rsid w:val="6AEA4F49"/>
    <w:rsid w:val="6AF33D05"/>
    <w:rsid w:val="6AFC1413"/>
    <w:rsid w:val="6AFC1D72"/>
    <w:rsid w:val="6B003954"/>
    <w:rsid w:val="6B026AE0"/>
    <w:rsid w:val="6B0A79CF"/>
    <w:rsid w:val="6B176644"/>
    <w:rsid w:val="6B1E5B86"/>
    <w:rsid w:val="6B2C4902"/>
    <w:rsid w:val="6B3171F0"/>
    <w:rsid w:val="6B352F77"/>
    <w:rsid w:val="6B376C47"/>
    <w:rsid w:val="6B3A4EDF"/>
    <w:rsid w:val="6B3F77CA"/>
    <w:rsid w:val="6B4237F4"/>
    <w:rsid w:val="6B4258F8"/>
    <w:rsid w:val="6B4603E4"/>
    <w:rsid w:val="6B4F629C"/>
    <w:rsid w:val="6B585890"/>
    <w:rsid w:val="6B5D3EAA"/>
    <w:rsid w:val="6B625A72"/>
    <w:rsid w:val="6B6555BF"/>
    <w:rsid w:val="6B6729D1"/>
    <w:rsid w:val="6B680BAF"/>
    <w:rsid w:val="6B683111"/>
    <w:rsid w:val="6B752F58"/>
    <w:rsid w:val="6B76026B"/>
    <w:rsid w:val="6B7610DD"/>
    <w:rsid w:val="6B7702B2"/>
    <w:rsid w:val="6B781A56"/>
    <w:rsid w:val="6B805671"/>
    <w:rsid w:val="6B8D1F61"/>
    <w:rsid w:val="6B925B5A"/>
    <w:rsid w:val="6B985284"/>
    <w:rsid w:val="6BA27153"/>
    <w:rsid w:val="6BA9411F"/>
    <w:rsid w:val="6BAA7419"/>
    <w:rsid w:val="6BAA78C0"/>
    <w:rsid w:val="6BBA2ACB"/>
    <w:rsid w:val="6BBE0901"/>
    <w:rsid w:val="6BBE5C3C"/>
    <w:rsid w:val="6BC95357"/>
    <w:rsid w:val="6BCA2D65"/>
    <w:rsid w:val="6BCF71ED"/>
    <w:rsid w:val="6BDE066A"/>
    <w:rsid w:val="6BE05AB1"/>
    <w:rsid w:val="6BE071BB"/>
    <w:rsid w:val="6BE96F00"/>
    <w:rsid w:val="6BEC0248"/>
    <w:rsid w:val="6BED218C"/>
    <w:rsid w:val="6BF16DF6"/>
    <w:rsid w:val="6BF25BBC"/>
    <w:rsid w:val="6BFB0392"/>
    <w:rsid w:val="6C016B9C"/>
    <w:rsid w:val="6C022EBF"/>
    <w:rsid w:val="6C057D38"/>
    <w:rsid w:val="6C0714A2"/>
    <w:rsid w:val="6C090F89"/>
    <w:rsid w:val="6C0D541A"/>
    <w:rsid w:val="6C126388"/>
    <w:rsid w:val="6C1820F2"/>
    <w:rsid w:val="6C1836EA"/>
    <w:rsid w:val="6C1C5178"/>
    <w:rsid w:val="6C235F6C"/>
    <w:rsid w:val="6C24295C"/>
    <w:rsid w:val="6C247A5F"/>
    <w:rsid w:val="6C280735"/>
    <w:rsid w:val="6C30253A"/>
    <w:rsid w:val="6C320150"/>
    <w:rsid w:val="6C377790"/>
    <w:rsid w:val="6C385454"/>
    <w:rsid w:val="6C3A2F46"/>
    <w:rsid w:val="6C3E2962"/>
    <w:rsid w:val="6C4018F6"/>
    <w:rsid w:val="6C4149CB"/>
    <w:rsid w:val="6C443420"/>
    <w:rsid w:val="6C481A88"/>
    <w:rsid w:val="6C486BB0"/>
    <w:rsid w:val="6C490612"/>
    <w:rsid w:val="6C5134E2"/>
    <w:rsid w:val="6C5162EE"/>
    <w:rsid w:val="6C5768C1"/>
    <w:rsid w:val="6C5826CC"/>
    <w:rsid w:val="6C584ABB"/>
    <w:rsid w:val="6C5A13E4"/>
    <w:rsid w:val="6C615DAD"/>
    <w:rsid w:val="6C623B22"/>
    <w:rsid w:val="6C6279BE"/>
    <w:rsid w:val="6C717F6A"/>
    <w:rsid w:val="6C7968E2"/>
    <w:rsid w:val="6C7A3290"/>
    <w:rsid w:val="6C7F158F"/>
    <w:rsid w:val="6C7F70EB"/>
    <w:rsid w:val="6C832099"/>
    <w:rsid w:val="6C8335B9"/>
    <w:rsid w:val="6C8F3B8A"/>
    <w:rsid w:val="6C913101"/>
    <w:rsid w:val="6C94486D"/>
    <w:rsid w:val="6C9A2D8C"/>
    <w:rsid w:val="6C9D3656"/>
    <w:rsid w:val="6C9F1DB4"/>
    <w:rsid w:val="6C9F4C0A"/>
    <w:rsid w:val="6CA2625A"/>
    <w:rsid w:val="6CA95520"/>
    <w:rsid w:val="6CB500C7"/>
    <w:rsid w:val="6CBA1ECB"/>
    <w:rsid w:val="6CBA7C63"/>
    <w:rsid w:val="6CBC3039"/>
    <w:rsid w:val="6CC553AE"/>
    <w:rsid w:val="6CCE504C"/>
    <w:rsid w:val="6CD237D5"/>
    <w:rsid w:val="6CE90B74"/>
    <w:rsid w:val="6CEB0015"/>
    <w:rsid w:val="6CEE3389"/>
    <w:rsid w:val="6CF52CDD"/>
    <w:rsid w:val="6CF93FE4"/>
    <w:rsid w:val="6CFB2D7C"/>
    <w:rsid w:val="6CFC21DE"/>
    <w:rsid w:val="6CFF422D"/>
    <w:rsid w:val="6D0051DC"/>
    <w:rsid w:val="6D0112BB"/>
    <w:rsid w:val="6D012996"/>
    <w:rsid w:val="6D017908"/>
    <w:rsid w:val="6D06706C"/>
    <w:rsid w:val="6D087EBD"/>
    <w:rsid w:val="6D0F4D11"/>
    <w:rsid w:val="6D10327E"/>
    <w:rsid w:val="6D150123"/>
    <w:rsid w:val="6D194C75"/>
    <w:rsid w:val="6D1E7BBD"/>
    <w:rsid w:val="6D21370B"/>
    <w:rsid w:val="6D264AB8"/>
    <w:rsid w:val="6D2D3BE4"/>
    <w:rsid w:val="6D2D3FBE"/>
    <w:rsid w:val="6D2F2077"/>
    <w:rsid w:val="6D3A18A5"/>
    <w:rsid w:val="6D3C0545"/>
    <w:rsid w:val="6D3C28CD"/>
    <w:rsid w:val="6D400655"/>
    <w:rsid w:val="6D432123"/>
    <w:rsid w:val="6D4455A4"/>
    <w:rsid w:val="6D455196"/>
    <w:rsid w:val="6D50417D"/>
    <w:rsid w:val="6D526C09"/>
    <w:rsid w:val="6D54588F"/>
    <w:rsid w:val="6D5502EE"/>
    <w:rsid w:val="6D5804C8"/>
    <w:rsid w:val="6D5C0575"/>
    <w:rsid w:val="6D5E5E42"/>
    <w:rsid w:val="6D660588"/>
    <w:rsid w:val="6D6C7A54"/>
    <w:rsid w:val="6D6E6457"/>
    <w:rsid w:val="6D777127"/>
    <w:rsid w:val="6D7E5C34"/>
    <w:rsid w:val="6D8163AD"/>
    <w:rsid w:val="6D833B40"/>
    <w:rsid w:val="6D856D8C"/>
    <w:rsid w:val="6D897815"/>
    <w:rsid w:val="6D997745"/>
    <w:rsid w:val="6D9A2D91"/>
    <w:rsid w:val="6D9B22DC"/>
    <w:rsid w:val="6DA2484C"/>
    <w:rsid w:val="6DA90B26"/>
    <w:rsid w:val="6DAB4998"/>
    <w:rsid w:val="6DB34927"/>
    <w:rsid w:val="6DB5494C"/>
    <w:rsid w:val="6DB82591"/>
    <w:rsid w:val="6DBB39C3"/>
    <w:rsid w:val="6DC71FA0"/>
    <w:rsid w:val="6DCC410C"/>
    <w:rsid w:val="6DD933C4"/>
    <w:rsid w:val="6DD93FE6"/>
    <w:rsid w:val="6DD977DE"/>
    <w:rsid w:val="6DDF6560"/>
    <w:rsid w:val="6DE131AA"/>
    <w:rsid w:val="6DE33D57"/>
    <w:rsid w:val="6DE84069"/>
    <w:rsid w:val="6DE9284E"/>
    <w:rsid w:val="6DF54A2F"/>
    <w:rsid w:val="6DF63BF8"/>
    <w:rsid w:val="6DFE5004"/>
    <w:rsid w:val="6E070F0B"/>
    <w:rsid w:val="6E073006"/>
    <w:rsid w:val="6E0E64B2"/>
    <w:rsid w:val="6E112C1F"/>
    <w:rsid w:val="6E153270"/>
    <w:rsid w:val="6E195AA7"/>
    <w:rsid w:val="6E2569FD"/>
    <w:rsid w:val="6E273EB7"/>
    <w:rsid w:val="6E2D5945"/>
    <w:rsid w:val="6E2E0F09"/>
    <w:rsid w:val="6E3367E9"/>
    <w:rsid w:val="6E395D06"/>
    <w:rsid w:val="6E3E3E8B"/>
    <w:rsid w:val="6E4027F2"/>
    <w:rsid w:val="6E4C709A"/>
    <w:rsid w:val="6E500713"/>
    <w:rsid w:val="6E61490D"/>
    <w:rsid w:val="6E626353"/>
    <w:rsid w:val="6E646EA8"/>
    <w:rsid w:val="6E663D10"/>
    <w:rsid w:val="6E7219A7"/>
    <w:rsid w:val="6E75129D"/>
    <w:rsid w:val="6E75277D"/>
    <w:rsid w:val="6E7A4D3E"/>
    <w:rsid w:val="6E815DF2"/>
    <w:rsid w:val="6E85071D"/>
    <w:rsid w:val="6E853E3B"/>
    <w:rsid w:val="6E91290E"/>
    <w:rsid w:val="6E9543B1"/>
    <w:rsid w:val="6E9F62A0"/>
    <w:rsid w:val="6EA840E4"/>
    <w:rsid w:val="6EAF29C0"/>
    <w:rsid w:val="6EB04D47"/>
    <w:rsid w:val="6EB07848"/>
    <w:rsid w:val="6EB14D27"/>
    <w:rsid w:val="6EB435E9"/>
    <w:rsid w:val="6EB91288"/>
    <w:rsid w:val="6EBB32FD"/>
    <w:rsid w:val="6EC77CC3"/>
    <w:rsid w:val="6EC879F2"/>
    <w:rsid w:val="6ECD3B4B"/>
    <w:rsid w:val="6EDB4F20"/>
    <w:rsid w:val="6EDB6B55"/>
    <w:rsid w:val="6EDE413B"/>
    <w:rsid w:val="6EE14B03"/>
    <w:rsid w:val="6EEA2498"/>
    <w:rsid w:val="6EF57F6C"/>
    <w:rsid w:val="6EF60CC1"/>
    <w:rsid w:val="6EF822A2"/>
    <w:rsid w:val="6EFB2142"/>
    <w:rsid w:val="6F013D03"/>
    <w:rsid w:val="6F04589F"/>
    <w:rsid w:val="6F065AB6"/>
    <w:rsid w:val="6F072E86"/>
    <w:rsid w:val="6F073CD2"/>
    <w:rsid w:val="6F101FAC"/>
    <w:rsid w:val="6F11497D"/>
    <w:rsid w:val="6F12180E"/>
    <w:rsid w:val="6F165255"/>
    <w:rsid w:val="6F173E99"/>
    <w:rsid w:val="6F1E6F24"/>
    <w:rsid w:val="6F235BCB"/>
    <w:rsid w:val="6F2D7B1A"/>
    <w:rsid w:val="6F323A18"/>
    <w:rsid w:val="6F341A7D"/>
    <w:rsid w:val="6F343BCA"/>
    <w:rsid w:val="6F377D3F"/>
    <w:rsid w:val="6F3D4CFE"/>
    <w:rsid w:val="6F430D91"/>
    <w:rsid w:val="6F524FA9"/>
    <w:rsid w:val="6F5A2ED1"/>
    <w:rsid w:val="6F655ABB"/>
    <w:rsid w:val="6F6B3154"/>
    <w:rsid w:val="6F711D5C"/>
    <w:rsid w:val="6F723E11"/>
    <w:rsid w:val="6F7456A9"/>
    <w:rsid w:val="6F7B498E"/>
    <w:rsid w:val="6F7C2E7B"/>
    <w:rsid w:val="6F8165ED"/>
    <w:rsid w:val="6F8308A1"/>
    <w:rsid w:val="6F852BCB"/>
    <w:rsid w:val="6FB11BFF"/>
    <w:rsid w:val="6FB804F5"/>
    <w:rsid w:val="6FBE7937"/>
    <w:rsid w:val="6FBF379E"/>
    <w:rsid w:val="6FBF69AF"/>
    <w:rsid w:val="6FC35E2E"/>
    <w:rsid w:val="6FC472AA"/>
    <w:rsid w:val="6FC81B9C"/>
    <w:rsid w:val="6FCA664A"/>
    <w:rsid w:val="6FCC1FFC"/>
    <w:rsid w:val="6FCD4225"/>
    <w:rsid w:val="6FD80C48"/>
    <w:rsid w:val="6FDB4045"/>
    <w:rsid w:val="6FE53CAE"/>
    <w:rsid w:val="6FE7275B"/>
    <w:rsid w:val="6FE8525C"/>
    <w:rsid w:val="6FE9312B"/>
    <w:rsid w:val="6FEE5467"/>
    <w:rsid w:val="6FF10F37"/>
    <w:rsid w:val="6FF56C1B"/>
    <w:rsid w:val="6FFD6F48"/>
    <w:rsid w:val="6FFE5DEC"/>
    <w:rsid w:val="6FFF17F2"/>
    <w:rsid w:val="700C0E5E"/>
    <w:rsid w:val="700C3D9D"/>
    <w:rsid w:val="700E4880"/>
    <w:rsid w:val="701F1062"/>
    <w:rsid w:val="702607A1"/>
    <w:rsid w:val="702E26CE"/>
    <w:rsid w:val="702E46B6"/>
    <w:rsid w:val="70332504"/>
    <w:rsid w:val="70382C16"/>
    <w:rsid w:val="703853CE"/>
    <w:rsid w:val="70424E74"/>
    <w:rsid w:val="704D2972"/>
    <w:rsid w:val="704D6AC4"/>
    <w:rsid w:val="70523A78"/>
    <w:rsid w:val="70536B18"/>
    <w:rsid w:val="70551221"/>
    <w:rsid w:val="7059133D"/>
    <w:rsid w:val="70597474"/>
    <w:rsid w:val="705A5647"/>
    <w:rsid w:val="705E3D0A"/>
    <w:rsid w:val="70663378"/>
    <w:rsid w:val="70680D18"/>
    <w:rsid w:val="70713417"/>
    <w:rsid w:val="70766D12"/>
    <w:rsid w:val="7078355D"/>
    <w:rsid w:val="708304F6"/>
    <w:rsid w:val="70841EE5"/>
    <w:rsid w:val="7087182A"/>
    <w:rsid w:val="70942974"/>
    <w:rsid w:val="70991F30"/>
    <w:rsid w:val="709D59C2"/>
    <w:rsid w:val="70A05A68"/>
    <w:rsid w:val="70A35921"/>
    <w:rsid w:val="70AD35F7"/>
    <w:rsid w:val="70B66A31"/>
    <w:rsid w:val="70BB05FF"/>
    <w:rsid w:val="70BC5DFE"/>
    <w:rsid w:val="70BC6081"/>
    <w:rsid w:val="70BD0915"/>
    <w:rsid w:val="70C06E76"/>
    <w:rsid w:val="70C324C7"/>
    <w:rsid w:val="70C4475A"/>
    <w:rsid w:val="70C52DE3"/>
    <w:rsid w:val="70C6104F"/>
    <w:rsid w:val="70CB0EC4"/>
    <w:rsid w:val="70DD6E95"/>
    <w:rsid w:val="70DE5550"/>
    <w:rsid w:val="70DF691A"/>
    <w:rsid w:val="70E06177"/>
    <w:rsid w:val="70E54FD9"/>
    <w:rsid w:val="70F112FE"/>
    <w:rsid w:val="70F3716D"/>
    <w:rsid w:val="70F80464"/>
    <w:rsid w:val="70F911C8"/>
    <w:rsid w:val="70F949EE"/>
    <w:rsid w:val="70FC54AB"/>
    <w:rsid w:val="71062166"/>
    <w:rsid w:val="710A5226"/>
    <w:rsid w:val="710A5368"/>
    <w:rsid w:val="7114250E"/>
    <w:rsid w:val="711672E5"/>
    <w:rsid w:val="711A67C4"/>
    <w:rsid w:val="71213827"/>
    <w:rsid w:val="712213CB"/>
    <w:rsid w:val="7123316B"/>
    <w:rsid w:val="7124408D"/>
    <w:rsid w:val="71276C62"/>
    <w:rsid w:val="71371E89"/>
    <w:rsid w:val="713A7EA0"/>
    <w:rsid w:val="714207CD"/>
    <w:rsid w:val="714361E6"/>
    <w:rsid w:val="71451C4B"/>
    <w:rsid w:val="71454254"/>
    <w:rsid w:val="714D0019"/>
    <w:rsid w:val="71503D00"/>
    <w:rsid w:val="71516F8D"/>
    <w:rsid w:val="71544B13"/>
    <w:rsid w:val="715662D5"/>
    <w:rsid w:val="715F5BC2"/>
    <w:rsid w:val="716532E7"/>
    <w:rsid w:val="71655B86"/>
    <w:rsid w:val="71661E7D"/>
    <w:rsid w:val="7167181A"/>
    <w:rsid w:val="71673BFE"/>
    <w:rsid w:val="71694C04"/>
    <w:rsid w:val="716C42F7"/>
    <w:rsid w:val="71703FD3"/>
    <w:rsid w:val="717479A1"/>
    <w:rsid w:val="71797E6C"/>
    <w:rsid w:val="717A74EB"/>
    <w:rsid w:val="71863E83"/>
    <w:rsid w:val="718A60A4"/>
    <w:rsid w:val="718A79D3"/>
    <w:rsid w:val="718D0958"/>
    <w:rsid w:val="7190720E"/>
    <w:rsid w:val="71960058"/>
    <w:rsid w:val="71991B31"/>
    <w:rsid w:val="719B3311"/>
    <w:rsid w:val="71A153FC"/>
    <w:rsid w:val="71A212BE"/>
    <w:rsid w:val="71A32AFB"/>
    <w:rsid w:val="71A43E00"/>
    <w:rsid w:val="71A82298"/>
    <w:rsid w:val="71A858A2"/>
    <w:rsid w:val="71A903DD"/>
    <w:rsid w:val="71AB10F3"/>
    <w:rsid w:val="71AB2E9A"/>
    <w:rsid w:val="71AC054C"/>
    <w:rsid w:val="71AC5E55"/>
    <w:rsid w:val="71C169A2"/>
    <w:rsid w:val="71C24B88"/>
    <w:rsid w:val="71C72AD3"/>
    <w:rsid w:val="71CF4D72"/>
    <w:rsid w:val="71D32CC5"/>
    <w:rsid w:val="71D43116"/>
    <w:rsid w:val="71D90A58"/>
    <w:rsid w:val="71DA48A7"/>
    <w:rsid w:val="71DD570E"/>
    <w:rsid w:val="71DE6FF6"/>
    <w:rsid w:val="71DF3A48"/>
    <w:rsid w:val="71E02960"/>
    <w:rsid w:val="71E05992"/>
    <w:rsid w:val="71E1764E"/>
    <w:rsid w:val="71E313D5"/>
    <w:rsid w:val="71E34EC3"/>
    <w:rsid w:val="71E86309"/>
    <w:rsid w:val="71F02BFB"/>
    <w:rsid w:val="71F246EE"/>
    <w:rsid w:val="71F410D8"/>
    <w:rsid w:val="71F65550"/>
    <w:rsid w:val="71F94C57"/>
    <w:rsid w:val="71FB3005"/>
    <w:rsid w:val="71FC2DC3"/>
    <w:rsid w:val="71FD4747"/>
    <w:rsid w:val="72001131"/>
    <w:rsid w:val="72077373"/>
    <w:rsid w:val="721177C6"/>
    <w:rsid w:val="72152409"/>
    <w:rsid w:val="721624B6"/>
    <w:rsid w:val="721923AF"/>
    <w:rsid w:val="72226FEB"/>
    <w:rsid w:val="72227300"/>
    <w:rsid w:val="7228519C"/>
    <w:rsid w:val="722A4E08"/>
    <w:rsid w:val="722E57C2"/>
    <w:rsid w:val="72361EEC"/>
    <w:rsid w:val="723D2E26"/>
    <w:rsid w:val="72436031"/>
    <w:rsid w:val="7248490E"/>
    <w:rsid w:val="724B4181"/>
    <w:rsid w:val="7252544D"/>
    <w:rsid w:val="725A24C1"/>
    <w:rsid w:val="725A4828"/>
    <w:rsid w:val="725D1FE0"/>
    <w:rsid w:val="72601FB5"/>
    <w:rsid w:val="72627747"/>
    <w:rsid w:val="72693345"/>
    <w:rsid w:val="726E6C9B"/>
    <w:rsid w:val="72700104"/>
    <w:rsid w:val="72721ECF"/>
    <w:rsid w:val="72737951"/>
    <w:rsid w:val="72752625"/>
    <w:rsid w:val="72761216"/>
    <w:rsid w:val="727662A7"/>
    <w:rsid w:val="727D1AC5"/>
    <w:rsid w:val="728317C1"/>
    <w:rsid w:val="728515F1"/>
    <w:rsid w:val="72856AFA"/>
    <w:rsid w:val="728E48B3"/>
    <w:rsid w:val="72973DB7"/>
    <w:rsid w:val="72A66F00"/>
    <w:rsid w:val="72AE7022"/>
    <w:rsid w:val="72B706A0"/>
    <w:rsid w:val="72C06853"/>
    <w:rsid w:val="72C76B03"/>
    <w:rsid w:val="72C8423C"/>
    <w:rsid w:val="72CB5E64"/>
    <w:rsid w:val="72D0179B"/>
    <w:rsid w:val="72D104DE"/>
    <w:rsid w:val="72D65495"/>
    <w:rsid w:val="72D942BB"/>
    <w:rsid w:val="72E057DA"/>
    <w:rsid w:val="72E36F74"/>
    <w:rsid w:val="72E44B9C"/>
    <w:rsid w:val="72EC5243"/>
    <w:rsid w:val="72EC74E3"/>
    <w:rsid w:val="72ED1418"/>
    <w:rsid w:val="72F4412D"/>
    <w:rsid w:val="72F559FA"/>
    <w:rsid w:val="73080C79"/>
    <w:rsid w:val="7309391D"/>
    <w:rsid w:val="730E78B6"/>
    <w:rsid w:val="73151323"/>
    <w:rsid w:val="73153619"/>
    <w:rsid w:val="73160E89"/>
    <w:rsid w:val="7318472A"/>
    <w:rsid w:val="731D1B60"/>
    <w:rsid w:val="73282BA9"/>
    <w:rsid w:val="732A23A8"/>
    <w:rsid w:val="732F0AF3"/>
    <w:rsid w:val="73384217"/>
    <w:rsid w:val="734112A3"/>
    <w:rsid w:val="734D3F9B"/>
    <w:rsid w:val="735616CE"/>
    <w:rsid w:val="736176A2"/>
    <w:rsid w:val="736268B0"/>
    <w:rsid w:val="7366376A"/>
    <w:rsid w:val="73671E7A"/>
    <w:rsid w:val="7369190E"/>
    <w:rsid w:val="736E3A5B"/>
    <w:rsid w:val="73700F48"/>
    <w:rsid w:val="73720E5C"/>
    <w:rsid w:val="73791F82"/>
    <w:rsid w:val="737A1BA6"/>
    <w:rsid w:val="737C169B"/>
    <w:rsid w:val="737E40CD"/>
    <w:rsid w:val="73831A2A"/>
    <w:rsid w:val="738B0D99"/>
    <w:rsid w:val="739666B2"/>
    <w:rsid w:val="739D3907"/>
    <w:rsid w:val="73A500F9"/>
    <w:rsid w:val="73AB3D2F"/>
    <w:rsid w:val="73AC6754"/>
    <w:rsid w:val="73AF1D7A"/>
    <w:rsid w:val="73B86CB3"/>
    <w:rsid w:val="73C727AB"/>
    <w:rsid w:val="73C73ACC"/>
    <w:rsid w:val="73CC5164"/>
    <w:rsid w:val="73CD7718"/>
    <w:rsid w:val="73D25E35"/>
    <w:rsid w:val="73D810D6"/>
    <w:rsid w:val="73D8631E"/>
    <w:rsid w:val="73DA12B3"/>
    <w:rsid w:val="73DB57DD"/>
    <w:rsid w:val="73DC3D7C"/>
    <w:rsid w:val="73DF123C"/>
    <w:rsid w:val="73E60588"/>
    <w:rsid w:val="73E839E9"/>
    <w:rsid w:val="73E94EE9"/>
    <w:rsid w:val="73EB385C"/>
    <w:rsid w:val="73EB5284"/>
    <w:rsid w:val="73EC4A73"/>
    <w:rsid w:val="73EE05E9"/>
    <w:rsid w:val="73EE1F2C"/>
    <w:rsid w:val="73EF5F44"/>
    <w:rsid w:val="73F73A8D"/>
    <w:rsid w:val="740974AF"/>
    <w:rsid w:val="740A2F05"/>
    <w:rsid w:val="740C377C"/>
    <w:rsid w:val="74100182"/>
    <w:rsid w:val="74157952"/>
    <w:rsid w:val="74173D01"/>
    <w:rsid w:val="741C294F"/>
    <w:rsid w:val="741C615C"/>
    <w:rsid w:val="741E6A4D"/>
    <w:rsid w:val="7420714A"/>
    <w:rsid w:val="74236DBE"/>
    <w:rsid w:val="742A7349"/>
    <w:rsid w:val="742A7ABE"/>
    <w:rsid w:val="743069AD"/>
    <w:rsid w:val="74383DB9"/>
    <w:rsid w:val="744006C7"/>
    <w:rsid w:val="745057BD"/>
    <w:rsid w:val="74561EEC"/>
    <w:rsid w:val="7458487F"/>
    <w:rsid w:val="74592295"/>
    <w:rsid w:val="745B5195"/>
    <w:rsid w:val="746318AB"/>
    <w:rsid w:val="7468334B"/>
    <w:rsid w:val="74690E25"/>
    <w:rsid w:val="746A5E1B"/>
    <w:rsid w:val="746F1D3D"/>
    <w:rsid w:val="74714FE1"/>
    <w:rsid w:val="74722EC8"/>
    <w:rsid w:val="748A603A"/>
    <w:rsid w:val="748D1825"/>
    <w:rsid w:val="749069FE"/>
    <w:rsid w:val="74912248"/>
    <w:rsid w:val="74981D91"/>
    <w:rsid w:val="74982505"/>
    <w:rsid w:val="749C7662"/>
    <w:rsid w:val="74A4534E"/>
    <w:rsid w:val="74AA2DB8"/>
    <w:rsid w:val="74AC27F4"/>
    <w:rsid w:val="74AE611B"/>
    <w:rsid w:val="74B335B4"/>
    <w:rsid w:val="74B51F6E"/>
    <w:rsid w:val="74B64688"/>
    <w:rsid w:val="74B851A0"/>
    <w:rsid w:val="74B9369F"/>
    <w:rsid w:val="74BA08EB"/>
    <w:rsid w:val="74BB0294"/>
    <w:rsid w:val="74BB3232"/>
    <w:rsid w:val="74C3010B"/>
    <w:rsid w:val="74C9037A"/>
    <w:rsid w:val="74CC0C25"/>
    <w:rsid w:val="74CD703B"/>
    <w:rsid w:val="74D73263"/>
    <w:rsid w:val="74E10D9C"/>
    <w:rsid w:val="74E13DD0"/>
    <w:rsid w:val="74E15E0E"/>
    <w:rsid w:val="74EF2D86"/>
    <w:rsid w:val="74F86D72"/>
    <w:rsid w:val="74F87428"/>
    <w:rsid w:val="750A3F28"/>
    <w:rsid w:val="750B1B93"/>
    <w:rsid w:val="75174BF9"/>
    <w:rsid w:val="75177B50"/>
    <w:rsid w:val="7518177D"/>
    <w:rsid w:val="751A73BE"/>
    <w:rsid w:val="751B49E2"/>
    <w:rsid w:val="751C1388"/>
    <w:rsid w:val="75297355"/>
    <w:rsid w:val="75346555"/>
    <w:rsid w:val="75371D1E"/>
    <w:rsid w:val="75374ABA"/>
    <w:rsid w:val="753B4D6E"/>
    <w:rsid w:val="753D7244"/>
    <w:rsid w:val="753E2609"/>
    <w:rsid w:val="753F6480"/>
    <w:rsid w:val="754233B3"/>
    <w:rsid w:val="754C3D93"/>
    <w:rsid w:val="75535A7C"/>
    <w:rsid w:val="755A1700"/>
    <w:rsid w:val="755B0AFF"/>
    <w:rsid w:val="756439B1"/>
    <w:rsid w:val="75695C4F"/>
    <w:rsid w:val="756A3232"/>
    <w:rsid w:val="75713C8B"/>
    <w:rsid w:val="75790991"/>
    <w:rsid w:val="757D6D17"/>
    <w:rsid w:val="757F4F56"/>
    <w:rsid w:val="758560E3"/>
    <w:rsid w:val="75861340"/>
    <w:rsid w:val="75861974"/>
    <w:rsid w:val="75885109"/>
    <w:rsid w:val="758A2545"/>
    <w:rsid w:val="758E3928"/>
    <w:rsid w:val="759417EE"/>
    <w:rsid w:val="759F5CA0"/>
    <w:rsid w:val="75A3453B"/>
    <w:rsid w:val="75A8318F"/>
    <w:rsid w:val="75A93E56"/>
    <w:rsid w:val="75B210EC"/>
    <w:rsid w:val="75B90ABC"/>
    <w:rsid w:val="75BC281C"/>
    <w:rsid w:val="75BC496D"/>
    <w:rsid w:val="75BD205E"/>
    <w:rsid w:val="75C6232E"/>
    <w:rsid w:val="75C8703D"/>
    <w:rsid w:val="75CB342F"/>
    <w:rsid w:val="75CD6811"/>
    <w:rsid w:val="75CE5CB1"/>
    <w:rsid w:val="75D853A3"/>
    <w:rsid w:val="75DA62A6"/>
    <w:rsid w:val="75DD3B92"/>
    <w:rsid w:val="75DF729A"/>
    <w:rsid w:val="75E33DF5"/>
    <w:rsid w:val="75ED2186"/>
    <w:rsid w:val="75EE7C07"/>
    <w:rsid w:val="75F1324B"/>
    <w:rsid w:val="75F30748"/>
    <w:rsid w:val="75F75DC3"/>
    <w:rsid w:val="75FA3F12"/>
    <w:rsid w:val="75FC5199"/>
    <w:rsid w:val="75FF7605"/>
    <w:rsid w:val="76041E8F"/>
    <w:rsid w:val="760C099E"/>
    <w:rsid w:val="761001E3"/>
    <w:rsid w:val="76117CD5"/>
    <w:rsid w:val="761338F0"/>
    <w:rsid w:val="7621477C"/>
    <w:rsid w:val="762234A9"/>
    <w:rsid w:val="762471F0"/>
    <w:rsid w:val="762D189B"/>
    <w:rsid w:val="763409CB"/>
    <w:rsid w:val="76342701"/>
    <w:rsid w:val="763E7653"/>
    <w:rsid w:val="76411C10"/>
    <w:rsid w:val="76420BD9"/>
    <w:rsid w:val="76452E1C"/>
    <w:rsid w:val="764E49ED"/>
    <w:rsid w:val="76527F3B"/>
    <w:rsid w:val="76546865"/>
    <w:rsid w:val="7655258A"/>
    <w:rsid w:val="76587502"/>
    <w:rsid w:val="76593F16"/>
    <w:rsid w:val="76595CC4"/>
    <w:rsid w:val="76645D9C"/>
    <w:rsid w:val="76707EE4"/>
    <w:rsid w:val="7671109C"/>
    <w:rsid w:val="76714625"/>
    <w:rsid w:val="767D3654"/>
    <w:rsid w:val="76814394"/>
    <w:rsid w:val="768514D6"/>
    <w:rsid w:val="76890158"/>
    <w:rsid w:val="768E2102"/>
    <w:rsid w:val="768E3EC2"/>
    <w:rsid w:val="769C2005"/>
    <w:rsid w:val="769F2524"/>
    <w:rsid w:val="76AA2A50"/>
    <w:rsid w:val="76AB383E"/>
    <w:rsid w:val="76AE6F75"/>
    <w:rsid w:val="76C12A5C"/>
    <w:rsid w:val="76CB3065"/>
    <w:rsid w:val="76CF057A"/>
    <w:rsid w:val="76D833BE"/>
    <w:rsid w:val="76D83408"/>
    <w:rsid w:val="76DF4438"/>
    <w:rsid w:val="76E16517"/>
    <w:rsid w:val="76E415DB"/>
    <w:rsid w:val="76E93C6A"/>
    <w:rsid w:val="76F70121"/>
    <w:rsid w:val="76FA4825"/>
    <w:rsid w:val="76FF3FEA"/>
    <w:rsid w:val="77010148"/>
    <w:rsid w:val="770103B4"/>
    <w:rsid w:val="77027F69"/>
    <w:rsid w:val="77053888"/>
    <w:rsid w:val="77062C46"/>
    <w:rsid w:val="77084AD0"/>
    <w:rsid w:val="770A6C24"/>
    <w:rsid w:val="770A7432"/>
    <w:rsid w:val="770B4B5C"/>
    <w:rsid w:val="770E0C35"/>
    <w:rsid w:val="771B0161"/>
    <w:rsid w:val="771B5782"/>
    <w:rsid w:val="771E3D74"/>
    <w:rsid w:val="77265814"/>
    <w:rsid w:val="772E5AE1"/>
    <w:rsid w:val="773015B0"/>
    <w:rsid w:val="77306F03"/>
    <w:rsid w:val="7739381D"/>
    <w:rsid w:val="773F3532"/>
    <w:rsid w:val="77436A33"/>
    <w:rsid w:val="77437857"/>
    <w:rsid w:val="774B4DEC"/>
    <w:rsid w:val="774B4EF3"/>
    <w:rsid w:val="774D1139"/>
    <w:rsid w:val="775068B5"/>
    <w:rsid w:val="77543EE2"/>
    <w:rsid w:val="7754589F"/>
    <w:rsid w:val="77546FE1"/>
    <w:rsid w:val="775A5516"/>
    <w:rsid w:val="775A6197"/>
    <w:rsid w:val="775B5427"/>
    <w:rsid w:val="775E5C7C"/>
    <w:rsid w:val="77622DBC"/>
    <w:rsid w:val="776716D0"/>
    <w:rsid w:val="77680BF5"/>
    <w:rsid w:val="776D3DD3"/>
    <w:rsid w:val="7773258A"/>
    <w:rsid w:val="7782490E"/>
    <w:rsid w:val="7784581A"/>
    <w:rsid w:val="778E4093"/>
    <w:rsid w:val="778F6739"/>
    <w:rsid w:val="77992C81"/>
    <w:rsid w:val="779D1D97"/>
    <w:rsid w:val="779F5B67"/>
    <w:rsid w:val="77A8625B"/>
    <w:rsid w:val="77B04BF9"/>
    <w:rsid w:val="77B10D18"/>
    <w:rsid w:val="77B27DD5"/>
    <w:rsid w:val="77BC7D69"/>
    <w:rsid w:val="77BF1EF6"/>
    <w:rsid w:val="77C000E5"/>
    <w:rsid w:val="77C053A9"/>
    <w:rsid w:val="77C05904"/>
    <w:rsid w:val="77CC10D2"/>
    <w:rsid w:val="77CC1D2A"/>
    <w:rsid w:val="77DD2CB6"/>
    <w:rsid w:val="77DE18A4"/>
    <w:rsid w:val="77DF5006"/>
    <w:rsid w:val="77E35379"/>
    <w:rsid w:val="77F0668A"/>
    <w:rsid w:val="77F14A32"/>
    <w:rsid w:val="77F16B42"/>
    <w:rsid w:val="77F56071"/>
    <w:rsid w:val="77F85E4C"/>
    <w:rsid w:val="77F974B7"/>
    <w:rsid w:val="77FC0CD8"/>
    <w:rsid w:val="77FC4A7A"/>
    <w:rsid w:val="78005D99"/>
    <w:rsid w:val="780D6D66"/>
    <w:rsid w:val="780D7158"/>
    <w:rsid w:val="78173B35"/>
    <w:rsid w:val="7817774F"/>
    <w:rsid w:val="781B7107"/>
    <w:rsid w:val="781D069B"/>
    <w:rsid w:val="781E371F"/>
    <w:rsid w:val="781F2B21"/>
    <w:rsid w:val="782C6EC1"/>
    <w:rsid w:val="78302419"/>
    <w:rsid w:val="78364DE8"/>
    <w:rsid w:val="783B0EB5"/>
    <w:rsid w:val="78485FF0"/>
    <w:rsid w:val="7849673A"/>
    <w:rsid w:val="784B2397"/>
    <w:rsid w:val="78521E7E"/>
    <w:rsid w:val="78544AA5"/>
    <w:rsid w:val="78572EF8"/>
    <w:rsid w:val="785D0CEA"/>
    <w:rsid w:val="785F1F8A"/>
    <w:rsid w:val="786807A0"/>
    <w:rsid w:val="787A141E"/>
    <w:rsid w:val="787A61CB"/>
    <w:rsid w:val="787C0681"/>
    <w:rsid w:val="787C48B5"/>
    <w:rsid w:val="787E4EF0"/>
    <w:rsid w:val="78832530"/>
    <w:rsid w:val="788602E4"/>
    <w:rsid w:val="788C530B"/>
    <w:rsid w:val="78953DC8"/>
    <w:rsid w:val="789570AA"/>
    <w:rsid w:val="789A249A"/>
    <w:rsid w:val="78A052CC"/>
    <w:rsid w:val="78A27DF6"/>
    <w:rsid w:val="78A57A63"/>
    <w:rsid w:val="78A7516C"/>
    <w:rsid w:val="78AC52D6"/>
    <w:rsid w:val="78AF42C1"/>
    <w:rsid w:val="78B117AD"/>
    <w:rsid w:val="78B1212A"/>
    <w:rsid w:val="78B4140E"/>
    <w:rsid w:val="78B46F7B"/>
    <w:rsid w:val="78B8223A"/>
    <w:rsid w:val="78BA2A1E"/>
    <w:rsid w:val="78BC612B"/>
    <w:rsid w:val="78BD774F"/>
    <w:rsid w:val="78BD7E9A"/>
    <w:rsid w:val="78C03AB5"/>
    <w:rsid w:val="78C209AA"/>
    <w:rsid w:val="78C22CC7"/>
    <w:rsid w:val="78C95383"/>
    <w:rsid w:val="78CC2A74"/>
    <w:rsid w:val="78CE6B30"/>
    <w:rsid w:val="78D26EE6"/>
    <w:rsid w:val="78D26F33"/>
    <w:rsid w:val="78D27327"/>
    <w:rsid w:val="78E5430D"/>
    <w:rsid w:val="78E801C0"/>
    <w:rsid w:val="78EB3964"/>
    <w:rsid w:val="78EF1BD4"/>
    <w:rsid w:val="78EF5BF1"/>
    <w:rsid w:val="78F4004F"/>
    <w:rsid w:val="78F43388"/>
    <w:rsid w:val="78F46178"/>
    <w:rsid w:val="78F907EB"/>
    <w:rsid w:val="78F9378E"/>
    <w:rsid w:val="78FC08C6"/>
    <w:rsid w:val="79004E05"/>
    <w:rsid w:val="790230DB"/>
    <w:rsid w:val="79025A85"/>
    <w:rsid w:val="79044D98"/>
    <w:rsid w:val="790470F8"/>
    <w:rsid w:val="79052F32"/>
    <w:rsid w:val="79075A0D"/>
    <w:rsid w:val="790B733F"/>
    <w:rsid w:val="79132AA2"/>
    <w:rsid w:val="79162C7D"/>
    <w:rsid w:val="791D72AC"/>
    <w:rsid w:val="791E59E5"/>
    <w:rsid w:val="791F31F5"/>
    <w:rsid w:val="792425B9"/>
    <w:rsid w:val="79251380"/>
    <w:rsid w:val="79295ECA"/>
    <w:rsid w:val="792A0482"/>
    <w:rsid w:val="792B48CA"/>
    <w:rsid w:val="792C01D9"/>
    <w:rsid w:val="7949100B"/>
    <w:rsid w:val="794F1B0B"/>
    <w:rsid w:val="79542032"/>
    <w:rsid w:val="79576F5C"/>
    <w:rsid w:val="795866D6"/>
    <w:rsid w:val="795C442C"/>
    <w:rsid w:val="796450AB"/>
    <w:rsid w:val="796B1EFD"/>
    <w:rsid w:val="796B28ED"/>
    <w:rsid w:val="796C21B2"/>
    <w:rsid w:val="796E0D8F"/>
    <w:rsid w:val="796F2AEC"/>
    <w:rsid w:val="79757554"/>
    <w:rsid w:val="79785045"/>
    <w:rsid w:val="797A042B"/>
    <w:rsid w:val="798A0C7E"/>
    <w:rsid w:val="798C23E6"/>
    <w:rsid w:val="798C25AC"/>
    <w:rsid w:val="79927DC6"/>
    <w:rsid w:val="79976A67"/>
    <w:rsid w:val="799F66F6"/>
    <w:rsid w:val="79A05F27"/>
    <w:rsid w:val="79A4194C"/>
    <w:rsid w:val="79A85041"/>
    <w:rsid w:val="79B05383"/>
    <w:rsid w:val="79B656E8"/>
    <w:rsid w:val="79C26684"/>
    <w:rsid w:val="79CD2DAE"/>
    <w:rsid w:val="79D03D7E"/>
    <w:rsid w:val="79D54ABD"/>
    <w:rsid w:val="79D551E7"/>
    <w:rsid w:val="79D81BCF"/>
    <w:rsid w:val="79DB06F4"/>
    <w:rsid w:val="79DE0443"/>
    <w:rsid w:val="79E07DD5"/>
    <w:rsid w:val="79E350B8"/>
    <w:rsid w:val="79EC1EC2"/>
    <w:rsid w:val="79F226B7"/>
    <w:rsid w:val="79F24BFA"/>
    <w:rsid w:val="7A006396"/>
    <w:rsid w:val="7A033AA4"/>
    <w:rsid w:val="7A046A77"/>
    <w:rsid w:val="7A0F3A82"/>
    <w:rsid w:val="7A186BEA"/>
    <w:rsid w:val="7A1B073A"/>
    <w:rsid w:val="7A1B1D07"/>
    <w:rsid w:val="7A1E32F3"/>
    <w:rsid w:val="7A2025C2"/>
    <w:rsid w:val="7A2A5CB4"/>
    <w:rsid w:val="7A2C0035"/>
    <w:rsid w:val="7A2D720D"/>
    <w:rsid w:val="7A2F70D8"/>
    <w:rsid w:val="7A317B34"/>
    <w:rsid w:val="7A32698B"/>
    <w:rsid w:val="7A373305"/>
    <w:rsid w:val="7A4023A9"/>
    <w:rsid w:val="7A4F026C"/>
    <w:rsid w:val="7A545120"/>
    <w:rsid w:val="7A5876D1"/>
    <w:rsid w:val="7A5E1AFB"/>
    <w:rsid w:val="7A6F25CD"/>
    <w:rsid w:val="7A796DDA"/>
    <w:rsid w:val="7A7D7F61"/>
    <w:rsid w:val="7A805CEA"/>
    <w:rsid w:val="7A807E8A"/>
    <w:rsid w:val="7A824179"/>
    <w:rsid w:val="7A844958"/>
    <w:rsid w:val="7A91691C"/>
    <w:rsid w:val="7A974F16"/>
    <w:rsid w:val="7A9E02BB"/>
    <w:rsid w:val="7AA04F5B"/>
    <w:rsid w:val="7AAA1A6A"/>
    <w:rsid w:val="7AAE4676"/>
    <w:rsid w:val="7AB21169"/>
    <w:rsid w:val="7AB37D83"/>
    <w:rsid w:val="7AB40335"/>
    <w:rsid w:val="7AB71B55"/>
    <w:rsid w:val="7ABC1CA3"/>
    <w:rsid w:val="7AC015F8"/>
    <w:rsid w:val="7AC07AE9"/>
    <w:rsid w:val="7AC07D5D"/>
    <w:rsid w:val="7ACE11EF"/>
    <w:rsid w:val="7ACE1FC5"/>
    <w:rsid w:val="7AD01004"/>
    <w:rsid w:val="7AD3675F"/>
    <w:rsid w:val="7ADF38D8"/>
    <w:rsid w:val="7AEF238F"/>
    <w:rsid w:val="7AF135E2"/>
    <w:rsid w:val="7AF5568A"/>
    <w:rsid w:val="7AF63E21"/>
    <w:rsid w:val="7AF976D0"/>
    <w:rsid w:val="7AFB00B7"/>
    <w:rsid w:val="7AFF68C4"/>
    <w:rsid w:val="7AFF7421"/>
    <w:rsid w:val="7B0263CE"/>
    <w:rsid w:val="7B033BC6"/>
    <w:rsid w:val="7B062776"/>
    <w:rsid w:val="7B09415C"/>
    <w:rsid w:val="7B0A4D55"/>
    <w:rsid w:val="7B0E0520"/>
    <w:rsid w:val="7B123362"/>
    <w:rsid w:val="7B153A8C"/>
    <w:rsid w:val="7B1B5C3E"/>
    <w:rsid w:val="7B2E44AE"/>
    <w:rsid w:val="7B2F38DA"/>
    <w:rsid w:val="7B322D2D"/>
    <w:rsid w:val="7B332086"/>
    <w:rsid w:val="7B3439EE"/>
    <w:rsid w:val="7B3978D0"/>
    <w:rsid w:val="7B3A2568"/>
    <w:rsid w:val="7B3F4DF4"/>
    <w:rsid w:val="7B430A66"/>
    <w:rsid w:val="7B43693E"/>
    <w:rsid w:val="7B4707E1"/>
    <w:rsid w:val="7B475C32"/>
    <w:rsid w:val="7B4A5EBE"/>
    <w:rsid w:val="7B50168A"/>
    <w:rsid w:val="7B5B5065"/>
    <w:rsid w:val="7B604866"/>
    <w:rsid w:val="7B667D04"/>
    <w:rsid w:val="7B671CD5"/>
    <w:rsid w:val="7B6A44CF"/>
    <w:rsid w:val="7B6B15A9"/>
    <w:rsid w:val="7B6E15FA"/>
    <w:rsid w:val="7B7C3EAE"/>
    <w:rsid w:val="7B7D62F8"/>
    <w:rsid w:val="7B822704"/>
    <w:rsid w:val="7B831833"/>
    <w:rsid w:val="7B832703"/>
    <w:rsid w:val="7B8746D0"/>
    <w:rsid w:val="7B8C61A8"/>
    <w:rsid w:val="7B8D4E49"/>
    <w:rsid w:val="7B971E25"/>
    <w:rsid w:val="7B9E36D5"/>
    <w:rsid w:val="7BA62B3D"/>
    <w:rsid w:val="7BAB4184"/>
    <w:rsid w:val="7BB01D86"/>
    <w:rsid w:val="7BB166F6"/>
    <w:rsid w:val="7BC02341"/>
    <w:rsid w:val="7BCA2CA1"/>
    <w:rsid w:val="7BCB1412"/>
    <w:rsid w:val="7BCF011A"/>
    <w:rsid w:val="7BD157E2"/>
    <w:rsid w:val="7BD229EC"/>
    <w:rsid w:val="7BD63611"/>
    <w:rsid w:val="7BDC647A"/>
    <w:rsid w:val="7BE43EFB"/>
    <w:rsid w:val="7BE66067"/>
    <w:rsid w:val="7BE82A92"/>
    <w:rsid w:val="7BEB091D"/>
    <w:rsid w:val="7BED2FA4"/>
    <w:rsid w:val="7BEF5E30"/>
    <w:rsid w:val="7BFE1FEC"/>
    <w:rsid w:val="7C014FD6"/>
    <w:rsid w:val="7C0242FF"/>
    <w:rsid w:val="7C0661F5"/>
    <w:rsid w:val="7C070B29"/>
    <w:rsid w:val="7C0B3F04"/>
    <w:rsid w:val="7C0B7C63"/>
    <w:rsid w:val="7C1B1B9E"/>
    <w:rsid w:val="7C1C1C87"/>
    <w:rsid w:val="7C1E4406"/>
    <w:rsid w:val="7C2646FF"/>
    <w:rsid w:val="7C267A62"/>
    <w:rsid w:val="7C296C65"/>
    <w:rsid w:val="7C2C5DAB"/>
    <w:rsid w:val="7C2D0889"/>
    <w:rsid w:val="7C2E71E8"/>
    <w:rsid w:val="7C347AF2"/>
    <w:rsid w:val="7C38637B"/>
    <w:rsid w:val="7C4003CA"/>
    <w:rsid w:val="7C4B59F8"/>
    <w:rsid w:val="7C5243BD"/>
    <w:rsid w:val="7C5739C7"/>
    <w:rsid w:val="7C5D23A1"/>
    <w:rsid w:val="7C5D28FC"/>
    <w:rsid w:val="7C5D4095"/>
    <w:rsid w:val="7C6378AF"/>
    <w:rsid w:val="7C657EEE"/>
    <w:rsid w:val="7C664A45"/>
    <w:rsid w:val="7C687B5C"/>
    <w:rsid w:val="7C6B21B0"/>
    <w:rsid w:val="7C6C5039"/>
    <w:rsid w:val="7C6D0D4B"/>
    <w:rsid w:val="7C6D4277"/>
    <w:rsid w:val="7C701FB9"/>
    <w:rsid w:val="7C801586"/>
    <w:rsid w:val="7C807410"/>
    <w:rsid w:val="7C8116F6"/>
    <w:rsid w:val="7C86358B"/>
    <w:rsid w:val="7C9024F2"/>
    <w:rsid w:val="7C9351CB"/>
    <w:rsid w:val="7C97651C"/>
    <w:rsid w:val="7CA14296"/>
    <w:rsid w:val="7CA352F9"/>
    <w:rsid w:val="7CA47591"/>
    <w:rsid w:val="7CAA3146"/>
    <w:rsid w:val="7CB25F9A"/>
    <w:rsid w:val="7CB836FA"/>
    <w:rsid w:val="7CBE3B64"/>
    <w:rsid w:val="7CBF2465"/>
    <w:rsid w:val="7CC846E8"/>
    <w:rsid w:val="7CE32770"/>
    <w:rsid w:val="7CF24721"/>
    <w:rsid w:val="7CF92716"/>
    <w:rsid w:val="7CF95E7D"/>
    <w:rsid w:val="7CFA6E60"/>
    <w:rsid w:val="7CFD5CE2"/>
    <w:rsid w:val="7D004646"/>
    <w:rsid w:val="7D01656D"/>
    <w:rsid w:val="7D080C72"/>
    <w:rsid w:val="7D0B5E36"/>
    <w:rsid w:val="7D0C5714"/>
    <w:rsid w:val="7D0E6EFC"/>
    <w:rsid w:val="7D0F232E"/>
    <w:rsid w:val="7D131B1E"/>
    <w:rsid w:val="7D142945"/>
    <w:rsid w:val="7D145EEC"/>
    <w:rsid w:val="7D1511D0"/>
    <w:rsid w:val="7D1539ED"/>
    <w:rsid w:val="7D171542"/>
    <w:rsid w:val="7D182CD1"/>
    <w:rsid w:val="7D19514C"/>
    <w:rsid w:val="7D1A6406"/>
    <w:rsid w:val="7D1E5C9A"/>
    <w:rsid w:val="7D2021A2"/>
    <w:rsid w:val="7D2E542D"/>
    <w:rsid w:val="7D344CEB"/>
    <w:rsid w:val="7D3834E5"/>
    <w:rsid w:val="7D400D5C"/>
    <w:rsid w:val="7D41271C"/>
    <w:rsid w:val="7D450236"/>
    <w:rsid w:val="7D517BC8"/>
    <w:rsid w:val="7D547274"/>
    <w:rsid w:val="7D560CB4"/>
    <w:rsid w:val="7D5E7E3F"/>
    <w:rsid w:val="7D6F6448"/>
    <w:rsid w:val="7D712AE7"/>
    <w:rsid w:val="7D751B04"/>
    <w:rsid w:val="7D7A2F7E"/>
    <w:rsid w:val="7D7E4648"/>
    <w:rsid w:val="7D845D1C"/>
    <w:rsid w:val="7D873871"/>
    <w:rsid w:val="7D99794D"/>
    <w:rsid w:val="7D9A0688"/>
    <w:rsid w:val="7D9C0017"/>
    <w:rsid w:val="7D9F765A"/>
    <w:rsid w:val="7DAA2AB2"/>
    <w:rsid w:val="7DAE2D99"/>
    <w:rsid w:val="7DAE543F"/>
    <w:rsid w:val="7DAF0C8C"/>
    <w:rsid w:val="7DB00B43"/>
    <w:rsid w:val="7DB42AA5"/>
    <w:rsid w:val="7DB605C5"/>
    <w:rsid w:val="7DB87774"/>
    <w:rsid w:val="7DB915C1"/>
    <w:rsid w:val="7DD851C4"/>
    <w:rsid w:val="7DD86230"/>
    <w:rsid w:val="7DDB6700"/>
    <w:rsid w:val="7DE1247E"/>
    <w:rsid w:val="7DE72BC9"/>
    <w:rsid w:val="7DEE19A6"/>
    <w:rsid w:val="7DEF112C"/>
    <w:rsid w:val="7DF310EC"/>
    <w:rsid w:val="7DF5513D"/>
    <w:rsid w:val="7DF56DB2"/>
    <w:rsid w:val="7DF612B7"/>
    <w:rsid w:val="7E004C8D"/>
    <w:rsid w:val="7E083897"/>
    <w:rsid w:val="7E0F0DA7"/>
    <w:rsid w:val="7E0F2D1C"/>
    <w:rsid w:val="7E1178E2"/>
    <w:rsid w:val="7E117EF0"/>
    <w:rsid w:val="7E125364"/>
    <w:rsid w:val="7E1268EE"/>
    <w:rsid w:val="7E1973F9"/>
    <w:rsid w:val="7E233659"/>
    <w:rsid w:val="7E2B7356"/>
    <w:rsid w:val="7E355954"/>
    <w:rsid w:val="7E372D8F"/>
    <w:rsid w:val="7E410E9A"/>
    <w:rsid w:val="7E423B62"/>
    <w:rsid w:val="7E424F1D"/>
    <w:rsid w:val="7E433C87"/>
    <w:rsid w:val="7E466AB8"/>
    <w:rsid w:val="7E594905"/>
    <w:rsid w:val="7E5A116F"/>
    <w:rsid w:val="7E5B31DA"/>
    <w:rsid w:val="7E663674"/>
    <w:rsid w:val="7E6776A3"/>
    <w:rsid w:val="7E691D49"/>
    <w:rsid w:val="7E6E53C3"/>
    <w:rsid w:val="7E7775A5"/>
    <w:rsid w:val="7E78640F"/>
    <w:rsid w:val="7E812C98"/>
    <w:rsid w:val="7E83788F"/>
    <w:rsid w:val="7E8A4154"/>
    <w:rsid w:val="7E8B6468"/>
    <w:rsid w:val="7E8C3E21"/>
    <w:rsid w:val="7E947148"/>
    <w:rsid w:val="7E9621EE"/>
    <w:rsid w:val="7E9B0234"/>
    <w:rsid w:val="7E9C7ADC"/>
    <w:rsid w:val="7EA02E5E"/>
    <w:rsid w:val="7EA24C90"/>
    <w:rsid w:val="7EA26FDE"/>
    <w:rsid w:val="7EA83654"/>
    <w:rsid w:val="7EA84F0E"/>
    <w:rsid w:val="7EA85134"/>
    <w:rsid w:val="7EB65A99"/>
    <w:rsid w:val="7EBA4444"/>
    <w:rsid w:val="7EBB0A6E"/>
    <w:rsid w:val="7EBC1234"/>
    <w:rsid w:val="7EC22AD5"/>
    <w:rsid w:val="7EC51C73"/>
    <w:rsid w:val="7EC914F8"/>
    <w:rsid w:val="7ECE56B5"/>
    <w:rsid w:val="7ED401E9"/>
    <w:rsid w:val="7EDA05A4"/>
    <w:rsid w:val="7EE655C0"/>
    <w:rsid w:val="7EE80EBF"/>
    <w:rsid w:val="7EEC769B"/>
    <w:rsid w:val="7EF2093D"/>
    <w:rsid w:val="7EF85E97"/>
    <w:rsid w:val="7EFA49C9"/>
    <w:rsid w:val="7EFE1AFE"/>
    <w:rsid w:val="7F00063B"/>
    <w:rsid w:val="7F0711B3"/>
    <w:rsid w:val="7F0C557C"/>
    <w:rsid w:val="7F0C7FE8"/>
    <w:rsid w:val="7F0E22BB"/>
    <w:rsid w:val="7F110B3C"/>
    <w:rsid w:val="7F160BDC"/>
    <w:rsid w:val="7F207AA0"/>
    <w:rsid w:val="7F290824"/>
    <w:rsid w:val="7F2A52EB"/>
    <w:rsid w:val="7F2B18B2"/>
    <w:rsid w:val="7F2C10B4"/>
    <w:rsid w:val="7F2C312B"/>
    <w:rsid w:val="7F340656"/>
    <w:rsid w:val="7F3B4B3D"/>
    <w:rsid w:val="7F3D58B7"/>
    <w:rsid w:val="7F42761C"/>
    <w:rsid w:val="7F4469DB"/>
    <w:rsid w:val="7F450EC7"/>
    <w:rsid w:val="7F495D09"/>
    <w:rsid w:val="7F5E3AB9"/>
    <w:rsid w:val="7F6068DD"/>
    <w:rsid w:val="7F633B95"/>
    <w:rsid w:val="7F6D52E4"/>
    <w:rsid w:val="7F7E123C"/>
    <w:rsid w:val="7F7E7D21"/>
    <w:rsid w:val="7F8C146F"/>
    <w:rsid w:val="7F930E89"/>
    <w:rsid w:val="7F9621E1"/>
    <w:rsid w:val="7F9C72F6"/>
    <w:rsid w:val="7F9F5FBB"/>
    <w:rsid w:val="7FA21B97"/>
    <w:rsid w:val="7FA225D6"/>
    <w:rsid w:val="7FA50C55"/>
    <w:rsid w:val="7FA554A1"/>
    <w:rsid w:val="7FAE737B"/>
    <w:rsid w:val="7FAF714D"/>
    <w:rsid w:val="7FB0104A"/>
    <w:rsid w:val="7FB74E5D"/>
    <w:rsid w:val="7FBD2C4A"/>
    <w:rsid w:val="7FBE4DEA"/>
    <w:rsid w:val="7FBF6579"/>
    <w:rsid w:val="7FC35C88"/>
    <w:rsid w:val="7FC50E6B"/>
    <w:rsid w:val="7FD141FD"/>
    <w:rsid w:val="7FE90CCC"/>
    <w:rsid w:val="7FF43D50"/>
    <w:rsid w:val="7FFC4E2A"/>
    <w:rsid w:val="7FFE6D61"/>
    <w:rsid w:val="7FFF5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47"/>
    <w:qFormat/>
    <w:uiPriority w:val="0"/>
    <w:pPr>
      <w:numPr>
        <w:ilvl w:val="0"/>
        <w:numId w:val="1"/>
      </w:numPr>
      <w:spacing w:beforeAutospacing="0" w:afterAutospacing="0" w:line="360" w:lineRule="auto"/>
      <w:ind w:left="431" w:firstLine="0" w:firstLineChars="0"/>
      <w:jc w:val="center"/>
      <w:outlineLvl w:val="0"/>
    </w:pPr>
    <w:rPr>
      <w:rFonts w:hint="eastAsia" w:ascii="Times New Roman" w:hAnsi="Times New Roman" w:eastAsia="宋体"/>
      <w:b/>
      <w:bCs/>
      <w:kern w:val="44"/>
      <w:sz w:val="36"/>
      <w:szCs w:val="36"/>
    </w:rPr>
  </w:style>
  <w:style w:type="paragraph" w:styleId="3">
    <w:name w:val="heading 2"/>
    <w:basedOn w:val="1"/>
    <w:next w:val="1"/>
    <w:link w:val="63"/>
    <w:qFormat/>
    <w:uiPriority w:val="0"/>
    <w:pPr>
      <w:keepNext/>
      <w:keepLines/>
      <w:numPr>
        <w:ilvl w:val="1"/>
        <w:numId w:val="1"/>
      </w:numPr>
      <w:spacing w:line="408" w:lineRule="auto"/>
      <w:ind w:left="0" w:firstLine="0" w:firstLineChars="0"/>
      <w:outlineLvl w:val="1"/>
    </w:pPr>
    <w:rPr>
      <w:b/>
      <w:bCs/>
      <w:sz w:val="32"/>
      <w:szCs w:val="32"/>
    </w:rPr>
  </w:style>
  <w:style w:type="paragraph" w:styleId="4">
    <w:name w:val="heading 3"/>
    <w:basedOn w:val="3"/>
    <w:next w:val="1"/>
    <w:link w:val="51"/>
    <w:qFormat/>
    <w:uiPriority w:val="0"/>
    <w:pPr>
      <w:keepNext/>
      <w:keepLines/>
      <w:numPr>
        <w:ilvl w:val="2"/>
        <w:numId w:val="1"/>
      </w:numPr>
      <w:ind w:left="0" w:firstLine="0" w:firstLineChars="0"/>
      <w:outlineLvl w:val="2"/>
    </w:pPr>
    <w:rPr>
      <w:rFonts w:ascii="Times New Roman" w:hAnsi="Times New Roman" w:eastAsia="宋体"/>
      <w:sz w:val="28"/>
    </w:rPr>
  </w:style>
  <w:style w:type="paragraph" w:styleId="5">
    <w:name w:val="heading 4"/>
    <w:basedOn w:val="1"/>
    <w:next w:val="1"/>
    <w:link w:val="173"/>
    <w:autoRedefine/>
    <w:qFormat/>
    <w:uiPriority w:val="0"/>
    <w:pPr>
      <w:keepNext/>
      <w:keepLines/>
      <w:numPr>
        <w:ilvl w:val="3"/>
        <w:numId w:val="1"/>
      </w:numPr>
      <w:ind w:left="0" w:firstLine="720" w:firstLineChars="200"/>
      <w:outlineLvl w:val="3"/>
    </w:pPr>
    <w:rPr>
      <w:rFonts w:ascii="Times New Roman" w:hAnsi="Times New Roman" w:eastAsia="宋体"/>
      <w:b/>
      <w:szCs w:val="24"/>
    </w:rPr>
  </w:style>
  <w:style w:type="paragraph" w:styleId="6">
    <w:name w:val="heading 5"/>
    <w:basedOn w:val="1"/>
    <w:next w:val="1"/>
    <w:qFormat/>
    <w:uiPriority w:val="0"/>
    <w:pPr>
      <w:keepNext/>
      <w:keepLines/>
      <w:numPr>
        <w:ilvl w:val="4"/>
        <w:numId w:val="1"/>
      </w:numPr>
      <w:spacing w:before="280" w:after="290" w:line="372" w:lineRule="auto"/>
      <w:ind w:firstLine="0" w:firstLineChars="0"/>
      <w:outlineLvl w:val="4"/>
    </w:pPr>
    <w:rPr>
      <w:b/>
      <w:sz w:val="28"/>
    </w:rPr>
  </w:style>
  <w:style w:type="paragraph" w:styleId="7">
    <w:name w:val="heading 6"/>
    <w:basedOn w:val="1"/>
    <w:next w:val="1"/>
    <w:qFormat/>
    <w:uiPriority w:val="0"/>
    <w:pPr>
      <w:keepNext/>
      <w:keepLines/>
      <w:numPr>
        <w:ilvl w:val="5"/>
        <w:numId w:val="1"/>
      </w:numPr>
      <w:spacing w:before="240" w:after="64" w:line="317" w:lineRule="auto"/>
      <w:ind w:firstLine="0" w:firstLineChars="0"/>
      <w:outlineLvl w:val="5"/>
    </w:pPr>
    <w:rPr>
      <w:rFonts w:ascii="Arial" w:hAnsi="Arial" w:eastAsia="黑体"/>
      <w:b/>
    </w:rPr>
  </w:style>
  <w:style w:type="paragraph" w:styleId="8">
    <w:name w:val="heading 7"/>
    <w:basedOn w:val="1"/>
    <w:next w:val="1"/>
    <w:qFormat/>
    <w:uiPriority w:val="0"/>
    <w:pPr>
      <w:keepNext/>
      <w:keepLines/>
      <w:numPr>
        <w:ilvl w:val="6"/>
        <w:numId w:val="1"/>
      </w:numPr>
      <w:spacing w:before="240" w:after="64" w:line="317" w:lineRule="auto"/>
      <w:ind w:firstLine="0" w:firstLineChars="0"/>
      <w:outlineLvl w:val="6"/>
    </w:pPr>
    <w:rPr>
      <w:b/>
    </w:rPr>
  </w:style>
  <w:style w:type="paragraph" w:styleId="9">
    <w:name w:val="heading 8"/>
    <w:basedOn w:val="1"/>
    <w:next w:val="1"/>
    <w:qFormat/>
    <w:uiPriority w:val="0"/>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40">
    <w:name w:val="Default Paragraph Font"/>
    <w:autoRedefine/>
    <w:semiHidden/>
    <w:unhideWhenUsed/>
    <w:qFormat/>
    <w:uiPriority w:val="1"/>
  </w:style>
  <w:style w:type="table" w:default="1" w:styleId="37">
    <w:name w:val="Normal Table"/>
    <w:autoRedefine/>
    <w:semiHidden/>
    <w:unhideWhenUsed/>
    <w:qFormat/>
    <w:uiPriority w:val="99"/>
    <w:tblPr>
      <w:tblCellMar>
        <w:top w:w="0" w:type="dxa"/>
        <w:left w:w="108" w:type="dxa"/>
        <w:bottom w:w="0" w:type="dxa"/>
        <w:right w:w="108" w:type="dxa"/>
      </w:tblCellMar>
    </w:tblPr>
  </w:style>
  <w:style w:type="paragraph" w:styleId="11">
    <w:name w:val="List Number"/>
    <w:basedOn w:val="1"/>
    <w:autoRedefine/>
    <w:qFormat/>
    <w:uiPriority w:val="0"/>
    <w:pPr>
      <w:numPr>
        <w:ilvl w:val="0"/>
        <w:numId w:val="2"/>
      </w:numPr>
    </w:pPr>
  </w:style>
  <w:style w:type="paragraph" w:styleId="12">
    <w:name w:val="Normal Indent"/>
    <w:basedOn w:val="1"/>
    <w:autoRedefine/>
    <w:qFormat/>
    <w:uiPriority w:val="0"/>
    <w:pPr>
      <w:ind w:firstLine="420"/>
    </w:pPr>
  </w:style>
  <w:style w:type="paragraph" w:styleId="13">
    <w:name w:val="caption"/>
    <w:basedOn w:val="1"/>
    <w:next w:val="1"/>
    <w:autoRedefine/>
    <w:qFormat/>
    <w:uiPriority w:val="0"/>
    <w:pPr>
      <w:numPr>
        <w:ilvl w:val="0"/>
        <w:numId w:val="3"/>
      </w:numPr>
      <w:tabs>
        <w:tab w:val="left" w:pos="360"/>
      </w:tabs>
      <w:spacing w:line="240" w:lineRule="auto"/>
      <w:ind w:firstLineChars="0"/>
      <w:jc w:val="center"/>
    </w:pPr>
    <w:rPr>
      <w:b/>
      <w:sz w:val="21"/>
      <w:szCs w:val="21"/>
    </w:rPr>
  </w:style>
  <w:style w:type="paragraph" w:styleId="14">
    <w:name w:val="Document Map"/>
    <w:basedOn w:val="1"/>
    <w:link w:val="134"/>
    <w:autoRedefine/>
    <w:qFormat/>
    <w:uiPriority w:val="0"/>
    <w:rPr>
      <w:rFonts w:ascii="宋体"/>
      <w:sz w:val="18"/>
      <w:szCs w:val="18"/>
    </w:rPr>
  </w:style>
  <w:style w:type="paragraph" w:styleId="15">
    <w:name w:val="annotation text"/>
    <w:basedOn w:val="1"/>
    <w:link w:val="139"/>
    <w:autoRedefine/>
    <w:qFormat/>
    <w:uiPriority w:val="0"/>
    <w:pPr>
      <w:jc w:val="left"/>
    </w:pPr>
  </w:style>
  <w:style w:type="paragraph" w:styleId="16">
    <w:name w:val="Body Text"/>
    <w:basedOn w:val="1"/>
    <w:autoRedefine/>
    <w:qFormat/>
    <w:uiPriority w:val="0"/>
  </w:style>
  <w:style w:type="paragraph" w:styleId="17">
    <w:name w:val="Body Text Indent"/>
    <w:basedOn w:val="1"/>
    <w:next w:val="18"/>
    <w:link w:val="158"/>
    <w:autoRedefine/>
    <w:qFormat/>
    <w:uiPriority w:val="0"/>
    <w:pPr>
      <w:spacing w:after="120"/>
      <w:ind w:left="200" w:leftChars="200"/>
    </w:pPr>
    <w:rPr>
      <w:spacing w:val="62"/>
    </w:rPr>
  </w:style>
  <w:style w:type="paragraph" w:customStyle="1" w:styleId="18">
    <w:name w:val="样式 正文文本缩进 + 行距: 1.5 倍行距"/>
    <w:basedOn w:val="17"/>
    <w:qFormat/>
    <w:uiPriority w:val="0"/>
    <w:pPr>
      <w:spacing w:after="120" w:line="360" w:lineRule="auto"/>
      <w:ind w:left="90" w:leftChars="32" w:firstLine="560" w:firstLineChars="200"/>
    </w:pPr>
    <w:rPr>
      <w:rFonts w:ascii="Times New Roman" w:hAnsi="Times New Roman" w:eastAsia="宋体" w:cs="宋体"/>
    </w:rPr>
  </w:style>
  <w:style w:type="paragraph" w:styleId="19">
    <w:name w:val="toc 3"/>
    <w:basedOn w:val="1"/>
    <w:next w:val="1"/>
    <w:autoRedefine/>
    <w:qFormat/>
    <w:uiPriority w:val="39"/>
    <w:pPr>
      <w:ind w:left="960" w:leftChars="400" w:firstLine="0" w:firstLineChars="0"/>
    </w:pPr>
  </w:style>
  <w:style w:type="paragraph" w:styleId="20">
    <w:name w:val="Plain Text"/>
    <w:basedOn w:val="1"/>
    <w:autoRedefine/>
    <w:qFormat/>
    <w:uiPriority w:val="0"/>
    <w:pPr>
      <w:spacing w:line="240" w:lineRule="auto"/>
    </w:pPr>
    <w:rPr>
      <w:rFonts w:hAnsi="Courier New"/>
      <w:sz w:val="20"/>
    </w:rPr>
  </w:style>
  <w:style w:type="paragraph" w:styleId="21">
    <w:name w:val="Body Text Indent 2"/>
    <w:basedOn w:val="1"/>
    <w:autoRedefine/>
    <w:qFormat/>
    <w:uiPriority w:val="0"/>
    <w:pPr>
      <w:tabs>
        <w:tab w:val="left" w:pos="660"/>
      </w:tabs>
      <w:spacing w:line="440" w:lineRule="atLeast"/>
      <w:ind w:firstLine="480"/>
    </w:pPr>
  </w:style>
  <w:style w:type="paragraph" w:styleId="22">
    <w:name w:val="Balloon Text"/>
    <w:basedOn w:val="1"/>
    <w:link w:val="141"/>
    <w:autoRedefine/>
    <w:qFormat/>
    <w:uiPriority w:val="0"/>
    <w:rPr>
      <w:sz w:val="18"/>
      <w:szCs w:val="18"/>
    </w:rPr>
  </w:style>
  <w:style w:type="paragraph" w:styleId="23">
    <w:name w:val="footer"/>
    <w:basedOn w:val="1"/>
    <w:link w:val="58"/>
    <w:autoRedefine/>
    <w:qFormat/>
    <w:uiPriority w:val="99"/>
    <w:pPr>
      <w:tabs>
        <w:tab w:val="center" w:pos="4153"/>
        <w:tab w:val="right" w:pos="8306"/>
      </w:tabs>
      <w:snapToGrid w:val="0"/>
      <w:spacing w:line="240" w:lineRule="auto"/>
      <w:ind w:firstLine="0" w:firstLineChars="0"/>
      <w:jc w:val="center"/>
    </w:pPr>
    <w:rPr>
      <w:rFonts w:ascii="Times New Roman" w:hAnsi="Times New Roman" w:eastAsia="宋体"/>
      <w:sz w:val="18"/>
      <w:szCs w:val="18"/>
    </w:rPr>
  </w:style>
  <w:style w:type="paragraph" w:styleId="24">
    <w:name w:val="header"/>
    <w:basedOn w:val="1"/>
    <w:link w:val="60"/>
    <w:autoRedefine/>
    <w:qFormat/>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link w:val="52"/>
    <w:autoRedefine/>
    <w:qFormat/>
    <w:uiPriority w:val="39"/>
    <w:pPr>
      <w:ind w:firstLine="0" w:firstLineChars="0"/>
    </w:pPr>
    <w:rPr>
      <w:rFonts w:ascii="Times New Roman" w:hAnsi="Times New Roman" w:eastAsia="宋体"/>
      <w:b/>
    </w:rPr>
  </w:style>
  <w:style w:type="paragraph" w:styleId="26">
    <w:name w:val="toc 4"/>
    <w:basedOn w:val="1"/>
    <w:next w:val="1"/>
    <w:autoRedefine/>
    <w:qFormat/>
    <w:uiPriority w:val="39"/>
    <w:pPr>
      <w:ind w:left="1260" w:leftChars="600"/>
    </w:pPr>
  </w:style>
  <w:style w:type="paragraph" w:styleId="27">
    <w:name w:val="List"/>
    <w:basedOn w:val="1"/>
    <w:autoRedefine/>
    <w:qFormat/>
    <w:uiPriority w:val="0"/>
    <w:pPr>
      <w:ind w:left="200" w:hanging="200" w:hangingChars="200"/>
      <w:jc w:val="center"/>
    </w:pPr>
  </w:style>
  <w:style w:type="paragraph" w:styleId="28">
    <w:name w:val="Body Text Indent 3"/>
    <w:basedOn w:val="1"/>
    <w:autoRedefine/>
    <w:qFormat/>
    <w:uiPriority w:val="0"/>
    <w:pPr>
      <w:autoSpaceDE w:val="0"/>
      <w:autoSpaceDN w:val="0"/>
      <w:adjustRightInd w:val="0"/>
      <w:ind w:firstLine="480"/>
    </w:pPr>
    <w:rPr>
      <w:rFonts w:ascii="宋体" w:hAnsi="宋体"/>
      <w:szCs w:val="21"/>
    </w:rPr>
  </w:style>
  <w:style w:type="paragraph" w:styleId="29">
    <w:name w:val="table of figures"/>
    <w:basedOn w:val="1"/>
    <w:next w:val="1"/>
    <w:autoRedefine/>
    <w:qFormat/>
    <w:uiPriority w:val="0"/>
    <w:pPr>
      <w:ind w:left="200" w:leftChars="200" w:hanging="200" w:hangingChars="200"/>
    </w:pPr>
    <w:rPr>
      <w:szCs w:val="20"/>
    </w:rPr>
  </w:style>
  <w:style w:type="paragraph" w:styleId="30">
    <w:name w:val="toc 2"/>
    <w:basedOn w:val="1"/>
    <w:next w:val="1"/>
    <w:autoRedefine/>
    <w:qFormat/>
    <w:uiPriority w:val="39"/>
  </w:style>
  <w:style w:type="paragraph" w:styleId="31">
    <w:name w:val="Body Text 2"/>
    <w:basedOn w:val="1"/>
    <w:autoRedefine/>
    <w:qFormat/>
    <w:uiPriority w:val="0"/>
    <w:pPr>
      <w:spacing w:after="120" w:line="480" w:lineRule="auto"/>
    </w:pPr>
  </w:style>
  <w:style w:type="paragraph" w:styleId="32">
    <w:name w:val="Normal (Web)"/>
    <w:basedOn w:val="1"/>
    <w:autoRedefine/>
    <w:qFormat/>
    <w:uiPriority w:val="0"/>
    <w:pPr>
      <w:widowControl/>
      <w:spacing w:before="100" w:beforeAutospacing="1" w:after="100" w:afterAutospacing="1"/>
      <w:jc w:val="left"/>
    </w:pPr>
    <w:rPr>
      <w:rFonts w:ascii="宋体" w:hAnsi="宋体" w:cs="宋体"/>
      <w:kern w:val="0"/>
    </w:rPr>
  </w:style>
  <w:style w:type="paragraph" w:styleId="33">
    <w:name w:val="Title"/>
    <w:basedOn w:val="1"/>
    <w:next w:val="1"/>
    <w:qFormat/>
    <w:uiPriority w:val="0"/>
    <w:pPr>
      <w:spacing w:before="240" w:after="60"/>
      <w:jc w:val="center"/>
      <w:outlineLvl w:val="0"/>
    </w:pPr>
    <w:rPr>
      <w:rFonts w:ascii="Arial" w:hAnsi="Arial" w:cs="Arial"/>
      <w:b/>
      <w:bCs/>
      <w:sz w:val="32"/>
      <w:szCs w:val="32"/>
    </w:rPr>
  </w:style>
  <w:style w:type="paragraph" w:styleId="34">
    <w:name w:val="annotation subject"/>
    <w:basedOn w:val="15"/>
    <w:next w:val="15"/>
    <w:link w:val="145"/>
    <w:autoRedefine/>
    <w:qFormat/>
    <w:uiPriority w:val="0"/>
    <w:rPr>
      <w:b/>
      <w:bCs/>
    </w:rPr>
  </w:style>
  <w:style w:type="paragraph" w:styleId="35">
    <w:name w:val="Body Text First Indent"/>
    <w:basedOn w:val="16"/>
    <w:next w:val="1"/>
    <w:autoRedefine/>
    <w:qFormat/>
    <w:uiPriority w:val="0"/>
    <w:pPr>
      <w:ind w:firstLine="420" w:firstLineChars="100"/>
    </w:pPr>
  </w:style>
  <w:style w:type="paragraph" w:styleId="36">
    <w:name w:val="Body Text First Indent 2"/>
    <w:basedOn w:val="17"/>
    <w:next w:val="1"/>
    <w:autoRedefine/>
    <w:qFormat/>
    <w:uiPriority w:val="0"/>
    <w:pPr>
      <w:spacing w:after="120"/>
      <w:ind w:left="420" w:leftChars="200" w:firstLine="420"/>
    </w:pPr>
    <w:rPr>
      <w:rFonts w:hint="default" w:ascii="Times New Roman" w:eastAsia="宋体"/>
      <w:sz w:val="21"/>
    </w:rPr>
  </w:style>
  <w:style w:type="table" w:styleId="38">
    <w:name w:val="Table Grid"/>
    <w:basedOn w:val="37"/>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9">
    <w:name w:val="Table Grid 1"/>
    <w:basedOn w:val="37"/>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1">
    <w:name w:val="Strong"/>
    <w:basedOn w:val="40"/>
    <w:autoRedefine/>
    <w:qFormat/>
    <w:uiPriority w:val="0"/>
    <w:rPr>
      <w:b/>
      <w:bCs/>
    </w:rPr>
  </w:style>
  <w:style w:type="character" w:styleId="42">
    <w:name w:val="page number"/>
    <w:basedOn w:val="40"/>
    <w:autoRedefine/>
    <w:qFormat/>
    <w:uiPriority w:val="0"/>
  </w:style>
  <w:style w:type="character" w:styleId="43">
    <w:name w:val="FollowedHyperlink"/>
    <w:basedOn w:val="40"/>
    <w:autoRedefine/>
    <w:qFormat/>
    <w:uiPriority w:val="0"/>
    <w:rPr>
      <w:color w:val="333333"/>
      <w:u w:val="none"/>
    </w:rPr>
  </w:style>
  <w:style w:type="character" w:styleId="44">
    <w:name w:val="Emphasis"/>
    <w:basedOn w:val="40"/>
    <w:qFormat/>
    <w:uiPriority w:val="0"/>
  </w:style>
  <w:style w:type="character" w:styleId="45">
    <w:name w:val="Hyperlink"/>
    <w:basedOn w:val="40"/>
    <w:autoRedefine/>
    <w:qFormat/>
    <w:uiPriority w:val="99"/>
    <w:rPr>
      <w:color w:val="4A4A4A"/>
      <w:u w:val="none"/>
    </w:rPr>
  </w:style>
  <w:style w:type="character" w:styleId="46">
    <w:name w:val="annotation reference"/>
    <w:basedOn w:val="40"/>
    <w:autoRedefine/>
    <w:qFormat/>
    <w:uiPriority w:val="0"/>
    <w:rPr>
      <w:rFonts w:cs="Times New Roman"/>
      <w:sz w:val="21"/>
      <w:szCs w:val="21"/>
    </w:rPr>
  </w:style>
  <w:style w:type="character" w:customStyle="1" w:styleId="47">
    <w:name w:val="标题 1 Char"/>
    <w:basedOn w:val="40"/>
    <w:link w:val="2"/>
    <w:autoRedefine/>
    <w:qFormat/>
    <w:uiPriority w:val="0"/>
    <w:rPr>
      <w:rFonts w:ascii="Times New Roman" w:hAnsi="Times New Roman" w:eastAsia="宋体"/>
      <w:b/>
      <w:bCs/>
      <w:kern w:val="44"/>
      <w:sz w:val="36"/>
      <w:szCs w:val="36"/>
    </w:rPr>
  </w:style>
  <w:style w:type="paragraph" w:customStyle="1" w:styleId="48">
    <w:name w:val="表标题"/>
    <w:next w:val="49"/>
    <w:qFormat/>
    <w:uiPriority w:val="0"/>
    <w:pPr>
      <w:tabs>
        <w:tab w:val="left" w:pos="0"/>
      </w:tabs>
      <w:spacing w:line="360" w:lineRule="auto"/>
      <w:jc w:val="center"/>
    </w:pPr>
    <w:rPr>
      <w:rFonts w:ascii="Times New Roman" w:hAnsi="Times New Roman" w:eastAsia="黑体" w:cs="Times New Roman"/>
      <w:sz w:val="24"/>
      <w:lang w:val="en-US" w:eastAsia="zh-CN" w:bidi="ar-SA"/>
    </w:rPr>
  </w:style>
  <w:style w:type="paragraph" w:customStyle="1" w:styleId="49">
    <w:name w:val="表格"/>
    <w:basedOn w:val="27"/>
    <w:next w:val="1"/>
    <w:autoRedefine/>
    <w:qFormat/>
    <w:uiPriority w:val="0"/>
    <w:pPr>
      <w:spacing w:line="240" w:lineRule="auto"/>
      <w:ind w:left="0" w:firstLine="0" w:firstLineChars="0"/>
    </w:pPr>
    <w:rPr>
      <w:sz w:val="21"/>
      <w:szCs w:val="21"/>
    </w:rPr>
  </w:style>
  <w:style w:type="paragraph" w:customStyle="1" w:styleId="50">
    <w:name w:val="表格1"/>
    <w:basedOn w:val="1"/>
    <w:next w:val="1"/>
    <w:autoRedefine/>
    <w:qFormat/>
    <w:uiPriority w:val="0"/>
    <w:pPr>
      <w:spacing w:line="240" w:lineRule="auto"/>
      <w:jc w:val="center"/>
    </w:pPr>
    <w:rPr>
      <w:rFonts w:ascii="宋体" w:hAnsi="宋体"/>
      <w:b/>
      <w:sz w:val="21"/>
      <w:szCs w:val="28"/>
    </w:rPr>
  </w:style>
  <w:style w:type="character" w:customStyle="1" w:styleId="51">
    <w:name w:val="标题 3 Char"/>
    <w:basedOn w:val="40"/>
    <w:link w:val="4"/>
    <w:qFormat/>
    <w:uiPriority w:val="0"/>
    <w:rPr>
      <w:rFonts w:ascii="Times New Roman" w:hAnsi="Times New Roman" w:eastAsia="宋体"/>
      <w:b/>
      <w:bCs/>
      <w:kern w:val="2"/>
      <w:sz w:val="28"/>
      <w:szCs w:val="32"/>
    </w:rPr>
  </w:style>
  <w:style w:type="character" w:customStyle="1" w:styleId="52">
    <w:name w:val="目录 1 Char"/>
    <w:basedOn w:val="40"/>
    <w:link w:val="25"/>
    <w:qFormat/>
    <w:uiPriority w:val="0"/>
    <w:rPr>
      <w:rFonts w:ascii="Times New Roman" w:hAnsi="Times New Roman" w:eastAsia="宋体"/>
      <w:b/>
    </w:rPr>
  </w:style>
  <w:style w:type="paragraph" w:customStyle="1" w:styleId="53">
    <w:name w:val="表格内容"/>
    <w:basedOn w:val="49"/>
    <w:next w:val="20"/>
    <w:autoRedefine/>
    <w:qFormat/>
    <w:uiPriority w:val="0"/>
    <w:rPr>
      <w:rFonts w:cs="宋体"/>
      <w:szCs w:val="20"/>
    </w:rPr>
  </w:style>
  <w:style w:type="paragraph" w:customStyle="1" w:styleId="54">
    <w:name w:val="表格文字"/>
    <w:basedOn w:val="49"/>
    <w:next w:val="1"/>
    <w:autoRedefine/>
    <w:qFormat/>
    <w:uiPriority w:val="0"/>
    <w:pPr>
      <w:spacing w:line="240" w:lineRule="auto"/>
      <w:ind w:firstLine="0" w:firstLineChars="0"/>
      <w:jc w:val="center"/>
    </w:pPr>
    <w:rPr>
      <w:sz w:val="21"/>
    </w:rPr>
  </w:style>
  <w:style w:type="paragraph" w:customStyle="1" w:styleId="55">
    <w:name w:val="样式3"/>
    <w:basedOn w:val="1"/>
    <w:autoRedefine/>
    <w:qFormat/>
    <w:uiPriority w:val="0"/>
    <w:pPr>
      <w:adjustRightInd w:val="0"/>
      <w:spacing w:line="440" w:lineRule="atLeast"/>
      <w:jc w:val="center"/>
      <w:textAlignment w:val="baseline"/>
    </w:pPr>
    <w:rPr>
      <w:rFonts w:ascii="Arial Rounded MT Bold" w:hAnsi="Arial Rounded MT Bold" w:eastAsia="楷体_GB2312"/>
      <w:kern w:val="0"/>
      <w:szCs w:val="20"/>
    </w:rPr>
  </w:style>
  <w:style w:type="paragraph" w:styleId="56">
    <w:name w:val="List Paragraph"/>
    <w:basedOn w:val="1"/>
    <w:autoRedefine/>
    <w:qFormat/>
    <w:uiPriority w:val="0"/>
    <w:pPr>
      <w:ind w:firstLine="0" w:firstLineChars="0"/>
      <w:jc w:val="center"/>
    </w:pPr>
    <w:rPr>
      <w:rFonts w:ascii="Calibri" w:hAnsi="Calibri" w:eastAsia="黑体"/>
      <w:szCs w:val="24"/>
    </w:rPr>
  </w:style>
  <w:style w:type="paragraph" w:customStyle="1" w:styleId="57">
    <w:name w:val="表头"/>
    <w:basedOn w:val="35"/>
    <w:link w:val="126"/>
    <w:autoRedefine/>
    <w:qFormat/>
    <w:uiPriority w:val="0"/>
    <w:pPr>
      <w:ind w:firstLine="0"/>
      <w:jc w:val="center"/>
    </w:pPr>
    <w:rPr>
      <w:rFonts w:eastAsia="黑体"/>
      <w:color w:val="000000"/>
      <w:szCs w:val="24"/>
      <w:shd w:val="clear" w:color="auto" w:fill="FFFFFF"/>
      <w14:shadow w14:blurRad="50800" w14:dist="38100" w14:dir="2700000" w14:sx="100000" w14:sy="100000" w14:kx="0" w14:ky="0" w14:algn="tl">
        <w14:srgbClr w14:val="000000">
          <w14:alpha w14:val="60000"/>
        </w14:srgbClr>
      </w14:shadow>
    </w:rPr>
  </w:style>
  <w:style w:type="character" w:customStyle="1" w:styleId="58">
    <w:name w:val="页脚 Char"/>
    <w:basedOn w:val="40"/>
    <w:link w:val="23"/>
    <w:autoRedefine/>
    <w:qFormat/>
    <w:uiPriority w:val="99"/>
    <w:rPr>
      <w:rFonts w:ascii="Times New Roman" w:hAnsi="Times New Roman" w:eastAsia="宋体"/>
    </w:rPr>
  </w:style>
  <w:style w:type="paragraph" w:customStyle="1" w:styleId="59">
    <w:name w:val="Table Text"/>
    <w:basedOn w:val="1"/>
    <w:autoRedefine/>
    <w:semiHidden/>
    <w:qFormat/>
    <w:uiPriority w:val="0"/>
    <w:rPr>
      <w:rFonts w:ascii="宋体" w:hAnsi="宋体" w:eastAsia="宋体" w:cs="宋体"/>
      <w:sz w:val="21"/>
      <w:szCs w:val="21"/>
      <w:lang w:val="en-US" w:eastAsia="en-US" w:bidi="ar-SA"/>
    </w:rPr>
  </w:style>
  <w:style w:type="character" w:customStyle="1" w:styleId="60">
    <w:name w:val="页眉 Char"/>
    <w:basedOn w:val="40"/>
    <w:link w:val="24"/>
    <w:qFormat/>
    <w:uiPriority w:val="0"/>
  </w:style>
  <w:style w:type="paragraph" w:customStyle="1" w:styleId="61">
    <w:name w:val="xl27"/>
    <w:basedOn w:val="1"/>
    <w:autoRedefine/>
    <w:qFormat/>
    <w:uiPriority w:val="0"/>
    <w:pPr>
      <w:widowControl/>
      <w:spacing w:before="100" w:beforeAutospacing="1" w:after="100" w:afterAutospacing="1" w:line="360" w:lineRule="exact"/>
      <w:jc w:val="center"/>
      <w:textAlignment w:val="center"/>
    </w:pPr>
    <w:rPr>
      <w:rFonts w:hint="eastAsia" w:ascii="黑体" w:eastAsia="黑体"/>
      <w:kern w:val="0"/>
      <w:sz w:val="32"/>
      <w:szCs w:val="32"/>
    </w:rPr>
  </w:style>
  <w:style w:type="paragraph" w:customStyle="1" w:styleId="62">
    <w:name w:val="文本正文"/>
    <w:basedOn w:val="1"/>
    <w:autoRedefine/>
    <w:qFormat/>
    <w:uiPriority w:val="0"/>
    <w:pPr>
      <w:ind w:firstLine="200"/>
    </w:pPr>
    <w:rPr>
      <w:szCs w:val="24"/>
    </w:rPr>
  </w:style>
  <w:style w:type="character" w:customStyle="1" w:styleId="63">
    <w:name w:val="标题 2 Char2"/>
    <w:basedOn w:val="40"/>
    <w:link w:val="3"/>
    <w:autoRedefine/>
    <w:qFormat/>
    <w:uiPriority w:val="0"/>
    <w:rPr>
      <w:rFonts w:ascii="Times New Roman" w:hAnsi="Times New Roman" w:eastAsia="宋体"/>
      <w:b/>
      <w:bCs/>
      <w:kern w:val="2"/>
      <w:sz w:val="32"/>
      <w:szCs w:val="32"/>
      <w:lang w:val="en-US" w:eastAsia="zh-CN" w:bidi="ar-SA"/>
    </w:rPr>
  </w:style>
  <w:style w:type="paragraph" w:customStyle="1" w:styleId="64">
    <w:name w:val="Default"/>
    <w:basedOn w:val="65"/>
    <w:next w:val="1"/>
    <w:autoRedefine/>
    <w:qFormat/>
    <w:uiPriority w:val="0"/>
    <w:pPr>
      <w:autoSpaceDE w:val="0"/>
      <w:autoSpaceDN w:val="0"/>
      <w:adjustRightInd w:val="0"/>
    </w:pPr>
    <w:rPr>
      <w:rFonts w:cs="宋体"/>
      <w:color w:val="000000"/>
      <w:szCs w:val="24"/>
    </w:rPr>
  </w:style>
  <w:style w:type="paragraph" w:customStyle="1" w:styleId="65">
    <w:name w:val="纯文本1"/>
    <w:basedOn w:val="1"/>
    <w:autoRedefine/>
    <w:qFormat/>
    <w:uiPriority w:val="0"/>
    <w:rPr>
      <w:rFonts w:hint="eastAsia" w:ascii="宋体" w:hAnsi="Courier New"/>
    </w:rPr>
  </w:style>
  <w:style w:type="paragraph" w:customStyle="1" w:styleId="66">
    <w:name w:val="填表内容"/>
    <w:basedOn w:val="1"/>
    <w:autoRedefine/>
    <w:qFormat/>
    <w:uiPriority w:val="0"/>
    <w:pPr>
      <w:adjustRightInd w:val="0"/>
      <w:spacing w:line="480" w:lineRule="exact"/>
      <w:ind w:firstLine="560"/>
      <w:jc w:val="left"/>
      <w:textAlignment w:val="baseline"/>
    </w:pPr>
    <w:rPr>
      <w:rFonts w:ascii="楷体_GB2312" w:eastAsia="楷体_GB2312"/>
      <w:sz w:val="28"/>
    </w:rPr>
  </w:style>
  <w:style w:type="paragraph" w:customStyle="1" w:styleId="67">
    <w:name w:val="正文文字"/>
    <w:basedOn w:val="1"/>
    <w:autoRedefine/>
    <w:qFormat/>
    <w:uiPriority w:val="0"/>
    <w:pPr>
      <w:ind w:firstLine="200"/>
    </w:pPr>
    <w:rPr>
      <w:szCs w:val="20"/>
    </w:rPr>
  </w:style>
  <w:style w:type="paragraph" w:customStyle="1" w:styleId="68">
    <w:name w:val="正文（布）"/>
    <w:basedOn w:val="1"/>
    <w:autoRedefine/>
    <w:qFormat/>
    <w:uiPriority w:val="0"/>
    <w:pPr>
      <w:spacing w:line="520" w:lineRule="exact"/>
    </w:pPr>
    <w:rPr>
      <w:rFonts w:eastAsia="仿宋_GB2312"/>
      <w:kern w:val="0"/>
      <w:szCs w:val="28"/>
    </w:rPr>
  </w:style>
  <w:style w:type="paragraph" w:customStyle="1" w:styleId="69">
    <w:name w:val="BG-表头"/>
    <w:basedOn w:val="1"/>
    <w:autoRedefine/>
    <w:qFormat/>
    <w:uiPriority w:val="0"/>
    <w:pPr>
      <w:spacing w:line="240" w:lineRule="auto"/>
      <w:ind w:firstLine="0" w:firstLineChars="0"/>
      <w:jc w:val="center"/>
    </w:pPr>
    <w:rPr>
      <w:b/>
      <w:sz w:val="21"/>
    </w:rPr>
  </w:style>
  <w:style w:type="paragraph" w:customStyle="1" w:styleId="70">
    <w:name w:val="表文"/>
    <w:basedOn w:val="1"/>
    <w:autoRedefine/>
    <w:qFormat/>
    <w:uiPriority w:val="99"/>
    <w:pPr>
      <w:spacing w:line="240" w:lineRule="auto"/>
      <w:ind w:left="-85" w:firstLine="0" w:firstLineChars="0"/>
    </w:pPr>
    <w:rPr>
      <w:kern w:val="0"/>
      <w:position w:val="-24"/>
      <w:sz w:val="21"/>
      <w:szCs w:val="20"/>
    </w:rPr>
  </w:style>
  <w:style w:type="paragraph" w:customStyle="1" w:styleId="71">
    <w:name w:val="正文(首行缩进)"/>
    <w:basedOn w:val="1"/>
    <w:autoRedefine/>
    <w:qFormat/>
    <w:uiPriority w:val="0"/>
    <w:pPr>
      <w:ind w:firstLine="510"/>
    </w:pPr>
    <w:rPr>
      <w:rFonts w:ascii="宋体" w:hAnsi="宋体"/>
      <w:snapToGrid w:val="0"/>
      <w:kern w:val="0"/>
    </w:rPr>
  </w:style>
  <w:style w:type="paragraph" w:customStyle="1" w:styleId="72">
    <w:name w:val="报告书表内容"/>
    <w:basedOn w:val="70"/>
    <w:autoRedefine/>
    <w:qFormat/>
    <w:uiPriority w:val="99"/>
    <w:pPr>
      <w:spacing w:line="300" w:lineRule="exact"/>
      <w:ind w:left="0"/>
      <w:jc w:val="center"/>
    </w:pPr>
    <w:rPr>
      <w:rFonts w:ascii="宋体" w:hAnsi="宋体"/>
      <w:color w:val="000000"/>
      <w:position w:val="0"/>
      <w:szCs w:val="21"/>
    </w:rPr>
  </w:style>
  <w:style w:type="paragraph" w:customStyle="1" w:styleId="73">
    <w:name w:val="报告书正文"/>
    <w:basedOn w:val="1"/>
    <w:link w:val="133"/>
    <w:autoRedefine/>
    <w:qFormat/>
    <w:uiPriority w:val="0"/>
    <w:pPr>
      <w:adjustRightInd w:val="0"/>
      <w:ind w:firstLine="200"/>
      <w:textAlignment w:val="baseline"/>
    </w:pPr>
    <w:rPr>
      <w:kern w:val="0"/>
      <w:szCs w:val="20"/>
    </w:rPr>
  </w:style>
  <w:style w:type="paragraph" w:customStyle="1" w:styleId="74">
    <w:name w:val="表头（布）"/>
    <w:basedOn w:val="1"/>
    <w:autoRedefine/>
    <w:qFormat/>
    <w:uiPriority w:val="0"/>
    <w:pPr>
      <w:keepNext/>
      <w:keepLines/>
      <w:spacing w:before="120" w:line="460" w:lineRule="exact"/>
      <w:ind w:firstLine="0" w:firstLineChars="0"/>
      <w:jc w:val="center"/>
    </w:pPr>
    <w:rPr>
      <w:rFonts w:ascii="黑体" w:hAnsi="黑体" w:eastAsia="黑体"/>
      <w:kern w:val="10"/>
      <w:szCs w:val="28"/>
    </w:rPr>
  </w:style>
  <w:style w:type="paragraph" w:customStyle="1" w:styleId="75">
    <w:name w:val="表格样式"/>
    <w:next w:val="1"/>
    <w:qFormat/>
    <w:uiPriority w:val="0"/>
    <w:rPr>
      <w:rFonts w:ascii="Times New Roman" w:hAnsi="Times New Roman" w:eastAsia="宋体" w:cs="Times New Roman"/>
      <w:bCs/>
      <w:kern w:val="44"/>
      <w:sz w:val="21"/>
      <w:szCs w:val="44"/>
      <w:lang w:val="en-US" w:eastAsia="zh-CN" w:bidi="ar-SA"/>
    </w:rPr>
  </w:style>
  <w:style w:type="paragraph" w:customStyle="1" w:styleId="76">
    <w:name w:val="正文小四"/>
    <w:basedOn w:val="1"/>
    <w:autoRedefine/>
    <w:qFormat/>
    <w:uiPriority w:val="0"/>
    <w:pPr>
      <w:ind w:firstLine="360" w:firstLineChars="150"/>
      <w:jc w:val="left"/>
    </w:pPr>
    <w:rPr>
      <w:szCs w:val="20"/>
    </w:rPr>
  </w:style>
  <w:style w:type="paragraph" w:customStyle="1" w:styleId="77">
    <w:name w:val="_Style 56"/>
    <w:basedOn w:val="2"/>
    <w:next w:val="1"/>
    <w:qFormat/>
    <w:uiPriority w:val="39"/>
    <w:pPr>
      <w:widowControl/>
      <w:numPr>
        <w:numId w:val="0"/>
      </w:numPr>
      <w:spacing w:before="480" w:line="276" w:lineRule="auto"/>
      <w:outlineLvl w:val="9"/>
    </w:pPr>
    <w:rPr>
      <w:rFonts w:ascii="Cambria" w:hAnsi="Cambria"/>
      <w:color w:val="365F91"/>
      <w:kern w:val="0"/>
      <w:sz w:val="28"/>
      <w:szCs w:val="28"/>
    </w:rPr>
  </w:style>
  <w:style w:type="paragraph" w:customStyle="1" w:styleId="78">
    <w:name w:val="报告书表头"/>
    <w:basedOn w:val="56"/>
    <w:autoRedefine/>
    <w:qFormat/>
    <w:uiPriority w:val="0"/>
    <w:pPr>
      <w:ind w:firstLine="482"/>
    </w:pPr>
    <w:rPr>
      <w:rFonts w:ascii="黑体" w:hAnsi="黑体"/>
      <w:color w:val="000000"/>
    </w:rPr>
  </w:style>
  <w:style w:type="paragraph" w:customStyle="1" w:styleId="79">
    <w:name w:val="样式 表格表头样式"/>
    <w:basedOn w:val="1"/>
    <w:autoRedefine/>
    <w:qFormat/>
    <w:uiPriority w:val="0"/>
    <w:pPr>
      <w:widowControl/>
      <w:tabs>
        <w:tab w:val="left" w:pos="420"/>
      </w:tabs>
      <w:adjustRightInd w:val="0"/>
      <w:snapToGrid w:val="0"/>
      <w:ind w:left="420" w:hanging="420"/>
      <w:jc w:val="center"/>
    </w:pPr>
    <w:rPr>
      <w:rFonts w:eastAsia="黑体" w:cs="宋体"/>
      <w:kern w:val="0"/>
      <w:szCs w:val="20"/>
    </w:rPr>
  </w:style>
  <w:style w:type="paragraph" w:customStyle="1" w:styleId="80">
    <w:name w:val="奇正表格"/>
    <w:basedOn w:val="76"/>
    <w:autoRedefine/>
    <w:qFormat/>
    <w:uiPriority w:val="0"/>
    <w:pPr>
      <w:spacing w:line="360" w:lineRule="exact"/>
      <w:ind w:firstLine="0" w:firstLineChars="0"/>
      <w:jc w:val="center"/>
    </w:pPr>
    <w:rPr>
      <w:rFonts w:ascii="Calibri" w:hAnsi="Calibri"/>
      <w:kern w:val="0"/>
      <w:sz w:val="21"/>
      <w:szCs w:val="22"/>
    </w:rPr>
  </w:style>
  <w:style w:type="paragraph" w:customStyle="1" w:styleId="81">
    <w:name w:val="段落"/>
    <w:basedOn w:val="1"/>
    <w:qFormat/>
    <w:uiPriority w:val="0"/>
    <w:pPr>
      <w:tabs>
        <w:tab w:val="left" w:pos="1021"/>
        <w:tab w:val="left" w:pos="1320"/>
      </w:tabs>
      <w:snapToGrid w:val="0"/>
      <w:ind w:firstLine="200"/>
    </w:pPr>
    <w:rPr>
      <w:color w:val="FF0000"/>
    </w:rPr>
  </w:style>
  <w:style w:type="paragraph" w:customStyle="1" w:styleId="82">
    <w:name w:val="样式 首行缩进:  1 厘米 行距: 固定值 25 磅"/>
    <w:basedOn w:val="1"/>
    <w:autoRedefine/>
    <w:qFormat/>
    <w:uiPriority w:val="0"/>
    <w:pPr>
      <w:adjustRightInd w:val="0"/>
      <w:ind w:firstLine="200"/>
      <w:jc w:val="left"/>
      <w:textAlignment w:val="baseline"/>
    </w:pPr>
    <w:rPr>
      <w:rFonts w:ascii="宋体" w:cs="宋体"/>
      <w:snapToGrid w:val="0"/>
      <w:kern w:val="24"/>
      <w:szCs w:val="24"/>
    </w:rPr>
  </w:style>
  <w:style w:type="paragraph" w:customStyle="1" w:styleId="83">
    <w:name w:val="Normal+2"/>
    <w:basedOn w:val="64"/>
    <w:next w:val="64"/>
    <w:autoRedefine/>
    <w:qFormat/>
    <w:uiPriority w:val="0"/>
    <w:rPr>
      <w:rFonts w:cs="Times New Roman"/>
      <w:color w:val="auto"/>
    </w:rPr>
  </w:style>
  <w:style w:type="paragraph" w:customStyle="1" w:styleId="84">
    <w:name w:val="图表标题"/>
    <w:basedOn w:val="1"/>
    <w:link w:val="131"/>
    <w:autoRedefine/>
    <w:qFormat/>
    <w:uiPriority w:val="0"/>
    <w:pPr>
      <w:adjustRightInd w:val="0"/>
      <w:snapToGrid w:val="0"/>
      <w:spacing w:line="336" w:lineRule="auto"/>
      <w:ind w:firstLine="0" w:firstLineChars="0"/>
      <w:jc w:val="center"/>
    </w:pPr>
    <w:rPr>
      <w:b/>
      <w:kern w:val="0"/>
      <w:sz w:val="21"/>
      <w:szCs w:val="20"/>
    </w:rPr>
  </w:style>
  <w:style w:type="paragraph" w:customStyle="1" w:styleId="85">
    <w:name w:val="表"/>
    <w:basedOn w:val="1"/>
    <w:autoRedefine/>
    <w:qFormat/>
    <w:uiPriority w:val="0"/>
    <w:pPr>
      <w:snapToGrid w:val="0"/>
      <w:spacing w:line="240" w:lineRule="auto"/>
      <w:ind w:firstLine="0" w:firstLineChars="0"/>
      <w:jc w:val="center"/>
    </w:pPr>
    <w:rPr>
      <w:spacing w:val="2"/>
      <w:sz w:val="21"/>
    </w:rPr>
  </w:style>
  <w:style w:type="paragraph" w:customStyle="1" w:styleId="86">
    <w:name w:val="样式 目录 1 + 首行缩进:  0.85 厘米1"/>
    <w:basedOn w:val="25"/>
    <w:link w:val="135"/>
    <w:autoRedefine/>
    <w:qFormat/>
    <w:uiPriority w:val="0"/>
    <w:pPr>
      <w:tabs>
        <w:tab w:val="right" w:leader="dot" w:pos="9323"/>
      </w:tabs>
      <w:ind w:firstLine="482"/>
    </w:pPr>
    <w:rPr>
      <w:rFonts w:ascii="Calibri" w:hAnsi="Calibri" w:cs="宋体"/>
    </w:rPr>
  </w:style>
  <w:style w:type="paragraph" w:styleId="87">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8">
    <w:name w:val="引用1"/>
    <w:basedOn w:val="1"/>
    <w:next w:val="1"/>
    <w:autoRedefine/>
    <w:qFormat/>
    <w:uiPriority w:val="0"/>
    <w:pPr>
      <w:jc w:val="center"/>
    </w:pPr>
    <w:rPr>
      <w:b/>
      <w:iCs/>
    </w:rPr>
  </w:style>
  <w:style w:type="paragraph" w:customStyle="1" w:styleId="89">
    <w:name w:val="样式 标题 2 + 黑色"/>
    <w:basedOn w:val="3"/>
    <w:autoRedefine/>
    <w:qFormat/>
    <w:uiPriority w:val="0"/>
    <w:rPr>
      <w:color w:val="000000"/>
    </w:rPr>
  </w:style>
  <w:style w:type="paragraph" w:customStyle="1" w:styleId="90">
    <w:name w:val="表内-文字"/>
    <w:basedOn w:val="1"/>
    <w:autoRedefine/>
    <w:qFormat/>
    <w:uiPriority w:val="99"/>
    <w:pPr>
      <w:spacing w:line="240" w:lineRule="auto"/>
      <w:ind w:firstLine="0" w:firstLineChars="0"/>
      <w:jc w:val="center"/>
    </w:pPr>
    <w:rPr>
      <w:rFonts w:cs="宋体"/>
      <w:bCs/>
      <w:color w:val="000000"/>
      <w:sz w:val="21"/>
      <w:szCs w:val="21"/>
    </w:rPr>
  </w:style>
  <w:style w:type="paragraph" w:customStyle="1" w:styleId="91">
    <w:name w:val="BG-表内文字"/>
    <w:basedOn w:val="1"/>
    <w:link w:val="142"/>
    <w:autoRedefine/>
    <w:qFormat/>
    <w:uiPriority w:val="0"/>
    <w:pPr>
      <w:spacing w:line="240" w:lineRule="auto"/>
      <w:ind w:firstLine="0" w:firstLineChars="0"/>
      <w:jc w:val="center"/>
    </w:pPr>
    <w:rPr>
      <w:rFonts w:ascii="宋体" w:hAnsi="宋体"/>
      <w:sz w:val="21"/>
      <w:szCs w:val="21"/>
    </w:rPr>
  </w:style>
  <w:style w:type="paragraph" w:customStyle="1" w:styleId="92">
    <w:name w:val="永环书图表标题"/>
    <w:basedOn w:val="1"/>
    <w:autoRedefine/>
    <w:qFormat/>
    <w:uiPriority w:val="99"/>
    <w:pPr>
      <w:spacing w:beforeLines="20" w:afterLines="20" w:line="440" w:lineRule="exact"/>
      <w:ind w:firstLine="0" w:firstLineChars="0"/>
      <w:jc w:val="center"/>
    </w:pPr>
    <w:rPr>
      <w:rFonts w:eastAsia="黑体"/>
      <w:color w:val="000000"/>
      <w:szCs w:val="24"/>
    </w:rPr>
  </w:style>
  <w:style w:type="paragraph" w:customStyle="1" w:styleId="93">
    <w:name w:val="正文文本 (2)"/>
    <w:basedOn w:val="1"/>
    <w:link w:val="132"/>
    <w:autoRedefine/>
    <w:qFormat/>
    <w:uiPriority w:val="0"/>
    <w:pPr>
      <w:shd w:val="clear" w:color="auto" w:fill="FFFFFF"/>
      <w:spacing w:line="466" w:lineRule="exact"/>
      <w:ind w:hanging="220"/>
      <w:jc w:val="distribute"/>
    </w:pPr>
    <w:rPr>
      <w:rFonts w:ascii="宋体" w:hAnsi="Calibri"/>
      <w:sz w:val="22"/>
    </w:rPr>
  </w:style>
  <w:style w:type="paragraph" w:customStyle="1" w:styleId="94">
    <w:name w:val="表格内文字"/>
    <w:basedOn w:val="1"/>
    <w:autoRedefine/>
    <w:qFormat/>
    <w:uiPriority w:val="0"/>
    <w:pPr>
      <w:tabs>
        <w:tab w:val="left" w:pos="0"/>
      </w:tabs>
      <w:adjustRightInd w:val="0"/>
      <w:snapToGrid w:val="0"/>
      <w:jc w:val="center"/>
    </w:pPr>
    <w:rPr>
      <w:rFonts w:ascii="仿宋_GB2312" w:eastAsia="仿宋_GB2312"/>
      <w:spacing w:val="4"/>
      <w:kern w:val="18"/>
      <w:szCs w:val="24"/>
    </w:rPr>
  </w:style>
  <w:style w:type="paragraph" w:customStyle="1" w:styleId="95">
    <w:name w:val="BG正文"/>
    <w:basedOn w:val="32"/>
    <w:link w:val="144"/>
    <w:autoRedefine/>
    <w:qFormat/>
    <w:uiPriority w:val="0"/>
    <w:pPr>
      <w:adjustRightInd w:val="0"/>
      <w:spacing w:before="0" w:beforeAutospacing="0" w:after="0" w:afterAutospacing="0"/>
      <w:ind w:firstLine="480"/>
    </w:pPr>
    <w:rPr>
      <w:color w:val="000000"/>
      <w:szCs w:val="24"/>
    </w:rPr>
  </w:style>
  <w:style w:type="paragraph" w:customStyle="1" w:styleId="96">
    <w:name w:val="段落(G)"/>
    <w:basedOn w:val="1"/>
    <w:autoRedefine/>
    <w:qFormat/>
    <w:uiPriority w:val="0"/>
    <w:pPr>
      <w:tabs>
        <w:tab w:val="left" w:pos="1021"/>
        <w:tab w:val="left" w:pos="1320"/>
      </w:tabs>
      <w:ind w:firstLine="480"/>
    </w:pPr>
    <w:rPr>
      <w:rFonts w:ascii="Calibri" w:hAnsi="Calibri"/>
      <w:color w:val="000000"/>
      <w:kern w:val="24"/>
      <w:lang w:val="zh-CN"/>
    </w:rPr>
  </w:style>
  <w:style w:type="paragraph" w:customStyle="1" w:styleId="97">
    <w:name w:val="BG-正文"/>
    <w:basedOn w:val="1"/>
    <w:link w:val="130"/>
    <w:autoRedefine/>
    <w:qFormat/>
    <w:uiPriority w:val="0"/>
    <w:pPr>
      <w:ind w:firstLine="200"/>
    </w:pPr>
    <w:rPr>
      <w:rFonts w:ascii="宋体" w:hAnsi="宋体"/>
      <w:color w:val="000000"/>
      <w:szCs w:val="24"/>
    </w:rPr>
  </w:style>
  <w:style w:type="paragraph" w:customStyle="1" w:styleId="98">
    <w:name w:val="textaligncenter"/>
    <w:basedOn w:val="1"/>
    <w:qFormat/>
    <w:uiPriority w:val="0"/>
    <w:pPr>
      <w:jc w:val="center"/>
    </w:pPr>
    <w:rPr>
      <w:kern w:val="0"/>
    </w:rPr>
  </w:style>
  <w:style w:type="paragraph" w:customStyle="1" w:styleId="99">
    <w:name w:val="烟厂正文"/>
    <w:basedOn w:val="1"/>
    <w:link w:val="124"/>
    <w:autoRedefine/>
    <w:qFormat/>
    <w:uiPriority w:val="0"/>
    <w:pPr>
      <w:spacing w:line="500" w:lineRule="exact"/>
      <w:ind w:firstLine="480"/>
    </w:pPr>
    <w:rPr>
      <w:color w:val="000000"/>
      <w:kern w:val="0"/>
    </w:rPr>
  </w:style>
  <w:style w:type="paragraph" w:customStyle="1" w:styleId="100">
    <w:name w:val="Table Paragraph"/>
    <w:basedOn w:val="1"/>
    <w:autoRedefine/>
    <w:qFormat/>
    <w:uiPriority w:val="1"/>
    <w:pPr>
      <w:jc w:val="center"/>
    </w:pPr>
    <w:rPr>
      <w:rFonts w:ascii="宋体" w:hAnsi="宋体" w:cs="宋体"/>
    </w:rPr>
  </w:style>
  <w:style w:type="paragraph" w:customStyle="1" w:styleId="101">
    <w:name w:val="图表说明"/>
    <w:basedOn w:val="1"/>
    <w:autoRedefine/>
    <w:qFormat/>
    <w:uiPriority w:val="0"/>
    <w:pPr>
      <w:adjustRightInd w:val="0"/>
      <w:snapToGrid w:val="0"/>
      <w:spacing w:line="360" w:lineRule="exact"/>
      <w:ind w:firstLine="360" w:firstLineChars="150"/>
    </w:pPr>
    <w:rPr>
      <w:rFonts w:ascii="黑体" w:eastAsia="黑体"/>
      <w:szCs w:val="24"/>
    </w:rPr>
  </w:style>
  <w:style w:type="paragraph" w:customStyle="1" w:styleId="102">
    <w:name w:val="赵海文表头"/>
    <w:basedOn w:val="1"/>
    <w:link w:val="125"/>
    <w:autoRedefine/>
    <w:qFormat/>
    <w:uiPriority w:val="0"/>
    <w:pPr>
      <w:ind w:firstLine="0"/>
      <w:jc w:val="center"/>
    </w:pPr>
    <w:rPr>
      <w:rFonts w:eastAsia="黑体"/>
      <w:color w:val="000000"/>
      <w:szCs w:val="24"/>
      <w:shd w:val="clear" w:color="auto" w:fill="FFFFFF"/>
      <w14:shadow w14:blurRad="50800" w14:dist="38100" w14:dir="2700000" w14:sx="100000" w14:sy="100000" w14:kx="0" w14:ky="0" w14:algn="tl">
        <w14:srgbClr w14:val="000000">
          <w14:alpha w14:val="60000"/>
        </w14:srgbClr>
      </w14:shadow>
    </w:rPr>
  </w:style>
  <w:style w:type="paragraph" w:customStyle="1" w:styleId="103">
    <w:name w:val="样式 宋体 小四 黑色 首行缩进:  1.03 厘米"/>
    <w:basedOn w:val="1"/>
    <w:next w:val="1"/>
    <w:autoRedefine/>
    <w:qFormat/>
    <w:uiPriority w:val="0"/>
    <w:pPr>
      <w:ind w:firstLine="567" w:firstLineChars="0"/>
    </w:pPr>
    <w:rPr>
      <w:rFonts w:ascii="宋体" w:hAnsi="宋体" w:cs="宋体"/>
      <w:color w:val="000000"/>
      <w:szCs w:val="20"/>
    </w:rPr>
  </w:style>
  <w:style w:type="paragraph" w:customStyle="1" w:styleId="104">
    <w:name w:val="永环书表内格式"/>
    <w:basedOn w:val="1"/>
    <w:autoRedefine/>
    <w:qFormat/>
    <w:uiPriority w:val="99"/>
    <w:pPr>
      <w:shd w:val="clear" w:color="auto" w:fill="FFFFFF"/>
      <w:spacing w:line="300" w:lineRule="exact"/>
      <w:jc w:val="center"/>
    </w:pPr>
    <w:rPr>
      <w:spacing w:val="-20"/>
      <w:shd w:val="clear" w:color="auto" w:fill="FFFFFF"/>
    </w:rPr>
  </w:style>
  <w:style w:type="paragraph" w:customStyle="1" w:styleId="105">
    <w:name w:val="正文首行缩进 2 + Times New Roman"/>
    <w:basedOn w:val="1"/>
    <w:autoRedefine/>
    <w:qFormat/>
    <w:uiPriority w:val="0"/>
    <w:pPr>
      <w:tabs>
        <w:tab w:val="left" w:pos="0"/>
        <w:tab w:val="left" w:pos="870"/>
        <w:tab w:val="left" w:pos="3150"/>
      </w:tabs>
      <w:autoSpaceDE w:val="0"/>
      <w:autoSpaceDN w:val="0"/>
      <w:ind w:firstLine="480"/>
      <w:jc w:val="left"/>
    </w:pPr>
    <w:rPr>
      <w:kern w:val="0"/>
      <w:szCs w:val="24"/>
    </w:rPr>
  </w:style>
  <w:style w:type="paragraph" w:customStyle="1" w:styleId="106">
    <w:name w:val="图表"/>
    <w:basedOn w:val="1"/>
    <w:autoRedefine/>
    <w:qFormat/>
    <w:uiPriority w:val="0"/>
    <w:pPr>
      <w:adjustRightInd w:val="0"/>
      <w:snapToGrid w:val="0"/>
      <w:jc w:val="center"/>
    </w:pPr>
    <w:rPr>
      <w:rFonts w:ascii="宋体" w:hAnsi="宋体"/>
      <w:color w:val="000000"/>
      <w:szCs w:val="21"/>
    </w:rPr>
  </w:style>
  <w:style w:type="paragraph" w:customStyle="1" w:styleId="107">
    <w:name w:val="List Paragraph1"/>
    <w:basedOn w:val="1"/>
    <w:autoRedefine/>
    <w:qFormat/>
    <w:uiPriority w:val="99"/>
    <w:pPr>
      <w:tabs>
        <w:tab w:val="left" w:pos="2422"/>
      </w:tabs>
      <w:ind w:firstLine="420"/>
    </w:pPr>
  </w:style>
  <w:style w:type="paragraph" w:customStyle="1" w:styleId="108">
    <w:name w:val="样式 左 行距: 固定值 32 磅 首行缩进:  2 字符"/>
    <w:basedOn w:val="1"/>
    <w:autoRedefine/>
    <w:qFormat/>
    <w:uiPriority w:val="0"/>
    <w:pPr>
      <w:spacing w:line="640" w:lineRule="exact"/>
      <w:ind w:firstLine="560"/>
      <w:jc w:val="left"/>
    </w:pPr>
    <w:rPr>
      <w:rFonts w:cs="宋体"/>
    </w:rPr>
  </w:style>
  <w:style w:type="paragraph" w:customStyle="1" w:styleId="109">
    <w:name w:val="小四表文居中"/>
    <w:autoRedefine/>
    <w:qFormat/>
    <w:uiPriority w:val="0"/>
    <w:pPr>
      <w:widowControl w:val="0"/>
      <w:jc w:val="center"/>
    </w:pPr>
    <w:rPr>
      <w:rFonts w:ascii="仿宋_GB2312" w:hAnsi="Calibri" w:eastAsia="仿宋_GB2312" w:cs="仿宋_GB2312"/>
      <w:kern w:val="2"/>
      <w:sz w:val="24"/>
      <w:szCs w:val="24"/>
      <w:lang w:val="en-US" w:eastAsia="zh-CN" w:bidi="ar-SA"/>
    </w:rPr>
  </w:style>
  <w:style w:type="paragraph" w:customStyle="1" w:styleId="110">
    <w:name w:val="表格 32"/>
    <w:basedOn w:val="1"/>
    <w:autoRedefine/>
    <w:qFormat/>
    <w:uiPriority w:val="0"/>
    <w:pPr>
      <w:autoSpaceDE w:val="0"/>
      <w:autoSpaceDN w:val="0"/>
      <w:adjustRightInd w:val="0"/>
      <w:jc w:val="center"/>
      <w:textAlignment w:val="baseline"/>
    </w:pPr>
    <w:rPr>
      <w:rFonts w:eastAsia="楷体_GB2312"/>
      <w:kern w:val="0"/>
      <w:szCs w:val="20"/>
    </w:rPr>
  </w:style>
  <w:style w:type="paragraph" w:customStyle="1" w:styleId="111">
    <w:name w:val="整洁正文"/>
    <w:basedOn w:val="1"/>
    <w:autoRedefine/>
    <w:qFormat/>
    <w:uiPriority w:val="99"/>
    <w:pPr>
      <w:adjustRightInd w:val="0"/>
      <w:snapToGrid w:val="0"/>
      <w:ind w:firstLine="480"/>
    </w:pPr>
    <w:rPr>
      <w:rFonts w:ascii="宋体" w:hAnsi="宋体"/>
    </w:rPr>
  </w:style>
  <w:style w:type="paragraph" w:customStyle="1" w:styleId="112">
    <w:name w:val="List Paragraph2"/>
    <w:basedOn w:val="1"/>
    <w:autoRedefine/>
    <w:qFormat/>
    <w:uiPriority w:val="1"/>
    <w:pPr>
      <w:ind w:left="1009" w:hanging="720"/>
    </w:pPr>
    <w:rPr>
      <w:rFonts w:ascii="宋体" w:hAnsi="宋体" w:cs="宋体"/>
      <w:lang w:val="zh-CN" w:bidi="zh-CN"/>
    </w:rPr>
  </w:style>
  <w:style w:type="paragraph" w:customStyle="1" w:styleId="113">
    <w:name w:val="正文 03"/>
    <w:basedOn w:val="1"/>
    <w:autoRedefine/>
    <w:qFormat/>
    <w:uiPriority w:val="0"/>
    <w:pPr>
      <w:autoSpaceDE w:val="0"/>
      <w:autoSpaceDN w:val="0"/>
      <w:adjustRightInd w:val="0"/>
      <w:textAlignment w:val="baseline"/>
    </w:pPr>
    <w:rPr>
      <w:rFonts w:eastAsia="楷体_GB2312"/>
      <w:kern w:val="0"/>
      <w:szCs w:val="20"/>
    </w:rPr>
  </w:style>
  <w:style w:type="paragraph" w:customStyle="1" w:styleId="114">
    <w:name w:val="表文字"/>
    <w:basedOn w:val="1"/>
    <w:autoRedefine/>
    <w:qFormat/>
    <w:uiPriority w:val="0"/>
    <w:pPr>
      <w:overflowPunct w:val="0"/>
      <w:autoSpaceDE w:val="0"/>
      <w:autoSpaceDN w:val="0"/>
      <w:adjustRightInd w:val="0"/>
      <w:spacing w:line="240" w:lineRule="auto"/>
      <w:jc w:val="center"/>
      <w:textAlignment w:val="baseline"/>
    </w:pPr>
    <w:rPr>
      <w:kern w:val="0"/>
      <w:sz w:val="21"/>
      <w:szCs w:val="21"/>
    </w:rPr>
  </w:style>
  <w:style w:type="paragraph" w:customStyle="1" w:styleId="115">
    <w:name w:val="君邦正文"/>
    <w:basedOn w:val="1"/>
    <w:autoRedefine/>
    <w:qFormat/>
    <w:uiPriority w:val="0"/>
    <w:pPr>
      <w:spacing w:after="60"/>
      <w:ind w:firstLine="200"/>
    </w:pPr>
  </w:style>
  <w:style w:type="paragraph" w:customStyle="1" w:styleId="116">
    <w:name w:val="永环表内格式"/>
    <w:basedOn w:val="54"/>
    <w:autoRedefine/>
    <w:qFormat/>
    <w:uiPriority w:val="0"/>
    <w:pPr>
      <w:spacing w:line="360" w:lineRule="exact"/>
      <w:jc w:val="center"/>
    </w:pPr>
    <w:rPr>
      <w:szCs w:val="21"/>
    </w:rPr>
  </w:style>
  <w:style w:type="paragraph" w:customStyle="1" w:styleId="117">
    <w:name w:val="报告正文"/>
    <w:basedOn w:val="1"/>
    <w:autoRedefine/>
    <w:qFormat/>
    <w:uiPriority w:val="0"/>
    <w:pPr>
      <w:ind w:firstLine="480"/>
    </w:pPr>
    <w:rPr>
      <w:bCs/>
      <w:color w:val="000000"/>
      <w:kern w:val="0"/>
      <w:szCs w:val="20"/>
    </w:rPr>
  </w:style>
  <w:style w:type="paragraph" w:customStyle="1" w:styleId="118">
    <w:name w:val="图标名称"/>
    <w:basedOn w:val="31"/>
    <w:autoRedefine/>
    <w:qFormat/>
    <w:uiPriority w:val="0"/>
    <w:pPr>
      <w:spacing w:after="0" w:line="240" w:lineRule="auto"/>
      <w:ind w:firstLine="0" w:firstLineChars="0"/>
      <w:jc w:val="center"/>
    </w:pPr>
    <w:rPr>
      <w:b/>
    </w:rPr>
  </w:style>
  <w:style w:type="paragraph" w:customStyle="1" w:styleId="119">
    <w:name w:val="无间隔1"/>
    <w:autoRedefine/>
    <w:qFormat/>
    <w:uiPriority w:val="0"/>
    <w:pPr>
      <w:widowControl w:val="0"/>
      <w:jc w:val="center"/>
      <w:outlineLvl w:val="7"/>
    </w:pPr>
    <w:rPr>
      <w:rFonts w:ascii="Calibri" w:hAnsi="Calibri" w:eastAsia="宋体" w:cs="Times New Roman"/>
      <w:kern w:val="2"/>
      <w:sz w:val="21"/>
      <w:szCs w:val="24"/>
      <w:lang w:val="en-US" w:eastAsia="zh-CN" w:bidi="ar-SA"/>
    </w:rPr>
  </w:style>
  <w:style w:type="paragraph" w:customStyle="1" w:styleId="120">
    <w:name w:val="正文2"/>
    <w:basedOn w:val="1"/>
    <w:autoRedefine/>
    <w:qFormat/>
    <w:uiPriority w:val="0"/>
    <w:pPr>
      <w:adjustRightInd w:val="0"/>
      <w:snapToGrid w:val="0"/>
      <w:spacing w:line="440" w:lineRule="atLeast"/>
      <w:ind w:firstLine="567"/>
    </w:pPr>
    <w:rPr>
      <w:szCs w:val="20"/>
    </w:rPr>
  </w:style>
  <w:style w:type="paragraph" w:customStyle="1" w:styleId="121">
    <w:name w:val="标准正文"/>
    <w:basedOn w:val="1"/>
    <w:autoRedefine/>
    <w:qFormat/>
    <w:uiPriority w:val="0"/>
    <w:pPr>
      <w:ind w:firstLine="480"/>
    </w:pPr>
    <w:rPr>
      <w:rFonts w:ascii="宋体" w:hAnsi="宋体"/>
    </w:rPr>
  </w:style>
  <w:style w:type="paragraph" w:customStyle="1" w:styleId="122">
    <w:name w:val="正文表格"/>
    <w:basedOn w:val="1"/>
    <w:autoRedefine/>
    <w:qFormat/>
    <w:uiPriority w:val="0"/>
    <w:pPr>
      <w:spacing w:line="240" w:lineRule="auto"/>
      <w:ind w:firstLine="0"/>
      <w:jc w:val="center"/>
    </w:pPr>
    <w:rPr>
      <w:rFonts w:ascii="宋体" w:hAnsi="宋体"/>
      <w:kern w:val="0"/>
      <w:sz w:val="20"/>
      <w:szCs w:val="21"/>
    </w:rPr>
  </w:style>
  <w:style w:type="paragraph" w:customStyle="1" w:styleId="123">
    <w:name w:val="Char"/>
    <w:basedOn w:val="1"/>
    <w:autoRedefine/>
    <w:qFormat/>
    <w:uiPriority w:val="0"/>
  </w:style>
  <w:style w:type="character" w:customStyle="1" w:styleId="124">
    <w:name w:val="烟厂正文 Char"/>
    <w:basedOn w:val="40"/>
    <w:link w:val="99"/>
    <w:autoRedefine/>
    <w:qFormat/>
    <w:uiPriority w:val="0"/>
    <w:rPr>
      <w:color w:val="000000"/>
      <w:kern w:val="0"/>
      <w:sz w:val="24"/>
    </w:rPr>
  </w:style>
  <w:style w:type="character" w:customStyle="1" w:styleId="125">
    <w:name w:val="表头 Char1"/>
    <w:basedOn w:val="40"/>
    <w:link w:val="102"/>
    <w:autoRedefine/>
    <w:qFormat/>
    <w:uiPriority w:val="0"/>
    <w:rPr>
      <w:rFonts w:ascii="Times New Roman" w:hAnsi="Times New Roman" w:eastAsia="黑体"/>
      <w:color w:val="000000"/>
      <w:kern w:val="2"/>
      <w:sz w:val="24"/>
      <w:szCs w:val="24"/>
      <w14:shadow w14:blurRad="50800" w14:dist="38100" w14:dir="2700000" w14:sx="100000" w14:sy="100000" w14:kx="0" w14:ky="0" w14:algn="tl">
        <w14:srgbClr w14:val="000000">
          <w14:alpha w14:val="60000"/>
        </w14:srgbClr>
      </w14:shadow>
    </w:rPr>
  </w:style>
  <w:style w:type="character" w:customStyle="1" w:styleId="126">
    <w:name w:val="表头 Char"/>
    <w:basedOn w:val="40"/>
    <w:link w:val="57"/>
    <w:autoRedefine/>
    <w:qFormat/>
    <w:uiPriority w:val="0"/>
    <w:rPr>
      <w:rFonts w:ascii="Times New Roman" w:hAnsi="Times New Roman" w:eastAsia="黑体"/>
      <w:color w:val="000000"/>
      <w:szCs w:val="24"/>
      <w:shd w:val="clear" w:color="auto" w:fill="FFFFFF"/>
      <w14:shadow w14:blurRad="50800" w14:dist="38100" w14:dir="2700000" w14:sx="100000" w14:sy="100000" w14:kx="0" w14:ky="0" w14:algn="tl">
        <w14:srgbClr w14:val="000000">
          <w14:alpha w14:val="60000"/>
        </w14:srgbClr>
      </w14:shadow>
    </w:rPr>
  </w:style>
  <w:style w:type="character" w:customStyle="1" w:styleId="127">
    <w:name w:val="font41"/>
    <w:autoRedefine/>
    <w:qFormat/>
    <w:uiPriority w:val="0"/>
    <w:rPr>
      <w:rFonts w:hint="eastAsia" w:ascii="宋体" w:hAnsi="宋体" w:eastAsia="宋体" w:cs="宋体"/>
      <w:color w:val="000000"/>
      <w:sz w:val="20"/>
      <w:szCs w:val="20"/>
      <w:u w:val="none"/>
    </w:rPr>
  </w:style>
  <w:style w:type="character" w:customStyle="1" w:styleId="128">
    <w:name w:val="font11"/>
    <w:basedOn w:val="40"/>
    <w:autoRedefine/>
    <w:qFormat/>
    <w:uiPriority w:val="0"/>
    <w:rPr>
      <w:rFonts w:hint="default" w:ascii="Times New Roman" w:hAnsi="Times New Roman" w:cs="Times New Roman"/>
      <w:color w:val="000000"/>
      <w:sz w:val="20"/>
      <w:szCs w:val="20"/>
      <w:u w:val="none"/>
    </w:rPr>
  </w:style>
  <w:style w:type="character" w:customStyle="1" w:styleId="129">
    <w:name w:val="font01"/>
    <w:basedOn w:val="40"/>
    <w:autoRedefine/>
    <w:qFormat/>
    <w:uiPriority w:val="0"/>
    <w:rPr>
      <w:rFonts w:hint="default" w:ascii="Times New Roman" w:hAnsi="Times New Roman" w:cs="Times New Roman"/>
      <w:color w:val="000000"/>
      <w:sz w:val="20"/>
      <w:szCs w:val="20"/>
      <w:u w:val="none"/>
      <w:vertAlign w:val="superscript"/>
    </w:rPr>
  </w:style>
  <w:style w:type="character" w:customStyle="1" w:styleId="130">
    <w:name w:val="BG-正文 Char"/>
    <w:link w:val="97"/>
    <w:autoRedefine/>
    <w:qFormat/>
    <w:uiPriority w:val="0"/>
    <w:rPr>
      <w:rFonts w:ascii="宋体" w:hAnsi="宋体"/>
      <w:color w:val="000000"/>
      <w:kern w:val="2"/>
      <w:sz w:val="24"/>
      <w:szCs w:val="24"/>
    </w:rPr>
  </w:style>
  <w:style w:type="character" w:customStyle="1" w:styleId="131">
    <w:name w:val="图表标题 Char"/>
    <w:link w:val="84"/>
    <w:autoRedefine/>
    <w:qFormat/>
    <w:uiPriority w:val="0"/>
    <w:rPr>
      <w:b/>
      <w:sz w:val="21"/>
    </w:rPr>
  </w:style>
  <w:style w:type="character" w:customStyle="1" w:styleId="132">
    <w:name w:val="正文文本 (2)_"/>
    <w:link w:val="93"/>
    <w:autoRedefine/>
    <w:qFormat/>
    <w:uiPriority w:val="0"/>
    <w:rPr>
      <w:rFonts w:ascii="宋体" w:hAnsi="Calibri" w:cs="Times New Roman"/>
      <w:sz w:val="22"/>
      <w:szCs w:val="22"/>
    </w:rPr>
  </w:style>
  <w:style w:type="character" w:customStyle="1" w:styleId="133">
    <w:name w:val="报告书正文 Char"/>
    <w:link w:val="73"/>
    <w:autoRedefine/>
    <w:qFormat/>
    <w:uiPriority w:val="0"/>
    <w:rPr>
      <w:sz w:val="24"/>
    </w:rPr>
  </w:style>
  <w:style w:type="character" w:customStyle="1" w:styleId="134">
    <w:name w:val="文档结构图 Char"/>
    <w:basedOn w:val="40"/>
    <w:link w:val="14"/>
    <w:qFormat/>
    <w:uiPriority w:val="0"/>
    <w:rPr>
      <w:rFonts w:ascii="宋体"/>
      <w:kern w:val="2"/>
      <w:sz w:val="18"/>
      <w:szCs w:val="18"/>
    </w:rPr>
  </w:style>
  <w:style w:type="character" w:customStyle="1" w:styleId="135">
    <w:name w:val="样式 目录 1 + 首行缩进:  0.85 厘米1 Char"/>
    <w:basedOn w:val="52"/>
    <w:link w:val="86"/>
    <w:autoRedefine/>
    <w:qFormat/>
    <w:uiPriority w:val="0"/>
    <w:rPr>
      <w:rFonts w:ascii="Calibri" w:hAnsi="Calibri" w:eastAsia="宋体" w:cs="宋体"/>
      <w:lang w:bidi="ar-SA"/>
    </w:rPr>
  </w:style>
  <w:style w:type="character" w:customStyle="1" w:styleId="136">
    <w:name w:val="font21"/>
    <w:basedOn w:val="40"/>
    <w:qFormat/>
    <w:uiPriority w:val="0"/>
    <w:rPr>
      <w:rFonts w:hint="eastAsia" w:ascii="宋体" w:hAnsi="宋体" w:eastAsia="宋体" w:cs="宋体"/>
      <w:color w:val="000000"/>
      <w:sz w:val="21"/>
      <w:szCs w:val="21"/>
      <w:u w:val="none"/>
    </w:rPr>
  </w:style>
  <w:style w:type="character" w:customStyle="1" w:styleId="137">
    <w:name w:val="hover27"/>
    <w:basedOn w:val="40"/>
    <w:autoRedefine/>
    <w:qFormat/>
    <w:uiPriority w:val="0"/>
  </w:style>
  <w:style w:type="character" w:customStyle="1" w:styleId="138">
    <w:name w:val="titbg1"/>
    <w:basedOn w:val="40"/>
    <w:autoRedefine/>
    <w:qFormat/>
    <w:uiPriority w:val="0"/>
    <w:rPr>
      <w:shd w:val="clear" w:color="auto" w:fill="378ED7"/>
    </w:rPr>
  </w:style>
  <w:style w:type="character" w:customStyle="1" w:styleId="139">
    <w:name w:val="批注文字 Char"/>
    <w:basedOn w:val="40"/>
    <w:link w:val="15"/>
    <w:autoRedefine/>
    <w:qFormat/>
    <w:uiPriority w:val="0"/>
    <w:rPr>
      <w:kern w:val="2"/>
      <w:sz w:val="24"/>
      <w:szCs w:val="22"/>
    </w:rPr>
  </w:style>
  <w:style w:type="character" w:customStyle="1" w:styleId="140">
    <w:name w:val="titbg2"/>
    <w:basedOn w:val="40"/>
    <w:autoRedefine/>
    <w:qFormat/>
    <w:uiPriority w:val="0"/>
    <w:rPr>
      <w:shd w:val="clear" w:color="auto" w:fill="378ED7"/>
    </w:rPr>
  </w:style>
  <w:style w:type="character" w:customStyle="1" w:styleId="141">
    <w:name w:val="批注框文本 Char"/>
    <w:basedOn w:val="40"/>
    <w:link w:val="22"/>
    <w:autoRedefine/>
    <w:semiHidden/>
    <w:qFormat/>
    <w:uiPriority w:val="99"/>
    <w:rPr>
      <w:rFonts w:ascii="Times New Roman" w:hAnsi="Times New Roman" w:eastAsia="宋体"/>
      <w:sz w:val="18"/>
      <w:szCs w:val="18"/>
    </w:rPr>
  </w:style>
  <w:style w:type="character" w:customStyle="1" w:styleId="142">
    <w:name w:val="BG-表内文字 Char"/>
    <w:basedOn w:val="40"/>
    <w:link w:val="91"/>
    <w:autoRedefine/>
    <w:qFormat/>
    <w:uiPriority w:val="0"/>
    <w:rPr>
      <w:rFonts w:ascii="宋体" w:hAnsi="宋体"/>
      <w:kern w:val="2"/>
      <w:sz w:val="21"/>
      <w:szCs w:val="21"/>
    </w:rPr>
  </w:style>
  <w:style w:type="character" w:customStyle="1" w:styleId="143">
    <w:name w:val="bsharetext"/>
    <w:basedOn w:val="40"/>
    <w:autoRedefine/>
    <w:qFormat/>
    <w:uiPriority w:val="0"/>
  </w:style>
  <w:style w:type="character" w:customStyle="1" w:styleId="144">
    <w:name w:val="BG正文 Char"/>
    <w:basedOn w:val="40"/>
    <w:link w:val="95"/>
    <w:autoRedefine/>
    <w:qFormat/>
    <w:uiPriority w:val="0"/>
    <w:rPr>
      <w:rFonts w:ascii="宋体" w:hAnsi="宋体" w:cs="宋体"/>
      <w:color w:val="000000"/>
      <w:sz w:val="24"/>
      <w:szCs w:val="24"/>
    </w:rPr>
  </w:style>
  <w:style w:type="character" w:customStyle="1" w:styleId="145">
    <w:name w:val="批注主题 Char"/>
    <w:basedOn w:val="139"/>
    <w:link w:val="34"/>
    <w:qFormat/>
    <w:uiPriority w:val="0"/>
    <w:rPr>
      <w:kern w:val="2"/>
      <w:sz w:val="24"/>
      <w:szCs w:val="22"/>
    </w:rPr>
  </w:style>
  <w:style w:type="character" w:customStyle="1" w:styleId="146">
    <w:name w:val="style11"/>
    <w:basedOn w:val="40"/>
    <w:autoRedefine/>
    <w:qFormat/>
    <w:uiPriority w:val="0"/>
    <w:rPr>
      <w:b/>
      <w:color w:val="FF0000"/>
    </w:rPr>
  </w:style>
  <w:style w:type="character" w:customStyle="1" w:styleId="147">
    <w:name w:val="gl"/>
    <w:basedOn w:val="40"/>
    <w:autoRedefine/>
    <w:qFormat/>
    <w:uiPriority w:val="0"/>
  </w:style>
  <w:style w:type="character" w:customStyle="1" w:styleId="148">
    <w:name w:val="font31"/>
    <w:autoRedefine/>
    <w:qFormat/>
    <w:uiPriority w:val="0"/>
    <w:rPr>
      <w:rFonts w:hint="default" w:ascii="Times New Roman" w:hAnsi="Times New Roman" w:cs="Times New Roman"/>
      <w:color w:val="000000"/>
      <w:sz w:val="20"/>
      <w:szCs w:val="20"/>
      <w:u w:val="none"/>
    </w:rPr>
  </w:style>
  <w:style w:type="paragraph" w:customStyle="1" w:styleId="149">
    <w:name w:val="宋文杰-表标题"/>
    <w:basedOn w:val="150"/>
    <w:autoRedefine/>
    <w:qFormat/>
    <w:uiPriority w:val="0"/>
    <w:pPr>
      <w:spacing w:line="240" w:lineRule="auto"/>
      <w:ind w:firstLine="0" w:firstLineChars="0"/>
      <w:jc w:val="center"/>
    </w:pPr>
    <w:rPr>
      <w:b/>
      <w:sz w:val="21"/>
    </w:rPr>
  </w:style>
  <w:style w:type="paragraph" w:customStyle="1" w:styleId="150">
    <w:name w:val="宋文杰-正文"/>
    <w:basedOn w:val="1"/>
    <w:autoRedefine/>
    <w:qFormat/>
    <w:uiPriority w:val="0"/>
    <w:rPr>
      <w:color w:val="000000"/>
    </w:rPr>
  </w:style>
  <w:style w:type="character" w:customStyle="1" w:styleId="151">
    <w:name w:val="advancelink"/>
    <w:basedOn w:val="40"/>
    <w:autoRedefine/>
    <w:qFormat/>
    <w:uiPriority w:val="0"/>
    <w:rPr>
      <w:color w:val="295EAB"/>
    </w:rPr>
  </w:style>
  <w:style w:type="character" w:customStyle="1" w:styleId="152">
    <w:name w:val="one"/>
    <w:basedOn w:val="40"/>
    <w:autoRedefine/>
    <w:qFormat/>
    <w:uiPriority w:val="0"/>
  </w:style>
  <w:style w:type="character" w:customStyle="1" w:styleId="153">
    <w:name w:val="two"/>
    <w:basedOn w:val="40"/>
    <w:autoRedefine/>
    <w:qFormat/>
    <w:uiPriority w:val="0"/>
  </w:style>
  <w:style w:type="character" w:customStyle="1" w:styleId="154">
    <w:name w:val="three"/>
    <w:basedOn w:val="40"/>
    <w:autoRedefine/>
    <w:qFormat/>
    <w:uiPriority w:val="0"/>
  </w:style>
  <w:style w:type="character" w:customStyle="1" w:styleId="155">
    <w:name w:val="marginlef"/>
    <w:basedOn w:val="40"/>
    <w:autoRedefine/>
    <w:qFormat/>
    <w:uiPriority w:val="0"/>
  </w:style>
  <w:style w:type="paragraph" w:customStyle="1" w:styleId="156">
    <w:name w:val="无间隔2"/>
    <w:basedOn w:val="1"/>
    <w:autoRedefine/>
    <w:qFormat/>
    <w:uiPriority w:val="0"/>
    <w:pPr>
      <w:spacing w:line="240" w:lineRule="auto"/>
      <w:jc w:val="left"/>
    </w:pPr>
    <w:rPr>
      <w:rFonts w:ascii="宋体" w:hAnsi="宋体"/>
    </w:rPr>
  </w:style>
  <w:style w:type="paragraph" w:customStyle="1" w:styleId="157">
    <w:name w:val="表头头"/>
    <w:basedOn w:val="1"/>
    <w:autoRedefine/>
    <w:qFormat/>
    <w:uiPriority w:val="0"/>
    <w:pPr>
      <w:keepNext/>
      <w:keepLines/>
      <w:overflowPunct w:val="0"/>
      <w:autoSpaceDE w:val="0"/>
      <w:autoSpaceDN w:val="0"/>
      <w:adjustRightInd w:val="0"/>
      <w:snapToGrid w:val="0"/>
      <w:spacing w:line="240" w:lineRule="auto"/>
      <w:jc w:val="center"/>
      <w:textAlignment w:val="baseline"/>
      <w:outlineLvl w:val="5"/>
    </w:pPr>
    <w:rPr>
      <w:rFonts w:eastAsia="黑体"/>
      <w:spacing w:val="-4"/>
      <w:kern w:val="20"/>
    </w:rPr>
  </w:style>
  <w:style w:type="character" w:customStyle="1" w:styleId="158">
    <w:name w:val="正文文本缩进 Char"/>
    <w:basedOn w:val="40"/>
    <w:link w:val="17"/>
    <w:autoRedefine/>
    <w:qFormat/>
    <w:uiPriority w:val="0"/>
    <w:rPr>
      <w:spacing w:val="62"/>
      <w:kern w:val="2"/>
      <w:sz w:val="24"/>
      <w:szCs w:val="22"/>
    </w:rPr>
  </w:style>
  <w:style w:type="paragraph" w:customStyle="1" w:styleId="159">
    <w:name w:val="（正文）"/>
    <w:basedOn w:val="1"/>
    <w:autoRedefine/>
    <w:qFormat/>
    <w:uiPriority w:val="0"/>
    <w:pPr>
      <w:ind w:firstLine="200"/>
    </w:pPr>
  </w:style>
  <w:style w:type="character" w:customStyle="1" w:styleId="160">
    <w:name w:val="样式 正文文本 2lifr 正文 + 宋体 Char"/>
    <w:link w:val="161"/>
    <w:autoRedefine/>
    <w:qFormat/>
    <w:uiPriority w:val="0"/>
    <w:rPr>
      <w:rFonts w:hint="default"/>
    </w:rPr>
  </w:style>
  <w:style w:type="paragraph" w:customStyle="1" w:styleId="161">
    <w:name w:val="样式 正文文本 2lifr 正文 + 宋体"/>
    <w:basedOn w:val="31"/>
    <w:link w:val="160"/>
    <w:autoRedefine/>
    <w:qFormat/>
    <w:uiPriority w:val="0"/>
  </w:style>
  <w:style w:type="table" w:customStyle="1" w:styleId="162">
    <w:name w:val="Table Normal"/>
    <w:autoRedefine/>
    <w:semiHidden/>
    <w:unhideWhenUsed/>
    <w:qFormat/>
    <w:uiPriority w:val="0"/>
    <w:tblPr>
      <w:tblCellMar>
        <w:top w:w="0" w:type="dxa"/>
        <w:left w:w="0" w:type="dxa"/>
        <w:bottom w:w="0" w:type="dxa"/>
        <w:right w:w="0" w:type="dxa"/>
      </w:tblCellMar>
    </w:tblPr>
  </w:style>
  <w:style w:type="paragraph" w:customStyle="1" w:styleId="163">
    <w:name w:val="永环书正文"/>
    <w:basedOn w:val="1"/>
    <w:autoRedefine/>
    <w:qFormat/>
    <w:uiPriority w:val="0"/>
    <w:pPr>
      <w:spacing w:before="20" w:beforeLines="20" w:after="20" w:afterLines="20" w:line="560" w:lineRule="exact"/>
      <w:ind w:firstLine="200" w:firstLineChars="200"/>
    </w:pPr>
    <w:rPr>
      <w:rFonts w:ascii="Times New Roman" w:hAnsi="Times New Roman"/>
      <w:sz w:val="24"/>
      <w:szCs w:val="24"/>
    </w:rPr>
  </w:style>
  <w:style w:type="paragraph" w:customStyle="1" w:styleId="164">
    <w:name w:val="永环书三级标题"/>
    <w:basedOn w:val="1"/>
    <w:autoRedefine/>
    <w:qFormat/>
    <w:uiPriority w:val="0"/>
    <w:pPr>
      <w:spacing w:before="50" w:beforeLines="50" w:after="50" w:afterLines="50" w:line="500" w:lineRule="exact"/>
      <w:outlineLvl w:val="2"/>
    </w:pPr>
    <w:rPr>
      <w:rFonts w:ascii="Times New Roman" w:hAnsi="Times New Roman" w:eastAsia="黑体"/>
      <w:b/>
      <w:sz w:val="24"/>
      <w:szCs w:val="24"/>
    </w:rPr>
  </w:style>
  <w:style w:type="paragraph" w:customStyle="1" w:styleId="165">
    <w:name w:val="正本"/>
    <w:basedOn w:val="1"/>
    <w:autoRedefine/>
    <w:qFormat/>
    <w:uiPriority w:val="0"/>
    <w:pPr>
      <w:adjustRightInd w:val="0"/>
      <w:snapToGrid w:val="0"/>
      <w:spacing w:line="360" w:lineRule="auto"/>
      <w:ind w:firstLine="200" w:firstLineChars="200"/>
    </w:pPr>
    <w:rPr>
      <w:rFonts w:ascii="宋体"/>
      <w:sz w:val="24"/>
    </w:rPr>
  </w:style>
  <w:style w:type="paragraph" w:customStyle="1" w:styleId="166">
    <w:name w:val="表格字体"/>
    <w:basedOn w:val="167"/>
    <w:autoRedefine/>
    <w:qFormat/>
    <w:uiPriority w:val="0"/>
    <w:pPr>
      <w:adjustRightInd w:val="0"/>
      <w:snapToGrid w:val="0"/>
      <w:ind w:right="0" w:rightChars="0"/>
    </w:pPr>
    <w:rPr>
      <w:rFonts w:hAnsi="华文仿宋" w:eastAsia="华文仿宋"/>
      <w:color w:val="000080"/>
      <w:kern w:val="0"/>
    </w:rPr>
  </w:style>
  <w:style w:type="paragraph" w:customStyle="1" w:styleId="167">
    <w:name w:val="表字居中"/>
    <w:basedOn w:val="1"/>
    <w:autoRedefine/>
    <w:qFormat/>
    <w:uiPriority w:val="0"/>
    <w:pPr>
      <w:ind w:right="-41" w:rightChars="-41"/>
      <w:jc w:val="center"/>
    </w:pPr>
    <w:rPr>
      <w:rFonts w:ascii="宋体" w:hAnsi="宋体" w:cs="宋体"/>
      <w:bCs/>
      <w:szCs w:val="21"/>
    </w:rPr>
  </w:style>
  <w:style w:type="paragraph" w:customStyle="1" w:styleId="168">
    <w:name w:val="4"/>
    <w:basedOn w:val="1"/>
    <w:next w:val="12"/>
    <w:autoRedefine/>
    <w:qFormat/>
    <w:uiPriority w:val="0"/>
    <w:pPr>
      <w:ind w:firstLine="420"/>
    </w:pPr>
    <w:rPr>
      <w:szCs w:val="20"/>
    </w:rPr>
  </w:style>
  <w:style w:type="paragraph" w:customStyle="1" w:styleId="169">
    <w:name w:val="永环书二级标题"/>
    <w:basedOn w:val="1"/>
    <w:autoRedefine/>
    <w:qFormat/>
    <w:uiPriority w:val="0"/>
    <w:pPr>
      <w:spacing w:before="50" w:beforeLines="50" w:after="50" w:afterLines="50" w:line="500" w:lineRule="exact"/>
      <w:outlineLvl w:val="1"/>
    </w:pPr>
    <w:rPr>
      <w:rFonts w:ascii="Times New Roman" w:hAnsi="Times New Roman" w:eastAsia="黑体"/>
      <w:b/>
      <w:sz w:val="28"/>
      <w:szCs w:val="28"/>
    </w:rPr>
  </w:style>
  <w:style w:type="paragraph" w:customStyle="1" w:styleId="170">
    <w:name w:val="永环书四级标题"/>
    <w:basedOn w:val="164"/>
    <w:autoRedefine/>
    <w:qFormat/>
    <w:uiPriority w:val="0"/>
    <w:pPr>
      <w:spacing w:line="440" w:lineRule="exact"/>
      <w:outlineLvl w:val="3"/>
    </w:pPr>
    <w:rPr>
      <w:b w:val="0"/>
    </w:rPr>
  </w:style>
  <w:style w:type="character" w:customStyle="1" w:styleId="171">
    <w:name w:val="apple-converted-space"/>
    <w:basedOn w:val="40"/>
    <w:autoRedefine/>
    <w:qFormat/>
    <w:uiPriority w:val="0"/>
  </w:style>
  <w:style w:type="paragraph" w:customStyle="1" w:styleId="172">
    <w:name w:val="正"/>
    <w:basedOn w:val="1"/>
    <w:autoRedefine/>
    <w:qFormat/>
    <w:uiPriority w:val="0"/>
    <w:pPr>
      <w:autoSpaceDE w:val="0"/>
      <w:autoSpaceDN w:val="0"/>
      <w:spacing w:line="360" w:lineRule="auto"/>
      <w:ind w:firstLine="200" w:firstLineChars="200"/>
      <w:jc w:val="left"/>
    </w:pPr>
    <w:rPr>
      <w:bCs/>
      <w:color w:val="000000"/>
      <w:kern w:val="0"/>
      <w:sz w:val="24"/>
      <w:szCs w:val="28"/>
    </w:rPr>
  </w:style>
  <w:style w:type="character" w:customStyle="1" w:styleId="173">
    <w:name w:val="标题 4 Char1"/>
    <w:link w:val="5"/>
    <w:autoRedefine/>
    <w:qFormat/>
    <w:uiPriority w:val="0"/>
    <w:rPr>
      <w:rFonts w:ascii="Times New Roman" w:hAnsi="Times New Roman" w:eastAsia="宋体"/>
      <w:b/>
      <w:szCs w:val="24"/>
    </w:rPr>
  </w:style>
  <w:style w:type="character" w:customStyle="1" w:styleId="174">
    <w:name w:val="fontstyle01"/>
    <w:autoRedefine/>
    <w:qFormat/>
    <w:uiPriority w:val="0"/>
    <w:rPr>
      <w:rFonts w:hint="eastAsia" w:ascii="宋体" w:hAnsi="宋体" w:eastAsia="宋体" w:cs="宋体"/>
      <w:bCs/>
      <w:color w:val="000000"/>
      <w:kern w:val="2"/>
      <w:sz w:val="24"/>
      <w:szCs w:val="24"/>
      <w:lang w:val="en-US" w:eastAsia="zh-CN" w:bidi="ar-SA"/>
    </w:rPr>
  </w:style>
  <w:style w:type="character" w:customStyle="1" w:styleId="175">
    <w:name w:val="fontstyle11"/>
    <w:autoRedefine/>
    <w:qFormat/>
    <w:uiPriority w:val="0"/>
    <w:rPr>
      <w:rFonts w:hint="default" w:ascii="Times New Roman" w:hAnsi="Times New Roman" w:eastAsia="Times New Roman" w:cs="Times New Roman"/>
      <w:bCs/>
      <w:color w:val="000000"/>
      <w:kern w:val="2"/>
      <w:sz w:val="24"/>
      <w:szCs w:val="24"/>
      <w:lang w:val="en-US" w:eastAsia="zh-CN" w:bidi="ar-SA"/>
    </w:rPr>
  </w:style>
  <w:style w:type="table" w:customStyle="1" w:styleId="176">
    <w:name w:val="Table Normal20"/>
    <w:autoRedefine/>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paragraph" w:customStyle="1" w:styleId="177">
    <w:name w:val="1文章"/>
    <w:basedOn w:val="1"/>
    <w:autoRedefine/>
    <w:qFormat/>
    <w:uiPriority w:val="0"/>
    <w:pPr>
      <w:snapToGrid w:val="0"/>
      <w:spacing w:line="360" w:lineRule="auto"/>
      <w:ind w:firstLine="573"/>
    </w:pPr>
    <w:rPr>
      <w:rFonts w:eastAsia="仿宋_GB2312"/>
      <w:sz w:val="28"/>
    </w:rPr>
  </w:style>
  <w:style w:type="paragraph" w:customStyle="1" w:styleId="178">
    <w:name w:val="报告书 正文"/>
    <w:autoRedefine/>
    <w:qFormat/>
    <w:uiPriority w:val="0"/>
    <w:pPr>
      <w:widowControl w:val="0"/>
      <w:spacing w:line="500" w:lineRule="exact"/>
      <w:ind w:firstLine="200" w:firstLineChars="200"/>
      <w:jc w:val="both"/>
    </w:pPr>
    <w:rPr>
      <w:rFonts w:ascii="Times New Roman" w:hAnsi="Times New Roman" w:eastAsia="仿宋_GB2312" w:cs="Times New Roman"/>
      <w:kern w:val="2"/>
      <w:sz w:val="28"/>
      <w:szCs w:val="24"/>
      <w:lang w:val="en-US" w:eastAsia="zh-CN" w:bidi="ar-SA"/>
    </w:rPr>
  </w:style>
  <w:style w:type="paragraph" w:customStyle="1" w:styleId="179">
    <w:name w:val="宋的表头"/>
    <w:basedOn w:val="1"/>
    <w:next w:val="1"/>
    <w:autoRedefine/>
    <w:qFormat/>
    <w:uiPriority w:val="0"/>
    <w:pPr>
      <w:tabs>
        <w:tab w:val="left" w:pos="1021"/>
      </w:tabs>
      <w:ind w:firstLine="200"/>
      <w:jc w:val="center"/>
    </w:pPr>
    <w:rPr>
      <w:rFonts w:hAnsi="宋体"/>
      <w:b/>
      <w:bCs/>
      <w:sz w:val="21"/>
      <w:szCs w:val="21"/>
    </w:rPr>
  </w:style>
  <w:style w:type="paragraph" w:customStyle="1" w:styleId="180">
    <w:name w:val="宋的表格"/>
    <w:basedOn w:val="1"/>
    <w:autoRedefine/>
    <w:qFormat/>
    <w:uiPriority w:val="0"/>
    <w:pPr>
      <w:snapToGrid w:val="0"/>
      <w:spacing w:line="240" w:lineRule="auto"/>
      <w:ind w:firstLine="0" w:firstLineChars="0"/>
      <w:jc w:val="center"/>
    </w:pPr>
    <w:rPr>
      <w:color w:val="000000"/>
      <w:sz w:val="21"/>
    </w:rPr>
  </w:style>
  <w:style w:type="paragraph" w:customStyle="1" w:styleId="181">
    <w:name w:val="宋的正文"/>
    <w:basedOn w:val="1"/>
    <w:qFormat/>
    <w:uiPriority w:val="0"/>
    <w:pPr>
      <w:ind w:firstLine="200"/>
    </w:pPr>
  </w:style>
  <w:style w:type="character" w:customStyle="1" w:styleId="182">
    <w:name w:val="font51"/>
    <w:basedOn w:val="40"/>
    <w:autoRedefine/>
    <w:qFormat/>
    <w:uiPriority w:val="0"/>
    <w:rPr>
      <w:rFonts w:hint="default" w:ascii="Times New Roman" w:hAnsi="Times New Roman" w:cs="Times New Roman"/>
      <w:color w:val="000000"/>
      <w:sz w:val="26"/>
      <w:szCs w:val="26"/>
      <w:u w:val="none"/>
    </w:rPr>
  </w:style>
  <w:style w:type="character" w:customStyle="1" w:styleId="183">
    <w:name w:val="font61"/>
    <w:basedOn w:val="40"/>
    <w:qFormat/>
    <w:uiPriority w:val="0"/>
    <w:rPr>
      <w:rFonts w:hint="eastAsia" w:ascii="宋体" w:hAnsi="宋体" w:eastAsia="宋体" w:cs="宋体"/>
      <w:color w:val="000000"/>
      <w:sz w:val="24"/>
      <w:szCs w:val="24"/>
      <w:u w:val="none"/>
    </w:rPr>
  </w:style>
  <w:style w:type="paragraph" w:customStyle="1" w:styleId="184">
    <w:name w:val="报告表格"/>
    <w:basedOn w:val="117"/>
    <w:autoRedefine/>
    <w:qFormat/>
    <w:uiPriority w:val="0"/>
    <w:pPr>
      <w:adjustRightInd/>
      <w:spacing w:line="240" w:lineRule="auto"/>
      <w:ind w:firstLine="0" w:firstLineChars="0"/>
      <w:jc w:val="center"/>
    </w:pPr>
    <w:rPr>
      <w:rFonts w:cs="宋体"/>
      <w:kern w:val="0"/>
    </w:rPr>
  </w:style>
  <w:style w:type="paragraph" w:customStyle="1" w:styleId="185">
    <w:name w:val="文本"/>
    <w:basedOn w:val="1"/>
    <w:autoRedefine/>
    <w:qFormat/>
    <w:uiPriority w:val="0"/>
    <w:pPr>
      <w:spacing w:line="360" w:lineRule="auto"/>
      <w:ind w:firstLine="422" w:firstLineChars="200"/>
    </w:pPr>
    <w:rPr>
      <w:kern w:val="0"/>
      <w:szCs w:val="20"/>
    </w:rPr>
  </w:style>
  <w:style w:type="character" w:customStyle="1" w:styleId="186">
    <w:name w:val="font71"/>
    <w:basedOn w:val="40"/>
    <w:qFormat/>
    <w:uiPriority w:val="0"/>
    <w:rPr>
      <w:rFonts w:hint="eastAsia" w:ascii="宋体" w:hAnsi="宋体" w:eastAsia="宋体" w:cs="宋体"/>
      <w:color w:val="000000"/>
      <w:sz w:val="21"/>
      <w:szCs w:val="21"/>
      <w:u w:val="none"/>
    </w:rPr>
  </w:style>
  <w:style w:type="character" w:customStyle="1" w:styleId="187">
    <w:name w:val="font81"/>
    <w:basedOn w:val="40"/>
    <w:qFormat/>
    <w:uiPriority w:val="0"/>
    <w:rPr>
      <w:rFonts w:hint="default" w:ascii="Times New Roman" w:hAnsi="Times New Roman" w:cs="Times New Roman"/>
      <w:color w:val="000000"/>
      <w:sz w:val="13"/>
      <w:szCs w:val="13"/>
      <w:u w:val="none"/>
    </w:rPr>
  </w:style>
  <w:style w:type="paragraph" w:customStyle="1" w:styleId="188">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9">
    <w:name w:val="列出段落1"/>
    <w:basedOn w:val="1"/>
    <w:qFormat/>
    <w:uiPriority w:val="0"/>
    <w:pPr>
      <w:spacing w:line="360" w:lineRule="auto"/>
      <w:ind w:firstLine="42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62.png"/><Relationship Id="rId84" Type="http://schemas.openxmlformats.org/officeDocument/2006/relationships/image" Target="media/image61.emf"/><Relationship Id="rId83" Type="http://schemas.openxmlformats.org/officeDocument/2006/relationships/oleObject" Target="embeddings/oleObject3.bin"/><Relationship Id="rId82" Type="http://schemas.openxmlformats.org/officeDocument/2006/relationships/image" Target="media/image60.emf"/><Relationship Id="rId81" Type="http://schemas.openxmlformats.org/officeDocument/2006/relationships/oleObject" Target="embeddings/oleObject2.bin"/><Relationship Id="rId80" Type="http://schemas.openxmlformats.org/officeDocument/2006/relationships/image" Target="media/image59.jpeg"/><Relationship Id="rId8" Type="http://schemas.openxmlformats.org/officeDocument/2006/relationships/footer" Target="footer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3.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jpeg"/><Relationship Id="rId66" Type="http://schemas.openxmlformats.org/officeDocument/2006/relationships/image" Target="media/image45.jpeg"/><Relationship Id="rId65" Type="http://schemas.openxmlformats.org/officeDocument/2006/relationships/image" Target="media/image44.png"/><Relationship Id="rId64" Type="http://schemas.openxmlformats.org/officeDocument/2006/relationships/image" Target="media/image43.jpeg"/><Relationship Id="rId63" Type="http://schemas.openxmlformats.org/officeDocument/2006/relationships/image" Target="media/image42.jpeg"/><Relationship Id="rId62" Type="http://schemas.openxmlformats.org/officeDocument/2006/relationships/image" Target="media/image41.jpeg"/><Relationship Id="rId61" Type="http://schemas.openxmlformats.org/officeDocument/2006/relationships/image" Target="media/image40.jpeg"/><Relationship Id="rId60" Type="http://schemas.microsoft.com/office/2007/relationships/hdphoto" Target="media/image39.wdp"/><Relationship Id="rId6" Type="http://schemas.openxmlformats.org/officeDocument/2006/relationships/header" Target="head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png"/><Relationship Id="rId53" Type="http://schemas.openxmlformats.org/officeDocument/2006/relationships/image" Target="media/image32.jpeg"/><Relationship Id="rId52" Type="http://schemas.openxmlformats.org/officeDocument/2006/relationships/image" Target="media/image31.png"/><Relationship Id="rId51" Type="http://schemas.microsoft.com/office/2007/relationships/hdphoto" Target="media/image30.wdp"/><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wmf"/><Relationship Id="rId22" Type="http://schemas.openxmlformats.org/officeDocument/2006/relationships/oleObject" Target="embeddings/oleObject1.bin"/><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253</Pages>
  <Words>15424</Words>
  <Characters>16833</Characters>
  <Lines>1338</Lines>
  <Paragraphs>376</Paragraphs>
  <TotalTime>4</TotalTime>
  <ScaleCrop>false</ScaleCrop>
  <LinksUpToDate>false</LinksUpToDate>
  <CharactersWithSpaces>16989</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2016-11-26T08:20:00Z</dcterms:created>
  <dc:creator>Administrator</dc:creator>
  <cp:lastModifiedBy>Rango</cp:lastModifiedBy>
  <cp:lastPrinted>2020-06-18T01:09:00Z</cp:lastPrinted>
  <dcterms:modified xsi:type="dcterms:W3CDTF">2025-12-04T03:13:35Z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7A4CE1B4A2994716BE1D8716FA31B42B_13</vt:lpwstr>
  </property>
  <property fmtid="{D5CDD505-2E9C-101B-9397-08002B2CF9AE}" pid="4" name="KSOTemplateDocerSaveRecord">
    <vt:lpwstr>eyJoZGlkIjoiMjg5MDNhZTY3MWJlODA5ZGMyYWU2ZTFkYWQyNjAwODEiLCJ1c2VySWQiOiIyNTE4NjIwNTMifQ==</vt:lpwstr>
  </property>
</Properties>
</file>