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F14EC">
      <w:pPr>
        <w:ind w:left="0" w:leftChars="0"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关于第二轮中央生态环境保护督察反馈</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“结构性污染问题依然突出</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问题整改情况的公</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示</w:t>
      </w:r>
    </w:p>
    <w:p w14:paraId="6BA87F70">
      <w:pPr>
        <w:pStyle w:val="3"/>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A7E8F0E">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w:t>
      </w:r>
      <w:r>
        <w:rPr>
          <w:rFonts w:hint="eastAsia"/>
          <w:color w:val="000000" w:themeColor="text1"/>
          <w:lang w:val="en-US" w:eastAsia="zh-CN"/>
          <w14:textFill>
            <w14:solidFill>
              <w14:schemeClr w14:val="tx1"/>
            </w14:solidFill>
          </w14:textFill>
        </w:rPr>
        <w:t>局</w:t>
      </w:r>
      <w:r>
        <w:rPr>
          <w:rFonts w:hint="eastAsia"/>
          <w:color w:val="000000" w:themeColor="text1"/>
          <w14:textFill>
            <w14:solidFill>
              <w14:schemeClr w14:val="tx1"/>
            </w14:solidFill>
          </w14:textFill>
        </w:rPr>
        <w:t>牵头的</w:t>
      </w:r>
      <w:r>
        <w:rPr>
          <w:rFonts w:hint="eastAsia"/>
          <w:color w:val="000000" w:themeColor="text1"/>
          <w:lang w:val="en-US" w:eastAsia="zh-CN"/>
          <w14:textFill>
            <w14:solidFill>
              <w14:schemeClr w14:val="tx1"/>
            </w14:solidFill>
          </w14:textFill>
        </w:rPr>
        <w:t>第二轮</w:t>
      </w:r>
      <w:r>
        <w:rPr>
          <w:rFonts w:hint="eastAsia"/>
          <w:color w:val="000000" w:themeColor="text1"/>
          <w14:textFill>
            <w14:solidFill>
              <w14:schemeClr w14:val="tx1"/>
            </w14:solidFill>
          </w14:textFill>
        </w:rPr>
        <w:t>中央生态环境保护督察</w:t>
      </w:r>
      <w:r>
        <w:rPr>
          <w:rFonts w:hint="eastAsia"/>
          <w:color w:val="000000" w:themeColor="text1"/>
          <w:lang w:val="en-US" w:eastAsia="zh-CN"/>
          <w14:textFill>
            <w14:solidFill>
              <w14:schemeClr w14:val="tx1"/>
            </w14:solidFill>
          </w14:textFill>
        </w:rPr>
        <w:t>反馈的“结构性污染问题依然突出”</w:t>
      </w:r>
      <w:r>
        <w:rPr>
          <w:rFonts w:hint="eastAsia"/>
          <w:color w:val="000000" w:themeColor="text1"/>
          <w14:textFill>
            <w14:solidFill>
              <w14:schemeClr w14:val="tx1"/>
            </w14:solidFill>
          </w14:textFill>
        </w:rPr>
        <w:t>问题已完</w:t>
      </w:r>
      <w:bookmarkStart w:id="0" w:name="_GoBack"/>
      <w:bookmarkEnd w:id="0"/>
      <w:r>
        <w:rPr>
          <w:rFonts w:hint="eastAsia"/>
          <w:color w:val="000000" w:themeColor="text1"/>
          <w14:textFill>
            <w14:solidFill>
              <w14:schemeClr w14:val="tx1"/>
            </w14:solidFill>
          </w14:textFill>
        </w:rPr>
        <w:t>成整改，按照永州市生态环境保护委员会办公室《永州市突出生态环境问题整改销号工作流程及相关问题解答（修订版）》要求，现对问题整改情况进行公示。</w:t>
      </w:r>
    </w:p>
    <w:p w14:paraId="4B0FB1E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000000" w:themeColor="text1"/>
          <w14:textFill>
            <w14:solidFill>
              <w14:schemeClr w14:val="tx1"/>
            </w14:solidFill>
          </w14:textFill>
        </w:rPr>
      </w:pPr>
      <w:r>
        <w:rPr>
          <w:rFonts w:hint="eastAsia" w:ascii="楷体" w:hAnsi="楷体" w:eastAsia="楷体" w:cs="楷体"/>
          <w:b/>
          <w:bCs/>
          <w:color w:val="000000" w:themeColor="text1"/>
          <w14:textFill>
            <w14:solidFill>
              <w14:schemeClr w14:val="tx1"/>
            </w14:solidFill>
          </w14:textFill>
        </w:rPr>
        <w:t>一、督察反馈问题</w:t>
      </w:r>
    </w:p>
    <w:p w14:paraId="30D50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第二轮中央环保督察反馈：</w:t>
      </w:r>
      <w:r>
        <w:rPr>
          <w:rFonts w:hint="eastAsia"/>
          <w:color w:val="000000" w:themeColor="text1"/>
          <w14:textFill>
            <w14:solidFill>
              <w14:schemeClr w14:val="tx1"/>
            </w14:solidFill>
          </w14:textFill>
        </w:rPr>
        <w:t>结构性污染问题依然突出。湖南省产业结构层次偏低，重化工占比较高。2020年，全省规模以上工业中，冶金、有色、石化、建材等原材料行业营收占比仍然接近30%，六大高耗</w:t>
      </w:r>
      <w:r>
        <w:rPr>
          <w:rFonts w:hint="eastAsia"/>
          <w:b w:val="0"/>
          <w:bCs w:val="0"/>
          <w:color w:val="000000" w:themeColor="text1"/>
          <w14:textFill>
            <w14:solidFill>
              <w14:schemeClr w14:val="tx1"/>
            </w14:solidFill>
          </w14:textFill>
        </w:rPr>
        <w:t>能行</w:t>
      </w:r>
      <w:r>
        <w:rPr>
          <w:rFonts w:hint="eastAsia"/>
          <w:color w:val="000000" w:themeColor="text1"/>
          <w14:textFill>
            <w14:solidFill>
              <w14:schemeClr w14:val="tx1"/>
            </w14:solidFill>
          </w14:textFill>
        </w:rPr>
        <w:t>业增加值占规模以上工业的比重为28.5%。</w:t>
      </w:r>
    </w:p>
    <w:p w14:paraId="65008DD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000000" w:themeColor="text1"/>
          <w14:textFill>
            <w14:solidFill>
              <w14:schemeClr w14:val="tx1"/>
            </w14:solidFill>
          </w14:textFill>
        </w:rPr>
      </w:pPr>
      <w:r>
        <w:rPr>
          <w:rFonts w:hint="eastAsia" w:ascii="楷体" w:hAnsi="楷体" w:eastAsia="楷体" w:cs="楷体"/>
          <w:b/>
          <w:bCs/>
          <w:color w:val="000000" w:themeColor="text1"/>
          <w14:textFill>
            <w14:solidFill>
              <w14:schemeClr w14:val="tx1"/>
            </w14:solidFill>
          </w14:textFill>
        </w:rPr>
        <w:t>二、整改目标及完成情况</w:t>
      </w:r>
    </w:p>
    <w:p w14:paraId="29D96CA5">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完成情况：</w:t>
      </w:r>
      <w:r>
        <w:rPr>
          <w:rFonts w:hint="eastAsia" w:ascii="仿宋_GB2312" w:hAnsi="仿宋_GB2312" w:cs="仿宋_GB2312"/>
          <w:color w:val="000000" w:themeColor="text1"/>
          <w:lang w:val="en-US" w:eastAsia="zh-CN"/>
          <w14:textFill>
            <w14:solidFill>
              <w14:schemeClr w14:val="tx1"/>
            </w14:solidFill>
          </w14:textFill>
        </w:rPr>
        <w:t>通过调整产业结构、淘汰落后产能等一系列举措，道县</w:t>
      </w:r>
      <w:r>
        <w:rPr>
          <w:rFonts w:hint="eastAsia"/>
          <w:color w:val="000000" w:themeColor="text1"/>
          <w14:textFill>
            <w14:solidFill>
              <w14:schemeClr w14:val="tx1"/>
            </w14:solidFill>
          </w14:textFill>
        </w:rPr>
        <w:t>结构性污染问题</w:t>
      </w:r>
      <w:r>
        <w:rPr>
          <w:rFonts w:hint="eastAsia"/>
          <w:color w:val="000000" w:themeColor="text1"/>
          <w:lang w:val="en-US" w:eastAsia="zh-CN"/>
          <w14:textFill>
            <w14:solidFill>
              <w14:schemeClr w14:val="tx1"/>
            </w14:solidFill>
          </w14:textFill>
        </w:rPr>
        <w:t>已整改完毕。</w:t>
      </w:r>
    </w:p>
    <w:p w14:paraId="659F24FE">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整改目标：</w:t>
      </w:r>
      <w:r>
        <w:rPr>
          <w:rFonts w:hint="eastAsia" w:ascii="仿宋_GB2312" w:hAnsi="仿宋_GB2312" w:eastAsia="仿宋_GB2312" w:cs="仿宋_GB2312"/>
          <w:color w:val="000000" w:themeColor="text1"/>
          <w14:textFill>
            <w14:solidFill>
              <w14:schemeClr w14:val="tx1"/>
            </w14:solidFill>
          </w14:textFill>
        </w:rPr>
        <w:t>冶金、有色、建材等原材料行业营收占比、六大高耗能行业增加值占规模以上工业的比重逐年下降，减少结构性污染。</w:t>
      </w:r>
    </w:p>
    <w:p w14:paraId="665773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000000" w:themeColor="text1"/>
          <w14:textFill>
            <w14:solidFill>
              <w14:schemeClr w14:val="tx1"/>
            </w14:solidFill>
          </w14:textFill>
        </w:rPr>
      </w:pPr>
      <w:r>
        <w:rPr>
          <w:rFonts w:hint="eastAsia" w:ascii="楷体" w:hAnsi="楷体" w:eastAsia="楷体" w:cs="楷体"/>
          <w:b/>
          <w:bCs/>
          <w:color w:val="000000" w:themeColor="text1"/>
          <w14:textFill>
            <w14:solidFill>
              <w14:schemeClr w14:val="tx1"/>
            </w14:solidFill>
          </w14:textFill>
        </w:rPr>
        <w:t>三、整改措施及具体落实情况</w:t>
      </w:r>
    </w:p>
    <w:p w14:paraId="79FED58E">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整改措施：</w:t>
      </w:r>
    </w:p>
    <w:p w14:paraId="70E78B7C">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坚持规划先行，调优产业结构。2021年8月31日前在全县“十四五”总体规划和工业发展规划、产业园区规划中明确打造生物医药、电子信息、新材料、农产品精深加工、轻纺箱包制鞋、先进装备制造六大制造产业集群，加快推进现代金融、现代物流、文化生态旅游三大服务产业，降低高能耗行业比重。</w:t>
      </w:r>
    </w:p>
    <w:p w14:paraId="052B974F">
      <w:pPr>
        <w:bidi w:val="0"/>
        <w:rPr>
          <w:rFonts w:hint="eastAsia" w:eastAsia="仿宋_GB2312"/>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大力淘汰落后产能。加强对化解过剩产能和落后产能工作的领导和督促落实，各责任部门和乡镇街道按照“三管三必须”和“属地管理”原则，担负主体责任，履行职责，开展自查自纠，2021年9月30日前，对落后产能企业依法依规处置</w:t>
      </w:r>
      <w:r>
        <w:rPr>
          <w:rFonts w:hint="eastAsia"/>
          <w:color w:val="000000" w:themeColor="text1"/>
          <w:lang w:eastAsia="zh-CN"/>
          <w14:textFill>
            <w14:solidFill>
              <w14:schemeClr w14:val="tx1"/>
            </w14:solidFill>
          </w14:textFill>
        </w:rPr>
        <w:t>。</w:t>
      </w:r>
    </w:p>
    <w:p w14:paraId="4737C33A">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3.严格控制新增“两高”项目。把好入口关，对不符合产业政策及高能耗项目一律不予核准备案。</w:t>
      </w:r>
    </w:p>
    <w:p w14:paraId="1BE80EF5">
      <w:pPr>
        <w:bidi w:val="0"/>
        <w:rPr>
          <w:rFonts w:hint="eastAsia" w:eastAsia="仿宋_GB2312"/>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抓好“三高四新”产业项目建设。一是抓好“5个10”工程。2021年重点抓好了32个重大产业支撑项目、4个重大科技创新攻关项目、2个重大产品创新强基项目、引进2名关键人才、4个500强企业项目。2022年突出抓好35个重大产业支撑项目、1-3个重大科技创新攻关项目、2个重大产品创新强基项目、引进2名关键人才、3个500强企业项目。二是推进产业强链。大力实施先进制造业倍增、新兴产业培育、市场主体培优、产业链供应链提升、军民融合发展、品牌提升“六大工程”，提升产业发展水平，打造先进制造业高地、科技创新高地、改革开放高地。三是推进“五好”园区建设。按照规划定位好、创新平台好、产业项目好、体制机制好、发展形象好的要求，加强园区基础设施和公共服务平台建设，加快推进园区管理体制改革，全力推动园区高质量发展</w:t>
      </w:r>
      <w:r>
        <w:rPr>
          <w:rFonts w:hint="eastAsia"/>
          <w:color w:val="000000" w:themeColor="text1"/>
          <w:lang w:eastAsia="zh-CN"/>
          <w14:textFill>
            <w14:solidFill>
              <w14:schemeClr w14:val="tx1"/>
            </w14:solidFill>
          </w14:textFill>
        </w:rPr>
        <w:t>。</w:t>
      </w:r>
    </w:p>
    <w:p w14:paraId="7DB99977">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5.落实碳达峰碳中和目标要求，加快调整优化产业结构能源结构，推动战略性新兴产业、高技术产业、现代服务业加快发展，促进经济社会全面绿色转型。</w:t>
      </w:r>
    </w:p>
    <w:p w14:paraId="6FFE2451">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整改落实情况：</w:t>
      </w:r>
    </w:p>
    <w:p w14:paraId="6A24452B">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坚持规划先行，调优产业结构。在《道县国民经济第十四个五年规划暨二〇三五年远景目标纲要》中明确打造六大制造产业集群(电子信息智能装备制造、轻纺制鞋、新能源新材料、生物医药、农产品精深加工)和三大服务产业(现代物流、文化生态旅游、现代金融)。2024年电子信息产业产值47.49亿元(同比增长9.81%)，智能装备制造产业产值26.87亿元(同比增长13.91%)，新能源新材料产业中紫金锂业项目快速推进(选厂区设备安装中，碳酸锂冶炼区8月试点火)，产业结构持续优化。根据湖南省发展和改革委员会关于印发《湖南省“两高”项目管理目录》的通知，严格限制“两高”项目准入，高能耗行业比重逐步降低</w:t>
      </w:r>
      <w:r>
        <w:rPr>
          <w:rFonts w:hint="eastAsia" w:ascii="仿宋_GB2312" w:hAnsi="仿宋_GB2312" w:cs="仿宋_GB2312"/>
          <w:color w:val="000000" w:themeColor="text1"/>
          <w:lang w:eastAsia="zh-CN"/>
          <w14:textFill>
            <w14:solidFill>
              <w14:schemeClr w14:val="tx1"/>
            </w14:solidFill>
          </w14:textFill>
        </w:rPr>
        <w:t>。</w:t>
      </w:r>
    </w:p>
    <w:p w14:paraId="04825DDA">
      <w:pPr>
        <w:bidi w:val="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2.大力淘汰落后产能。一是出台《道县招商引资项目引进事前评估及事中事后监管办法》《道县2025年招商引资工作方案》,严控落后产能入口</w:t>
      </w:r>
      <w:r>
        <w:rPr>
          <w:rFonts w:hint="eastAsia" w:ascii="仿宋_GB2312" w:hAnsi="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二是推动企业绿色化改造，如道县兴华再生资源有限公司淘汰老旧设备19台套，更新先进设备23台套，获批2025年设备更新特别国债300万元。三是开展落后低效产能退出工作，严禁“两高”行业新增产能。同时，对涉及我县散乱污企业开展整治工作，提升改造类企业3家，关停取缔类企业60家。</w:t>
      </w:r>
    </w:p>
    <w:p w14:paraId="7E2FAF74">
      <w:pPr>
        <w:bidi w:val="0"/>
        <w:rPr>
          <w:rFonts w:hint="eastAsia" w:ascii="仿宋_GB2312" w:hAnsi="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3.严格控制新增“两高”项目。对所有企业投资项目严格对照国家产业政策及高耗能行业清单进行甄别，近年来审批项目无一涉及“两高”项</w:t>
      </w:r>
      <w:r>
        <w:rPr>
          <w:rFonts w:hint="eastAsia" w:ascii="仿宋_GB2312" w:hAnsi="仿宋_GB2312" w:cs="仿宋_GB2312"/>
          <w:color w:val="000000" w:themeColor="text1"/>
          <w:lang w:val="en-US" w:eastAsia="zh-CN"/>
          <w14:textFill>
            <w14:solidFill>
              <w14:schemeClr w14:val="tx1"/>
            </w14:solidFill>
          </w14:textFill>
        </w:rPr>
        <w:t>目。</w:t>
      </w:r>
    </w:p>
    <w:p w14:paraId="08C33E0B">
      <w:pPr>
        <w:bidi w:val="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4.抓好“三高四新”产业项目建设。一是加强重大项目建设。玄烨ITO导电玻璃项目纳入全省重大产业支撑项目目录，恒显坤液晶显示屏项目纳入全省重大产品创新项目目录，37个产业项目纳入市级重大产业支撑项目目录;二是强化产业强链工程。实施“百十亿”工程，打造4大百亿产业(电子信息及装备制造、能源及材料、现代农业、文旅)，培育十亿级企业;三是创新平台建设。2024年成功创建省级博士创新站(美莱珀科技与上海工程技术大学合作)，推动科技创新服务县域经济;四是积极推进“五好”园区建设。加强园区基础设施和公共服务平台建设，推动园区循环化改造和“绿色工厂”创建。</w:t>
      </w:r>
    </w:p>
    <w:p w14:paraId="0AE68A86">
      <w:pPr>
        <w:bidi w:val="0"/>
        <w:rPr>
          <w:rFonts w:hint="eastAsia" w:eastAsia="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5.落实碳达峰碳中和目标要求。一是清洁能源产业快速发展。已建成风电场8家(总装机45.37万千瓦)，拟再建68台风机;分布式光伏并网容量70.98MW;二是推动能源结构优化。非化石能源消费比重提升，风电、光伏装机规模稳步增长;三是编制《道县高新区园区循环化改造实施方案》，推进绿色制造和循环经济发展:四是促进项目建设绿色转型紫金锂业项目采用“矿产采选冶加+废渣循环利用”模式，促进资源高效利用和绿色转型。五是完成《道县碳达峰行动方案》的编制工作，积极稳妥推进碳达峰碳中和。</w:t>
      </w:r>
    </w:p>
    <w:p w14:paraId="0F5C66D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000000" w:themeColor="text1"/>
          <w14:textFill>
            <w14:solidFill>
              <w14:schemeClr w14:val="tx1"/>
            </w14:solidFill>
          </w14:textFill>
        </w:rPr>
      </w:pPr>
      <w:r>
        <w:rPr>
          <w:rFonts w:hint="eastAsia" w:ascii="楷体" w:hAnsi="楷体" w:eastAsia="楷体" w:cs="楷体"/>
          <w:b/>
          <w:bCs/>
          <w:color w:val="000000" w:themeColor="text1"/>
          <w14:textFill>
            <w14:solidFill>
              <w14:schemeClr w14:val="tx1"/>
            </w14:solidFill>
          </w14:textFill>
        </w:rPr>
        <w:t>四、销号验收情况</w:t>
      </w:r>
    </w:p>
    <w:p w14:paraId="7E60BAB3">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经过上述整改，该反馈问题已整改完成，达到既定整改目标，符合整改销号标准。</w:t>
      </w:r>
    </w:p>
    <w:p w14:paraId="5B89E8E2">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特此报告。</w:t>
      </w:r>
    </w:p>
    <w:p w14:paraId="0854849D">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以上公示日期：</w:t>
      </w:r>
      <w:r>
        <w:rPr>
          <w:rFonts w:hint="eastAsia" w:ascii="仿宋_GB2312" w:hAnsi="仿宋_GB2312" w:eastAsia="仿宋_GB2312" w:cs="仿宋_GB2312"/>
          <w:b w:val="0"/>
          <w:bCs w:val="0"/>
          <w:color w:val="000000" w:themeColor="text1"/>
          <w14:textFill>
            <w14:solidFill>
              <w14:schemeClr w14:val="tx1"/>
            </w14:solidFill>
          </w14:textFill>
        </w:rPr>
        <w:t>2025年</w:t>
      </w:r>
      <w:r>
        <w:rPr>
          <w:rFonts w:hint="eastAsia" w:ascii="仿宋_GB2312" w:hAnsi="仿宋_GB2312" w:cs="仿宋_GB2312"/>
          <w:b w:val="0"/>
          <w:bCs w:val="0"/>
          <w:color w:val="000000" w:themeColor="text1"/>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14:textFill>
            <w14:solidFill>
              <w14:schemeClr w14:val="tx1"/>
            </w14:solidFill>
          </w14:textFill>
        </w:rPr>
        <w:t>月</w:t>
      </w:r>
      <w:r>
        <w:rPr>
          <w:rFonts w:hint="eastAsia" w:ascii="仿宋_GB2312" w:hAnsi="仿宋_GB2312" w:cs="仿宋_GB2312"/>
          <w:b w:val="0"/>
          <w:bCs w:val="0"/>
          <w:color w:val="000000" w:themeColor="text1"/>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14:textFill>
            <w14:solidFill>
              <w14:schemeClr w14:val="tx1"/>
            </w14:solidFill>
          </w14:textFill>
        </w:rPr>
        <w:t>日—</w:t>
      </w:r>
      <w:r>
        <w:rPr>
          <w:rFonts w:hint="eastAsia" w:ascii="仿宋_GB2312" w:hAnsi="仿宋_GB2312" w:cs="仿宋_GB2312"/>
          <w:b w:val="0"/>
          <w:bCs w:val="0"/>
          <w:color w:val="000000" w:themeColor="text1"/>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14:textFill>
            <w14:solidFill>
              <w14:schemeClr w14:val="tx1"/>
            </w14:solidFill>
          </w14:textFill>
        </w:rPr>
        <w:t>月</w:t>
      </w:r>
      <w:r>
        <w:rPr>
          <w:rFonts w:hint="eastAsia" w:ascii="仿宋_GB2312" w:hAnsi="仿宋_GB2312" w:cs="仿宋_GB2312"/>
          <w:b w:val="0"/>
          <w:bCs w:val="0"/>
          <w:color w:val="000000" w:themeColor="text1"/>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14:textFill>
            <w14:solidFill>
              <w14:schemeClr w14:val="tx1"/>
            </w14:solidFill>
          </w14:textFill>
        </w:rPr>
        <w:t>日</w:t>
      </w:r>
      <w:r>
        <w:rPr>
          <w:rFonts w:hint="eastAsia" w:ascii="仿宋_GB2312" w:hAnsi="仿宋_GB2312" w:eastAsia="仿宋_GB2312" w:cs="仿宋_GB2312"/>
          <w:b w:val="0"/>
          <w:bCs w:val="0"/>
          <w:color w:val="000000" w:themeColor="text1"/>
          <w14:textFill>
            <w14:solidFill>
              <w14:schemeClr w14:val="tx1"/>
            </w14:solidFill>
          </w14:textFill>
        </w:rPr>
        <w:t>。</w:t>
      </w:r>
    </w:p>
    <w:p w14:paraId="60E2AB1F">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val="0"/>
          <w:color w:val="000000" w:themeColor="text1"/>
          <w14:textFill>
            <w14:solidFill>
              <w14:schemeClr w14:val="tx1"/>
            </w14:solidFill>
          </w14:textFill>
        </w:rPr>
      </w:pPr>
    </w:p>
    <w:p w14:paraId="26D30D29">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val="0"/>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联系电话：</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道县发展和改革局</w:t>
      </w:r>
      <w:r>
        <w:rPr>
          <w:rFonts w:hint="eastAsia" w:ascii="仿宋_GB2312" w:hAnsi="仿宋_GB2312" w:cs="仿宋_GB2312"/>
          <w:b w:val="0"/>
          <w:bCs w:val="0"/>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0746-5236926</w:t>
      </w:r>
      <w:r>
        <w:rPr>
          <w:rFonts w:hint="eastAsia" w:ascii="仿宋_GB2312" w:hAnsi="仿宋_GB2312" w:cs="仿宋_GB2312"/>
          <w:b w:val="0"/>
          <w:bCs w:val="0"/>
          <w:color w:val="000000" w:themeColor="text1"/>
          <w:lang w:val="en-US" w:eastAsia="zh-CN"/>
          <w14:textFill>
            <w14:solidFill>
              <w14:schemeClr w14:val="tx1"/>
            </w14:solidFill>
          </w14:textFill>
        </w:rPr>
        <w:t xml:space="preserve"> </w:t>
      </w:r>
    </w:p>
    <w:p w14:paraId="15B9D990">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b/>
          <w:bCs/>
          <w:color w:val="000000" w:themeColor="text1"/>
          <w14:textFill>
            <w14:solidFill>
              <w14:schemeClr w14:val="tx1"/>
            </w14:solidFill>
          </w14:textFill>
        </w:rPr>
      </w:pPr>
    </w:p>
    <w:p w14:paraId="4F51701F">
      <w:pPr>
        <w:bidi w:val="0"/>
        <w:rPr>
          <w:rFonts w:hint="eastAsia" w:eastAsia="仿宋_GB2312"/>
          <w:color w:val="000000" w:themeColor="text1"/>
          <w:lang w:eastAsia="zh-CN"/>
          <w14:textFill>
            <w14:solidFill>
              <w14:schemeClr w14:val="tx1"/>
            </w14:solidFill>
          </w14:textFill>
        </w:rPr>
      </w:pPr>
    </w:p>
    <w:p w14:paraId="4D7930A5">
      <w:pPr>
        <w:wordWrap w:val="0"/>
        <w:bidi w:val="0"/>
        <w:jc w:val="right"/>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道县发展和改革</w:t>
      </w:r>
      <w:r>
        <w:rPr>
          <w:rFonts w:hint="eastAsia"/>
          <w:color w:val="000000" w:themeColor="text1"/>
          <w14:textFill>
            <w14:solidFill>
              <w14:schemeClr w14:val="tx1"/>
            </w14:solidFill>
          </w14:textFill>
        </w:rPr>
        <w:t>局</w:t>
      </w:r>
      <w:r>
        <w:rPr>
          <w:rFonts w:hint="eastAsia"/>
          <w:color w:val="000000" w:themeColor="text1"/>
          <w:lang w:val="en-US" w:eastAsia="zh-CN"/>
          <w14:textFill>
            <w14:solidFill>
              <w14:schemeClr w14:val="tx1"/>
            </w14:solidFill>
          </w14:textFill>
        </w:rPr>
        <w:t xml:space="preserve">    </w:t>
      </w:r>
    </w:p>
    <w:p w14:paraId="72A5EE50">
      <w:pPr>
        <w:wordWrap w:val="0"/>
        <w:bidi w:val="0"/>
        <w:jc w:val="right"/>
        <w:rPr>
          <w:rFonts w:hint="default" w:eastAsia="仿宋_GB2312"/>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2025年</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 xml:space="preserve">    </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CF2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71634">
                          <w:pPr>
                            <w:pStyle w:val="11"/>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71634">
                    <w:pPr>
                      <w:pStyle w:val="11"/>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0DAD"/>
    <w:rsid w:val="01D54D98"/>
    <w:rsid w:val="02007BB7"/>
    <w:rsid w:val="041365C4"/>
    <w:rsid w:val="06CC4290"/>
    <w:rsid w:val="094620D8"/>
    <w:rsid w:val="0A841510"/>
    <w:rsid w:val="0BE6560D"/>
    <w:rsid w:val="0F380715"/>
    <w:rsid w:val="112F5DC6"/>
    <w:rsid w:val="194F4FD8"/>
    <w:rsid w:val="1D13223F"/>
    <w:rsid w:val="1DC553F5"/>
    <w:rsid w:val="2039185D"/>
    <w:rsid w:val="23C12F77"/>
    <w:rsid w:val="2417512A"/>
    <w:rsid w:val="25461985"/>
    <w:rsid w:val="26321F0A"/>
    <w:rsid w:val="26A06E73"/>
    <w:rsid w:val="280E42B1"/>
    <w:rsid w:val="28FE4325"/>
    <w:rsid w:val="2BFA4A67"/>
    <w:rsid w:val="2D1C121E"/>
    <w:rsid w:val="2E552C39"/>
    <w:rsid w:val="2FAD43AF"/>
    <w:rsid w:val="33F508A6"/>
    <w:rsid w:val="37187B58"/>
    <w:rsid w:val="37515F68"/>
    <w:rsid w:val="39871519"/>
    <w:rsid w:val="3AF9060C"/>
    <w:rsid w:val="3B082DE1"/>
    <w:rsid w:val="3B946458"/>
    <w:rsid w:val="3BF52913"/>
    <w:rsid w:val="3D7E4461"/>
    <w:rsid w:val="3F6405FB"/>
    <w:rsid w:val="3F880CFE"/>
    <w:rsid w:val="4057639D"/>
    <w:rsid w:val="42B97012"/>
    <w:rsid w:val="4541761C"/>
    <w:rsid w:val="488A3233"/>
    <w:rsid w:val="48FD1AAC"/>
    <w:rsid w:val="49BD7227"/>
    <w:rsid w:val="49F17862"/>
    <w:rsid w:val="4ACE54AE"/>
    <w:rsid w:val="4C5365B2"/>
    <w:rsid w:val="4F1813ED"/>
    <w:rsid w:val="552C5BF2"/>
    <w:rsid w:val="5898359F"/>
    <w:rsid w:val="5B855D9B"/>
    <w:rsid w:val="5EEB4428"/>
    <w:rsid w:val="606D435A"/>
    <w:rsid w:val="62941B58"/>
    <w:rsid w:val="65C76FFA"/>
    <w:rsid w:val="695975BE"/>
    <w:rsid w:val="6CB247D7"/>
    <w:rsid w:val="6D25144D"/>
    <w:rsid w:val="6FAC19B2"/>
    <w:rsid w:val="70453BB5"/>
    <w:rsid w:val="749649DF"/>
    <w:rsid w:val="7506022D"/>
    <w:rsid w:val="7954564F"/>
    <w:rsid w:val="7A00075B"/>
    <w:rsid w:val="7E250CFC"/>
    <w:rsid w:val="7E3D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880" w:firstLineChars="200"/>
      <w:jc w:val="both"/>
    </w:pPr>
    <w:rPr>
      <w:rFonts w:ascii="Calibri" w:hAnsi="Calibri" w:eastAsia="仿宋_GB2312" w:cs="Times New Roman"/>
      <w:kern w:val="2"/>
      <w:sz w:val="32"/>
      <w:szCs w:val="24"/>
      <w:lang w:val="en-US" w:eastAsia="zh-CN" w:bidi="ar-SA"/>
    </w:rPr>
  </w:style>
  <w:style w:type="paragraph" w:styleId="6">
    <w:name w:val="heading 1"/>
    <w:basedOn w:val="1"/>
    <w:next w:val="7"/>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8">
    <w:name w:val="heading 2"/>
    <w:basedOn w:val="1"/>
    <w:next w:val="1"/>
    <w:link w:val="18"/>
    <w:semiHidden/>
    <w:unhideWhenUsed/>
    <w:qFormat/>
    <w:uiPriority w:val="0"/>
    <w:pPr>
      <w:keepNext/>
      <w:keepLines/>
      <w:spacing w:beforeLines="0" w:beforeAutospacing="0" w:afterLines="0" w:afterAutospacing="0" w:line="560" w:lineRule="exact"/>
      <w:outlineLvl w:val="1"/>
    </w:pPr>
    <w:rPr>
      <w:rFonts w:ascii="Arial" w:hAnsi="Arial" w:eastAsia="楷体"/>
      <w:b/>
    </w:rPr>
  </w:style>
  <w:style w:type="paragraph" w:styleId="9">
    <w:name w:val="heading 3"/>
    <w:next w:val="1"/>
    <w:link w:val="17"/>
    <w:semiHidden/>
    <w:unhideWhenUsed/>
    <w:qFormat/>
    <w:uiPriority w:val="0"/>
    <w:pPr>
      <w:keepNext/>
      <w:keepLines/>
      <w:spacing w:beforeLines="0" w:beforeAutospacing="0" w:afterLines="0" w:afterAutospacing="0" w:line="560" w:lineRule="exact"/>
      <w:outlineLvl w:val="2"/>
    </w:pPr>
    <w:rPr>
      <w:rFonts w:ascii="Times New Roman" w:hAnsi="Times New Roman" w:eastAsia="楷体" w:cstheme="minorBidi"/>
      <w:b/>
      <w:color w:val="auto"/>
      <w:sz w:val="32"/>
      <w14:textFill>
        <w14:noFill/>
      </w14:textFill>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664"/>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ind w:left="1680" w:leftChars="800"/>
    </w:pPr>
  </w:style>
  <w:style w:type="paragraph" w:customStyle="1" w:styleId="5">
    <w:name w:val="_Style 3"/>
    <w:next w:val="1"/>
    <w:qFormat/>
    <w:uiPriority w:val="0"/>
    <w:pPr>
      <w:wordWrap w:val="0"/>
    </w:pPr>
    <w:rPr>
      <w:rFonts w:ascii="Times New Roman" w:hAnsi="Times New Roman" w:eastAsia="宋体" w:cs="Times New Roman"/>
      <w:sz w:val="32"/>
      <w:lang w:val="en-US" w:eastAsia="zh-CN" w:bidi="ar-SA"/>
    </w:rPr>
  </w:style>
  <w:style w:type="paragraph" w:styleId="7">
    <w:name w:val="Title"/>
    <w:link w:val="16"/>
    <w:qFormat/>
    <w:uiPriority w:val="0"/>
    <w:pPr>
      <w:spacing w:beforeLines="0" w:beforeAutospacing="0" w:after="200" w:afterLines="200" w:afterAutospacing="0" w:line="600" w:lineRule="exact"/>
      <w:jc w:val="center"/>
      <w:outlineLvl w:val="0"/>
    </w:pPr>
    <w:rPr>
      <w:rFonts w:ascii="Arial" w:hAnsi="Arial" w:eastAsia="方正小标宋简体" w:cstheme="minorBidi"/>
      <w:sz w:val="44"/>
    </w:rPr>
  </w:style>
  <w:style w:type="paragraph" w:styleId="10">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1">
    <w:name w:val="footer"/>
    <w:basedOn w:val="1"/>
    <w:next w:val="10"/>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6">
    <w:name w:val="标题 Char"/>
    <w:link w:val="7"/>
    <w:qFormat/>
    <w:uiPriority w:val="0"/>
    <w:rPr>
      <w:rFonts w:ascii="Arial" w:hAnsi="Arial" w:eastAsia="方正小标宋简体"/>
      <w:sz w:val="44"/>
    </w:rPr>
  </w:style>
  <w:style w:type="character" w:customStyle="1" w:styleId="17">
    <w:name w:val="标题 3 Char"/>
    <w:link w:val="9"/>
    <w:qFormat/>
    <w:uiPriority w:val="0"/>
    <w:rPr>
      <w:rFonts w:ascii="Times New Roman" w:hAnsi="Times New Roman" w:eastAsia="楷体"/>
      <w:b/>
      <w:color w:val="auto"/>
      <w:sz w:val="32"/>
      <w14:textFill>
        <w14:noFill/>
      </w14:textFill>
    </w:rPr>
  </w:style>
  <w:style w:type="character" w:customStyle="1" w:styleId="18">
    <w:name w:val="标题 2 Char"/>
    <w:link w:val="8"/>
    <w:qFormat/>
    <w:uiPriority w:val="0"/>
    <w:rPr>
      <w:rFonts w:ascii="Arial" w:hAnsi="Arial" w:eastAsia="楷体"/>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2197</Words>
  <Characters>2312</Characters>
  <Lines>0</Lines>
  <Paragraphs>0</Paragraphs>
  <TotalTime>16</TotalTime>
  <ScaleCrop>false</ScaleCrop>
  <LinksUpToDate>false</LinksUpToDate>
  <CharactersWithSpaces>2324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2025-10-21T01:47:00Z</dcterms:created>
  <dc:creator>寄清风于暖阳</dc:creator>
  <cp:lastModifiedBy>biubiubiu</cp:lastModifiedBy>
  <dcterms:modified xsi:type="dcterms:W3CDTF">2025-10-24T07:59:13Z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7A86FAEA553A4BDFBD776188B968C9EA_11</vt:lpwstr>
  </property>
  <property fmtid="{D5CDD505-2E9C-101B-9397-08002B2CF9AE}" pid="4" name="KSOTemplateDocerSaveRecord">
    <vt:lpwstr>eyJoZGlkIjoiYWY1M2U3NTFiYjJkN2RjNGJhNGI2ZWJkYmJkZGQwMmIiLCJ1c2VySWQiOiIyNTc4MDQ3NTkifQ==</vt:lpwstr>
  </property>
</Properties>
</file>