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600" w:lineRule="exact"/>
        <w:jc w:val="center"/>
        <w:textAlignment w:val="baseline"/>
        <w:rPr>
          <w:rFonts w:ascii="宋体" w:cs="宋体"/>
          <w:b/>
          <w:bCs/>
          <w:sz w:val="44"/>
          <w:szCs w:val="44"/>
        </w:rPr>
      </w:pPr>
      <w:r>
        <w:rPr>
          <w:rFonts w:hint="eastAsia" w:ascii="宋体" w:hAnsi="宋体" w:cs="宋体"/>
          <w:b/>
          <w:bCs/>
          <w:sz w:val="44"/>
          <w:szCs w:val="44"/>
        </w:rPr>
        <w:t>道县公安局交警大队</w:t>
      </w:r>
    </w:p>
    <w:p>
      <w:pPr>
        <w:wordWrap w:val="0"/>
        <w:spacing w:line="600" w:lineRule="exact"/>
        <w:jc w:val="center"/>
        <w:textAlignment w:val="baseline"/>
        <w:rPr>
          <w:rFonts w:hint="eastAsia" w:ascii="宋体" w:hAnsi="宋体" w:cs="宋体"/>
          <w:b/>
          <w:bCs/>
          <w:sz w:val="44"/>
          <w:szCs w:val="44"/>
        </w:rPr>
      </w:pPr>
      <w:r>
        <w:rPr>
          <w:rFonts w:hint="eastAsia" w:ascii="宋体" w:hAnsi="宋体" w:cs="宋体"/>
          <w:b/>
          <w:bCs/>
          <w:sz w:val="44"/>
          <w:szCs w:val="44"/>
        </w:rPr>
        <w:t>关于《关于道县追光者演唱会期间对高新区文体中心周边道路实行交通管制的通告》</w:t>
      </w:r>
    </w:p>
    <w:p>
      <w:pPr>
        <w:wordWrap w:val="0"/>
        <w:spacing w:line="600" w:lineRule="exact"/>
        <w:jc w:val="center"/>
        <w:textAlignment w:val="baseline"/>
        <w:rPr>
          <w:rFonts w:ascii="宋体" w:cs="宋体"/>
          <w:b/>
          <w:bCs/>
          <w:sz w:val="44"/>
          <w:szCs w:val="44"/>
        </w:rPr>
      </w:pPr>
      <w:r>
        <w:rPr>
          <w:rFonts w:hint="eastAsia" w:ascii="宋体" w:hAnsi="宋体" w:cs="宋体"/>
          <w:b/>
          <w:bCs/>
          <w:sz w:val="44"/>
          <w:szCs w:val="44"/>
        </w:rPr>
        <w:t>政策解读</w:t>
      </w:r>
    </w:p>
    <w:p>
      <w:pPr>
        <w:rPr>
          <w:rFonts w:ascii="宋体" w:cs="宋体"/>
          <w:sz w:val="44"/>
          <w:szCs w:val="44"/>
        </w:rPr>
      </w:pPr>
    </w:p>
    <w:p>
      <w:pPr>
        <w:spacing w:line="600" w:lineRule="exact"/>
        <w:ind w:firstLine="640" w:firstLineChars="200"/>
        <w:rPr>
          <w:rFonts w:ascii="黑体" w:hAnsi="黑体" w:eastAsia="黑体" w:cs="宋体"/>
          <w:sz w:val="32"/>
          <w:szCs w:val="32"/>
        </w:rPr>
      </w:pPr>
      <w:r>
        <w:rPr>
          <w:rFonts w:hint="eastAsia" w:ascii="黑体" w:hAnsi="黑体" w:eastAsia="黑体" w:cs="宋体"/>
          <w:sz w:val="32"/>
          <w:szCs w:val="32"/>
        </w:rPr>
        <w:t>一、起草背景</w:t>
      </w:r>
    </w:p>
    <w:p>
      <w:pPr>
        <w:spacing w:line="600" w:lineRule="exact"/>
        <w:ind w:firstLine="640" w:firstLineChars="200"/>
        <w:rPr>
          <w:rFonts w:ascii="宋体" w:eastAsia="仿宋" w:cs="宋体"/>
          <w:sz w:val="32"/>
          <w:szCs w:val="32"/>
        </w:rPr>
      </w:pPr>
      <w:r>
        <w:rPr>
          <w:rFonts w:hint="eastAsia" w:ascii="仿宋_GB2312" w:eastAsia="仿宋_GB2312"/>
          <w:sz w:val="32"/>
          <w:szCs w:val="32"/>
        </w:rPr>
        <w:t>道县</w:t>
      </w:r>
      <w:r>
        <w:rPr>
          <w:rFonts w:hint="eastAsia" w:ascii="仿宋_GB2312" w:eastAsia="仿宋_GB2312"/>
          <w:sz w:val="32"/>
          <w:szCs w:val="32"/>
          <w:lang w:val="en-US" w:eastAsia="zh-CN"/>
        </w:rPr>
        <w:t>追光者演唱会</w:t>
      </w:r>
      <w:r>
        <w:rPr>
          <w:rFonts w:hint="eastAsia" w:ascii="仿宋_GB2312" w:eastAsia="仿宋_GB2312"/>
          <w:sz w:val="32"/>
          <w:szCs w:val="32"/>
        </w:rPr>
        <w:t>将于202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日在</w:t>
      </w:r>
      <w:r>
        <w:rPr>
          <w:rFonts w:hint="eastAsia" w:ascii="仿宋_GB2312" w:eastAsia="仿宋_GB2312"/>
          <w:sz w:val="32"/>
          <w:szCs w:val="32"/>
          <w:lang w:eastAsia="zh-CN"/>
        </w:rPr>
        <w:t>道县高新区</w:t>
      </w:r>
      <w:r>
        <w:rPr>
          <w:rFonts w:hint="eastAsia" w:ascii="仿宋_GB2312" w:eastAsia="仿宋_GB2312"/>
          <w:sz w:val="32"/>
          <w:szCs w:val="32"/>
          <w:lang w:val="en-US" w:eastAsia="zh-CN"/>
        </w:rPr>
        <w:t>文体中心</w:t>
      </w:r>
      <w:r>
        <w:rPr>
          <w:rFonts w:hint="eastAsia" w:ascii="仿宋_GB2312" w:eastAsia="仿宋_GB2312"/>
          <w:sz w:val="32"/>
          <w:szCs w:val="32"/>
        </w:rPr>
        <w:t>举行。为确保</w:t>
      </w:r>
      <w:r>
        <w:rPr>
          <w:rFonts w:hint="eastAsia" w:ascii="仿宋_GB2312" w:eastAsia="仿宋_GB2312"/>
          <w:sz w:val="32"/>
          <w:szCs w:val="32"/>
          <w:lang w:eastAsia="zh-CN"/>
        </w:rPr>
        <w:t>演唱会</w:t>
      </w:r>
      <w:r>
        <w:rPr>
          <w:rFonts w:hint="eastAsia" w:ascii="仿宋_GB2312" w:eastAsia="仿宋_GB2312"/>
          <w:sz w:val="32"/>
          <w:szCs w:val="32"/>
        </w:rPr>
        <w:t>期间道路安全畅通</w:t>
      </w:r>
      <w:r>
        <w:rPr>
          <w:rFonts w:hint="eastAsia" w:ascii="宋体" w:hAnsi="宋体" w:eastAsia="仿宋" w:cs="宋体"/>
          <w:sz w:val="32"/>
          <w:szCs w:val="32"/>
        </w:rPr>
        <w:t>，根据《中华人民共和国道路交通安全法》及其实施条例有关规定，我大队起草了《</w:t>
      </w:r>
      <w:r>
        <w:rPr>
          <w:rFonts w:hint="eastAsia" w:ascii="仿宋_GB2312" w:hAnsi="仿宋_GB2312" w:eastAsia="仿宋_GB2312" w:cs="仿宋_GB2312"/>
          <w:b w:val="0"/>
          <w:bCs w:val="0"/>
          <w:sz w:val="32"/>
          <w:szCs w:val="32"/>
        </w:rPr>
        <w:t>关于道县追光者演唱会期间对高新区文体中心周边道路实行交通管制的通告</w:t>
      </w:r>
      <w:r>
        <w:rPr>
          <w:rFonts w:hint="eastAsia" w:ascii="宋体" w:hAnsi="宋体" w:eastAsia="仿宋" w:cs="宋体"/>
          <w:sz w:val="32"/>
          <w:szCs w:val="32"/>
        </w:rPr>
        <w:t>》。</w:t>
      </w:r>
    </w:p>
    <w:p>
      <w:pPr>
        <w:spacing w:line="600" w:lineRule="exact"/>
        <w:ind w:firstLine="640" w:firstLineChars="200"/>
        <w:rPr>
          <w:rFonts w:ascii="黑体" w:hAnsi="黑体" w:eastAsia="黑体" w:cs="宋体"/>
          <w:sz w:val="32"/>
          <w:szCs w:val="32"/>
        </w:rPr>
      </w:pPr>
      <w:r>
        <w:rPr>
          <w:rFonts w:hint="eastAsia" w:ascii="黑体" w:hAnsi="黑体" w:eastAsia="黑体" w:cs="宋体"/>
          <w:sz w:val="32"/>
          <w:szCs w:val="32"/>
        </w:rPr>
        <w:t>二、主要内容</w:t>
      </w:r>
    </w:p>
    <w:p>
      <w:pPr>
        <w:widowControl w:val="0"/>
        <w:wordWrap/>
        <w:adjustRightInd/>
        <w:snapToGrid/>
        <w:spacing w:line="600" w:lineRule="exact"/>
        <w:textAlignment w:val="auto"/>
        <w:rPr>
          <w:rFonts w:hint="eastAsia" w:ascii="仿宋_GB2312" w:eastAsia="黑体"/>
          <w:bCs/>
          <w:sz w:val="32"/>
          <w:szCs w:val="32"/>
        </w:rPr>
      </w:pPr>
      <w:r>
        <w:rPr>
          <w:rFonts w:hint="eastAsia" w:ascii="仿宋_GB2312" w:eastAsia="黑体"/>
          <w:bCs/>
          <w:sz w:val="32"/>
          <w:szCs w:val="32"/>
          <w:lang w:val="en-US" w:eastAsia="zh-CN"/>
        </w:rPr>
        <w:t xml:space="preserve">   （一）</w:t>
      </w:r>
      <w:r>
        <w:rPr>
          <w:rFonts w:hint="eastAsia" w:ascii="仿宋_GB2312" w:eastAsia="黑体"/>
          <w:bCs/>
          <w:sz w:val="32"/>
          <w:szCs w:val="32"/>
        </w:rPr>
        <w:t>交通管制路段</w:t>
      </w:r>
    </w:p>
    <w:p>
      <w:pPr>
        <w:widowControl w:val="0"/>
        <w:wordWrap/>
        <w:adjustRightInd/>
        <w:snapToGrid/>
        <w:spacing w:line="600" w:lineRule="exact"/>
        <w:ind w:left="0" w:leftChars="0" w:firstLine="640" w:firstLineChars="200"/>
        <w:textAlignment w:val="auto"/>
        <w:rPr>
          <w:rFonts w:hint="eastAsia" w:ascii="仿宋_GB2312" w:eastAsia="仿宋_GB2312"/>
          <w:bCs/>
          <w:sz w:val="32"/>
          <w:szCs w:val="32"/>
        </w:rPr>
      </w:pPr>
      <w:r>
        <w:rPr>
          <w:rFonts w:hint="eastAsia" w:ascii="仿宋_GB2312" w:eastAsia="仿宋_GB2312"/>
          <w:bCs/>
          <w:sz w:val="32"/>
          <w:szCs w:val="32"/>
        </w:rPr>
        <w:t>对</w:t>
      </w:r>
      <w:r>
        <w:rPr>
          <w:rFonts w:hint="eastAsia" w:ascii="仿宋_GB2312" w:eastAsia="仿宋_GB2312"/>
          <w:bCs/>
          <w:sz w:val="32"/>
          <w:szCs w:val="32"/>
          <w:lang w:val="en-US" w:eastAsia="zh-CN"/>
        </w:rPr>
        <w:t>工业大道（营阳大道与工业大道交汇处至政务中心路口）、东环一路</w:t>
      </w:r>
      <w:r>
        <w:rPr>
          <w:rFonts w:hint="eastAsia" w:ascii="仿宋_GB2312" w:eastAsia="仿宋_GB2312"/>
          <w:bCs/>
          <w:sz w:val="32"/>
          <w:szCs w:val="32"/>
        </w:rPr>
        <w:t>（</w:t>
      </w:r>
      <w:r>
        <w:rPr>
          <w:rFonts w:hint="eastAsia" w:ascii="仿宋_GB2312" w:eastAsia="仿宋_GB2312"/>
          <w:bCs/>
          <w:sz w:val="32"/>
          <w:szCs w:val="32"/>
          <w:lang w:val="en-US" w:eastAsia="zh-CN"/>
        </w:rPr>
        <w:t>工业大道与东环一路交汇处</w:t>
      </w:r>
      <w:r>
        <w:rPr>
          <w:rFonts w:hint="eastAsia" w:ascii="仿宋_GB2312" w:eastAsia="仿宋_GB2312"/>
          <w:bCs/>
          <w:sz w:val="32"/>
          <w:szCs w:val="32"/>
        </w:rPr>
        <w:t>至</w:t>
      </w:r>
      <w:r>
        <w:rPr>
          <w:rFonts w:hint="eastAsia" w:ascii="仿宋_GB2312" w:eastAsia="仿宋_GB2312"/>
          <w:bCs/>
          <w:sz w:val="32"/>
          <w:szCs w:val="32"/>
          <w:lang w:val="en-US" w:eastAsia="zh-CN"/>
        </w:rPr>
        <w:t>烟草屋路与东环一路交汇处</w:t>
      </w:r>
      <w:r>
        <w:rPr>
          <w:rFonts w:hint="eastAsia" w:ascii="仿宋_GB2312" w:eastAsia="仿宋_GB2312"/>
          <w:bCs/>
          <w:sz w:val="32"/>
          <w:szCs w:val="32"/>
        </w:rPr>
        <w:t>）</w:t>
      </w:r>
      <w:r>
        <w:rPr>
          <w:rFonts w:hint="eastAsia" w:ascii="仿宋_GB2312" w:eastAsia="仿宋_GB2312"/>
          <w:bCs/>
          <w:sz w:val="32"/>
          <w:szCs w:val="32"/>
          <w:lang w:eastAsia="zh-CN"/>
        </w:rPr>
        <w:t>、</w:t>
      </w:r>
      <w:r>
        <w:rPr>
          <w:rFonts w:hint="eastAsia" w:ascii="仿宋_GB2312" w:eastAsia="仿宋_GB2312"/>
          <w:bCs/>
          <w:sz w:val="32"/>
          <w:szCs w:val="32"/>
          <w:lang w:val="en-US" w:eastAsia="zh-CN"/>
        </w:rPr>
        <w:t>烟草屋路</w:t>
      </w:r>
      <w:r>
        <w:rPr>
          <w:rFonts w:hint="eastAsia" w:ascii="仿宋_GB2312" w:eastAsia="仿宋_GB2312"/>
          <w:bCs/>
          <w:sz w:val="32"/>
          <w:szCs w:val="32"/>
        </w:rPr>
        <w:t>（</w:t>
      </w:r>
      <w:r>
        <w:rPr>
          <w:rFonts w:hint="eastAsia" w:ascii="仿宋_GB2312" w:eastAsia="仿宋_GB2312"/>
          <w:bCs/>
          <w:sz w:val="32"/>
          <w:szCs w:val="32"/>
          <w:lang w:val="en-US" w:eastAsia="zh-CN"/>
        </w:rPr>
        <w:t>烟草屋路与东环一路交汇处</w:t>
      </w:r>
      <w:r>
        <w:rPr>
          <w:rFonts w:hint="eastAsia" w:ascii="仿宋_GB2312" w:eastAsia="仿宋_GB2312"/>
          <w:bCs/>
          <w:sz w:val="32"/>
          <w:szCs w:val="32"/>
        </w:rPr>
        <w:t>至</w:t>
      </w:r>
      <w:r>
        <w:rPr>
          <w:rFonts w:hint="eastAsia" w:ascii="仿宋_GB2312" w:eastAsia="仿宋_GB2312"/>
          <w:bCs/>
          <w:sz w:val="32"/>
          <w:szCs w:val="32"/>
          <w:lang w:val="en-US" w:eastAsia="zh-CN"/>
        </w:rPr>
        <w:t>烟草屋路与富园三路交汇处</w:t>
      </w:r>
      <w:r>
        <w:rPr>
          <w:rFonts w:hint="eastAsia" w:ascii="仿宋_GB2312" w:eastAsia="仿宋_GB2312"/>
          <w:bCs/>
          <w:sz w:val="32"/>
          <w:szCs w:val="32"/>
        </w:rPr>
        <w:t>）</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富园三路（工业大道与富园三路交汇处至烟草屋路与富园三路交汇处）</w:t>
      </w:r>
      <w:r>
        <w:rPr>
          <w:rFonts w:hint="eastAsia" w:ascii="仿宋_GB2312" w:eastAsia="仿宋_GB2312"/>
          <w:bCs/>
          <w:sz w:val="32"/>
          <w:szCs w:val="32"/>
        </w:rPr>
        <w:t>实行交通管制，保障道路畅通。</w:t>
      </w:r>
    </w:p>
    <w:p>
      <w:pPr>
        <w:pStyle w:val="7"/>
        <w:widowControl w:val="0"/>
        <w:numPr>
          <w:numId w:val="0"/>
        </w:numPr>
        <w:wordWrap/>
        <w:adjustRightInd/>
        <w:snapToGrid/>
        <w:spacing w:line="600" w:lineRule="exact"/>
        <w:textAlignment w:val="auto"/>
        <w:rPr>
          <w:rFonts w:hint="eastAsia" w:ascii="仿宋_GB2312" w:hAnsi="Calibri" w:eastAsia="黑体" w:cs="Times New Roman"/>
          <w:bCs/>
          <w:kern w:val="2"/>
          <w:sz w:val="32"/>
          <w:szCs w:val="32"/>
          <w:lang w:val="en-US" w:eastAsia="zh-CN" w:bidi="ar-SA"/>
        </w:rPr>
      </w:pPr>
      <w:r>
        <w:rPr>
          <w:rFonts w:hint="eastAsia" w:ascii="仿宋_GB2312" w:eastAsia="黑体" w:cs="Times New Roman"/>
          <w:bCs/>
          <w:kern w:val="2"/>
          <w:sz w:val="32"/>
          <w:szCs w:val="32"/>
          <w:lang w:val="en-US" w:eastAsia="zh-CN" w:bidi="ar-SA"/>
        </w:rPr>
        <w:t xml:space="preserve">  （二）</w:t>
      </w:r>
      <w:r>
        <w:rPr>
          <w:rFonts w:hint="eastAsia" w:ascii="仿宋_GB2312" w:hAnsi="Calibri" w:eastAsia="黑体" w:cs="Times New Roman"/>
          <w:bCs/>
          <w:kern w:val="2"/>
          <w:sz w:val="32"/>
          <w:szCs w:val="32"/>
          <w:lang w:val="en-US" w:eastAsia="zh-CN" w:bidi="ar-SA"/>
        </w:rPr>
        <w:t>交通管制措施</w:t>
      </w:r>
    </w:p>
    <w:p>
      <w:pPr>
        <w:pStyle w:val="7"/>
        <w:widowControl w:val="0"/>
        <w:numPr>
          <w:numId w:val="0"/>
        </w:numPr>
        <w:wordWrap/>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交通管制期间，禁止机动车辆驶入管制路段区域，执行紧急任务的救护车、消防车、警</w:t>
      </w:r>
      <w:r>
        <w:rPr>
          <w:rFonts w:hint="eastAsia" w:ascii="仿宋_GB2312" w:eastAsia="仿宋_GB2312"/>
          <w:sz w:val="32"/>
          <w:szCs w:val="32"/>
          <w:lang w:eastAsia="zh-CN"/>
        </w:rPr>
        <w:t>车</w:t>
      </w:r>
      <w:r>
        <w:rPr>
          <w:rFonts w:hint="eastAsia" w:ascii="仿宋_GB2312" w:eastAsia="仿宋_GB2312"/>
          <w:sz w:val="32"/>
          <w:szCs w:val="32"/>
        </w:rPr>
        <w:t>、工程抢险车、持有通行证的工作车辆经核实后方可进入。确需途</w:t>
      </w:r>
      <w:r>
        <w:rPr>
          <w:rFonts w:hint="eastAsia" w:ascii="仿宋_GB2312" w:eastAsia="仿宋_GB2312"/>
          <w:sz w:val="32"/>
          <w:szCs w:val="32"/>
          <w:lang w:eastAsia="zh-CN"/>
        </w:rPr>
        <w:t>经</w:t>
      </w:r>
      <w:r>
        <w:rPr>
          <w:rFonts w:hint="eastAsia" w:ascii="仿宋_GB2312" w:eastAsia="仿宋_GB2312"/>
          <w:sz w:val="32"/>
          <w:szCs w:val="32"/>
        </w:rPr>
        <w:t>上述路段的车辆，请提前规划出行路线，绕道行驶。</w:t>
      </w:r>
    </w:p>
    <w:p>
      <w:pPr>
        <w:pStyle w:val="7"/>
        <w:widowControl w:val="0"/>
        <w:numPr>
          <w:numId w:val="0"/>
        </w:numPr>
        <w:wordWrap/>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2、交通管制期间，政务中心、135产业园、以及工业园区内所有工厂内停车区向社会开放。</w:t>
      </w:r>
    </w:p>
    <w:p>
      <w:pPr>
        <w:pStyle w:val="7"/>
        <w:widowControl w:val="0"/>
        <w:numPr>
          <w:numId w:val="0"/>
        </w:numPr>
        <w:wordWrap/>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bCs/>
          <w:sz w:val="32"/>
          <w:szCs w:val="32"/>
          <w:lang w:val="en-US" w:eastAsia="zh-CN"/>
        </w:rPr>
        <w:t>3、工业大道（东环一路与工业大道交汇处至政务中心路口）道路两侧为中大型客车停放点。其他非管制区内道路两侧可有序停放车辆。</w:t>
      </w:r>
    </w:p>
    <w:p>
      <w:pPr>
        <w:pStyle w:val="7"/>
        <w:widowControl w:val="0"/>
        <w:numPr>
          <w:numId w:val="0"/>
        </w:numPr>
        <w:wordWrap/>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公安交警部门将加强对管制路段的交通管理，</w:t>
      </w:r>
      <w:r>
        <w:rPr>
          <w:rFonts w:hint="eastAsia" w:ascii="仿宋_GB2312" w:eastAsia="仿宋_GB2312"/>
          <w:sz w:val="32"/>
          <w:szCs w:val="32"/>
          <w:lang w:val="en-US" w:eastAsia="zh-CN"/>
        </w:rPr>
        <w:t>请广大驾驶员遵守交通法律法规，服从交警指挥</w:t>
      </w:r>
      <w:r>
        <w:rPr>
          <w:rFonts w:hint="eastAsia" w:ascii="仿宋_GB2312" w:eastAsia="仿宋_GB2312"/>
          <w:sz w:val="32"/>
          <w:szCs w:val="32"/>
        </w:rPr>
        <w:t>。</w:t>
      </w:r>
      <w:r>
        <w:rPr>
          <w:rFonts w:hint="eastAsia" w:ascii="仿宋_GB2312" w:eastAsia="仿宋_GB2312"/>
          <w:sz w:val="32"/>
          <w:szCs w:val="32"/>
          <w:lang w:eastAsia="zh-CN"/>
        </w:rPr>
        <w:t>对因交通管制造成的不便敬请谅解。</w:t>
      </w:r>
    </w:p>
    <w:p>
      <w:pPr>
        <w:spacing w:line="600" w:lineRule="exact"/>
        <w:ind w:firstLine="643" w:firstLineChars="200"/>
        <w:rPr>
          <w:rFonts w:ascii="宋体" w:eastAsia="仿宋" w:cs="宋体"/>
          <w:b/>
          <w:sz w:val="32"/>
          <w:szCs w:val="32"/>
        </w:rPr>
      </w:pPr>
      <w:r>
        <w:rPr>
          <w:rFonts w:hint="eastAsia" w:ascii="宋体" w:hAnsi="宋体" w:eastAsia="仿宋" w:cs="宋体"/>
          <w:b/>
          <w:sz w:val="32"/>
          <w:szCs w:val="32"/>
        </w:rPr>
        <w:t>（三）有关要求和注意事项</w:t>
      </w:r>
    </w:p>
    <w:p>
      <w:pPr>
        <w:spacing w:line="600" w:lineRule="exact"/>
        <w:ind w:firstLine="640" w:firstLineChars="200"/>
        <w:rPr>
          <w:rFonts w:ascii="宋体" w:eastAsia="仿宋" w:cs="宋体"/>
          <w:sz w:val="32"/>
          <w:szCs w:val="32"/>
        </w:rPr>
      </w:pPr>
      <w:r>
        <w:rPr>
          <w:rFonts w:hint="eastAsia" w:ascii="宋体" w:hAnsi="宋体" w:eastAsia="仿宋" w:cs="宋体"/>
          <w:sz w:val="32"/>
          <w:szCs w:val="32"/>
        </w:rPr>
        <w:t>各临时开放停车场的单位要规范设置停车点及相应的指示标牌，不得收取任何费用或物品；停入临时开放停车场的车辆驾驶人要做到文明有序停放车辆，自觉服从相关单位的统一管理；临时开放停车场单位不负责车辆安全保管，请车主自觉做好安全防范工作，车上避免存放贵重物品，避免车辆刮擦损毁；在管制</w:t>
      </w:r>
      <w:r>
        <w:rPr>
          <w:rFonts w:hint="eastAsia" w:ascii="仿宋_GB2312" w:hAnsi="仿宋_GB2312" w:eastAsia="仿宋" w:cs="仿宋_GB2312"/>
          <w:sz w:val="32"/>
          <w:szCs w:val="32"/>
        </w:rPr>
        <w:t>时间内，途经管制路段的车辆按照管制要求行驶。</w:t>
      </w:r>
    </w:p>
    <w:p>
      <w:pPr>
        <w:spacing w:line="600" w:lineRule="exact"/>
        <w:ind w:firstLine="640" w:firstLineChars="200"/>
        <w:rPr>
          <w:rFonts w:ascii="黑体" w:hAnsi="黑体" w:eastAsia="黑体" w:cs="宋体"/>
          <w:sz w:val="32"/>
          <w:szCs w:val="32"/>
        </w:rPr>
      </w:pPr>
      <w:r>
        <w:rPr>
          <w:rFonts w:hint="eastAsia" w:ascii="黑体" w:hAnsi="黑体" w:eastAsia="黑体" w:cs="宋体"/>
          <w:sz w:val="32"/>
          <w:szCs w:val="32"/>
        </w:rPr>
        <w:t>三、起草依据</w:t>
      </w:r>
    </w:p>
    <w:p>
      <w:pPr>
        <w:spacing w:line="600" w:lineRule="exact"/>
        <w:ind w:firstLine="640" w:firstLineChars="200"/>
        <w:rPr>
          <w:rFonts w:ascii="宋体" w:eastAsia="仿宋" w:cs="宋体"/>
          <w:sz w:val="32"/>
          <w:szCs w:val="32"/>
        </w:rPr>
      </w:pPr>
      <w:r>
        <w:rPr>
          <w:rFonts w:hint="eastAsia" w:ascii="宋体" w:hAnsi="宋体" w:eastAsia="仿宋" w:cs="宋体"/>
          <w:sz w:val="32"/>
          <w:szCs w:val="32"/>
        </w:rPr>
        <w:t>为做好</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日道县</w:t>
      </w:r>
      <w:r>
        <w:rPr>
          <w:rFonts w:hint="eastAsia" w:ascii="仿宋_GB2312" w:eastAsia="仿宋_GB2312"/>
          <w:sz w:val="32"/>
          <w:szCs w:val="32"/>
          <w:lang w:val="en-US" w:eastAsia="zh-CN"/>
        </w:rPr>
        <w:t>追光者演唱会期间</w:t>
      </w:r>
      <w:r>
        <w:rPr>
          <w:rFonts w:hint="eastAsia" w:ascii="宋体" w:hAnsi="宋体" w:eastAsia="仿宋" w:cs="宋体"/>
          <w:sz w:val="32"/>
          <w:szCs w:val="32"/>
        </w:rPr>
        <w:t>开放临时停车场和对相关路段实行交通管制工作，我大队指派相关业务股室和辖区中队民警深入交通管制区域进行实地勘查，并根据《中华人民共和国道路交通安全法》的相关要求，召开专题工作会议，讨论和通过《关于道县追光者演唱会期间对高新区文体中心周边道路实行交通管制的通告》。</w:t>
      </w:r>
    </w:p>
    <w:p>
      <w:pPr>
        <w:spacing w:line="600" w:lineRule="exact"/>
        <w:ind w:firstLine="640" w:firstLineChars="200"/>
        <w:rPr>
          <w:rFonts w:ascii="黑体" w:hAnsi="黑体" w:eastAsia="黑体" w:cs="宋体"/>
          <w:sz w:val="32"/>
          <w:szCs w:val="32"/>
        </w:rPr>
      </w:pPr>
      <w:r>
        <w:rPr>
          <w:rFonts w:hint="eastAsia" w:ascii="黑体" w:hAnsi="黑体" w:eastAsia="黑体" w:cs="宋体"/>
          <w:sz w:val="32"/>
          <w:szCs w:val="32"/>
        </w:rPr>
        <w:t>四、政策时限</w:t>
      </w:r>
    </w:p>
    <w:p>
      <w:pPr>
        <w:widowControl w:val="0"/>
        <w:wordWrap/>
        <w:adjustRightInd/>
        <w:snapToGrid/>
        <w:spacing w:line="600" w:lineRule="exact"/>
        <w:ind w:left="0" w:leftChars="0"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2024</w:t>
      </w:r>
      <w:r>
        <w:rPr>
          <w:rFonts w:hint="eastAsia" w:ascii="宋体" w:hAnsi="宋体" w:eastAsia="仿宋" w:cs="宋体"/>
          <w:sz w:val="32"/>
          <w:szCs w:val="32"/>
          <w:lang w:val="en-US" w:eastAsia="zh-CN"/>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w:t>
      </w:r>
      <w:r>
        <w:rPr>
          <w:rFonts w:hint="eastAsia" w:ascii="仿宋_GB2312" w:eastAsia="仿宋_GB2312"/>
          <w:sz w:val="32"/>
          <w:szCs w:val="32"/>
          <w:lang w:val="en-US" w:eastAsia="zh-CN"/>
        </w:rPr>
        <w:t>14</w:t>
      </w:r>
      <w:r>
        <w:rPr>
          <w:rFonts w:hint="eastAsia" w:ascii="仿宋_GB2312" w:eastAsia="仿宋_GB2312"/>
          <w:sz w:val="32"/>
          <w:szCs w:val="32"/>
        </w:rPr>
        <w:t>:</w:t>
      </w:r>
      <w:r>
        <w:rPr>
          <w:rFonts w:hint="eastAsia" w:ascii="仿宋_GB2312" w:eastAsia="仿宋_GB2312"/>
          <w:sz w:val="32"/>
          <w:szCs w:val="32"/>
          <w:lang w:val="en-US" w:eastAsia="zh-CN"/>
        </w:rPr>
        <w:t>0</w:t>
      </w:r>
      <w:r>
        <w:rPr>
          <w:rFonts w:hint="eastAsia" w:ascii="仿宋_GB2312" w:eastAsia="仿宋_GB2312"/>
          <w:sz w:val="32"/>
          <w:szCs w:val="32"/>
        </w:rPr>
        <w:t>0-</w:t>
      </w:r>
      <w:r>
        <w:rPr>
          <w:rFonts w:hint="eastAsia" w:ascii="仿宋_GB2312" w:eastAsia="仿宋_GB2312"/>
          <w:sz w:val="32"/>
          <w:szCs w:val="32"/>
          <w:lang w:eastAsia="zh-CN"/>
        </w:rPr>
        <w:t>至</w:t>
      </w:r>
      <w:r>
        <w:rPr>
          <w:rFonts w:hint="eastAsia" w:ascii="仿宋_GB2312" w:eastAsia="仿宋_GB2312"/>
          <w:sz w:val="32"/>
          <w:szCs w:val="32"/>
          <w:lang w:val="en-US" w:eastAsia="zh-CN"/>
        </w:rPr>
        <w:t>2024年3月30日22</w:t>
      </w:r>
      <w:r>
        <w:rPr>
          <w:rFonts w:hint="eastAsia" w:ascii="仿宋_GB2312" w:eastAsia="仿宋_GB2312"/>
          <w:sz w:val="32"/>
          <w:szCs w:val="32"/>
        </w:rPr>
        <w:t>:30</w:t>
      </w:r>
    </w:p>
    <w:p>
      <w:pPr>
        <w:spacing w:line="600" w:lineRule="exact"/>
        <w:ind w:firstLine="480" w:firstLineChars="150"/>
        <w:rPr>
          <w:rFonts w:ascii="宋体" w:eastAsia="仿宋" w:cs="宋体"/>
          <w:sz w:val="32"/>
          <w:szCs w:val="32"/>
        </w:rPr>
      </w:pPr>
    </w:p>
    <w:p>
      <w:pPr>
        <w:spacing w:line="600" w:lineRule="exact"/>
        <w:ind w:firstLine="640" w:firstLineChars="200"/>
        <w:rPr>
          <w:rFonts w:ascii="宋体" w:eastAsia="仿宋" w:cs="宋体"/>
          <w:sz w:val="32"/>
          <w:szCs w:val="32"/>
        </w:rPr>
      </w:pPr>
      <w:r>
        <w:rPr>
          <w:rFonts w:ascii="宋体" w:hAnsi="宋体" w:eastAsia="仿宋" w:cs="宋体"/>
          <w:sz w:val="32"/>
          <w:szCs w:val="32"/>
        </w:rPr>
        <w:t xml:space="preserve">                              </w:t>
      </w:r>
    </w:p>
    <w:p>
      <w:pPr>
        <w:spacing w:line="600" w:lineRule="exact"/>
        <w:ind w:firstLine="640" w:firstLineChars="200"/>
        <w:textAlignment w:val="baseline"/>
        <w:rPr>
          <w:rFonts w:ascii="宋体" w:eastAsia="仿宋" w:cs="宋体"/>
          <w:color w:val="000000"/>
          <w:sz w:val="32"/>
          <w:szCs w:val="32"/>
        </w:rPr>
      </w:pPr>
      <w:r>
        <w:rPr>
          <w:rFonts w:ascii="宋体" w:hAnsi="宋体" w:eastAsia="仿宋" w:cs="宋体"/>
          <w:color w:val="000000"/>
          <w:sz w:val="32"/>
          <w:szCs w:val="32"/>
        </w:rPr>
        <w:t xml:space="preserve">                          </w:t>
      </w:r>
      <w:r>
        <w:rPr>
          <w:rFonts w:hint="eastAsia" w:ascii="宋体" w:hAnsi="宋体" w:eastAsia="仿宋" w:cs="宋体"/>
          <w:color w:val="000000"/>
          <w:sz w:val="32"/>
          <w:szCs w:val="32"/>
        </w:rPr>
        <w:t>道县公安局交通警察大队</w:t>
      </w:r>
    </w:p>
    <w:p>
      <w:pPr>
        <w:spacing w:line="600" w:lineRule="exact"/>
        <w:ind w:firstLine="640" w:firstLineChars="200"/>
        <w:textAlignment w:val="baseline"/>
        <w:rPr>
          <w:rFonts w:ascii="宋体" w:eastAsia="仿宋" w:cs="宋体"/>
          <w:sz w:val="32"/>
          <w:szCs w:val="32"/>
        </w:rPr>
      </w:pPr>
      <w:r>
        <w:rPr>
          <w:rFonts w:ascii="宋体" w:hAnsi="宋体" w:eastAsia="仿宋" w:cs="宋体"/>
          <w:color w:val="000000"/>
          <w:sz w:val="32"/>
          <w:szCs w:val="32"/>
        </w:rPr>
        <w:t xml:space="preserve">                             </w:t>
      </w:r>
      <w:r>
        <w:rPr>
          <w:rFonts w:hint="eastAsia" w:ascii="仿宋_GB2312" w:hAnsi="仿宋_GB2312" w:eastAsia="仿宋_GB2312" w:cs="仿宋_GB2312"/>
          <w:color w:val="000000"/>
          <w:sz w:val="32"/>
          <w:szCs w:val="32"/>
        </w:rPr>
        <w:t xml:space="preserve"> 2024年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26</w:t>
      </w:r>
      <w:bookmarkStart w:id="0" w:name="_GoBack"/>
      <w:bookmarkEnd w:id="0"/>
      <w:r>
        <w:rPr>
          <w:rFonts w:hint="eastAsia" w:ascii="仿宋_GB2312" w:hAnsi="仿宋_GB2312" w:eastAsia="仿宋_GB2312" w:cs="仿宋_GB2312"/>
          <w:color w:val="000000"/>
          <w:sz w:val="32"/>
          <w:szCs w:val="32"/>
        </w:rPr>
        <w:t>日</w:t>
      </w:r>
    </w:p>
    <w:p>
      <w:pPr>
        <w:spacing w:line="600" w:lineRule="exact"/>
        <w:ind w:firstLine="640" w:firstLineChars="200"/>
        <w:rPr>
          <w:rFonts w:ascii="宋体" w:eastAsia="仿宋" w:cs="宋体"/>
          <w:sz w:val="32"/>
          <w:szCs w:val="32"/>
        </w:rPr>
      </w:pPr>
    </w:p>
    <w:sectPr>
      <w:headerReference r:id="rId6" w:type="first"/>
      <w:footerReference r:id="rId9" w:type="first"/>
      <w:headerReference r:id="rId4" w:type="default"/>
      <w:footerReference r:id="rId7" w:type="default"/>
      <w:headerReference r:id="rId5" w:type="even"/>
      <w:footerReference r:id="rId8" w:type="even"/>
      <w:pgSz w:w="11900" w:h="16820"/>
      <w:pgMar w:top="1420" w:right="1780" w:bottom="1420" w:left="1780" w:header="720" w:footer="720"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altName w:val="微软雅黑"/>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uiPriority="0" w:name="annotation text" w:locked="1"/>
    <w:lsdException w:unhideWhenUsed="0" w:uiPriority="99" w:semiHidden="0" w:name="header"/>
    <w:lsdException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0"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0" w:name="annotation subject" w:locked="1"/>
    <w:lsdException w:uiPriority="0" w:name="Balloon Text" w:locked="1"/>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link w:val="8"/>
    <w:qFormat/>
    <w:uiPriority w:val="99"/>
    <w:pPr>
      <w:keepNext/>
      <w:keepLines/>
      <w:spacing w:before="260" w:after="260" w:line="413" w:lineRule="auto"/>
      <w:outlineLvl w:val="2"/>
    </w:pPr>
    <w:rPr>
      <w:b/>
      <w:sz w:val="32"/>
    </w:rPr>
  </w:style>
  <w:style w:type="character" w:default="1" w:styleId="5">
    <w:name w:val="Default Paragraph Font"/>
    <w:semiHidden/>
    <w:uiPriority w:val="99"/>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paragraph" w:customStyle="1" w:styleId="7">
    <w:name w:val="列出段落"/>
    <w:basedOn w:val="1"/>
    <w:qFormat/>
    <w:uiPriority w:val="34"/>
    <w:pPr>
      <w:ind w:firstLine="420" w:firstLineChars="200"/>
    </w:pPr>
  </w:style>
  <w:style w:type="character" w:customStyle="1" w:styleId="8">
    <w:name w:val="Heading 3 Char"/>
    <w:basedOn w:val="5"/>
    <w:link w:val="2"/>
    <w:uiPriority w:val="99"/>
    <w:rPr>
      <w:rFonts w:ascii="Calibri" w:hAnsi="Calibri" w:cs="黑体"/>
      <w:b/>
      <w:bCs/>
      <w:sz w:val="32"/>
      <w:szCs w:val="32"/>
    </w:rPr>
  </w:style>
  <w:style w:type="character" w:customStyle="1" w:styleId="9">
    <w:name w:val="Footer Char"/>
    <w:basedOn w:val="5"/>
    <w:link w:val="3"/>
    <w:uiPriority w:val="99"/>
    <w:rPr>
      <w:rFonts w:ascii="Calibri" w:hAnsi="Calibri" w:cs="黑体"/>
      <w:sz w:val="18"/>
      <w:szCs w:val="18"/>
    </w:rPr>
  </w:style>
  <w:style w:type="character" w:customStyle="1" w:styleId="10">
    <w:name w:val="Header Char"/>
    <w:basedOn w:val="5"/>
    <w:link w:val="4"/>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172</Words>
  <Characters>985</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2024-02-02T03:03:00Z</dcterms:created>
  <dc:creator>Administrator</dc:creator>
  <cp:lastModifiedBy>Administrator</cp:lastModifiedBy>
  <cp:lastPrinted>2023-11-22T08:30:00Z</cp:lastPrinted>
  <dcterms:modified xsi:type="dcterms:W3CDTF">2024-03-26T00:32:18Z</dcterms:modified>
  <dc:title>道县公安局交警大队关于《关于对道县滨河路（敦颐广场至食品站路口）实行交通管制的通告》的政策解读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