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jc w:val="center"/>
        <w:rPr>
          <w:rFonts w:hint="default" w:ascii="宋体" w:hAnsi="宋体" w:cs="宋体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关于道县城区自来水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供水</w:t>
      </w:r>
      <w:r>
        <w:rPr>
          <w:rFonts w:hint="eastAsia" w:ascii="宋体" w:hAnsi="宋体" w:cs="宋体"/>
          <w:b/>
          <w:bCs/>
          <w:sz w:val="44"/>
          <w:szCs w:val="44"/>
        </w:rPr>
        <w:t>价格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调整</w:t>
      </w:r>
      <w:r>
        <w:rPr>
          <w:rFonts w:hint="eastAsia" w:ascii="宋体" w:hAnsi="宋体" w:cs="宋体"/>
          <w:b/>
          <w:bCs/>
          <w:sz w:val="44"/>
          <w:szCs w:val="44"/>
        </w:rPr>
        <w:t>的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通知</w:t>
      </w:r>
    </w:p>
    <w:p>
      <w:pPr>
        <w:widowControl w:val="0"/>
        <w:snapToGrid w:val="0"/>
        <w:spacing w:line="453" w:lineRule="atLeast"/>
        <w:jc w:val="lef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jc w:val="left"/>
        <w:rPr>
          <w:rFonts w:hint="eastAsia" w:ascii="方正仿宋_GB2312" w:hAnsi="方正仿宋_GB2312" w:eastAsia="方正仿宋_GB2312" w:cs="方正仿宋_GB2312"/>
          <w:spacing w:val="0"/>
          <w:sz w:val="32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道县自来水公司：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pacing w:val="0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你公司报来《关于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调整城区自来水水价分类和居民生活用水阶梯水量的请示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》收悉。根据《湖南省定价目录》（湘发改价调规〔202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〕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125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号）、《湖南省定价听证目录》（湘发改价调规〔202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〕4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88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号）和《湖南省城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镇供水价格管理实施细则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》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湘发改价调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规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〔20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〕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620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号）文件精神，在参考周边县区的基础上并结合我县实际，经研究，现将具体价格及有关事项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通知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如下：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ind w:firstLine="616" w:firstLineChars="200"/>
        <w:rPr>
          <w:rFonts w:hint="eastAsia" w:ascii="方正仿宋_GB2312" w:hAnsi="方正仿宋_GB2312" w:eastAsia="方正仿宋_GB2312" w:cs="方正仿宋_GB2312"/>
          <w:spacing w:val="-6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32"/>
        </w:rPr>
        <w:t>一、按照《湖南省城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lang w:val="en-US" w:eastAsia="zh-CN"/>
        </w:rPr>
        <w:t>镇供水价格管理实施细则</w:t>
      </w:r>
      <w:r>
        <w:rPr>
          <w:rFonts w:hint="eastAsia" w:ascii="方正仿宋_GB2312" w:hAnsi="方正仿宋_GB2312" w:eastAsia="方正仿宋_GB2312" w:cs="方正仿宋_GB2312"/>
          <w:spacing w:val="-6"/>
          <w:sz w:val="32"/>
        </w:rPr>
        <w:t>》的规定，城市供水实行分类水价。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lang w:val="en-US" w:eastAsia="zh-CN"/>
        </w:rPr>
        <w:t>我省</w:t>
      </w:r>
      <w:r>
        <w:rPr>
          <w:rFonts w:hint="eastAsia" w:ascii="方正仿宋_GB2312" w:hAnsi="方正仿宋_GB2312" w:eastAsia="方正仿宋_GB2312" w:cs="方正仿宋_GB2312"/>
          <w:spacing w:val="-6"/>
          <w:sz w:val="32"/>
        </w:rPr>
        <w:t>居民生活用水、非居民生活用水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-6"/>
          <w:sz w:val="32"/>
        </w:rPr>
        <w:t>特种用水水价之间的比价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lang w:val="en-US" w:eastAsia="zh-CN"/>
        </w:rPr>
        <w:t>系数原则上不得低于</w:t>
      </w:r>
      <w:r>
        <w:rPr>
          <w:rFonts w:hint="eastAsia" w:ascii="方正仿宋_GB2312" w:hAnsi="方正仿宋_GB2312" w:eastAsia="方正仿宋_GB2312" w:cs="方正仿宋_GB2312"/>
          <w:spacing w:val="-6"/>
          <w:sz w:val="32"/>
        </w:rPr>
        <w:t>1：1.5：4。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（一）居民生活用水是指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城镇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居民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住宅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家庭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的日常生活用水。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pacing w:val="0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（二）非居民生活用水是指工业、经营服务业和机关事业单位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用水、市政用水（环卫、绿化）、生态用水、消防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用水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pacing w:val="0"/>
          <w:sz w:val="32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部队生活用水、机关企事业单位的集体宿舍生活用水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学校教学和学生生活用水、非营利性托幼机构生活用水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养老机构和残疾人托养机构等社会福利场所生活用水、宗教场所生活用水、社区组织工作用房和居民公益性服务设施用水等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按照居民生活用水价格执行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pacing w:val="0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（三）特种用水是指洗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车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、洗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浴、以自来水为原料的纯净水生产、高尔夫球场用水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等。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pacing w:val="0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二、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城区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居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民继续执行阶梯价格制度，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按照《湖南省城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镇供水价格管理实施细则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》规定：居民生活用水阶梯式水价分为三级，级差为1：1.5：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3" w:firstLine="63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（一）居民生活用水第一阶梯价格和第二阶梯价格继续按1.92元/立方米和2.88元/立方米执行，第三阶梯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按5.76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元/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立方米执行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未实施“ 一户一表” 的合表居民用户和执行居民生活用水价格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的非居民用户，水价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不超过居民生活用水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第一级阶梯价格和第二级阶梯价格的算术平均值确定，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按2.2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元/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立方米执行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非居民生活用水和特种用水的价格维持原价不变。分别为非居民生活用水2.88元/立方米，特种用水7.68元/立方米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 xml:space="preserve">。  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pacing w:val="0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以上水价不包含污水处理费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垃圾处理费、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水资源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费（税）。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pacing w:val="0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、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口之家以内的家庭按户确定基数</w:t>
      </w:r>
    </w:p>
    <w:p>
      <w:pPr>
        <w:widowControl w:val="0"/>
        <w:snapToGrid w:val="0"/>
        <w:spacing w:line="560" w:lineRule="exact"/>
        <w:ind w:firstLine="620" w:firstLineChars="200"/>
        <w:jc w:val="right"/>
        <w:rPr>
          <w:rFonts w:hint="eastAsia" w:ascii="方正仿宋_GB2312" w:hAnsi="方正仿宋_GB2312" w:eastAsia="方正仿宋_GB2312" w:cs="方正仿宋_GB2312"/>
          <w:spacing w:val="-5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32"/>
        </w:rPr>
        <w:t>单位：立方米/户/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lang w:val="en-US" w:eastAsia="zh-CN"/>
        </w:rPr>
        <w:t>年</w:t>
      </w:r>
    </w:p>
    <w:tbl>
      <w:tblPr>
        <w:tblStyle w:val="7"/>
        <w:tblW w:w="89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919"/>
        <w:gridCol w:w="45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91" w:type="dxa"/>
            <w:noWrap w:val="0"/>
            <w:vAlign w:val="top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pacing w:val="5"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5"/>
                <w:sz w:val="32"/>
              </w:rPr>
              <w:t>级  数</w:t>
            </w:r>
          </w:p>
        </w:tc>
        <w:tc>
          <w:tcPr>
            <w:tcW w:w="2919" w:type="dxa"/>
            <w:noWrap w:val="0"/>
            <w:vAlign w:val="top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pacing w:val="5"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5"/>
                <w:sz w:val="32"/>
              </w:rPr>
              <w:t>水量基数</w:t>
            </w:r>
          </w:p>
        </w:tc>
        <w:tc>
          <w:tcPr>
            <w:tcW w:w="4568" w:type="dxa"/>
            <w:noWrap w:val="0"/>
            <w:vAlign w:val="top"/>
          </w:tcPr>
          <w:p>
            <w:pPr>
              <w:widowControl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pacing w:val="5"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5"/>
                <w:sz w:val="32"/>
              </w:rPr>
              <w:t>价  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  <w:t>第一级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  <w:lang w:val="en-US" w:eastAsia="zh-CN"/>
              </w:rPr>
              <w:t>240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  <w:t>（含）以下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  <w:t>按批准到户的供水价格计量收费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  <w:t>第二级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  <w:lang w:val="en-US" w:eastAsia="zh-CN"/>
              </w:rPr>
              <w:t>240以上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  <w:lang w:val="en-US" w:eastAsia="zh-CN"/>
              </w:rPr>
              <w:t>384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  <w:t>（含）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  <w:t>按第一级的1.5倍计量收费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  <w:t>第三级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  <w:lang w:val="en-US" w:eastAsia="zh-CN"/>
              </w:rPr>
              <w:t>384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  <w:t>以上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  <w:t>按第一级的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32"/>
                <w:szCs w:val="32"/>
              </w:rPr>
              <w:t>倍计量收费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60" w:firstLineChars="200"/>
        <w:textAlignment w:val="baseline"/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pacing w:val="5"/>
          <w:sz w:val="32"/>
        </w:rPr>
        <w:t>5口之家以上的，每增加一人，每户每月：第一级增加4立方米用水量，第二级增加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5"/>
          <w:sz w:val="32"/>
        </w:rPr>
        <w:t>立方米用水量。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bidi w:val="0"/>
        <w:snapToGrid w:val="0"/>
        <w:spacing w:line="560" w:lineRule="exact"/>
        <w:ind w:firstLine="620" w:firstLineChars="200"/>
        <w:rPr>
          <w:rFonts w:hint="eastAsia" w:ascii="方正仿宋_GB2312" w:hAnsi="方正仿宋_GB2312" w:eastAsia="方正仿宋_GB2312" w:cs="方正仿宋_GB2312"/>
          <w:spacing w:val="5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32"/>
          <w:lang w:val="en-US" w:eastAsia="zh-CN"/>
        </w:rPr>
        <w:t>五、</w:t>
      </w:r>
      <w:r>
        <w:rPr>
          <w:rFonts w:hint="eastAsia" w:ascii="方正仿宋_GB2312" w:hAnsi="方正仿宋_GB2312" w:eastAsia="方正仿宋_GB2312" w:cs="方正仿宋_GB2312"/>
          <w:spacing w:val="-5"/>
          <w:sz w:val="32"/>
        </w:rPr>
        <w:t>继续对低收入家庭执行减免政策，经民政部门认定的特困人群及</w:t>
      </w:r>
      <w:r>
        <w:rPr>
          <w:rFonts w:hint="eastAsia" w:ascii="方正仿宋_GB2312" w:hAnsi="方正仿宋_GB2312" w:eastAsia="方正仿宋_GB2312" w:cs="方正仿宋_GB2312"/>
          <w:spacing w:val="-5"/>
          <w:sz w:val="32"/>
          <w:lang w:val="en-US" w:eastAsia="zh-CN"/>
        </w:rPr>
        <w:t>低保</w:t>
      </w:r>
      <w:r>
        <w:rPr>
          <w:rFonts w:hint="eastAsia" w:ascii="方正仿宋_GB2312" w:hAnsi="方正仿宋_GB2312" w:eastAsia="方正仿宋_GB2312" w:cs="方正仿宋_GB2312"/>
          <w:spacing w:val="-5"/>
          <w:sz w:val="32"/>
        </w:rPr>
        <w:t>户，每月免收4吨水费。</w:t>
      </w:r>
      <w:r>
        <w:rPr>
          <w:rFonts w:hint="eastAsia" w:ascii="方正仿宋_GB2312" w:hAnsi="方正仿宋_GB2312" w:eastAsia="方正仿宋_GB2312" w:cs="方正仿宋_GB2312"/>
          <w:spacing w:val="5"/>
          <w:sz w:val="32"/>
        </w:rPr>
        <w:t>对特困户、低保户暂不实行阶梯水价。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14" w:firstLine="653"/>
        <w:textAlignment w:val="baseline"/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非居民用水和特种用水实行超定额累进加价制度。在供水主管部门实行用水定额管理的基础上，定额(计划)用水量以内部分执行规定的终端水价，超计划、超定额在20%以内的水量供水价格加价50%，超计划、超定额超过20%不足40%的水量供水价格加价100%，超计划、超定额在40%以上的水量供水价格加价150%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left="11" w:firstLine="652"/>
        <w:textAlignment w:val="baseline"/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终端水价包括供水价格（自来水价）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水资源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费（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税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污水处理费、垃圾处理费等，用户承担的水资源税、污水处理费、垃圾处理费等应当在收据中单独列示。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bidi w:val="0"/>
        <w:snapToGrid w:val="0"/>
        <w:spacing w:line="560" w:lineRule="exact"/>
        <w:ind w:firstLine="660" w:firstLineChars="200"/>
        <w:rPr>
          <w:rFonts w:hint="eastAsia" w:ascii="方正仿宋_GB2312" w:hAnsi="方正仿宋_GB2312" w:eastAsia="方正仿宋_GB2312" w:cs="方正仿宋_GB2312"/>
          <w:spacing w:val="5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2"/>
          <w:lang w:val="en-US" w:eastAsia="zh-CN"/>
        </w:rPr>
        <w:t>八、</w:t>
      </w:r>
      <w:r>
        <w:rPr>
          <w:rFonts w:hint="eastAsia" w:ascii="方正仿宋_GB2312" w:hAnsi="方正仿宋_GB2312" w:eastAsia="方正仿宋_GB2312" w:cs="方正仿宋_GB2312"/>
          <w:spacing w:val="5"/>
          <w:sz w:val="32"/>
        </w:rPr>
        <w:t>你公司应加强内部管理，进一步增强服务意识，提高服务质量，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lang w:val="en-US" w:eastAsia="zh-CN"/>
        </w:rPr>
        <w:t>降本增效，</w:t>
      </w:r>
      <w:r>
        <w:rPr>
          <w:rFonts w:hint="eastAsia" w:ascii="方正仿宋_GB2312" w:hAnsi="方正仿宋_GB2312" w:eastAsia="方正仿宋_GB2312" w:cs="方正仿宋_GB2312"/>
          <w:spacing w:val="5"/>
          <w:sz w:val="32"/>
        </w:rPr>
        <w:t>切实保障用户饮水安全，严格执行价格政策，认真做好“一户一表、抄表到户、收费到户”工作。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ind w:firstLine="660" w:firstLineChars="200"/>
        <w:rPr>
          <w:rFonts w:hint="eastAsia" w:ascii="方正仿宋_GB2312" w:hAnsi="方正仿宋_GB2312" w:eastAsia="方正仿宋_GB2312" w:cs="方正仿宋_GB2312"/>
          <w:spacing w:val="5"/>
          <w:sz w:val="32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2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spacing w:val="5"/>
          <w:sz w:val="32"/>
        </w:rPr>
        <w:t>、你公司应认真做好价格公示和宣传解释工作，自觉接受社会和价格行政主管部门的监督。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ind w:firstLine="660" w:firstLineChars="200"/>
        <w:rPr>
          <w:rFonts w:hint="eastAsia" w:ascii="方正仿宋_GB2312" w:hAnsi="方正仿宋_GB2312" w:eastAsia="方正仿宋_GB2312" w:cs="方正仿宋_GB2312"/>
          <w:spacing w:val="5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2"/>
          <w:lang w:val="en-US" w:eastAsia="zh-CN"/>
        </w:rPr>
        <w:t>十</w:t>
      </w:r>
      <w:r>
        <w:rPr>
          <w:rFonts w:hint="eastAsia" w:ascii="方正仿宋_GB2312" w:hAnsi="方正仿宋_GB2312" w:eastAsia="方正仿宋_GB2312" w:cs="方正仿宋_GB2312"/>
          <w:spacing w:val="5"/>
          <w:sz w:val="32"/>
        </w:rPr>
        <w:t>、本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lang w:val="en-US" w:eastAsia="zh-CN"/>
        </w:rPr>
        <w:t>通知</w:t>
      </w:r>
      <w:r>
        <w:rPr>
          <w:rFonts w:hint="eastAsia" w:ascii="方正仿宋_GB2312" w:hAnsi="方正仿宋_GB2312" w:eastAsia="方正仿宋_GB2312" w:cs="方正仿宋_GB2312"/>
          <w:spacing w:val="5"/>
          <w:sz w:val="32"/>
        </w:rPr>
        <w:t>自202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pacing w:val="5"/>
          <w:sz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lang w:val="en-US" w:eastAsia="zh-CN"/>
        </w:rPr>
        <w:t>度起</w:t>
      </w:r>
      <w:r>
        <w:rPr>
          <w:rFonts w:hint="eastAsia" w:ascii="方正仿宋_GB2312" w:hAnsi="方正仿宋_GB2312" w:eastAsia="方正仿宋_GB2312" w:cs="方正仿宋_GB2312"/>
          <w:spacing w:val="5"/>
          <w:sz w:val="32"/>
        </w:rPr>
        <w:t>执行。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期间若省、市有新的规定从其规定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wordWrap/>
        <w:overflowPunct/>
        <w:bidi w:val="0"/>
        <w:snapToGrid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道县发展和改革局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ordWrap/>
        <w:overflowPunct/>
        <w:bidi w:val="0"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</w:rPr>
        <w:t xml:space="preserve">                        </w:t>
      </w: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202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pacing w:val="0"/>
          <w:sz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spacing w:val="-20"/>
          <w:sz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0"/>
          <w:sz w:val="32"/>
          <w:lang w:val="en-US" w:eastAsia="zh-CN"/>
        </w:rPr>
        <w:t xml:space="preserve">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4C1A477-4A39-4AB8-AAA6-4BF2D4E5B900}"/>
  </w:font>
  <w:font w:name="Microsoft New Tai Lue">
    <w:panose1 w:val="020B0502040204020203"/>
    <w:charset w:val="00"/>
    <w:family w:val="swiss"/>
    <w:pitch w:val="default"/>
    <w:sig w:usb0="00000003" w:usb1="00000000" w:usb2="8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3A81C31-78C6-4B01-8E83-38C2886759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WFhNmQ2NDRjMmU3NjM4MzQ0ZDZmMDE5YzYxNDMifQ=="/>
  </w:docVars>
  <w:rsids>
    <w:rsidRoot w:val="00B32FCF"/>
    <w:rsid w:val="0000002A"/>
    <w:rsid w:val="0006102A"/>
    <w:rsid w:val="000D0911"/>
    <w:rsid w:val="00155351"/>
    <w:rsid w:val="001C44EA"/>
    <w:rsid w:val="001D61C3"/>
    <w:rsid w:val="001F0563"/>
    <w:rsid w:val="00200838"/>
    <w:rsid w:val="00241D98"/>
    <w:rsid w:val="002555FB"/>
    <w:rsid w:val="002B4430"/>
    <w:rsid w:val="00315325"/>
    <w:rsid w:val="00362C73"/>
    <w:rsid w:val="00381040"/>
    <w:rsid w:val="004419E9"/>
    <w:rsid w:val="004650F1"/>
    <w:rsid w:val="00492CBB"/>
    <w:rsid w:val="004963B5"/>
    <w:rsid w:val="004A460E"/>
    <w:rsid w:val="004D02C9"/>
    <w:rsid w:val="00515CFD"/>
    <w:rsid w:val="005A6C1C"/>
    <w:rsid w:val="00617329"/>
    <w:rsid w:val="00634437"/>
    <w:rsid w:val="00635C02"/>
    <w:rsid w:val="006375CE"/>
    <w:rsid w:val="00691551"/>
    <w:rsid w:val="006A03F7"/>
    <w:rsid w:val="006F6054"/>
    <w:rsid w:val="00723CB9"/>
    <w:rsid w:val="00771E3D"/>
    <w:rsid w:val="00780AF6"/>
    <w:rsid w:val="007F0484"/>
    <w:rsid w:val="008227B9"/>
    <w:rsid w:val="008903FB"/>
    <w:rsid w:val="008924EF"/>
    <w:rsid w:val="008B621F"/>
    <w:rsid w:val="008D2152"/>
    <w:rsid w:val="008E43E1"/>
    <w:rsid w:val="009228C7"/>
    <w:rsid w:val="00960538"/>
    <w:rsid w:val="009701C0"/>
    <w:rsid w:val="00985806"/>
    <w:rsid w:val="009C5363"/>
    <w:rsid w:val="00A626B5"/>
    <w:rsid w:val="00B10C7A"/>
    <w:rsid w:val="00B128CD"/>
    <w:rsid w:val="00B20982"/>
    <w:rsid w:val="00B32FCF"/>
    <w:rsid w:val="00B5297B"/>
    <w:rsid w:val="00B52A3C"/>
    <w:rsid w:val="00B83C51"/>
    <w:rsid w:val="00BB587D"/>
    <w:rsid w:val="00BC6CBE"/>
    <w:rsid w:val="00BD7A9E"/>
    <w:rsid w:val="00BF5B0B"/>
    <w:rsid w:val="00C8732F"/>
    <w:rsid w:val="00CB19C2"/>
    <w:rsid w:val="00D2407C"/>
    <w:rsid w:val="00D67A29"/>
    <w:rsid w:val="00D90086"/>
    <w:rsid w:val="00DC7109"/>
    <w:rsid w:val="00DE71EE"/>
    <w:rsid w:val="00E15125"/>
    <w:rsid w:val="00E15969"/>
    <w:rsid w:val="00E37387"/>
    <w:rsid w:val="00E6284A"/>
    <w:rsid w:val="00EB0F74"/>
    <w:rsid w:val="00EF761B"/>
    <w:rsid w:val="00F00EDF"/>
    <w:rsid w:val="00F32FF9"/>
    <w:rsid w:val="00F659B5"/>
    <w:rsid w:val="00F749A6"/>
    <w:rsid w:val="00F90CDF"/>
    <w:rsid w:val="00FC49E4"/>
    <w:rsid w:val="00FF01EA"/>
    <w:rsid w:val="01191DEB"/>
    <w:rsid w:val="011D2710"/>
    <w:rsid w:val="01BC03E7"/>
    <w:rsid w:val="02557C87"/>
    <w:rsid w:val="0286553D"/>
    <w:rsid w:val="029D2B9E"/>
    <w:rsid w:val="02CB619B"/>
    <w:rsid w:val="040D4B72"/>
    <w:rsid w:val="048B3E34"/>
    <w:rsid w:val="04E377CC"/>
    <w:rsid w:val="04F10FE7"/>
    <w:rsid w:val="05F702FD"/>
    <w:rsid w:val="064A74A9"/>
    <w:rsid w:val="06A765D7"/>
    <w:rsid w:val="075E5771"/>
    <w:rsid w:val="076B1CFB"/>
    <w:rsid w:val="078C1427"/>
    <w:rsid w:val="07BD199F"/>
    <w:rsid w:val="084542FA"/>
    <w:rsid w:val="086C1F56"/>
    <w:rsid w:val="088C3CD7"/>
    <w:rsid w:val="0A1B332D"/>
    <w:rsid w:val="0A2D14EA"/>
    <w:rsid w:val="0A74571C"/>
    <w:rsid w:val="0A7913AE"/>
    <w:rsid w:val="0B750F32"/>
    <w:rsid w:val="0C111B5B"/>
    <w:rsid w:val="0C166033"/>
    <w:rsid w:val="0D5F1E57"/>
    <w:rsid w:val="0DA943D8"/>
    <w:rsid w:val="0DE750FA"/>
    <w:rsid w:val="0E3C619F"/>
    <w:rsid w:val="0EE42A40"/>
    <w:rsid w:val="0F3A3614"/>
    <w:rsid w:val="0F563291"/>
    <w:rsid w:val="0F8E47D8"/>
    <w:rsid w:val="0FAE6C29"/>
    <w:rsid w:val="0FB073CB"/>
    <w:rsid w:val="10041006"/>
    <w:rsid w:val="10790FE5"/>
    <w:rsid w:val="10813C60"/>
    <w:rsid w:val="10F13271"/>
    <w:rsid w:val="110765F0"/>
    <w:rsid w:val="118A0FD0"/>
    <w:rsid w:val="11E13BB2"/>
    <w:rsid w:val="121C28A4"/>
    <w:rsid w:val="124949E7"/>
    <w:rsid w:val="137C4B3F"/>
    <w:rsid w:val="13855EF2"/>
    <w:rsid w:val="13B650B7"/>
    <w:rsid w:val="13F6294C"/>
    <w:rsid w:val="14206CF4"/>
    <w:rsid w:val="156278AF"/>
    <w:rsid w:val="16096967"/>
    <w:rsid w:val="16692A91"/>
    <w:rsid w:val="167527C1"/>
    <w:rsid w:val="17634353"/>
    <w:rsid w:val="177E7494"/>
    <w:rsid w:val="17C84C12"/>
    <w:rsid w:val="183C6FA0"/>
    <w:rsid w:val="184B7F82"/>
    <w:rsid w:val="18814EDA"/>
    <w:rsid w:val="198A4742"/>
    <w:rsid w:val="1A6C6D39"/>
    <w:rsid w:val="1A935399"/>
    <w:rsid w:val="1B041DF3"/>
    <w:rsid w:val="1B3426D8"/>
    <w:rsid w:val="1B3F25A2"/>
    <w:rsid w:val="1B4F12C0"/>
    <w:rsid w:val="1B681A22"/>
    <w:rsid w:val="1C4E1F5D"/>
    <w:rsid w:val="1C730FDE"/>
    <w:rsid w:val="1CBF6AA3"/>
    <w:rsid w:val="1D0165EA"/>
    <w:rsid w:val="1DE71C83"/>
    <w:rsid w:val="1DF27FFF"/>
    <w:rsid w:val="1E2E27E3"/>
    <w:rsid w:val="1E3824DF"/>
    <w:rsid w:val="1EBA1146"/>
    <w:rsid w:val="1F974DAF"/>
    <w:rsid w:val="20474C5B"/>
    <w:rsid w:val="20D52267"/>
    <w:rsid w:val="21272639"/>
    <w:rsid w:val="215313DE"/>
    <w:rsid w:val="216B4958"/>
    <w:rsid w:val="217C40FC"/>
    <w:rsid w:val="219648AF"/>
    <w:rsid w:val="220824EE"/>
    <w:rsid w:val="221705FB"/>
    <w:rsid w:val="22636C97"/>
    <w:rsid w:val="227B299A"/>
    <w:rsid w:val="23452FA8"/>
    <w:rsid w:val="23737B15"/>
    <w:rsid w:val="23D701B9"/>
    <w:rsid w:val="249C3D24"/>
    <w:rsid w:val="24C70994"/>
    <w:rsid w:val="250E2C93"/>
    <w:rsid w:val="264D06DD"/>
    <w:rsid w:val="267214C6"/>
    <w:rsid w:val="269075BE"/>
    <w:rsid w:val="26DB434F"/>
    <w:rsid w:val="27E234BC"/>
    <w:rsid w:val="27EC5DD6"/>
    <w:rsid w:val="28331351"/>
    <w:rsid w:val="285E39E4"/>
    <w:rsid w:val="28700AC7"/>
    <w:rsid w:val="2912392D"/>
    <w:rsid w:val="296C59E0"/>
    <w:rsid w:val="2970538A"/>
    <w:rsid w:val="29A21154"/>
    <w:rsid w:val="29BA649E"/>
    <w:rsid w:val="2A2C0A1E"/>
    <w:rsid w:val="2A504BC8"/>
    <w:rsid w:val="2AB06334"/>
    <w:rsid w:val="2AD94591"/>
    <w:rsid w:val="2B7D59D5"/>
    <w:rsid w:val="2BD870AF"/>
    <w:rsid w:val="2C302A48"/>
    <w:rsid w:val="2C941441"/>
    <w:rsid w:val="2DAF2092"/>
    <w:rsid w:val="2E6B5FB9"/>
    <w:rsid w:val="2F171C9D"/>
    <w:rsid w:val="30D63B52"/>
    <w:rsid w:val="31674F71"/>
    <w:rsid w:val="31796C3F"/>
    <w:rsid w:val="31DB6206"/>
    <w:rsid w:val="32004C6A"/>
    <w:rsid w:val="32D83E39"/>
    <w:rsid w:val="3383188D"/>
    <w:rsid w:val="34945B3E"/>
    <w:rsid w:val="34BD6E42"/>
    <w:rsid w:val="34BF705E"/>
    <w:rsid w:val="34D32B0A"/>
    <w:rsid w:val="352E1AEE"/>
    <w:rsid w:val="35F20D6E"/>
    <w:rsid w:val="363E2205"/>
    <w:rsid w:val="36706DD9"/>
    <w:rsid w:val="371C0798"/>
    <w:rsid w:val="372514DD"/>
    <w:rsid w:val="38D459D1"/>
    <w:rsid w:val="38FA4806"/>
    <w:rsid w:val="390908A8"/>
    <w:rsid w:val="394D2AAA"/>
    <w:rsid w:val="3A8F302F"/>
    <w:rsid w:val="3AD936F8"/>
    <w:rsid w:val="3B44540C"/>
    <w:rsid w:val="3B754E7B"/>
    <w:rsid w:val="3BC93037"/>
    <w:rsid w:val="3C2052F0"/>
    <w:rsid w:val="3C235440"/>
    <w:rsid w:val="3C241E9D"/>
    <w:rsid w:val="3C4E2A76"/>
    <w:rsid w:val="3C8F1D1E"/>
    <w:rsid w:val="3CB94393"/>
    <w:rsid w:val="3CD83E5F"/>
    <w:rsid w:val="3D5B369C"/>
    <w:rsid w:val="3ECD4126"/>
    <w:rsid w:val="3F532376"/>
    <w:rsid w:val="3F9B2DCE"/>
    <w:rsid w:val="3FA87540"/>
    <w:rsid w:val="3FDB2D4B"/>
    <w:rsid w:val="3FE45BCB"/>
    <w:rsid w:val="41814752"/>
    <w:rsid w:val="41AF2C14"/>
    <w:rsid w:val="425A02DC"/>
    <w:rsid w:val="428E62C2"/>
    <w:rsid w:val="435766B4"/>
    <w:rsid w:val="43F263DD"/>
    <w:rsid w:val="44A91191"/>
    <w:rsid w:val="47777325"/>
    <w:rsid w:val="48967C7F"/>
    <w:rsid w:val="4AF62C56"/>
    <w:rsid w:val="4B1069B2"/>
    <w:rsid w:val="4BF04DA2"/>
    <w:rsid w:val="4C1710D6"/>
    <w:rsid w:val="4C301A73"/>
    <w:rsid w:val="4C3E75CF"/>
    <w:rsid w:val="4CAF130F"/>
    <w:rsid w:val="4D00780A"/>
    <w:rsid w:val="4DDE7A3E"/>
    <w:rsid w:val="4E314D77"/>
    <w:rsid w:val="4FE52C53"/>
    <w:rsid w:val="501C653F"/>
    <w:rsid w:val="51475FBA"/>
    <w:rsid w:val="514C018B"/>
    <w:rsid w:val="51933D3C"/>
    <w:rsid w:val="52C6444D"/>
    <w:rsid w:val="535828E5"/>
    <w:rsid w:val="53DC50DF"/>
    <w:rsid w:val="550A5C7C"/>
    <w:rsid w:val="55482579"/>
    <w:rsid w:val="555D4382"/>
    <w:rsid w:val="56431422"/>
    <w:rsid w:val="56824205"/>
    <w:rsid w:val="568D26C1"/>
    <w:rsid w:val="56E70401"/>
    <w:rsid w:val="586B07E0"/>
    <w:rsid w:val="5875165E"/>
    <w:rsid w:val="58902EBD"/>
    <w:rsid w:val="596F4B2D"/>
    <w:rsid w:val="5988716F"/>
    <w:rsid w:val="59CD6026"/>
    <w:rsid w:val="5A1F5D26"/>
    <w:rsid w:val="5B1E422F"/>
    <w:rsid w:val="5B836016"/>
    <w:rsid w:val="5BC16969"/>
    <w:rsid w:val="5C28000E"/>
    <w:rsid w:val="5C3F150E"/>
    <w:rsid w:val="5D123920"/>
    <w:rsid w:val="5DA17E81"/>
    <w:rsid w:val="5DFA4D4F"/>
    <w:rsid w:val="5E2C72FC"/>
    <w:rsid w:val="5EA909D5"/>
    <w:rsid w:val="5EB16932"/>
    <w:rsid w:val="5EBB3B43"/>
    <w:rsid w:val="5EDB753D"/>
    <w:rsid w:val="5F5875E4"/>
    <w:rsid w:val="5F797E05"/>
    <w:rsid w:val="5F8959EF"/>
    <w:rsid w:val="5FF27A39"/>
    <w:rsid w:val="61812E22"/>
    <w:rsid w:val="61B43468"/>
    <w:rsid w:val="62223D6B"/>
    <w:rsid w:val="62374EE0"/>
    <w:rsid w:val="62BB7F8A"/>
    <w:rsid w:val="62D022B3"/>
    <w:rsid w:val="63351858"/>
    <w:rsid w:val="63A70B3A"/>
    <w:rsid w:val="63FA6EBC"/>
    <w:rsid w:val="64357EF4"/>
    <w:rsid w:val="651967E7"/>
    <w:rsid w:val="66996E60"/>
    <w:rsid w:val="66CB4B3F"/>
    <w:rsid w:val="66F06B59"/>
    <w:rsid w:val="66F1152A"/>
    <w:rsid w:val="66F5795B"/>
    <w:rsid w:val="674B5A18"/>
    <w:rsid w:val="67513297"/>
    <w:rsid w:val="67995C0D"/>
    <w:rsid w:val="67BE0BCC"/>
    <w:rsid w:val="67F24A5E"/>
    <w:rsid w:val="68EB2481"/>
    <w:rsid w:val="692E4802"/>
    <w:rsid w:val="6A162110"/>
    <w:rsid w:val="6A59627C"/>
    <w:rsid w:val="6AAD2EDA"/>
    <w:rsid w:val="6B1B5E29"/>
    <w:rsid w:val="6CCD0952"/>
    <w:rsid w:val="6CFE5C6F"/>
    <w:rsid w:val="6D7F4907"/>
    <w:rsid w:val="6DAD31F1"/>
    <w:rsid w:val="6DB92513"/>
    <w:rsid w:val="6E0F17B6"/>
    <w:rsid w:val="6ED5244D"/>
    <w:rsid w:val="6EEA46FD"/>
    <w:rsid w:val="6F276DF7"/>
    <w:rsid w:val="6F410979"/>
    <w:rsid w:val="6FE86004"/>
    <w:rsid w:val="70974410"/>
    <w:rsid w:val="71072D19"/>
    <w:rsid w:val="712256F2"/>
    <w:rsid w:val="71632544"/>
    <w:rsid w:val="717B736E"/>
    <w:rsid w:val="72E0556D"/>
    <w:rsid w:val="73247AB1"/>
    <w:rsid w:val="73375A36"/>
    <w:rsid w:val="73497518"/>
    <w:rsid w:val="742404E7"/>
    <w:rsid w:val="745F3497"/>
    <w:rsid w:val="74DD23F4"/>
    <w:rsid w:val="75023E22"/>
    <w:rsid w:val="75BB6B8A"/>
    <w:rsid w:val="75F75951"/>
    <w:rsid w:val="78256D46"/>
    <w:rsid w:val="78454752"/>
    <w:rsid w:val="784741BC"/>
    <w:rsid w:val="78BC2324"/>
    <w:rsid w:val="79052133"/>
    <w:rsid w:val="7A3C1B84"/>
    <w:rsid w:val="7A6B08D3"/>
    <w:rsid w:val="7B4707E1"/>
    <w:rsid w:val="7BCA1CB5"/>
    <w:rsid w:val="7C5173AC"/>
    <w:rsid w:val="7D7719DB"/>
    <w:rsid w:val="7DD23348"/>
    <w:rsid w:val="7EB55462"/>
    <w:rsid w:val="7ED122C0"/>
    <w:rsid w:val="7F710E17"/>
    <w:rsid w:val="7F76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hd w:val="clear" w:color="auto" w:fill="FFFFFF"/>
      <w:autoSpaceDE w:val="0"/>
      <w:spacing w:line="600" w:lineRule="exact"/>
      <w:ind w:firstLine="640" w:firstLineChars="200"/>
    </w:pPr>
    <w:rPr>
      <w:rFonts w:ascii="宋体" w:hAnsi="宋体" w:eastAsia="宋体" w:cs="Times New Roman"/>
      <w:kern w:val="0"/>
      <w:sz w:val="24"/>
      <w:szCs w:val="24"/>
    </w:rPr>
  </w:style>
  <w:style w:type="paragraph" w:styleId="6">
    <w:name w:val="Body Text First Indent 2"/>
    <w:basedOn w:val="2"/>
    <w:next w:val="1"/>
    <w:qFormat/>
    <w:uiPriority w:val="0"/>
    <w:pPr>
      <w:widowControl w:val="0"/>
      <w:ind w:firstLine="420" w:firstLineChars="200"/>
      <w:jc w:val="center"/>
    </w:pPr>
    <w:rPr>
      <w:rFonts w:ascii="宋体" w:hAnsi="Calibri" w:eastAsia="宋体" w:cs="Times New Roman"/>
      <w:kern w:val="2"/>
      <w:sz w:val="36"/>
      <w:szCs w:val="24"/>
      <w:lang w:val="en-US" w:eastAsia="zh-CN" w:bidi="ar-SA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semiHidden/>
    <w:qFormat/>
    <w:uiPriority w:val="99"/>
    <w:rPr>
      <w:sz w:val="18"/>
      <w:szCs w:val="18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 w:eastAsia="方正仿宋_GBK" w:cs="Times New Roman"/>
      <w:color w:val="000000"/>
      <w:kern w:val="0"/>
      <w:sz w:val="24"/>
      <w:szCs w:val="24"/>
    </w:rPr>
  </w:style>
  <w:style w:type="character" w:customStyle="1" w:styleId="13">
    <w:name w:val="18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</w:rPr>
  </w:style>
  <w:style w:type="character" w:customStyle="1" w:styleId="14">
    <w:name w:val="15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5">
    <w:name w:val="16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</w:rPr>
  </w:style>
  <w:style w:type="character" w:customStyle="1" w:styleId="16">
    <w:name w:val="17"/>
    <w:basedOn w:val="9"/>
    <w:qFormat/>
    <w:uiPriority w:val="0"/>
    <w:rPr>
      <w:rFonts w:hint="default" w:ascii="Microsoft New Tai Lue" w:hAnsi="Microsoft New Tai Lue" w:eastAsia="Microsoft New Tai Lue" w:cs="Microsoft New Tai Lue"/>
      <w:color w:val="00000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1376</Words>
  <Characters>1463</Characters>
  <Lines>23</Lines>
  <Paragraphs>6</Paragraphs>
  <TotalTime>4</TotalTime>
  <ScaleCrop>false</ScaleCrop>
  <LinksUpToDate>false</LinksUpToDate>
  <CharactersWithSpaces>1537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2020-12-13T13:19:00Z</dcterms:created>
  <dc:creator>Windows 用户</dc:creator>
  <cp:lastModifiedBy>Administrator</cp:lastModifiedBy>
  <cp:lastPrinted>2025-06-04T00:18:00Z</cp:lastPrinted>
  <dcterms:modified xsi:type="dcterms:W3CDTF">2025-07-09T01:25:54Z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D187D20145E34435A2CB295C33F744C4_13</vt:lpwstr>
  </property>
  <property fmtid="{D5CDD505-2E9C-101B-9397-08002B2CF9AE}" pid="4" name="KSOTemplateDocerSaveRecord">
    <vt:lpwstr>eyJoZGlkIjoiMzM3ZDg2ODFjOWMwOTYyY2FjNTIyYTYyMmY5MGVmNzAiLCJ1c2VySWQiOiI5OTEyOTgzMjQifQ==</vt:lpwstr>
  </property>
</Properties>
</file>