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E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6"/>
          <w:sz w:val="36"/>
          <w:szCs w:val="36"/>
          <w:lang w:eastAsia="zh-CN" w:bidi="ar-SA"/>
        </w:rPr>
      </w:pPr>
      <w:r>
        <w:rPr>
          <w:rFonts w:hint="eastAsia" w:ascii="黑体" w:hAnsi="黑体" w:eastAsia="黑体" w:cs="黑体"/>
          <w:color w:val="auto"/>
          <w:spacing w:val="6"/>
          <w:sz w:val="36"/>
          <w:szCs w:val="36"/>
          <w:lang w:eastAsia="zh-CN" w:bidi="ar-SA"/>
        </w:rPr>
        <w:t>DXDR-2025-00003</w:t>
      </w:r>
    </w:p>
    <w:p w14:paraId="18CCE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</w:p>
    <w:p w14:paraId="2C73FF27">
      <w:pPr>
        <w:pStyle w:val="2"/>
        <w:rPr>
          <w:rFonts w:hint="eastAsia"/>
          <w:lang w:val="en-US" w:eastAsia="zh-CN"/>
        </w:rPr>
      </w:pPr>
    </w:p>
    <w:p w14:paraId="46165FC6">
      <w:pPr>
        <w:pStyle w:val="2"/>
        <w:rPr>
          <w:rFonts w:hint="eastAsia"/>
          <w:lang w:val="en-US" w:eastAsia="zh-CN"/>
        </w:rPr>
      </w:pPr>
    </w:p>
    <w:p w14:paraId="7C0D3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34"/>
          <w:sz w:val="64"/>
          <w:szCs w:val="64"/>
          <w:lang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34"/>
          <w:sz w:val="64"/>
          <w:szCs w:val="64"/>
          <w:lang w:val="en-US" w:eastAsia="zh-CN" w:bidi="ar-SA"/>
        </w:rPr>
        <w:t>道</w:t>
      </w:r>
      <w:r>
        <w:rPr>
          <w:rFonts w:hint="default" w:ascii="Times New Roman" w:hAnsi="Times New Roman" w:eastAsia="方正小标宋简体" w:cs="Times New Roman"/>
          <w:color w:val="auto"/>
          <w:spacing w:val="34"/>
          <w:sz w:val="64"/>
          <w:szCs w:val="64"/>
          <w:lang w:eastAsia="zh-CN" w:bidi="ar-SA"/>
        </w:rPr>
        <w:t>县人民政府</w:t>
      </w:r>
    </w:p>
    <w:p w14:paraId="1254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34"/>
          <w:sz w:val="64"/>
          <w:szCs w:val="64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34"/>
          <w:sz w:val="64"/>
          <w:szCs w:val="64"/>
          <w:lang w:eastAsia="zh-CN" w:bidi="ar-SA"/>
        </w:rPr>
        <w:t>关于划定秸秆禁烧区和限烧区的</w:t>
      </w:r>
    </w:p>
    <w:p w14:paraId="7BEA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90"/>
          <w:szCs w:val="90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90"/>
          <w:szCs w:val="90"/>
          <w:lang w:eastAsia="zh-CN" w:bidi="ar-SA"/>
        </w:rPr>
        <w:t>通</w:t>
      </w:r>
      <w:r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eastAsia="zh-CN" w:bidi="ar-SA"/>
        </w:rPr>
        <w:t>　　</w:t>
      </w:r>
      <w:r>
        <w:rPr>
          <w:rFonts w:hint="default" w:ascii="Times New Roman" w:hAnsi="Times New Roman" w:eastAsia="方正小标宋简体" w:cs="Times New Roman"/>
          <w:color w:val="auto"/>
          <w:sz w:val="90"/>
          <w:szCs w:val="90"/>
          <w:lang w:eastAsia="zh-CN" w:bidi="ar-SA"/>
        </w:rPr>
        <w:t>告</w:t>
      </w:r>
    </w:p>
    <w:bookmarkEnd w:id="0"/>
    <w:p w14:paraId="24257E12">
      <w:pPr>
        <w:adjustRightInd w:val="0"/>
        <w:snapToGrid w:val="0"/>
        <w:spacing w:line="700" w:lineRule="exact"/>
        <w:ind w:lef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vertAlign w:val="baseline"/>
          <w:lang w:val="en-US" w:eastAsia="zh-CN"/>
        </w:rPr>
        <w:t>道政发〔2025〕4号</w:t>
      </w:r>
    </w:p>
    <w:p w14:paraId="4B87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</w:pPr>
    </w:p>
    <w:p w14:paraId="272D6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val="en-US" w:eastAsia="zh-CN" w:bidi="ar-SA"/>
        </w:rPr>
        <w:t>为了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>切实做好秸秆焚烧工作，有效减少露天焚烧秸秆对空气质量的影响，</w:t>
      </w:r>
      <w:r>
        <w:rPr>
          <w:rFonts w:hint="eastAsia" w:ascii="宋体" w:hAnsi="宋体" w:eastAsia="宋体" w:cs="宋体"/>
          <w:bCs/>
          <w:sz w:val="34"/>
          <w:szCs w:val="34"/>
          <w:lang w:val="en-US" w:eastAsia="zh-CN" w:bidi="ar-SA"/>
        </w:rPr>
        <w:t>防治大气污染，维护公共安全，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>根据《中华人民共和国大气污染防治法》《湖南省大气污染防治条例》《湖南省重污染天气防治若干规定》《湖南省秸秆综合利用若干规定》《</w:t>
      </w:r>
      <w:r>
        <w:rPr>
          <w:rFonts w:hint="eastAsia" w:ascii="宋体" w:hAnsi="宋体" w:eastAsia="宋体" w:cs="宋体"/>
          <w:bCs/>
          <w:color w:val="000000"/>
          <w:sz w:val="34"/>
          <w:szCs w:val="34"/>
          <w:shd w:val="clear" w:color="auto" w:fill="FFFFFF"/>
          <w:lang w:val="en-US" w:eastAsia="zh-CN" w:bidi="ar-SA"/>
        </w:rPr>
        <w:t>湖南省生态环境厅</w:t>
      </w:r>
      <w:r>
        <w:rPr>
          <w:rFonts w:hint="eastAsia" w:ascii="宋体" w:hAnsi="宋体" w:eastAsia="宋体" w:cs="宋体"/>
          <w:bCs/>
          <w:sz w:val="34"/>
          <w:szCs w:val="34"/>
          <w:lang w:val="en-US" w:eastAsia="zh-CN" w:bidi="ar-SA"/>
        </w:rPr>
        <w:t>关于印发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〈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>湖南省秸秆禁烧区和限烧区划定方案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〉的通知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>》</w:t>
      </w: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（湘环发〔2025〕43号）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>精神，</w:t>
      </w: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结合我县实际，现将道县秸秆禁烧区和限烧区</w:t>
      </w:r>
      <w:r>
        <w:rPr>
          <w:rFonts w:hint="eastAsia" w:ascii="宋体" w:hAnsi="宋体" w:eastAsia="宋体" w:cs="宋体"/>
          <w:bCs/>
          <w:sz w:val="34"/>
          <w:szCs w:val="34"/>
          <w:lang w:val="en-US" w:eastAsia="zh-CN" w:bidi="ar-SA"/>
        </w:rPr>
        <w:t>划定情况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公布如下：</w:t>
      </w:r>
    </w:p>
    <w:p w14:paraId="0287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color w:val="auto"/>
          <w:sz w:val="34"/>
          <w:szCs w:val="34"/>
          <w:lang w:bidi="ar-SA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 w:bidi="ar-SA"/>
        </w:rPr>
        <w:t>一</w:t>
      </w:r>
      <w:r>
        <w:rPr>
          <w:rFonts w:hint="eastAsia" w:ascii="黑体" w:hAnsi="黑体" w:eastAsia="黑体" w:cs="黑体"/>
          <w:color w:val="auto"/>
          <w:sz w:val="34"/>
          <w:szCs w:val="34"/>
          <w:lang w:bidi="ar-SA"/>
        </w:rPr>
        <w:t>、秸秆种类</w:t>
      </w:r>
    </w:p>
    <w:p w14:paraId="01298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本通告所称秸秆是指水稻、油菜、玉米、大豆、烟草以及其他农作物采收后的剩余部分。</w:t>
      </w:r>
    </w:p>
    <w:p w14:paraId="0AFF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黑体" w:hAnsi="黑体" w:eastAsia="黑体" w:cs="黑体"/>
          <w:color w:val="auto"/>
          <w:sz w:val="34"/>
          <w:szCs w:val="34"/>
          <w:lang w:bidi="ar-SA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bidi="ar-SA"/>
        </w:rPr>
        <w:t>二、划定范围</w:t>
      </w:r>
    </w:p>
    <w:p w14:paraId="79ED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道县秸秆禁烧区面积为32196.12公顷，占耕地总面积的68.16%，禁烧区主要分布在祥霖铺镇、寿雁镇和清塘镇；秸秆限烧区面积为15039.56公顷，占耕地总面积的31.84%，限烧区主要分布在桥头镇、蚣坝镇和四马桥镇。</w:t>
      </w:r>
    </w:p>
    <w:p w14:paraId="156562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83" w:firstLineChars="200"/>
        <w:textAlignment w:val="auto"/>
        <w:rPr>
          <w:rFonts w:hint="eastAsia" w:ascii="宋体" w:hAnsi="宋体" w:eastAsia="宋体" w:cs="宋体"/>
          <w:color w:val="auto"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lang w:bidi="ar-SA"/>
        </w:rPr>
        <w:t>（一）禁烧区范围</w:t>
      </w:r>
    </w:p>
    <w:p w14:paraId="1260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1.县城建成区实体地域及外围不低于5公里范围内的耕地。</w:t>
      </w:r>
    </w:p>
    <w:p w14:paraId="15C6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2.洛湛铁路、厦蓉高速、道贺高速两侧</w:t>
      </w:r>
      <w:r>
        <w:rPr>
          <w:rFonts w:hint="eastAsia" w:ascii="宋体" w:hAnsi="宋体" w:eastAsia="宋体" w:cs="宋体"/>
          <w:bCs/>
          <w:sz w:val="34"/>
          <w:szCs w:val="34"/>
          <w:lang w:eastAsia="zh-CN" w:bidi="ar-SA"/>
        </w:rPr>
        <w:t>不低于</w:t>
      </w: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2公里范围内的</w:t>
      </w:r>
      <w:r>
        <w:rPr>
          <w:rFonts w:hint="eastAsia" w:ascii="宋体" w:hAnsi="宋体" w:eastAsia="宋体" w:cs="宋体"/>
          <w:bCs/>
          <w:spacing w:val="6"/>
          <w:sz w:val="34"/>
          <w:szCs w:val="34"/>
          <w:lang w:bidi="ar-SA"/>
        </w:rPr>
        <w:t>耕地，国道G357、国道G207</w:t>
      </w:r>
      <w:r>
        <w:rPr>
          <w:rFonts w:hint="eastAsia" w:ascii="宋体" w:hAnsi="宋体" w:eastAsia="宋体" w:cs="宋体"/>
          <w:bCs/>
          <w:spacing w:val="6"/>
          <w:sz w:val="34"/>
          <w:szCs w:val="34"/>
          <w:lang w:eastAsia="zh-CN" w:bidi="ar-SA"/>
        </w:rPr>
        <w:t>、省道</w:t>
      </w:r>
      <w:r>
        <w:rPr>
          <w:rFonts w:hint="eastAsia" w:ascii="宋体" w:hAnsi="宋体" w:eastAsia="宋体" w:cs="宋体"/>
          <w:bCs/>
          <w:spacing w:val="6"/>
          <w:sz w:val="34"/>
          <w:szCs w:val="34"/>
          <w:lang w:val="en-US" w:eastAsia="zh-CN" w:bidi="ar-SA"/>
        </w:rPr>
        <w:t>537、省道538</w:t>
      </w:r>
      <w:r>
        <w:rPr>
          <w:rFonts w:hint="eastAsia" w:ascii="宋体" w:hAnsi="宋体" w:eastAsia="宋体" w:cs="宋体"/>
          <w:bCs/>
          <w:spacing w:val="6"/>
          <w:sz w:val="34"/>
          <w:szCs w:val="34"/>
          <w:lang w:bidi="ar-SA"/>
        </w:rPr>
        <w:t>两侧</w:t>
      </w:r>
      <w:r>
        <w:rPr>
          <w:rFonts w:hint="eastAsia" w:ascii="宋体" w:hAnsi="宋体" w:eastAsia="宋体" w:cs="宋体"/>
          <w:bCs/>
          <w:spacing w:val="6"/>
          <w:sz w:val="34"/>
          <w:szCs w:val="34"/>
          <w:lang w:eastAsia="zh-CN" w:bidi="ar-SA"/>
        </w:rPr>
        <w:t>不低</w:t>
      </w:r>
      <w:r>
        <w:rPr>
          <w:rFonts w:hint="eastAsia" w:ascii="宋体" w:hAnsi="宋体" w:eastAsia="宋体" w:cs="宋体"/>
          <w:bCs/>
          <w:sz w:val="34"/>
          <w:szCs w:val="34"/>
          <w:lang w:eastAsia="zh-CN" w:bidi="ar-SA"/>
        </w:rPr>
        <w:t>于</w:t>
      </w: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1公里范围内的耕地。</w:t>
      </w:r>
    </w:p>
    <w:p w14:paraId="4748CB8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34"/>
          <w:szCs w:val="34"/>
          <w:lang w:val="en-US" w:eastAsia="zh-CN" w:bidi="ar-SA"/>
        </w:rPr>
        <w:t>3.法律、法规以及规范性文件规定的其他需要特殊保护的区域内耕地。</w:t>
      </w:r>
    </w:p>
    <w:p w14:paraId="2CC6D8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3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lang w:val="en-US" w:eastAsia="zh-CN" w:bidi="ar-SA"/>
        </w:rPr>
        <w:t>（二）限烧区范围：</w:t>
      </w: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禁烧区以外的耕地范围属于限烧区。</w:t>
      </w:r>
    </w:p>
    <w:p w14:paraId="18F9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黑体" w:hAnsi="黑体" w:eastAsia="黑体" w:cs="黑体"/>
          <w:color w:val="auto"/>
          <w:sz w:val="34"/>
          <w:szCs w:val="34"/>
          <w:lang w:bidi="ar-SA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bidi="ar-SA"/>
        </w:rPr>
        <w:t>三、管控要求</w:t>
      </w:r>
    </w:p>
    <w:p w14:paraId="4017F6F5">
      <w:pPr>
        <w:pStyle w:val="9"/>
        <w:spacing w:line="600" w:lineRule="exact"/>
        <w:rPr>
          <w:rFonts w:hint="eastAsia" w:ascii="宋体" w:hAnsi="宋体" w:eastAsia="宋体" w:cs="宋体"/>
          <w:b/>
          <w:bCs/>
          <w:color w:val="auto"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lang w:bidi="ar-SA"/>
        </w:rPr>
        <w:t>（一）禁烧区</w:t>
      </w:r>
    </w:p>
    <w:p w14:paraId="41F3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1.秸秆禁烧区内实行强制性、常态化禁烧管理政策，任何时间、任何气象条件及空气质量状况下，均不允许露天焚烧秸秆。对经检疫带有病虫害确需焚烧的秸秆，在农业农村、生态环境主管部门采取安全可控措施后,可以露天焚烧。</w:t>
      </w:r>
    </w:p>
    <w:p w14:paraId="3A864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2.秸秆禁烧区要设立明显警示标志，标明“秸秆禁烧区”字样。</w:t>
      </w:r>
    </w:p>
    <w:p w14:paraId="594DC5B5">
      <w:pPr>
        <w:pStyle w:val="9"/>
        <w:spacing w:line="600" w:lineRule="exact"/>
        <w:rPr>
          <w:rFonts w:hint="eastAsia" w:ascii="宋体" w:hAnsi="宋体" w:eastAsia="宋体" w:cs="宋体"/>
          <w:b/>
          <w:bCs/>
          <w:color w:val="auto"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lang w:bidi="ar-SA"/>
        </w:rPr>
        <w:t>（二）限烧区</w:t>
      </w:r>
    </w:p>
    <w:p w14:paraId="38DA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秸秆限烧区内，各乡镇场（街道）要以村（社区）为单位开展分区域、分时段有序错峰焚烧，并加强指导、巡查和管控，防止发生大气污染事故和火灾。出现下列情形之一的，应当禁止秸秆露天焚烧。</w:t>
      </w:r>
    </w:p>
    <w:p w14:paraId="4D5A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1.</w:t>
      </w:r>
      <w:r>
        <w:rPr>
          <w:rFonts w:hint="eastAsia" w:ascii="宋体" w:hAnsi="宋体" w:eastAsia="宋体" w:cs="宋体"/>
          <w:bCs/>
          <w:spacing w:val="6"/>
          <w:sz w:val="34"/>
          <w:szCs w:val="34"/>
          <w:lang w:bidi="ar-SA"/>
        </w:rPr>
        <w:t>限烧区及下风向区域相关县城实测已达轻度及以上污染天气。</w:t>
      </w:r>
    </w:p>
    <w:p w14:paraId="5EDD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2.预测限烧区内相关县城未来 48 小时将出现中度及以上污染天气或发布重污染天气预警。</w:t>
      </w:r>
    </w:p>
    <w:p w14:paraId="4D20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3.限烧区内 18:00 至次日 9:00 的夜间时段。</w:t>
      </w:r>
    </w:p>
    <w:p w14:paraId="0A4ED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4.限烧区内出现小风（小于 2 级）、静稳等不利于大气扩散的天气。</w:t>
      </w:r>
    </w:p>
    <w:p w14:paraId="39BA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bCs/>
          <w:sz w:val="34"/>
          <w:szCs w:val="34"/>
          <w:lang w:bidi="ar-SA"/>
        </w:rPr>
      </w:pPr>
      <w:r>
        <w:rPr>
          <w:rFonts w:hint="eastAsia" w:ascii="宋体" w:hAnsi="宋体" w:eastAsia="宋体" w:cs="宋体"/>
          <w:bCs/>
          <w:sz w:val="34"/>
          <w:szCs w:val="34"/>
          <w:lang w:bidi="ar-SA"/>
        </w:rPr>
        <w:t>5.法律法规以及规范性文件规定的其他禁止露天焚烧秸秆的情形。</w:t>
      </w:r>
    </w:p>
    <w:p w14:paraId="08A7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  <w:lang w:bidi="ar-SA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bidi="ar-SA"/>
        </w:rPr>
        <w:t>四、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乡镇人民政府、街道办事处要负责秸秆综合利用和露天焚烧的组织实施工作，村（居）民委员会协助做好相关工作。</w:t>
      </w:r>
    </w:p>
    <w:p w14:paraId="6C07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  <w:lang w:bidi="ar-SA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bidi="ar-SA"/>
        </w:rPr>
        <w:t>五、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违反</w:t>
      </w:r>
      <w:r>
        <w:rPr>
          <w:rFonts w:hint="eastAsia" w:ascii="宋体" w:hAnsi="宋体" w:eastAsia="宋体" w:cs="宋体"/>
          <w:sz w:val="34"/>
          <w:szCs w:val="34"/>
          <w:lang w:eastAsia="zh-CN" w:bidi="ar-SA"/>
        </w:rPr>
        <w:t>本通告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露天焚烧秸秆的，由乡镇人民政府、街道办事处责令改正；拒不改正的，可以处五百元罚款；情节严重的，可以处五百元以上二千元以下罚款。</w:t>
      </w:r>
    </w:p>
    <w:p w14:paraId="387A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  <w:lang w:bidi="ar-SA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bidi="ar-SA"/>
        </w:rPr>
        <w:t>六、本通告自公布之日起施行。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《道县人民政府关于划定秸秆禁烧区及限烧区禁烧时段的通告》（道政发〔2024〕10号）同时废止。</w:t>
      </w:r>
    </w:p>
    <w:p w14:paraId="6CC4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80" w:firstLineChars="200"/>
        <w:jc w:val="both"/>
        <w:textAlignment w:val="auto"/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</w:pPr>
    </w:p>
    <w:p w14:paraId="41E0E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80" w:firstLineChars="200"/>
        <w:jc w:val="both"/>
        <w:textAlignment w:val="auto"/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>附件：1.道县秸秆禁烧区、限烧区耕地分布图</w:t>
      </w:r>
    </w:p>
    <w:p w14:paraId="33E1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80" w:firstLineChars="200"/>
        <w:jc w:val="both"/>
        <w:textAlignment w:val="auto"/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>　　　2.道县秸秆禁烧区、限烧区统计表</w:t>
      </w:r>
    </w:p>
    <w:p w14:paraId="4025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 xml:space="preserve">     </w:t>
      </w:r>
    </w:p>
    <w:p w14:paraId="05AD6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</w:pPr>
    </w:p>
    <w:p w14:paraId="4350E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</w:pPr>
    </w:p>
    <w:p w14:paraId="28F6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80" w:firstLineChars="200"/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 w:bidi="ar-SA"/>
        </w:rPr>
        <w:t xml:space="preserve">              </w:t>
      </w:r>
    </w:p>
    <w:p w14:paraId="29670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sz w:val="34"/>
          <w:szCs w:val="34"/>
          <w:lang w:bidi="ar-SA"/>
        </w:rPr>
      </w:pPr>
      <w:r>
        <w:rPr>
          <w:rFonts w:hint="eastAsia" w:ascii="宋体" w:hAnsi="宋体" w:eastAsia="宋体" w:cs="宋体"/>
          <w:sz w:val="34"/>
          <w:szCs w:val="34"/>
          <w:lang w:bidi="ar-SA"/>
        </w:rPr>
        <w:t xml:space="preserve"> </w:t>
      </w:r>
      <w:r>
        <w:rPr>
          <w:rFonts w:hint="eastAsia" w:ascii="宋体" w:hAnsi="宋体" w:eastAsia="宋体" w:cs="宋体"/>
          <w:sz w:val="34"/>
          <w:szCs w:val="34"/>
          <w:lang w:eastAsia="zh-CN" w:bidi="ar-SA"/>
        </w:rPr>
        <w:t>　　　　　　　　　　　　</w:t>
      </w:r>
      <w:r>
        <w:rPr>
          <w:rFonts w:hint="eastAsia" w:ascii="宋体" w:hAnsi="宋体" w:eastAsia="宋体" w:cs="宋体"/>
          <w:sz w:val="34"/>
          <w:szCs w:val="34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sz w:val="34"/>
          <w:szCs w:val="34"/>
          <w:lang w:eastAsia="zh-CN" w:bidi="ar-SA"/>
        </w:rPr>
        <w:t>　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道县人民政府</w:t>
      </w:r>
    </w:p>
    <w:p w14:paraId="2352E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80" w:firstLineChars="200"/>
        <w:rPr>
          <w:rFonts w:hint="eastAsia" w:ascii="宋体" w:hAnsi="宋体" w:eastAsia="宋体" w:cs="宋体"/>
          <w:sz w:val="34"/>
          <w:szCs w:val="34"/>
          <w:lang w:bidi="ar-SA"/>
        </w:rPr>
      </w:pPr>
      <w:r>
        <w:rPr>
          <w:rFonts w:hint="eastAsia" w:ascii="宋体" w:hAnsi="宋体" w:eastAsia="宋体" w:cs="宋体"/>
          <w:sz w:val="34"/>
          <w:szCs w:val="34"/>
          <w:lang w:eastAsia="zh-CN" w:bidi="ar-SA"/>
        </w:rPr>
        <w:t>　　　　　　　　　　</w:t>
      </w:r>
      <w:r>
        <w:rPr>
          <w:rFonts w:hint="eastAsia" w:ascii="宋体" w:hAnsi="宋体" w:eastAsia="宋体" w:cs="宋体"/>
          <w:sz w:val="34"/>
          <w:szCs w:val="34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sz w:val="34"/>
          <w:szCs w:val="34"/>
          <w:lang w:eastAsia="zh-CN" w:bidi="ar-SA"/>
        </w:rPr>
        <w:t>　　　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2025年</w:t>
      </w:r>
      <w:r>
        <w:rPr>
          <w:rFonts w:hint="eastAsia" w:ascii="宋体" w:hAnsi="宋体" w:eastAsia="宋体" w:cs="宋体"/>
          <w:sz w:val="34"/>
          <w:szCs w:val="34"/>
          <w:lang w:val="en-US" w:eastAsia="zh-CN" w:bidi="ar-SA"/>
        </w:rPr>
        <w:t>7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月</w:t>
      </w:r>
      <w:r>
        <w:rPr>
          <w:rFonts w:hint="eastAsia" w:ascii="宋体" w:hAnsi="宋体" w:eastAsia="宋体" w:cs="宋体"/>
          <w:sz w:val="34"/>
          <w:szCs w:val="34"/>
          <w:lang w:val="en-US" w:eastAsia="zh-CN" w:bidi="ar-SA"/>
        </w:rPr>
        <w:t>10</w:t>
      </w:r>
      <w:r>
        <w:rPr>
          <w:rFonts w:hint="eastAsia" w:ascii="宋体" w:hAnsi="宋体" w:eastAsia="宋体" w:cs="宋体"/>
          <w:sz w:val="34"/>
          <w:szCs w:val="34"/>
          <w:lang w:bidi="ar-SA"/>
        </w:rPr>
        <w:t>日</w:t>
      </w:r>
    </w:p>
    <w:p w14:paraId="7175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1700" w:firstLineChars="500"/>
        <w:rPr>
          <w:rFonts w:hint="eastAsia" w:ascii="宋体" w:hAnsi="宋体" w:eastAsia="宋体" w:cs="宋体"/>
          <w:sz w:val="34"/>
          <w:szCs w:val="34"/>
          <w:lang w:bidi="ar-SA"/>
        </w:rPr>
        <w:sectPr>
          <w:footerReference r:id="rId3" w:type="default"/>
          <w:pgSz w:w="16838" w:h="23811"/>
          <w:pgMar w:top="2268" w:right="1701" w:bottom="1984" w:left="1701" w:header="839" w:footer="1327" w:gutter="0"/>
          <w:pgNumType w:fmt="decimal"/>
          <w:cols w:space="720" w:num="1"/>
          <w:titlePg/>
          <w:rtlGutter w:val="0"/>
          <w:docGrid w:linePitch="285" w:charSpace="0"/>
        </w:sectPr>
      </w:pPr>
    </w:p>
    <w:p w14:paraId="359A414D">
      <w:pPr>
        <w:spacing w:line="240" w:lineRule="auto"/>
        <w:jc w:val="both"/>
        <w:rPr>
          <w:rFonts w:hint="eastAsia" w:ascii="黑体" w:eastAsia="黑体" w:cs="黑体"/>
          <w:color w:val="auto"/>
          <w:sz w:val="32"/>
          <w:szCs w:val="24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24"/>
          <w:lang w:val="en-US" w:eastAsia="zh-CN" w:bidi="ar-SA"/>
        </w:rPr>
        <w:br w:type="page"/>
      </w:r>
      <w:r>
        <w:rPr>
          <w:rFonts w:hint="eastAsia" w:ascii="黑体" w:eastAsia="黑体" w:cs="黑体"/>
          <w:color w:val="auto"/>
          <w:sz w:val="32"/>
          <w:szCs w:val="24"/>
          <w:lang w:val="en-US" w:eastAsia="zh-CN" w:bidi="ar-SA"/>
        </w:rPr>
        <w:t>附件1：</w:t>
      </w:r>
    </w:p>
    <w:p w14:paraId="6959F215">
      <w:pPr>
        <w:pStyle w:val="2"/>
        <w:rPr>
          <w:rFonts w:hint="eastAsia" w:ascii="黑体" w:eastAsia="黑体" w:cs="黑体"/>
          <w:color w:val="auto"/>
          <w:sz w:val="32"/>
          <w:szCs w:val="24"/>
          <w:lang w:val="en-US" w:eastAsia="zh-CN" w:bidi="ar-SA"/>
        </w:rPr>
      </w:pPr>
    </w:p>
    <w:p w14:paraId="60D6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00"/>
        <w:jc w:val="left"/>
        <w:textAlignment w:val="auto"/>
        <w:rPr>
          <w:rFonts w:hint="eastAsia" w:ascii="宋体" w:eastAsia="宋体"/>
          <w:b/>
          <w:bCs/>
          <w:color w:val="auto"/>
          <w:sz w:val="30"/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8931910" cy="11284585"/>
            <wp:effectExtent l="0" t="0" r="0" b="12700"/>
            <wp:docPr id="2" name="图片 1" descr="F:/saomiao/图片处理/修改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:/saomiao/图片处理/修改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6" r="6"/>
                    <a:stretch>
                      <a:fillRect/>
                    </a:stretch>
                  </pic:blipFill>
                  <pic:spPr>
                    <a:xfrm>
                      <a:off x="0" y="0"/>
                      <a:ext cx="8931910" cy="112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AAB01">
      <w:pPr>
        <w:spacing w:line="580" w:lineRule="exact"/>
        <w:rPr>
          <w:rFonts w:hint="eastAsia" w:ascii="仿宋" w:eastAsia="仿宋" w:cs="仿宋"/>
          <w:color w:val="auto"/>
          <w:sz w:val="32"/>
          <w:szCs w:val="32"/>
          <w:lang w:bidi="ar-SA"/>
        </w:rPr>
        <w:sectPr>
          <w:footerReference r:id="rId4" w:type="default"/>
          <w:type w:val="continuous"/>
          <w:pgSz w:w="16838" w:h="23811"/>
          <w:pgMar w:top="2268" w:right="1701" w:bottom="1984" w:left="1701" w:header="839" w:footer="1440" w:gutter="0"/>
          <w:pgNumType w:fmt="decimal"/>
          <w:cols w:space="720" w:num="1"/>
          <w:rtlGutter w:val="0"/>
          <w:docGrid w:linePitch="285" w:charSpace="0"/>
        </w:sectPr>
      </w:pPr>
    </w:p>
    <w:p w14:paraId="711984CA">
      <w:pP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bidi="ar-SA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lang w:bidi="ar-SA"/>
        </w:rPr>
        <w:t>附</w:t>
      </w:r>
      <w:r>
        <w:rPr>
          <w:rFonts w:hint="eastAsia" w:ascii="黑体" w:eastAsia="黑体" w:cs="黑体"/>
          <w:color w:val="auto"/>
          <w:sz w:val="32"/>
          <w:szCs w:val="32"/>
          <w:lang w:eastAsia="zh-CN" w:bidi="ar-SA"/>
        </w:rPr>
        <w:t>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2：</w:t>
      </w:r>
    </w:p>
    <w:p w14:paraId="55900D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77527BF1">
      <w:pPr>
        <w:pStyle w:val="2"/>
        <w:rPr>
          <w:rFonts w:hint="eastAsia"/>
          <w:lang w:val="en-US" w:eastAsia="zh-CN"/>
        </w:rPr>
      </w:pPr>
    </w:p>
    <w:p w14:paraId="02DA424A">
      <w:pPr>
        <w:pStyle w:val="4"/>
        <w:bidi w:val="0"/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52"/>
          <w:szCs w:val="52"/>
          <w:lang w:val="en-US" w:eastAsia="zh-CN"/>
        </w:rPr>
        <w:t>道县秸秆禁烧区、限烧区统计表</w:t>
      </w:r>
    </w:p>
    <w:p w14:paraId="1C6A13EB">
      <w:pPr>
        <w:rPr>
          <w:lang w:val="en-US" w:eastAsia="zh-CN"/>
        </w:rPr>
      </w:pPr>
    </w:p>
    <w:p w14:paraId="08E57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30"/>
          <w:szCs w:val="30"/>
          <w:lang w:val="en-US" w:eastAsia="zh-CN"/>
        </w:rPr>
        <w:t xml:space="preserve">                                                                         </w:t>
      </w:r>
      <w:r>
        <w:rPr>
          <w:rFonts w:hint="eastAsia" w:ascii="宋体"/>
          <w:sz w:val="24"/>
          <w:szCs w:val="24"/>
          <w:lang w:val="en-US" w:eastAsia="zh-CN"/>
        </w:rPr>
        <w:t>单位：公顷、%</w:t>
      </w:r>
    </w:p>
    <w:tbl>
      <w:tblPr>
        <w:tblStyle w:val="7"/>
        <w:tblW w:w="13418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294"/>
        <w:gridCol w:w="2089"/>
        <w:gridCol w:w="1854"/>
        <w:gridCol w:w="2003"/>
        <w:gridCol w:w="2281"/>
        <w:gridCol w:w="1956"/>
      </w:tblGrid>
      <w:tr w14:paraId="70AF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right="-128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序号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所属乡镇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行政村面积</w:t>
            </w:r>
          </w:p>
          <w:p w14:paraId="7128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ha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禁烧区面积</w:t>
            </w:r>
          </w:p>
          <w:p w14:paraId="4D87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ha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限烧区面积</w:t>
            </w:r>
          </w:p>
          <w:p w14:paraId="4314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ha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禁烧区占耕地面积</w:t>
            </w:r>
          </w:p>
          <w:p w14:paraId="605F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比例（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%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主要农作物种类</w:t>
            </w:r>
          </w:p>
        </w:tc>
      </w:tr>
      <w:tr w14:paraId="6C102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白马渡镇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10317.18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606.59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1505.55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28.72%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1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246E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白芒铺镇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10291.03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2574.66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127.64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95.28%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263A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东门街道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3132.72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704.06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17F2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富塘街道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2427.38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862.88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2465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柑子园镇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8286.42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1414.94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372.89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79.14%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692F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蚣坝镇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13922.53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3318.92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476.94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87.44%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7787A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8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横岭瑶族乡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10069.19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566.62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3366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洪塘营瑶族乡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24394.83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211.64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752.66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21.95%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11C3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乐福堂镇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11622.60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1368.34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3204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濂溪街道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661.84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133.95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651F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梅花镇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8443.60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1991.50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387.97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83.70%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3AB5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桥头镇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17626.98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2480.67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5A7BF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清塘镇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26944.37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1895.68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1986.43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48.83%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79D5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上关街道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6142.37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1734.75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1D0C4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审章塘瑶族乡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10765.25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1731.39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85.14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95.31%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3982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寿雁镇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19927.87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3794.26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2172.44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63.59%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41A9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四马桥镇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11966.80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1342.08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662.49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66.95%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02E8F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万家庄街道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4377.04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1264.10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5C52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西洲街道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576.48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63.64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2DD12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仙子脚镇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13235.55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1324.21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1240.46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A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51.63%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415BE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祥霖铺镇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20863.92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5639.73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564.95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90.89%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5D17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营江街道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5981.62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1587.15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288.40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84.62%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 w14:paraId="5F83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道县汇总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241977.56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32196.12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15039.57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68.16%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</w:tbl>
    <w:p w14:paraId="47FC6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eastAsia="宋体"/>
          <w:b/>
          <w:bCs/>
          <w:color w:val="auto"/>
          <w:sz w:val="10"/>
          <w:szCs w:val="10"/>
          <w:lang w:val="en-US" w:eastAsia="zh-CN"/>
        </w:rPr>
      </w:pPr>
    </w:p>
    <w:p w14:paraId="6F4A5963"/>
    <w:sectPr>
      <w:type w:val="continuous"/>
      <w:pgSz w:w="16838" w:h="23811"/>
      <w:pgMar w:top="2268" w:right="1701" w:bottom="1984" w:left="1701" w:header="839" w:footer="1440" w:gutter="0"/>
      <w:pgNumType w:fmt="decimal"/>
      <w:cols w:space="720" w:num="1"/>
      <w:titlePg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0AE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0240" cy="13144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24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AB53B8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1.2pt;mso-position-horizontal:outside;mso-position-horizontal-relative:margin;z-index:251659264;mso-width-relative:page;mso-height-relative:page;" filled="f" stroked="f" coordsize="21600,21600" o:gfxdata="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JoHXZ1AAAAAQBAAAPAAAAAAAAAAEAIAAAACIAAABkcnMvZG93bnJldi54bWxQ&#10;SwECFAAUAAAACACHTuJAWWsAPMIBAACHAwAADgAAAAAAAAABACAAAAAjAQAAZHJzL2Uyb0RvYy54&#10;bWxQSwUGAAAAAAYABgBZAQAAV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B53B8">
                    <w:pPr>
                      <w:pStyle w:val="5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4D94"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9615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61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3E4934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.45pt;mso-position-horizontal:outside;mso-position-horizontal-relative:margin;z-index:251660288;mso-width-relative:page;mso-height-relative:page;" filled="f" stroked="f" coordsize="21600,21600" o:gfxdata="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0YFy1AAAAAQBAAAPAAAAAAAAAAEAIAAAACIAAABkcnMvZG93bnJldi54&#10;bWxQSwECFAAUAAAACACHTuJAcvl/zcUBAACHAwAADgAAAAAAAAABACAAAAAjAQAAZHJzL2Uyb0Rv&#10;Yy54bWxQSwUGAAAAAAYABgBZAQAAW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E4934">
                    <w:pPr>
                      <w:pStyle w:val="5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A0845"/>
    <w:rsid w:val="06DA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iPriority w:val="0"/>
    <w:pPr>
      <w:keepNext/>
      <w:keepLines/>
      <w:widowControl w:val="0"/>
      <w:spacing w:beforeAutospacing="0" w:afterAutospacing="0" w:line="240" w:lineRule="auto"/>
      <w:ind w:firstLine="0"/>
      <w:jc w:val="center"/>
      <w:outlineLvl w:val="3"/>
    </w:pPr>
    <w:rPr>
      <w:rFonts w:ascii="Times New Roman" w:hAnsi="Times New Roman" w:eastAsia="宋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9">
    <w:name w:val="正文new"/>
    <w:basedOn w:val="1"/>
    <w:qFormat/>
    <w:uiPriority w:val="0"/>
    <w:pPr>
      <w:ind w:firstLine="200" w:firstLineChars="200"/>
    </w:pPr>
    <w:rPr>
      <w:rFonts w:ascii="仿宋" w:hAnsi="仿宋" w:eastAsia="仿宋_GB2312" w:cs="Times New Roman"/>
      <w:sz w:val="32"/>
      <w:szCs w:val="28"/>
      <w:lang w:bidi="ar-SA"/>
    </w:rPr>
  </w:style>
  <w:style w:type="character" w:customStyle="1" w:styleId="10">
    <w:name w:val="font21"/>
    <w:basedOn w:val="8"/>
    <w:uiPriority w:val="0"/>
    <w:rPr>
      <w:rFonts w:ascii="宋体" w:eastAsia="宋体" w:cs="宋体"/>
      <w:b/>
      <w:bCs/>
      <w:color w:val="000000"/>
      <w:sz w:val="22"/>
      <w:szCs w:val="22"/>
      <w:u w:val="none"/>
      <w:lang w:bidi="ar-SA"/>
    </w:rPr>
  </w:style>
  <w:style w:type="character" w:customStyle="1" w:styleId="11">
    <w:name w:val="font11"/>
    <w:basedOn w:val="8"/>
    <w:uiPriority w:val="0"/>
    <w:rPr>
      <w:rFonts w:ascii="Times New Roman" w:hAnsi="Times New Roman" w:cs="Times New Roman"/>
      <w:b/>
      <w:bCs/>
      <w:color w:val="000000"/>
      <w:sz w:val="22"/>
      <w:szCs w:val="22"/>
      <w:u w:val="none"/>
      <w:lang w:bidi="ar-SA"/>
    </w:rPr>
  </w:style>
  <w:style w:type="character" w:customStyle="1" w:styleId="12">
    <w:name w:val="font01"/>
    <w:basedOn w:val="8"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2025-07-10T08:24:00Z</dcterms:created>
  <dc:creator>豆沙</dc:creator>
  <cp:lastModifiedBy>豆沙</cp:lastModifiedBy>
  <dcterms:modified xsi:type="dcterms:W3CDTF">2025-07-10T08:25:10Z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584BE39D9AA048638FAB2357A84FBA7E_11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