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1C60E">
      <w:pPr>
        <w:pStyle w:val="2"/>
        <w:jc w:val="left"/>
        <w:rPr>
          <w:rFonts w:ascii="方正公文小标宋" w:eastAsia="方正公文小标宋"/>
          <w:b w:val="0"/>
          <w:sz w:val="84"/>
          <w:szCs w:val="84"/>
          <w:lang w:eastAsia="zh-CN"/>
        </w:rPr>
      </w:pPr>
    </w:p>
    <w:p w14:paraId="33F7C8DF">
      <w:pPr>
        <w:pStyle w:val="2"/>
        <w:jc w:val="left"/>
        <w:rPr>
          <w:rFonts w:ascii="方正公文小标宋" w:eastAsia="方正公文小标宋"/>
          <w:b w:val="0"/>
          <w:sz w:val="84"/>
          <w:szCs w:val="84"/>
          <w:lang w:eastAsia="zh-CN"/>
        </w:rPr>
      </w:pPr>
    </w:p>
    <w:p w14:paraId="784010A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湖南省永州市道县上关街道</w:t>
      </w:r>
    </w:p>
    <w:p w14:paraId="4968080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bookmarkStart w:id="12" w:name="_GoBack"/>
      <w:bookmarkEnd w:id="12"/>
    </w:p>
    <w:p w14:paraId="21A4578C">
      <w:pPr>
        <w:rPr>
          <w:rFonts w:ascii="方正公文小标宋" w:eastAsia="方正公文小标宋"/>
          <w:sz w:val="84"/>
          <w:szCs w:val="84"/>
          <w:lang w:eastAsia="zh-CN"/>
        </w:rPr>
      </w:pPr>
    </w:p>
    <w:p w14:paraId="2FB8FEC0">
      <w:pPr>
        <w:rPr>
          <w:rFonts w:ascii="方正公文小标宋" w:eastAsia="方正公文小标宋"/>
          <w:sz w:val="84"/>
          <w:szCs w:val="84"/>
          <w:lang w:eastAsia="zh-CN"/>
        </w:rPr>
      </w:pPr>
    </w:p>
    <w:p w14:paraId="78F117D6">
      <w:pPr>
        <w:kinsoku/>
        <w:autoSpaceDE/>
        <w:autoSpaceDN/>
        <w:adjustRightInd/>
        <w:snapToGrid/>
        <w:textAlignment w:val="auto"/>
        <w:rPr>
          <w:rFonts w:eastAsiaTheme="minorEastAsia"/>
          <w:b/>
          <w:sz w:val="32"/>
          <w:lang w:eastAsia="zh-CN"/>
        </w:rPr>
      </w:pPr>
      <w:r>
        <w:rPr>
          <w:rFonts w:eastAsiaTheme="minorEastAsia"/>
          <w:lang w:eastAsia="zh-CN"/>
        </w:rPr>
        <w:br w:type="page"/>
      </w:r>
    </w:p>
    <w:p w14:paraId="510BBB67">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7968464F">
      <w:pPr>
        <w:pageBreakBefore w:val="0"/>
        <w:widowControl/>
        <w:wordWrap/>
        <w:overflowPunct/>
        <w:topLinePunct w:val="0"/>
        <w:bidi w:val="0"/>
        <w:spacing w:line="480" w:lineRule="auto"/>
        <w:rPr>
          <w:rFonts w:hint="eastAsia"/>
          <w:lang w:val="zh-CN"/>
        </w:rPr>
      </w:pPr>
    </w:p>
    <w:p w14:paraId="0F76E3EE">
      <w:pPr>
        <w:pStyle w:val="7"/>
        <w:pageBreakBefore w:val="0"/>
        <w:widowControl/>
        <w:tabs>
          <w:tab w:val="right" w:pos="13991"/>
        </w:tabs>
        <w:wordWrap/>
        <w:overflowPunct/>
        <w:topLinePunct w:val="0"/>
        <w:bidi w:val="0"/>
        <w:spacing w:line="480" w:lineRule="auto"/>
        <w:jc w:val="distribute"/>
        <w:rPr>
          <w:rFonts w:hint="eastAsia" w:eastAsia="方正公文小标宋" w:cs="Times New Roman"/>
          <w:b w:val="0"/>
          <w:bCs w:val="0"/>
          <w:lang w:eastAsia="zh-CN"/>
        </w:rPr>
      </w:pPr>
      <w:r>
        <w:rPr>
          <w:rFonts w:hint="eastAsia" w:eastAsia="方正公文小标宋" w:cs="Times New Roman"/>
          <w:b w:val="0"/>
          <w:bCs w:val="0"/>
          <w:lang w:eastAsia="zh-CN"/>
        </w:rPr>
        <w:fldChar w:fldCharType="begin"/>
      </w:r>
      <w:r>
        <w:rPr>
          <w:rFonts w:hint="eastAsia" w:eastAsia="方正公文小标宋" w:cs="Times New Roman"/>
          <w:b w:val="0"/>
          <w:bCs w:val="0"/>
          <w:lang w:eastAsia="zh-CN"/>
        </w:rPr>
        <w:instrText xml:space="preserve"> TOC \o "1-3" \n \h \z \u </w:instrText>
      </w:r>
      <w:r>
        <w:rPr>
          <w:rFonts w:hint="eastAsia" w:eastAsia="方正公文小标宋" w:cs="Times New Roman"/>
          <w:b w:val="0"/>
          <w:bCs w:val="0"/>
          <w:lang w:eastAsia="zh-CN"/>
        </w:rPr>
        <w:fldChar w:fldCharType="separate"/>
      </w:r>
      <w:r>
        <w:rPr>
          <w:rFonts w:hint="eastAsia" w:eastAsia="方正公文小标宋" w:cs="Times New Roman"/>
          <w:b w:val="0"/>
          <w:bCs w:val="0"/>
          <w:lang w:eastAsia="zh-CN"/>
        </w:rPr>
        <w:fldChar w:fldCharType="begin"/>
      </w:r>
      <w:r>
        <w:rPr>
          <w:rFonts w:hint="eastAsia" w:eastAsia="方正公文小标宋" w:cs="Times New Roman"/>
          <w:b w:val="0"/>
          <w:bCs w:val="0"/>
          <w:lang w:eastAsia="zh-CN"/>
        </w:rPr>
        <w:instrText xml:space="preserve"> HYPERLINK \l "_Toc172533652" </w:instrText>
      </w:r>
      <w:r>
        <w:rPr>
          <w:rFonts w:hint="eastAsia" w:eastAsia="方正公文小标宋" w:cs="Times New Roman"/>
          <w:b w:val="0"/>
          <w:bCs w:val="0"/>
          <w:lang w:eastAsia="zh-CN"/>
        </w:rPr>
        <w:fldChar w:fldCharType="separate"/>
      </w:r>
      <w:r>
        <w:rPr>
          <w:rFonts w:hint="eastAsia" w:eastAsia="方正公文小标宋" w:cs="Times New Roman"/>
          <w:b w:val="0"/>
          <w:bCs w:val="0"/>
          <w:lang w:eastAsia="zh-CN"/>
        </w:rPr>
        <w:t>基本履职事项清单</w:t>
      </w:r>
      <w:r>
        <w:rPr>
          <w:rFonts w:hint="eastAsia" w:eastAsia="方正公文小标宋" w:cs="Times New Roman"/>
          <w:b w:val="0"/>
          <w:bCs w:val="0"/>
          <w:lang w:eastAsia="zh-CN"/>
        </w:rPr>
        <w:fldChar w:fldCharType="end"/>
      </w:r>
      <w:r>
        <w:rPr>
          <w:rFonts w:hint="eastAsia" w:eastAsia="方正公文小标宋" w:cs="Times New Roman"/>
          <w:b w:val="0"/>
          <w:bCs w:val="0"/>
          <w:lang w:eastAsia="zh-CN"/>
        </w:rPr>
        <w:t>………………………………………………………………………………………</w:t>
      </w:r>
      <w:r>
        <w:rPr>
          <w:rFonts w:hint="eastAsia" w:eastAsia="方正公文小标宋" w:cs="Times New Roman"/>
          <w:b w:val="0"/>
          <w:bCs w:val="0"/>
          <w:lang w:val="en-US" w:eastAsia="zh-CN"/>
        </w:rPr>
        <w:t xml:space="preserve"> 1</w:t>
      </w:r>
    </w:p>
    <w:p w14:paraId="70C0CC6B">
      <w:pPr>
        <w:pStyle w:val="7"/>
        <w:pageBreakBefore w:val="0"/>
        <w:widowControl/>
        <w:tabs>
          <w:tab w:val="right" w:pos="13991"/>
        </w:tabs>
        <w:wordWrap/>
        <w:overflowPunct/>
        <w:topLinePunct w:val="0"/>
        <w:bidi w:val="0"/>
        <w:spacing w:line="480" w:lineRule="auto"/>
        <w:jc w:val="distribute"/>
        <w:rPr>
          <w:rFonts w:hint="eastAsia" w:eastAsia="方正公文小标宋" w:cs="Times New Roman"/>
          <w:b w:val="0"/>
          <w:bCs w:val="0"/>
          <w:lang w:eastAsia="zh-CN"/>
        </w:rPr>
      </w:pPr>
      <w:r>
        <w:rPr>
          <w:rFonts w:hint="eastAsia" w:eastAsia="方正公文小标宋" w:cs="Times New Roman"/>
          <w:b w:val="0"/>
          <w:bCs w:val="0"/>
          <w:lang w:eastAsia="zh-CN"/>
        </w:rPr>
        <w:fldChar w:fldCharType="begin"/>
      </w:r>
      <w:r>
        <w:rPr>
          <w:rFonts w:hint="eastAsia" w:eastAsia="方正公文小标宋" w:cs="Times New Roman"/>
          <w:b w:val="0"/>
          <w:bCs w:val="0"/>
          <w:lang w:eastAsia="zh-CN"/>
        </w:rPr>
        <w:instrText xml:space="preserve"> HYPERLINK \l "_Toc172533653" </w:instrText>
      </w:r>
      <w:r>
        <w:rPr>
          <w:rFonts w:hint="eastAsia" w:eastAsia="方正公文小标宋" w:cs="Times New Roman"/>
          <w:b w:val="0"/>
          <w:bCs w:val="0"/>
          <w:lang w:eastAsia="zh-CN"/>
        </w:rPr>
        <w:fldChar w:fldCharType="separate"/>
      </w:r>
      <w:r>
        <w:rPr>
          <w:rFonts w:hint="eastAsia" w:eastAsia="方正公文小标宋" w:cs="Times New Roman"/>
          <w:b w:val="0"/>
          <w:bCs w:val="0"/>
          <w:lang w:eastAsia="zh-CN"/>
        </w:rPr>
        <w:t>配合履职事项清单</w:t>
      </w:r>
      <w:r>
        <w:rPr>
          <w:rFonts w:hint="eastAsia" w:eastAsia="方正公文小标宋" w:cs="Times New Roman"/>
          <w:b w:val="0"/>
          <w:bCs w:val="0"/>
          <w:lang w:eastAsia="zh-CN"/>
        </w:rPr>
        <w:fldChar w:fldCharType="end"/>
      </w:r>
      <w:r>
        <w:rPr>
          <w:rFonts w:hint="eastAsia" w:eastAsia="方正公文小标宋" w:cs="Times New Roman"/>
          <w:b w:val="0"/>
          <w:bCs w:val="0"/>
          <w:lang w:eastAsia="zh-CN"/>
        </w:rPr>
        <w:t>……………………………………………………………………………………</w:t>
      </w:r>
      <w:r>
        <w:rPr>
          <w:rFonts w:hint="eastAsia" w:eastAsia="方正公文小标宋" w:cs="Times New Roman"/>
          <w:b w:val="0"/>
          <w:bCs w:val="0"/>
          <w:lang w:val="en-US" w:eastAsia="zh-CN"/>
        </w:rPr>
        <w:t xml:space="preserve"> 13</w:t>
      </w:r>
    </w:p>
    <w:p w14:paraId="55C6907C">
      <w:pPr>
        <w:pStyle w:val="7"/>
        <w:pageBreakBefore w:val="0"/>
        <w:widowControl/>
        <w:tabs>
          <w:tab w:val="right" w:pos="13991"/>
        </w:tabs>
        <w:wordWrap/>
        <w:overflowPunct/>
        <w:topLinePunct w:val="0"/>
        <w:bidi w:val="0"/>
        <w:spacing w:line="480" w:lineRule="auto"/>
        <w:jc w:val="distribute"/>
        <w:rPr>
          <w:rFonts w:hint="eastAsia" w:eastAsia="方正公文小标宋" w:cs="Times New Roman"/>
          <w:b w:val="0"/>
          <w:bCs w:val="0"/>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hint="eastAsia" w:eastAsia="方正公文小标宋" w:cs="Times New Roman"/>
          <w:b w:val="0"/>
          <w:bCs w:val="0"/>
          <w:lang w:eastAsia="zh-CN"/>
        </w:rPr>
        <w:fldChar w:fldCharType="begin"/>
      </w:r>
      <w:r>
        <w:rPr>
          <w:rFonts w:hint="eastAsia" w:eastAsia="方正公文小标宋" w:cs="Times New Roman"/>
          <w:b w:val="0"/>
          <w:bCs w:val="0"/>
          <w:lang w:eastAsia="zh-CN"/>
        </w:rPr>
        <w:instrText xml:space="preserve"> HYPERLINK \l "_Toc172533654" </w:instrText>
      </w:r>
      <w:r>
        <w:rPr>
          <w:rFonts w:hint="eastAsia" w:eastAsia="方正公文小标宋" w:cs="Times New Roman"/>
          <w:b w:val="0"/>
          <w:bCs w:val="0"/>
          <w:lang w:eastAsia="zh-CN"/>
        </w:rPr>
        <w:fldChar w:fldCharType="separate"/>
      </w:r>
      <w:r>
        <w:rPr>
          <w:rFonts w:hint="eastAsia" w:eastAsia="方正公文小标宋" w:cs="Times New Roman"/>
          <w:b w:val="0"/>
          <w:bCs w:val="0"/>
          <w:lang w:eastAsia="zh-CN"/>
        </w:rPr>
        <w:t>上级部门收回事项清单</w:t>
      </w:r>
      <w:r>
        <w:rPr>
          <w:rFonts w:hint="eastAsia" w:eastAsia="方正公文小标宋" w:cs="Times New Roman"/>
          <w:b w:val="0"/>
          <w:bCs w:val="0"/>
          <w:lang w:eastAsia="zh-CN"/>
        </w:rPr>
        <w:fldChar w:fldCharType="end"/>
      </w:r>
      <w:r>
        <w:rPr>
          <w:rFonts w:hint="eastAsia" w:eastAsia="方正公文小标宋" w:cs="Times New Roman"/>
          <w:b w:val="0"/>
          <w:bCs w:val="0"/>
          <w:lang w:eastAsia="zh-CN"/>
        </w:rPr>
        <w:fldChar w:fldCharType="end"/>
      </w:r>
      <w:r>
        <w:rPr>
          <w:rFonts w:hint="eastAsia" w:eastAsia="方正公文小标宋" w:cs="Times New Roman"/>
          <w:b w:val="0"/>
          <w:bCs w:val="0"/>
          <w:lang w:eastAsia="zh-CN"/>
        </w:rPr>
        <w:t>………………………………………………………………………………</w:t>
      </w:r>
      <w:r>
        <w:rPr>
          <w:rFonts w:hint="eastAsia" w:eastAsia="方正公文小标宋" w:cs="Times New Roman"/>
          <w:b w:val="0"/>
          <w:bCs w:val="0"/>
          <w:lang w:val="en-US" w:eastAsia="zh-CN"/>
        </w:rPr>
        <w:t xml:space="preserve"> 43 </w:t>
      </w:r>
    </w:p>
    <w:p w14:paraId="7731CD5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DEBF69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683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4F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1031A5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884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2709F5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0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9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6F9B6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C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0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94CBD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0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D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10F01D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E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4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785845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2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负责街道党工委下辖党组织的成立、撤销、调整、换届和管理，整顿软弱涣散基层党组织，组织开展“双述双评”，擦亮“树湘红”党建品牌。</w:t>
            </w:r>
          </w:p>
        </w:tc>
      </w:tr>
      <w:tr w14:paraId="554787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4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6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735F08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C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B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0EA43D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3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A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7DCB0E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4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2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负责村（社区）党群服务中心及活动场所的管理，规范党徽党旗的使用。</w:t>
            </w:r>
          </w:p>
        </w:tc>
      </w:tr>
      <w:tr w14:paraId="5D7FB79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7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8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4F7BBB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C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7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教育引导、服务管理和关心关爱街道机关事业单位退休人员。</w:t>
            </w:r>
          </w:p>
        </w:tc>
      </w:tr>
      <w:tr w14:paraId="724407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8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2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按照干部管理权限，负责街道、村（社区）两级干部的选拔、教育、培训、考核、监督、薪资福利管理、评先评优等工作，做好村（社区）党组织书记后备力量培育储备，负责驻村第一书记及工作队员日常管理。</w:t>
            </w:r>
          </w:p>
        </w:tc>
      </w:tr>
      <w:tr w14:paraId="18AB9B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9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4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86A88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B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1D6DBF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B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21E606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2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09909C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做好人大代表联络服务工作，支持人大代表依法履职。</w:t>
            </w:r>
          </w:p>
        </w:tc>
      </w:tr>
      <w:tr w14:paraId="55E807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3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4F9A65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2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11BF6A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4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673827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DB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C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0B40300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6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73DE88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A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6A73E9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F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5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31F93D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B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6805765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0BE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672AD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F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8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拟定街道经济社会发展规划和年度计划并组织实施，推动经济社会高质量发展。</w:t>
            </w:r>
          </w:p>
        </w:tc>
      </w:tr>
      <w:tr w14:paraId="059DDF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E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4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23F3DD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B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445457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F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7F3ADE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0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6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14E957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A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A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404C680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0065D9E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0C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0F9041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C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3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28DC7C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5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7D6CAD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B6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E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23C98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A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73EB4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5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8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70D0CA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0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7337CF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7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9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10C59A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C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8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7E7BEE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0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A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131B76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2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A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4E688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1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B3DC5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9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3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1307CF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5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15760E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5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组织申报惠民食堂等居家养老服务项目。</w:t>
            </w:r>
          </w:p>
        </w:tc>
      </w:tr>
      <w:tr w14:paraId="662E35D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925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0B6C49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C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7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4A2AC9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3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F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5EC37B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9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3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1E174D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E6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F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2EAD3E6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F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F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推进街道、村（社区）综合网格建设，做好网格员选配、培训、管理等工作。</w:t>
            </w:r>
          </w:p>
        </w:tc>
      </w:tr>
      <w:tr w14:paraId="0D315C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3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6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41A16C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0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1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459F04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F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2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7F11B7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B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5632ADF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0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69B3755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5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61DC59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6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7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负责涉及街道行政复议案件的答复和行政诉讼案件的应诉。</w:t>
            </w:r>
          </w:p>
        </w:tc>
      </w:tr>
      <w:tr w14:paraId="464783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9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09B151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5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6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2680012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B02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5CCC94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03A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6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7A53B3E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FB8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9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19FA7A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EF1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C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0EDBD6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477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A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6F17508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F5A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3260F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58C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8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加强新时代爱国主义教育，培育和践行社会主义核心价值观，用好新时代文明实践所、站，传承发展优秀传统文化，常态化开展文明行为引导和群众性精神文明创建活动，推进移风易俗。</w:t>
            </w:r>
          </w:p>
        </w:tc>
      </w:tr>
      <w:tr w14:paraId="0F71629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6D7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78FE6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E98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7ADEE5C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A9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E0FFD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BF0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D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75189FD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C78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62A87E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BB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B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2CA901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FE0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2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5D0A76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AB1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C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0D57734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2E0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3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492A07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39D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0A36688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0DD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7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5A9172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8B4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十、生态环保（9项）</w:t>
            </w:r>
          </w:p>
        </w:tc>
      </w:tr>
      <w:tr w14:paraId="6D65AF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229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0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420C7D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C7F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8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w:t>
            </w:r>
          </w:p>
        </w:tc>
      </w:tr>
      <w:tr w14:paraId="297E69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0D3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5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459456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D4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E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3167A8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39D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3C98DD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F94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2949E8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573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7C44F2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2ED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214E83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67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5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开展烟花爆竹燃放管理的政策宣传，发现违规燃放行为及时劝阻。</w:t>
            </w:r>
          </w:p>
        </w:tc>
      </w:tr>
      <w:tr w14:paraId="3E9B89E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722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3FF84C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70C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C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759B22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6F7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E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45B154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C4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3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403361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301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424037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BE6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5AB7708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F3C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4683BA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BBB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3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7AA187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588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4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3C5364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827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0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做好街道、村（社区）的图书室和电子阅览室的运行维护，提供免费借阅服务。</w:t>
            </w:r>
          </w:p>
        </w:tc>
      </w:tr>
      <w:tr w14:paraId="5654FA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C8A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深挖道州龙船龙头雕刻文化并发扬传承。</w:t>
            </w:r>
          </w:p>
        </w:tc>
      </w:tr>
      <w:tr w14:paraId="5DB46D6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128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6D85EA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51C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679B07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F0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6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2B3335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830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F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4EED50A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CB0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06CB63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DBA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2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458E24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51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负责街道综合应急救援（含多种形式消防救援）队伍的建设及日常管理，指导督促村（居）民委员会组建应急救援队伍，及时、就近开展应急和消防救援。</w:t>
            </w:r>
          </w:p>
        </w:tc>
      </w:tr>
      <w:tr w14:paraId="6707767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6F8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127420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67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2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71D4F3A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BD4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380312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4E2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3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推进街道人民武装部与退役军人服务站融合建设，加强与退役军人联系沟通，做好退役军人及其他优抚对象政策宣传、优待抚恤、权益维护、就业创业服务工作。</w:t>
            </w:r>
          </w:p>
        </w:tc>
      </w:tr>
      <w:tr w14:paraId="6FC45C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4E8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29A2F0C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9B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12E60E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E6C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49ADE2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D6C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0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2A8D8A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A4F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D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2E4BAB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1D9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C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编制街道财政预决算，做好财务审核、资金发放、票据归档等工作，监管财政资金，开展机关内部财务审计。</w:t>
            </w:r>
          </w:p>
        </w:tc>
      </w:tr>
      <w:tr w14:paraId="45B5E6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AAF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5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14:paraId="3C5E21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17B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2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3A76C1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CAA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承办12345政务服务便民热线等平台转办涉及本街道职权范围内的事项。</w:t>
            </w:r>
          </w:p>
        </w:tc>
      </w:tr>
      <w:tr w14:paraId="44F142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FCE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C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负责街道便民服务中心和村（社区）便民服务站标准化、规范化建设。</w:t>
            </w:r>
          </w:p>
        </w:tc>
      </w:tr>
    </w:tbl>
    <w:p w14:paraId="78D68CE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C215FC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F8F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88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5F2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D59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52DB">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24CD6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369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4E118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C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F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1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5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06676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2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8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8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4393CE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7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B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E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28454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8E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B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村级党组织书记备案管理。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3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牵头抓总、协同联动相关部门、乡镇（街道）党（工）委，统筹抓好村级党组织书记的任职备案、履职备案、离职备案、日常管理等工作。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B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575D7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C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2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从街道事业编制人员、优秀村（社区）党组织书记、到村任职过的选调生、第一书记、驻村工作队员“五方面人员”中择优选拔街道领导班子成员。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8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1.制定从“五方面人员”中择优选拔街道领导班子成员工作实施方案；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2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78B68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5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A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D5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15217B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1EE38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9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1.县委组织部负责制定从优秀村（社区）党组织书记中考核招聘街道事业编制人员工作实施方案；负责统筹实施考核招聘工作，开展资格联审、体检、人选考察工作；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C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7799B5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6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3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9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3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3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02AC82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E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3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B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A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06670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B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7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E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C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0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14:paraId="576DA0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A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8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F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4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5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09539D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2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C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7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5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5A7E7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0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3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F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D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050E03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C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F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A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3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2388BB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6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D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267CAA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6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A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0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688CA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C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2.县财政局落实村（社区）干部基本报酬、村主干购买养老保险补贴、离任村（社区）干部生活补贴、村级组织办公经费、服务群众经费、党组织活动经费。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0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1.抓好村（社区）干部基本报酬、离任村（社区）干部生活补贴、村级组织办公经费、服务群众专项经费、党组织活动经费的日常监管；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2.确定享受报酬待遇的村（社区）干部人员名单，做好村级组织运转经费核算工作，及时上报村（社区）干部报酬异动名单；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4.负责开展村（社区）干部年度绩效考核工作，确定年终绩效考核奖励。</w:t>
            </w:r>
          </w:p>
        </w:tc>
      </w:tr>
      <w:tr w14:paraId="4857B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A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C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为村（社区）干部购买人身意外伤害险，组织村（社区）干部集中体检。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D4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44860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5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1.县委组织部负责为村（社区）干部购买人身意外伤害保险，集中组织村（社区）干部进行健康体检；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2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2.按照县委组织部统一安排，通知村（社区）干部进行健康体检。</w:t>
            </w:r>
          </w:p>
        </w:tc>
      </w:tr>
      <w:tr w14:paraId="62DDD4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E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0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92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44FC88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22A947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317430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7835F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5462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0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D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2.对拟调整、评先评优的县直机关派驻街道机构主要负责人选提出书面意见。</w:t>
            </w:r>
          </w:p>
        </w:tc>
      </w:tr>
      <w:tr w14:paraId="271D38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4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F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A7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06C04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8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2.党工委会议讨论研究推荐；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757EE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6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3A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05A4F0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6F01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2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3DC9E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B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农村（社区）党员远程教育。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A5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A9D7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F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1.县委组织部负责指导街道运用现代信息技术开展农村（社区）党员教育；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9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1.规范使用农村（社区）党员远程教育站点运行维护经费；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2.组织农村（社区）党员通过远程教育设施参加线上教育培训。</w:t>
            </w:r>
          </w:p>
        </w:tc>
      </w:tr>
      <w:tr w14:paraId="0BC46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5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4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0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8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657F02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7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推进混合所有制企业、非公有制企业、新经济组织、新社会组织、新就业群体“新兴领域”党建工作。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E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0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3.做好新经济组织、新社会组织党建工作示范点推荐评选和创建提升选点工作。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1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3.推荐新经济组织、新社会组织党建工作示范点和行业评选表彰对象。</w:t>
            </w:r>
          </w:p>
        </w:tc>
      </w:tr>
      <w:tr w14:paraId="1156CC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7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A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83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
</w:t>
            </w:r>
          </w:p>
          <w:p w14:paraId="27DA6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5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负责按照每万城镇常住人口拥有社区工作者18人的标准，按照年龄结构、学历层次、专业要求等指导性指标做好需求测算，并通过择优考核转隶专职网格员、面向社会招录方式全面建强社区工作者队伍；负责落实薪酬待遇保障，科学设定社区工作者薪酬构成和岗位等级薪酬标准，定期动态调整；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2.县委组织部会同县委社工部每年至少对社区党组织书记、社区居民委员会主任培训1次，对其他社区工作者每3年轮训1次；县委组织部负责社区党组织书记县级备案管理工作。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7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1.选优配强社区党组织书记，建强社区“两委”班子，建立健全社区党组织书记后备人才库；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1DBE4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6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6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
</w:t>
            </w:r>
          </w:p>
          <w:p w14:paraId="69E073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05A20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1.县委社工部牵头完善党的组织体系和工作体系，指导加强物业小区党建联建，负责协调住建部门、街道建好物业小区党群服务中心；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2.县住建局负责将物业小区党群活动中心用房和居民公益性服务设施列入交房验收环节，并按县自然资源局规划条件要求验收；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0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4.督促小区党支部规范党组织生活，打造“红色物业”党建品牌。</w:t>
            </w:r>
          </w:p>
        </w:tc>
      </w:tr>
      <w:tr w14:paraId="39B3B9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A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C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1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2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E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2.承担对村（社区）巡察统筹协调工作；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3.负责本级巡察整改及指导村（社区）巡察整改工作。</w:t>
            </w:r>
          </w:p>
        </w:tc>
      </w:tr>
      <w:tr w14:paraId="3450AC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7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F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7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689A49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8CAA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2BCEBA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F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6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5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B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F36B5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4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B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1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2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4A6EF1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0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8B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0D97A5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4F5E6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727B9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2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0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5ED34F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046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35473F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C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F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E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2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8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4ADC6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C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2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C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5C6916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B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4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县水利局（牵头）县卫健局
</w:t>
            </w:r>
          </w:p>
          <w:p w14:paraId="188F2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A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541D8C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0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4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2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9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0BEC5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9B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4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6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47D0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C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D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2231C1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70A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345F1D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0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4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88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7408DF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0CACC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56801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A1572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381B8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3FFC3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2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7AE6CB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A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2C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1BAD06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0AF869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1BD13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3FA2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B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9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695726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5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DD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2B8DF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A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1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B5F31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0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3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87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1FE627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23698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46B03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5A2A0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9C126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657DB8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96C7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B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6DAB1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0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CD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0EDD1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F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8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B379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9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1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F3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
</w:t>
            </w:r>
          </w:p>
          <w:p w14:paraId="20719C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0C68B8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28E5A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D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6455E4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1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F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0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F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374F9A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B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9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E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
</w:t>
            </w:r>
          </w:p>
          <w:p w14:paraId="585EE3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231EA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0D81F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6DE2B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261DDD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07F2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7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2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1831C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F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1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29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
</w:t>
            </w:r>
          </w:p>
          <w:p w14:paraId="21AB76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E601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0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1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5D540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2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B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4D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
</w:t>
            </w:r>
          </w:p>
          <w:p w14:paraId="798C44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7554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C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8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3C1F3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8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8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4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2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2AAB68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8A8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69637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E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2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26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BB774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50B0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2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D6FBF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2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3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8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A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25067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F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0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6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C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127537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C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7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E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C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2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441569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507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F2E21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E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2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A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4B96DF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5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4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5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2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75A2DE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845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33D8F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A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1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E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
</w:t>
            </w:r>
          </w:p>
          <w:p w14:paraId="246F54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B8CC6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63262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668A0E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2C1B6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D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F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58078D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1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1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A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9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8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509CE1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1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8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7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1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2.及时联系县民政局、县公安局将辖区内非本街道户籍的流浪乞讨人员指引、护送到救助站；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3B8314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0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B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7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5、会同县发改局评定商品住宅物业服务等级并到县发改局进行备案审查；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6、对尚未划分物业管理区域并已投入使用的，会同街道征求业主意见后予以核定划分。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3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14:paraId="0EEF5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8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F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C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1.督促劝导业主履行门前三包责任；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2.做好责任背街小巷保洁和环境卫生整治工作；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4.参与城市卫生执法检查工作。</w:t>
            </w:r>
          </w:p>
        </w:tc>
      </w:tr>
      <w:tr w14:paraId="345953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7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6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垃圾分类管理。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F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F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4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1.宣传垃圾分类知识；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2.做好辖区垃圾分类督导、劝导；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3.开展垃圾分类正向激励活动，提升居民垃圾分类意识。</w:t>
            </w:r>
          </w:p>
        </w:tc>
      </w:tr>
      <w:tr w14:paraId="78878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9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维护农贸市场周边秩序。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D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2.开展相关执法检查工作，行使城市管理相对集中行政处罚权。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14:paraId="4F1090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5D3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229847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6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E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0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2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D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14CB2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4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D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3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3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C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8610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4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3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5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C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5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7BE8E4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F29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5B0B2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2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5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7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3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2C71DF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F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D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0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0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B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76AA5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C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2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A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101ABE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6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37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034DD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9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5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0BB8D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7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C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3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7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C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031E84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4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A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D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0C3C2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2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9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2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6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B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3E2C13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6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C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6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9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2.向乡镇（街道）下发公益林和天然商品林补偿资金到村（社区）数据；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9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2.督促村（居）委会制定补偿资金到户发放计划，召开村（居）民代表大会进行审议并公示；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5DAE41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88A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十、生态环保（4项）</w:t>
            </w:r>
          </w:p>
        </w:tc>
      </w:tr>
      <w:tr w14:paraId="2406B1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65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9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7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4323DD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7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B34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4BF39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5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2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2B579B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3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D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06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71B2B6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513BF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5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8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3620A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D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4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3E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63388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2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4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4A4E8B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BAA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十一、城乡建设（12项）</w:t>
            </w:r>
          </w:p>
        </w:tc>
      </w:tr>
      <w:tr w14:paraId="4092D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3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F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D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4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7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148952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E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0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9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E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3708C5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F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B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E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7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6E035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1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2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AAE0">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4177CC4F">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8CA9FE2">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5724A996">
            <w:pPr>
              <w:widowControl/>
              <w:kinsoku/>
              <w:spacing w:before="0" w:beforeLines="0" w:after="0" w:afterLines="0"/>
              <w:jc w:val="left"/>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63A24746">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2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0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26880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1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8639">
            <w:pPr>
              <w:widowControl/>
              <w:kinsoku/>
              <w:spacing w:before="0" w:beforeLines="0" w:after="0" w:afterLines="0"/>
              <w:jc w:val="lef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5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2.指导和协助街道做好乡道、村道规划；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1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1A0583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E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3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0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3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46B7E0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F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A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5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534A6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6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3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人防设施监管。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71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2DE54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9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1.依法对人民防空工程设施建设进行监督检查；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2.管理维护好防空通信警报器材。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F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1.开展人民防空宣传教育；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2.发现破坏人防设施违法行为及时劝阻，并上报线索。</w:t>
            </w:r>
          </w:p>
        </w:tc>
      </w:tr>
      <w:tr w14:paraId="6E33A1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6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3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提质改造城区老旧小区和背街小巷。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0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2.项目摸底上报，参与项目质量监督和项目验收；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00906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C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C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既有房屋改扩建和室内装饰装修管理。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DC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28A6E70B">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B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严格审核相关申请项目后再核发建设工程规划许可证。县城管局对于未批先改违法行为严肃查处。县住建局对申请办理施工许可证的装饰装修工程做好监督管理。县自然资源局、县住建局应及时将违建线索移交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2.县住建局指导物业服务企业加强小区的装饰装修规活动并开展现场巡检；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县住建局、县城管局对群众和单位信访、投诉、报告的情况，要依职责调查、依法查处，防范化解重特大安全事故。遇到阻碍执法、拒绝恢复等情况应及时联络公安机关依法处理；积极开展既有建筑改建、扩建、装饰装修安全管理工作法规宣传；建立健全工作机制，推动既有建筑改建、扩建、装饰装修安全管理工作落实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4.涉及擅自变更已建成并投入使用的建(构)筑物使用性质的，擅自改变建筑外立面和规划条件的，由自然资源部门依职责处置。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5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1.开展既有建筑改建、扩建、装饰装修安全管理工作法规宣传；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2.督促业主做好装饰装修登记备案工作；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3.加强辖区装饰装修活动日常巡查，发现违法违规行为及时报告；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4.发生住建领域安全事故及时上报。</w:t>
            </w:r>
          </w:p>
        </w:tc>
      </w:tr>
      <w:tr w14:paraId="34877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D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3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9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1.负责全县建筑垃圾堆放点设置；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2.负责城区建筑垃圾的收集、贮存、运输、利用、处置工作；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3.依法开展巡查，对群众举报的及时查明，对违规行为进行处罚，能找到倾倒人的依法处罚，并责令其清理；暂时找不到倾倒人的，由城管执法局组织力量予以清理。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0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落实建筑垃圾管理要求，开展日常巡查，及时发现、制止并上报违法行为。</w:t>
            </w:r>
          </w:p>
        </w:tc>
      </w:tr>
      <w:tr w14:paraId="2FDE9B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A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3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维护和管理城市路灯。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9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6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1.根据政府以及居民的合理要求及时安装路灯；制定安装计划；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2.及时组织人员修护和安装路灯。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C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收集上报社区安装维修路灯信息。</w:t>
            </w:r>
          </w:p>
        </w:tc>
      </w:tr>
      <w:tr w14:paraId="7D7890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6A6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71E23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0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5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2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7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4F0169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003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69B02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B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A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920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0946F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4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4EA9F1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4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8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D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4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679E60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E6E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5B0694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E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D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E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3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4FD26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0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4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A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B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2.在上级部门组织指导下，做好村（社区）防控工作。</w:t>
            </w:r>
          </w:p>
        </w:tc>
      </w:tr>
      <w:tr w14:paraId="5A625D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CA5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401362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4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E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32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550518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7C7AC1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B5DE5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F5710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0ABC91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2EBED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3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0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66393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E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3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6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1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34425D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7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A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2C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1F7B50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FF6CC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2B9DB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66A42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3C29E4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0E255F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675C5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5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04E0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9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4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3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1F3AEE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55B7B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0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8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4D9C7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4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0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F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14C18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2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6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7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F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12032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3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F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开展管道燃气安全管理工作。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5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1.负责全县燃气经营许可的审查，对燃气经营的业务指导和技术支持；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2.定期对各企业进行监督检查，对违法违规行为进行查处；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3.督促全县燃气企业的设施日常维护保养；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4.统筹燃气经营企业开展燃气安全入户检查；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5.制定全县城镇燃气安全专项整治方案；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6.组织开展专项整治行动；对燃气经营、燃气使用的安全状况等进行监督检查，发现燃气安全事故隐患的，通知燃气经营者、燃气用户及时采取措施消除隐患；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7.开展多种形式的安全宣传活动；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8.为街道、单位、企业的安全生产检查提供业务指导。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6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2.协调社区和物业服务公司配合燃气经营企业入户安全检查，发现问题及时处置或上报。</w:t>
            </w:r>
          </w:p>
        </w:tc>
      </w:tr>
      <w:tr w14:paraId="3E9CA1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08A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27D66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9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A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0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0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5.负责村（社区）食品安全协管员的选用、培训、管理。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5.推荐负责村（社区）食品安全的协管员人选；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4D499BC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0D5271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946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5BA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A70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49F54A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CA8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307361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7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94F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A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E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D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1F01F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8B1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56DAA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2B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8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3F176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DA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2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6BC510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812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A1D3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C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F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3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3CF7D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1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1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F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4B2D4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7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A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0FD45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E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C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53E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DA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D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B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DB9B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A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C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78B81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3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9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35E62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1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6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1B125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8F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0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111B0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5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753F0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9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1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7AC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D5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9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132E8B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8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5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C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71FBDF6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B6A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24B0F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E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D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D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363CB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C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0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346D3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1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4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F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50DF49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F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4A46A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65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1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621C6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1CE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9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62945D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71D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2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5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8BD1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0B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2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4FF2F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89E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0F1F5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E9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4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63978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1A4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0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E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0F233A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098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A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D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7C0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914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6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0B1A5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FB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E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2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432D31E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665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EF92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7D6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F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3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726A864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981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06467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971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3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C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41239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A7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52394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56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A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6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4F612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C95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8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C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1DCE14F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4AB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490CB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11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C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1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67535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38A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E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5CF5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D19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3806C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83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4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50F71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28D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7E960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2E7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6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ED396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326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1B8B7E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6CE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7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7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4A488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4AC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D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15C4FE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CA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8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15574F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D56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0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1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3BA05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1C5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B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6BC2FB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1D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A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A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13A06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4C3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8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0D5440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77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0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4CCAE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6EE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3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12479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33C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F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6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51C4E4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06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F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3DE65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00C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3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2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5FB4C3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EA0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4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4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59E6239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445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7427A4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1B3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2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3430A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BA0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0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5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76A81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BD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6BC24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ABD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D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482B38B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99B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6BB09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1C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8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A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775C1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0B3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6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9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037B2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0D1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A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6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49C30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BA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530700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936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4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E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2D4905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E72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2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5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138D2A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338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C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059CA06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646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12BD6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03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1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开展聚焦国省道沿线交通事故精准防控工作，要求街道、村（社区）干部对重点人员、重点车辆精准摸排、精准包保、精准防控。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F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5DFE55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EE9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9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1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40A49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2D0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6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2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23A24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18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F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3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398846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425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C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7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604F9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3F4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D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7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0BFE25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7BD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E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8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38489A6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DBD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4270E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A9D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F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0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425716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AFC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A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5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1AC47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24A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5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A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17477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8A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十五、应急管理及消防（29项）</w:t>
            </w:r>
          </w:p>
        </w:tc>
      </w:tr>
      <w:tr w14:paraId="21DD4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3BE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1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069E9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33A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2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1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060A2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5CE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3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6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1E110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F28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0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9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311C0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957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C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40DB6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DF0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4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6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33D1B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336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7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3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10691D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68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9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7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7B80E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916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2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C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2DE5F0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3C8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0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453E5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A2D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7D8D9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881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4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F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3D4910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EA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3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5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06B03E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7C00">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6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F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28541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A07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0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108E61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819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8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6E4509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A29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4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011D8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F2A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4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27CA8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AAE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2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11656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8851">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6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2FC25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40B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6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11A858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0A78">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E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C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26233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60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9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77D3D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F343">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5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工作方式：由县消防救援大队负责居民自建房领域内，对占用、堵塞、封闭消防车通道，妨碍消防车通行的处罚。</w:t>
            </w:r>
          </w:p>
        </w:tc>
      </w:tr>
      <w:tr w14:paraId="5FE1E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0DD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6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消防设施、器材、安全标志配置、设置不符合标准、未保持完好有效或者损坏、挪用、擅自拆除、停用，妨碍安全疏散、消防车通行，影响消防安全、逃生、灭火救援，不及时消除火灾隐患的处罚。</w:t>
            </w:r>
          </w:p>
        </w:tc>
      </w:tr>
      <w:tr w14:paraId="24FE83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A84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居民自建房领域内，对违规进入生产、储存易燃易爆危险品场所，违规使用明火作业，在具有火灾、爆炸危险的场所吸烟、使用明火的警告、罚款处罚。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7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工作方式：由县消防救援大队负责居民自建房领域内，对违规进入生产、储存易燃易爆危险品场所，违规使用明火作业，在具有火灾、爆炸危险的场所吸烟、使用明火的警告、罚款处罚。</w:t>
            </w:r>
          </w:p>
        </w:tc>
      </w:tr>
      <w:tr w14:paraId="519189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67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1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B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r>
      <w:tr w14:paraId="71376C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341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F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3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工作方式：由县消防救援大队负责居民自建房领域内，对公众聚集场所未经消防救援机构许可，擅自投入使用、营业的，或者经核查发现场所使用、营业情况与承诺内容不符的处罚。</w:t>
            </w:r>
          </w:p>
        </w:tc>
      </w:tr>
      <w:tr w14:paraId="4DF57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BF8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6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工作方式：由县消防救援大队负责居民自建房领域内，对电器产品、燃气用具的安装、使用及电器线路、燃气管路的设计、敷设、维护保养、检测不符合消防技术标准和管理规定的处罚。</w:t>
            </w:r>
          </w:p>
        </w:tc>
      </w:tr>
      <w:tr w14:paraId="529AFB9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AF6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59124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2A12">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4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5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4BBD8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4D5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E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C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23AC6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402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D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7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BA4AC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47D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43382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6E5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F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7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8A3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E89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1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E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5A666295">
      <w:pPr>
        <w:pStyle w:val="3"/>
        <w:spacing w:before="0" w:after="0" w:line="240" w:lineRule="auto"/>
        <w:jc w:val="center"/>
        <w:rPr>
          <w:rFonts w:ascii="Times New Roman" w:hAnsi="Times New Roman" w:eastAsia="方正小标宋_GBK" w:cs="Times New Roman"/>
          <w:color w:val="auto"/>
          <w:spacing w:val="7"/>
          <w:lang w:eastAsia="zh-CN"/>
        </w:rPr>
      </w:pPr>
    </w:p>
    <w:p w14:paraId="763B310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0EF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7F1F3E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7F1F3E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A96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2475538"/>
    <w:rsid w:val="26B0733C"/>
    <w:rsid w:val="3FFDD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72</Words>
  <Characters>73</Characters>
  <Lines>1</Lines>
  <Paragraphs>1</Paragraphs>
  <TotalTime>27</TotalTime>
  <ScaleCrop>false</ScaleCrop>
  <LinksUpToDate>false</LinksUpToDate>
  <CharactersWithSpaces>76</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Kylin</cp:lastModifiedBy>
  <dcterms:modified xsi:type="dcterms:W3CDTF">2025-07-11T15:37:35Z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eyJoZGlkIjoiMmE1OTBlMmJhZmUxZTM3YjFmNDhkM2M4ZDZhYjA5MTgiLCJ1c2VySWQiOiIyMzkzODI0MTgifQ==</vt:lpwstr>
  </property>
  <property fmtid="{D5CDD505-2E9C-101B-9397-08002B2CF9AE}" pid="3" name="KSOProductBuildVer">
    <vt:lpwstr>2052-12.8.2.1114</vt:lpwstr>
  </property>
  <property fmtid="{D5CDD505-2E9C-101B-9397-08002B2CF9AE}" pid="4" name="ICV">
    <vt:lpwstr>1FE0E2CA1D424ADE8B33D860D4D6F460_12</vt:lpwstr>
  </property>
</Properties>
</file>