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3C702">
      <w:pPr>
        <w:pStyle w:val="2"/>
        <w:jc w:val="left"/>
        <w:rPr>
          <w:rFonts w:ascii="方正公文小标宋" w:eastAsia="方正公文小标宋"/>
          <w:b w:val="0"/>
          <w:sz w:val="84"/>
          <w:szCs w:val="84"/>
          <w:lang w:eastAsia="zh-CN"/>
        </w:rPr>
      </w:pPr>
    </w:p>
    <w:p w14:paraId="66DDE61E">
      <w:pPr>
        <w:pStyle w:val="2"/>
        <w:jc w:val="left"/>
        <w:rPr>
          <w:rFonts w:ascii="方正公文小标宋" w:eastAsia="方正公文小标宋"/>
          <w:b w:val="0"/>
          <w:sz w:val="84"/>
          <w:szCs w:val="84"/>
          <w:lang w:eastAsia="zh-CN"/>
        </w:rPr>
      </w:pPr>
    </w:p>
    <w:p w14:paraId="406FFA5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湖南省永州市道县审章塘瑶族乡</w:t>
      </w:r>
    </w:p>
    <w:p w14:paraId="70E6375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FC82568">
      <w:pPr>
        <w:rPr>
          <w:rFonts w:ascii="方正公文小标宋" w:eastAsia="方正公文小标宋"/>
          <w:sz w:val="84"/>
          <w:szCs w:val="84"/>
          <w:lang w:eastAsia="zh-CN"/>
        </w:rPr>
      </w:pPr>
    </w:p>
    <w:p w14:paraId="0780E151">
      <w:pPr>
        <w:rPr>
          <w:rFonts w:ascii="方正公文小标宋" w:eastAsia="方正公文小标宋"/>
          <w:sz w:val="84"/>
          <w:szCs w:val="84"/>
          <w:lang w:eastAsia="zh-CN"/>
        </w:rPr>
      </w:pPr>
    </w:p>
    <w:p w14:paraId="50DC0B9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62E0AF9">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8112CD2">
          <w:pPr>
            <w:rPr>
              <w:lang w:val="zh-CN"/>
            </w:rPr>
          </w:pPr>
        </w:p>
        <w:p w14:paraId="69B7CA72">
          <w:pPr>
            <w:rPr>
              <w:lang w:val="zh-CN"/>
            </w:rPr>
          </w:pPr>
        </w:p>
        <w:p w14:paraId="452EA478">
          <w:pPr>
            <w:rPr>
              <w:rFonts w:eastAsiaTheme="minorEastAsia"/>
              <w:lang w:val="zh-CN" w:eastAsia="zh-CN"/>
            </w:rPr>
          </w:pPr>
        </w:p>
        <w:p w14:paraId="5691A35D">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1E38B1E0">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626E02E4">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p w14:paraId="26EBEF5E">
          <w:pPr>
            <w:pStyle w:val="2"/>
            <w:jc w:val="both"/>
            <w:rPr>
              <w:rFonts w:ascii="Times New Roman" w:hAnsi="Times New Roman" w:eastAsia="方正小标宋_GBK" w:cs="Times New Roman"/>
              <w:color w:val="auto"/>
              <w:spacing w:val="7"/>
              <w:sz w:val="44"/>
              <w:szCs w:val="44"/>
              <w:lang w:eastAsia="zh-CN"/>
            </w:rPr>
          </w:pPr>
        </w:p>
      </w:sdtContent>
    </w:sdt>
    <w:p w14:paraId="30943531">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03DAA1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533652"/>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8D3689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DF7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D6D3">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F67EBA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12C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12506D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E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B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FCDB4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4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7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CB077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D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14:paraId="4BE10F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0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9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08FCAE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A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4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负责乡党委下辖党组织的成立、撤销、调整、换届和管理，整顿软弱涣散基层党组织，组织开展“双述双评”，推进新兴领域党的建设，擦亮“树湘红”党建品牌。</w:t>
            </w:r>
          </w:p>
        </w:tc>
      </w:tr>
      <w:tr w14:paraId="5328CB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0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6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加强和规范乡党校建设，抓好党员干部全员培训工作。</w:t>
            </w:r>
          </w:p>
        </w:tc>
      </w:tr>
      <w:tr w14:paraId="3163E5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9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C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589FA1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6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9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3AE0BC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8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6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7CCCF3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D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6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55441D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8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0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教育引导、服务管理和关心关爱乡机关事业单位退休人员。</w:t>
            </w:r>
          </w:p>
        </w:tc>
      </w:tr>
      <w:tr w14:paraId="2DE14D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B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按照干部管理权限，负责乡村两级干部的选拔、教育、培训、考核、监督、薪资福利管理、评先评优等工作，做好村（居）党组织书记后备力量培育储备，负责驻村第一书记及工作队员日常管理。</w:t>
            </w:r>
          </w:p>
        </w:tc>
      </w:tr>
      <w:tr w14:paraId="767C21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6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4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40F3B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7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8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7D7484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8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E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62ECA9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E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6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5784E4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2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B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组织召开乡人民代表大会，依法做好人大代表选举，负责建议的征集、办理和督促工作，服务保障人大代表依法履职。</w:t>
            </w:r>
          </w:p>
        </w:tc>
      </w:tr>
      <w:tr w14:paraId="512A6D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4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8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7F3AE4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7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3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0198B9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9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2DA7C0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B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0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1ED7AC00">
        <w:tblPrEx>
          <w:tblCellMar>
            <w:top w:w="0" w:type="dxa"/>
            <w:left w:w="108" w:type="dxa"/>
            <w:bottom w:w="0" w:type="dxa"/>
            <w:right w:w="108" w:type="dxa"/>
          </w:tblCellMar>
        </w:tblPrEx>
        <w:trPr>
          <w:cantSplit/>
          <w:trHeight w:val="56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8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5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71F584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D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0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6617BC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A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6B0B08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9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2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0394CA1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860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80F4E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D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制定全乡经济社会发展规划和年度计划并组织实施，推动经济社会高质量发展。</w:t>
            </w:r>
          </w:p>
        </w:tc>
      </w:tr>
      <w:tr w14:paraId="0D09E5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E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E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01B387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1B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9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0CA495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4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B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22C06A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4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9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3A0AE7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8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B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3A7AB0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19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2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27CFADF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A24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E2272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6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4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6825A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D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32CA3E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F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2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78384A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D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C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5141ABF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6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5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472485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9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6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12ABB1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8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9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2D6E4B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E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4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54B6E4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7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B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5E0FDF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8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203D2A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7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B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6953F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F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D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3A58BE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7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0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7CBA541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080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592380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A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B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36D173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7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3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69DAC2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9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F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20B7FA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1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2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0CDEC18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2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8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推进乡村综合网格建设，做好网格员选配、培训、管理等工作。</w:t>
            </w:r>
          </w:p>
        </w:tc>
      </w:tr>
      <w:tr w14:paraId="6F0E85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D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9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69D449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9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4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266D52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A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8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69DE76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3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7B43AB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67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7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坚持和发展新时代“枫桥经验”，依法成立乡人民调解委员会，统筹派出所、司法所、人民法庭等力量，开展人民调解工作。</w:t>
            </w:r>
          </w:p>
        </w:tc>
      </w:tr>
      <w:tr w14:paraId="5D5A85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E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053988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C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负责涉及乡人民政府行政复议案件的答复和行政诉讼案件的应诉。</w:t>
            </w:r>
          </w:p>
        </w:tc>
      </w:tr>
      <w:tr w14:paraId="59182D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8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8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25A1A5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B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9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4D9BCB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72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D2880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D47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D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33AB66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2C6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5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012FEB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716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F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5F12A2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D2C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3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34C886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39B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发展油茶特色优势产业。</w:t>
            </w:r>
          </w:p>
        </w:tc>
      </w:tr>
      <w:tr w14:paraId="61E485F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E5A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38DC0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AAF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1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256D9E1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357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31C145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166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3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46B2CCA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A97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6E7D46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2B6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D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2F848FB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390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0A9236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10D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E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266F86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EFE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4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185599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09C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C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6B5EAD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5EC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C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3E70E3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93D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4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6D07F7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C8C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5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3AC6668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039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794323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2AC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A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55824E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4B5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2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整治农村人居环境，开展美丽宜居村庄建设、生活垃圾治理、村容村貌提升工作，对乱堆粪便、垃圾、柴草，破坏村容乡貌和环境卫生行为进行处罚。</w:t>
            </w:r>
          </w:p>
        </w:tc>
      </w:tr>
      <w:tr w14:paraId="138890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3C1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E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6270DF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395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B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0F2BE7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BE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6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16A60E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C2D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1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479034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041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033B1A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2C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22A4836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96D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5B8B7C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FA4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76C070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546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D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1FA248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69B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31763D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C47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A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72A5DC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0DA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E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30963B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A73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A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790D33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566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1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0A9B49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3AB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2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55D1EAC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A1F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64AB85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926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F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764EF5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0DF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E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64E5BF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AB4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8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做好省级文物保护单位（茶园村红军渡、葫芦岩红军渡）的保护工作，发展红色旅游产业。</w:t>
            </w:r>
          </w:p>
        </w:tc>
      </w:tr>
      <w:tr w14:paraId="2E16CB3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23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6C6598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A88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C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031296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A68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8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46331C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3EB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7A1F9B8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502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38D67A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1DB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4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17AF2D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04C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D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负责乡综合应急救援（含多种形式消防救援）队伍的建设及日常管理，指导督促村（居）民委员会组建应急救援队伍，及时、就近开展应急和消防救援。</w:t>
            </w:r>
          </w:p>
        </w:tc>
      </w:tr>
      <w:tr w14:paraId="46ECEB3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F29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538002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6BF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E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3D4EF9B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8EE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06F7FC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7B2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9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推进乡人民武装部与退役军人服务站融合建设，加强与退役军人联系沟通，做好退役军人及其他优抚对象政策宣传、优待抚恤、权益维护、就业创业服务工作。</w:t>
            </w:r>
          </w:p>
        </w:tc>
      </w:tr>
      <w:tr w14:paraId="7A7524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1FA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1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1296440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034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796F075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E42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6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7BB926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581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6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2C5B07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EDC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B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007C2E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EB9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F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5F8FBB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62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8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22C416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0AF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B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17711E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B63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D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承办12345政务服务便民热线等平台转办涉及本乡职权范围内的事项。</w:t>
            </w:r>
          </w:p>
        </w:tc>
      </w:tr>
      <w:tr w14:paraId="588920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605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7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负责乡便民服务中心和村便民服务站标准化、规范化建设。</w:t>
            </w:r>
          </w:p>
        </w:tc>
      </w:tr>
    </w:tbl>
    <w:p w14:paraId="7A2B94C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CFCF26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305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9CE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071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B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DEBE">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304EA4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4D7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E1E5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D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1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C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7856E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AC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5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4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C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D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2EDAE1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2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2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1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D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8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7782A8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2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1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6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D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E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5B0794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2A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4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7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C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343BB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B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7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60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ADB4F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53BE3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8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F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08A977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F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E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1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2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1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4B3719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3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A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7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E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477590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8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3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E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9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3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571FD2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1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5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E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F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F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660C8D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9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F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E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5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3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50543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F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1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0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A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2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60F19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D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6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5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07990F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A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A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4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C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8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11EEF9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4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B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DD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7BF4B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C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0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2D3B1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2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4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1D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5FDFF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9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D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1B042A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6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2E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0B869B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DF568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785329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532F6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0277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3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1.对县直机关派驻乡机构人员进行日常管理及考勤；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2.对拟调整、评先评优的县直机关派驻乡机构主要负责人选提出书面意见。</w:t>
            </w:r>
          </w:p>
        </w:tc>
      </w:tr>
      <w:tr w14:paraId="51013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6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7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6C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4BB61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B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F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3C0250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E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3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4F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408345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14:paraId="6034C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F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0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14C6F4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D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E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DC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7B3D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7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F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3CE1F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6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E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9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3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7DF86D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B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6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B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7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9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431BE2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4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C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8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4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068917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099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979A3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B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D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A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A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1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23BB68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9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B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A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6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3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048E7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B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7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ED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66CB2B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35BB29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2CA347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国家税务总局道</w:t>
            </w:r>
          </w:p>
          <w:p w14:paraId="0C862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4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B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6F31D0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7F2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111E7B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C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F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3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8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7CC3BE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3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2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C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0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4E584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F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2D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县水利局（牵头）县卫健局
</w:t>
            </w:r>
          </w:p>
          <w:p w14:paraId="518B5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2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4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4A81FC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8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2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2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8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2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7637E2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2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7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59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5901D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B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36AB0E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CC49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25D1A0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5D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1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69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505CC5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6043B5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01611A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51F24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3EECD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6DAFF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B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7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29F5D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4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C2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7AF83B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17B01B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0D8CCF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A27C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F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0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008E3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0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1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87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25DAB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8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E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0ADC0C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7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3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8C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7E380F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20603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B5BE4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222C6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6CBF9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4DFE04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0362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7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47F248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8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1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03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674B3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9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C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AD3D2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9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B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C7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县政府办（牵头）县委政法委
</w:t>
            </w:r>
          </w:p>
          <w:p w14:paraId="2AB237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5557D4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709AF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B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2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6E99D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90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8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F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4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3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19715B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9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D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C4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县教育局（牵头）县政府办
</w:t>
            </w:r>
          </w:p>
          <w:p w14:paraId="22A587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E83F1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FE96A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4B58C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F73C6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61FFD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2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2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11C921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4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9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BA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县公安局（牵头）县委政法委
</w:t>
            </w:r>
          </w:p>
          <w:p w14:paraId="6678AB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F2AA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D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7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05A38C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F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F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A9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县公安局（牵头）县人社局
</w:t>
            </w:r>
          </w:p>
          <w:p w14:paraId="4A8903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2521F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B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A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76D280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E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3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3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A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3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7A5762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EA9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23817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E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B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0E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41B6F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DE70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2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B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6F23A9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8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2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3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F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4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257936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8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7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5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4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A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3315F6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6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A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C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B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196EDB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770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9CFBD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7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4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3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5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E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722B8C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2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F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0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4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8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46C35A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8DF1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41BCB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F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C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40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县教育局（牵头）县民政局
</w:t>
            </w:r>
          </w:p>
          <w:p w14:paraId="33D35C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A620F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7228DF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1BA038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55CB4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5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0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05281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D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2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3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0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5B4A3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D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E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D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5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6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2.及时联系县民政局、县公安局将辖区内非本乡户籍的流浪乞讨人员指引、护送到救助站；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3.对本乡户籍的流浪乞讨人员，及时通知其亲属接回，并给与适当的救助。</w:t>
            </w:r>
          </w:p>
        </w:tc>
      </w:tr>
      <w:tr w14:paraId="015B8E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AB3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12F170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8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7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3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C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30FC0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B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6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0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28BD92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1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E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3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9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F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15E2D6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0C0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067447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9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8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3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1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5B6AD4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8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C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6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9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2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4FB8D9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C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4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4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5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2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72CD41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6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1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0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1BF02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5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E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04FCBD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2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8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7462D5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6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F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E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F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2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291710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5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B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7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2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47A06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7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D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7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A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0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758C92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6E4C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416222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6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4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4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A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9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36BA04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E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7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46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74BBF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6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5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7CE65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1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3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CE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060B56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3742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3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2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0A74B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E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F1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12142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0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D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1B60E7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6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B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C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县住建局（牵头）市生态环境局道县分局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D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F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176DC7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17F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09513A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F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8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B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9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E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4223E9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B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E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9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E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4B7D3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1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C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6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E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3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47878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8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0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D1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084AA7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6C6D4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16AF52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2A432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A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4858DB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2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3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C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E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1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18F2B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F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B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D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7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C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22E404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E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C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0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2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1BF464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88E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45DC42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0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7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9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A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A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777EF8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F53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3B89D6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71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7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61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
</w:t>
            </w:r>
          </w:p>
          <w:p w14:paraId="471EE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D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E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2B1D73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B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2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6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6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39E446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1D9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0175BE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4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2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B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2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7A8DA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6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4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2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8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6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4ADDE7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F25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74C2F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4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0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C5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06C603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55EEBD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7EC7A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EB35C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694C2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70A03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9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68A19C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A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C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2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1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3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258804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A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C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D4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72C133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1E3D0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61D9B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EDACD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73D6C6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9F76E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51419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7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0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4631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6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8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E4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0CFCC0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66367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D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E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5DCF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7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2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0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7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E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24B690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3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A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F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9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538C70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A8F5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3383B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9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9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5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6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C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28C0C96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55AF4B7">
        <w:tblPrEx>
          <w:tblCellMar>
            <w:top w:w="0" w:type="dxa"/>
            <w:left w:w="108" w:type="dxa"/>
            <w:bottom w:w="0" w:type="dxa"/>
            <w:right w:w="108" w:type="dxa"/>
          </w:tblCellMar>
        </w:tblPrEx>
        <w:trPr>
          <w:cantSplit/>
          <w:trHeight w:val="49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998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DA8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8FB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AF79C9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9DF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2FB796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5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F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7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1174E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B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0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7EA8FB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A21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13791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FB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2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C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348AC2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F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5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053D6B2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5F5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D440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98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7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7FD06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F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5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7A02E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B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F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6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727D8A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AF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576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12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F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9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4F90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A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C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F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0408D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6B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B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2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5C4D1A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B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E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6016FB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48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0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4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4C5C7E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2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F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2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25B79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F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E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1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2BF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E8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4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6FD96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B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06DABE5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8AA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5E2A8D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02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F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0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42152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2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A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3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2330C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A7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F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0A90C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40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2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6CAF08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A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2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B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1E0847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C19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6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0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76861E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5D9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A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E1A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A0C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7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B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44443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3D6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7459EE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3EF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6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5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0F5A8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134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7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5B7A1A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E87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4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E3DB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344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0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22987C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0D2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E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3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2B6E0A4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D12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CB58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227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2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D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153C897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EA5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5FA17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D99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C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0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2EE2F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F1B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6BF17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3E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4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D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3A9833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9E2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C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C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62F0B22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2D2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9379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8D0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A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E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1C76EE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FE9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F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6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F5A1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422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9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C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7BA98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482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F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3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767598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6B7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C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5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77497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5D95">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D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5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4C4D59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0BD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7B116E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48A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E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2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7B079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C09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5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4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60ED51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482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F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7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41C52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152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E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0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1AACA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86F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F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C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46321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F2D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6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D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1A59F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06E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2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A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67168A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8AB5">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9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2AD9E2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7F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6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9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79581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90F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1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A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7B7CF0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2DB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B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F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4FC6EC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4C0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D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79CD3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68F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E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7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1405F7E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399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71E87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A8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6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B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工作方式：由县住建局负责对乡生活污水处理设施进行统一运营管理。</w:t>
            </w:r>
          </w:p>
        </w:tc>
      </w:tr>
      <w:tr w14:paraId="5CDF35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D42">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2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C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4DB9C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65B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D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E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643BE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5CB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9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2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55F903C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DB5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7B54BB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3475">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9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E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3E904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746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E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1568C1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49C2">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8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7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1A411E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4DF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4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9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4FF37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7846">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0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9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7A37AF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69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F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6A55D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539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E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8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71D3BDD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21F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1E0EE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2B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E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开展聚焦国省道沿线交通事故精准防控工作，要求乡村干部对重点人员、重点车辆精准摸排、精准包保、精准防控。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9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0F99CE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536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F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4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218CE6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4E5">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2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2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75D39E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53A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A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55A41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E62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8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3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3539A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C2E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7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8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715F81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A6E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D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0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3C1E770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1B5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1FD6D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41D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5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500B50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16E5">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2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F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24E2F7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A3E2">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F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6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08203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AB0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31AB2B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716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5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A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1CAA5C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F321">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8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F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0C4766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4D1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E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3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08FF6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6B8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C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7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67A94E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5B0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5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4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25190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96B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C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1FC8A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518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0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3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0CC253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A3C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B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D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59252F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15A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9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4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6A4F7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823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1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616D3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4DB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7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8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36D06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97D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9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3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6C742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04F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7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4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0B2D45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1FB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1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6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490EF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8D8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A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1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5786B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4A7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A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A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7BE2B0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BCF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4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9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7E0D9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060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8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6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29FA1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A80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B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6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3D4A1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451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1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0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438134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9EE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9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7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408BA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C18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A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5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1F4A4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6191">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C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649F475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4FF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630645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F731">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D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9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6DD70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63C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E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C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576CB2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2ED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7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7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64FBB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9FC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05E4CE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1D2">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4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C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972B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AE3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E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E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3392B953">
      <w:pPr>
        <w:pStyle w:val="3"/>
        <w:spacing w:before="0" w:after="0" w:line="240" w:lineRule="auto"/>
        <w:jc w:val="center"/>
        <w:rPr>
          <w:rFonts w:ascii="Times New Roman" w:hAnsi="Times New Roman" w:eastAsia="方正小标宋_GBK" w:cs="Times New Roman"/>
          <w:color w:val="auto"/>
          <w:spacing w:val="7"/>
          <w:lang w:eastAsia="zh-CN"/>
        </w:rPr>
      </w:pPr>
    </w:p>
    <w:p w14:paraId="2D17761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304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26493D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26493D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CA28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2CE40A5"/>
    <w:rsid w:val="1252432C"/>
    <w:rsid w:val="28CE62B4"/>
    <w:rsid w:val="3AFD18C2"/>
    <w:rsid w:val="45E43639"/>
    <w:rsid w:val="EFFDC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83</Words>
  <Characters>84</Characters>
  <Lines>1</Lines>
  <Paragraphs>1</Paragraphs>
  <TotalTime>2</TotalTime>
  <ScaleCrop>false</ScaleCrop>
  <LinksUpToDate>false</LinksUpToDate>
  <CharactersWithSpaces>86</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dcterms:modified xsi:type="dcterms:W3CDTF">2025-07-11T19:38:34Z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eyJoZGlkIjoiMzRkZDA0NGQ2M2E1ZDY3YTY5MDcyODc2NDU1NTk5Y2EiLCJ1c2VySWQiOiI2MjQ1NDYxOTgifQ==</vt:lpwstr>
  </property>
  <property fmtid="{D5CDD505-2E9C-101B-9397-08002B2CF9AE}" pid="3" name="KSOProductBuildVer">
    <vt:lpwstr>2052-12.8.2.1114</vt:lpwstr>
  </property>
  <property fmtid="{D5CDD505-2E9C-101B-9397-08002B2CF9AE}" pid="4" name="ICV">
    <vt:lpwstr>08414CAEA9CB43F38D8DE2E14F63AC61_12</vt:lpwstr>
  </property>
</Properties>
</file>