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79455">
      <w:pPr>
        <w:pStyle w:val="2"/>
        <w:jc w:val="left"/>
        <w:rPr>
          <w:rFonts w:ascii="方正公文小标宋" w:eastAsia="方正公文小标宋"/>
          <w:b w:val="0"/>
          <w:sz w:val="84"/>
          <w:szCs w:val="84"/>
          <w:lang w:eastAsia="zh-CN"/>
        </w:rPr>
      </w:pPr>
      <w:bookmarkStart w:id="12" w:name="_GoBack"/>
      <w:bookmarkEnd w:id="12"/>
    </w:p>
    <w:p w14:paraId="142130E5">
      <w:pPr>
        <w:pStyle w:val="2"/>
        <w:jc w:val="left"/>
        <w:rPr>
          <w:rFonts w:ascii="方正公文小标宋" w:eastAsia="方正公文小标宋"/>
          <w:b w:val="0"/>
          <w:sz w:val="84"/>
          <w:szCs w:val="84"/>
          <w:lang w:eastAsia="zh-CN"/>
        </w:rPr>
      </w:pPr>
    </w:p>
    <w:p w14:paraId="0DC0252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湖南省永州市道县四马桥镇</w:t>
      </w:r>
    </w:p>
    <w:p w14:paraId="1BF91F4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501B8226">
      <w:pPr>
        <w:rPr>
          <w:rFonts w:ascii="方正公文小标宋" w:eastAsia="方正公文小标宋"/>
          <w:sz w:val="84"/>
          <w:szCs w:val="84"/>
          <w:lang w:eastAsia="zh-CN"/>
        </w:rPr>
      </w:pPr>
    </w:p>
    <w:p w14:paraId="68D11FBD">
      <w:pPr>
        <w:rPr>
          <w:rFonts w:ascii="方正公文小标宋" w:eastAsia="方正公文小标宋"/>
          <w:sz w:val="84"/>
          <w:szCs w:val="84"/>
          <w:lang w:eastAsia="zh-CN"/>
        </w:rPr>
      </w:pPr>
    </w:p>
    <w:p w14:paraId="1857989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C09C545">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25CD2FEA">
          <w:pPr>
            <w:pageBreakBefore w:val="0"/>
            <w:widowControl/>
            <w:wordWrap/>
            <w:overflowPunct/>
            <w:topLinePunct w:val="0"/>
            <w:bidi w:val="0"/>
            <w:spacing w:line="480" w:lineRule="auto"/>
            <w:rPr>
              <w:rFonts w:hint="eastAsia"/>
              <w:lang w:val="zh-CN"/>
            </w:rPr>
          </w:pPr>
        </w:p>
        <w:p w14:paraId="344DB94C">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4463C071">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1E5F1F9C">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p w14:paraId="1A37E28B">
      <w:pPr>
        <w:pStyle w:val="2"/>
        <w:jc w:val="both"/>
        <w:rPr>
          <w:rFonts w:ascii="Times New Roman" w:hAnsi="Times New Roman" w:eastAsia="方正小标宋_GBK" w:cs="Times New Roman"/>
          <w:color w:val="auto"/>
          <w:spacing w:val="7"/>
          <w:sz w:val="44"/>
          <w:szCs w:val="44"/>
          <w:lang w:eastAsia="zh-CN"/>
        </w:rPr>
      </w:pPr>
    </w:p>
    <w:p w14:paraId="02EAF8A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061BA9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B1EA7F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195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9E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193B0C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F9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DCAA7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F35A0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5FC69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C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2B65F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F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F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50CD2C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6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0EE514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9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31CCA3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23FB0B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113139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A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65B1C0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D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781C8E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0DED99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D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4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6213EA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C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6A430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7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69FC15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F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C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494CA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EE753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5BD3EE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E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3C8173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9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00ED2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0E9962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D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03D30C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B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9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03941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1FDCA8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1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331C1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B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018D62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4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7C85F0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6E06A0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7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7D308D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F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6BB855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6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74E071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1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14D138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7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4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46D66ED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78B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C53FD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5D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1CF5F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1C8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C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2B91C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3D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A1B15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B2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65246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5C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A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15ED97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FD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4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36735E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5D8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83683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97E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C153A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6F9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1283DD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5D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2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335634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59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E83AD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1F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02A78F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123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389EB4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D60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0F5EB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37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074E8C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81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8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35F96A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6F3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523515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DA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2909E9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71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A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2AEBFD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86D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228327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15F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E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53A1F3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CF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568F68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5E1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3C2360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B9A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15B3FD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01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E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7A8079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0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4070BE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15A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506DB2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F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7F38BF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C90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3E853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D39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6A399A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EE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C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5F078F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11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2716CC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4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7421D9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ED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拓宽乡村振兴产业渠道，发展生猪、油茶、脐橙、麒麟瓜、高山葡萄等特色优势产业。</w:t>
            </w:r>
          </w:p>
        </w:tc>
      </w:tr>
      <w:tr w14:paraId="5B66CC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3E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培育壮大供港蔬菜基地，打造高标准蔬菜基地和烟田综合体。</w:t>
            </w:r>
          </w:p>
        </w:tc>
      </w:tr>
      <w:tr w14:paraId="004485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7E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6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推广“四马桥炸豆腐、鲊肉”等特产，打造一批叫得响的特色品牌。</w:t>
            </w:r>
          </w:p>
        </w:tc>
      </w:tr>
      <w:tr w14:paraId="1EAC72F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5AF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54F27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5CF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4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1E070AF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6C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90FE7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A5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1A5ECB1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5A2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5ECC8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683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4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14126BF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24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6E12A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CDD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4D04D0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C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3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5508C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DAC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1E64A3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51B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15350E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B7C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2D075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09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2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48146C3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1D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524FDA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DC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4CFB2A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5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38C2DD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5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B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31E9BC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BA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766AF5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10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2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586B3C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ED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F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18F6C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3D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C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88385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39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D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68788D7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E59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281492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DB0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14BD34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C8A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3429FB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39E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6DC353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B72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3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A576D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49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7C5910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AA8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E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275362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2B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7995D6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21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9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54E59FE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9B1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27097A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AA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8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7A5782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4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1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4D4FEF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EAB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4D6FEC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83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7C76B0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86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C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12F751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29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02F2E53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DC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7FDB6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043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341842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22B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5A8CD38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A30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4C89F3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F18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1AE318D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D0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581A09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D73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6D6D46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0AF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6A52C69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31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00C5CD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029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641E98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776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4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EC08B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D3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598C69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A9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6C37C3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CB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A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4EB90F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A14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1B81F0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8F8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066906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74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1DF769D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0B4C2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47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8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14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A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50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5C3E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15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3D43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D6DA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2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ED87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7166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2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99AA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1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3109E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E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594F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939E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4273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F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27B02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D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7AB5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6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1CAD2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1827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3D1F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82A0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17AA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1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42137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6A35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9BE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D4B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7D7A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7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43BC9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3E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6E7BC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D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25E1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F8B8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B88B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35B7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436A9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CF53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5BB809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9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E5B8D1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（牵头）
</w:t>
            </w:r>
            <w:r>
              <w:rPr>
                <w:rFonts w:hint="eastAsia" w:ascii="Times New Roman" w:hAnsi="方正公文仿宋" w:eastAsia="方正公文仿宋"/>
                <w:kern w:val="0"/>
                <w:szCs w:val="21"/>
                <w:lang w:val="en-US" w:eastAsia="zh-CN" w:bidi="ar"/>
              </w:rPr>
              <w:t>.</w:t>
            </w:r>
          </w:p>
          <w:p w14:paraId="08DD0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8524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E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2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91D8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06DCE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3EE2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CB25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E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C59A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F8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330CF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37100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21879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D1E31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5D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CE8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D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0764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DD19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6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545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B7D6F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0D863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1C80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5DF70C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38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2B230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2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87B8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5A74F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B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C83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2294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
</w:t>
            </w:r>
          </w:p>
          <w:p w14:paraId="5E89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B93E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3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ED41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0B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4E1E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0620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9426C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4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AEA9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7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D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FDA4B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9767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20C9A7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县检察院
</w:t>
            </w:r>
            <w:r>
              <w:rPr>
                <w:rFonts w:hint="eastAsia" w:ascii="Times New Roman" w:hAnsi="方正公文仿宋" w:eastAsia="方正公文仿宋"/>
                <w:kern w:val="0"/>
                <w:szCs w:val="21"/>
                <w:lang w:val="en-US" w:eastAsia="zh-CN" w:bidi="ar"/>
              </w:rPr>
              <w:t>.</w:t>
            </w:r>
          </w:p>
          <w:p w14:paraId="563016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FD52C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BAF98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D2A2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97BCC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777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D935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B72E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8597D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258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6DF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5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021A6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FA44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F45C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F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2F2F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979D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AB2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73942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E31B7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21099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7EC5F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F9B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B7D1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110E1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2B4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8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E26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117504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B2A4D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F047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A53F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3B8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1FEAB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5CF8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12072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985A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14:paraId="176354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02DB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D0BE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544C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A7C35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BD13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22BE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5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31A2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1CCD6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E9C86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04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2E6A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D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C503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DCD4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16A54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0A4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C281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0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4D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F7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A27A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27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89DF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D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E266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5CAA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9F4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B0A4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F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8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46AAF8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EB2F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4E9E7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86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239C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B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9F08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1344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BB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07E1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1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0D2D2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1DE9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D4BA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821C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B3B77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51825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463A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B06A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87D6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5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4B14A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CD7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43C35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06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13F7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586C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E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666B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5F0632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E1B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0620F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14A4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9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1BA1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3DA4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D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C5F41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FB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1F85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0B6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A79B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2D04B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46D1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92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28A7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3E645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4D97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40DC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00B5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9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FF44F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DE06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C6E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B251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0091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E064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3A8E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2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877D8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44C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3DE8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D8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543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377A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3970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18BF9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5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3D711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596B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AB5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A9D6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2299E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6CB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6009D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45718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CD6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62E1D9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56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941C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C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A00B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CCF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691464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6BB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7197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7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5AF75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C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468F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10563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6A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57F9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D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7655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78C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6416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4F4F8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D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13157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6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164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1F3E5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F701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350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FCEBA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F708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252B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712E0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7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6EFF7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E0D3E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63CA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66CDC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DFCD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县文旅广体局
</w:t>
            </w:r>
          </w:p>
          <w:p w14:paraId="52B7B3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CEA2F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6B6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8534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2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9D316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7CC0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66E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EB88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225DE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B9F0D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3A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FB5D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07C26E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8419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E9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C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17A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50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CFFB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793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F90B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05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3636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6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87F9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68AC0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4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92F0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A2F6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6E539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23817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0BF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6D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6094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49157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10B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74133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0F528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4B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268B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0A9A6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B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61F4B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0232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0C37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59D5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61CF8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B8F2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7A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1D6A8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FD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6A8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9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3A3A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D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CF7A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B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01B7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BE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3FF5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47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65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AB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6DD1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BCA007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9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0EBD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90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3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6F027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59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149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25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76D7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74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8F4F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53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7A57D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4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0795E2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8C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8AD4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CD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508E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80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AD2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C9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3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8341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07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3572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B77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27E01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6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BD6A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E3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06DC0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3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56C8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64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7485C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7B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320F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A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A9E6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8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4BC0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0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3789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DD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70D9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5C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49C6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A9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D55A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F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0F42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2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7D976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5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83E6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52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CA1CA9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BC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10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F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0E16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0C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B186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5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78347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2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81EDA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64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C9C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95C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6005D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B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73D37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3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F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2A872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BF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62F76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A1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DBF4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A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069E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6AB108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DB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E2CB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A2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75B9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09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56F2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B0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667F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00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19ADD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11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6579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2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443C4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4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2A90D8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62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3B008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8F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35576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5C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D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5FD5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3E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24AE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BD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42B26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E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B4C3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6C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92B5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4B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B95D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9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248F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44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1BFBE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52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D97B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74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5D06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1C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257C8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A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3F1AA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9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05C0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2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271B4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8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99CB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675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BA8E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9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490D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AA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DA7B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A8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F95F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9A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5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20F12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7A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4F48F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E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0AB3F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8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BE0A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9F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8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90B2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5A8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F506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6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16BDAA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8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37DD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2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33454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F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358C2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99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D07FF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98E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CC7E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9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F5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4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76EC8597">
      <w:pPr>
        <w:pStyle w:val="3"/>
        <w:spacing w:before="0" w:after="0" w:line="240" w:lineRule="auto"/>
        <w:jc w:val="center"/>
        <w:rPr>
          <w:rFonts w:ascii="Times New Roman" w:hAnsi="Times New Roman" w:eastAsia="方正小标宋_GBK" w:cs="Times New Roman"/>
          <w:color w:val="auto"/>
          <w:spacing w:val="7"/>
          <w:lang w:eastAsia="zh-CN"/>
        </w:rPr>
      </w:pPr>
    </w:p>
    <w:p w14:paraId="52E5CC2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305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FEB670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FEB670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38C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BF5211"/>
    <w:rsid w:val="BCDDD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81</Words>
  <Characters>82</Characters>
  <Lines>1</Lines>
  <Paragraphs>1</Paragraphs>
  <TotalTime>2</TotalTime>
  <ScaleCrop>false</ScaleCrop>
  <LinksUpToDate>false</LinksUpToDate>
  <CharactersWithSpaces>84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2025-07-11T16:37:29Z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eyJoZGlkIjoiMDdjNTkyOWE3MzhlZTY4NDRmNDM5ZjliNDQ3YThkY2IiLCJ1c2VySWQiOiI0NDM0MTI5MDYifQ==</vt:lpwstr>
  </property>
  <property fmtid="{D5CDD505-2E9C-101B-9397-08002B2CF9AE}" pid="3" name="KSOProductBuildVer">
    <vt:lpwstr>2052-12.8.2.1114</vt:lpwstr>
  </property>
  <property fmtid="{D5CDD505-2E9C-101B-9397-08002B2CF9AE}" pid="4" name="ICV">
    <vt:lpwstr>605C8E0848A8780E49CD7068A936387A_43</vt:lpwstr>
  </property>
</Properties>
</file>