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Cs w:val="32"/>
        </w:rPr>
      </w:pPr>
      <w:r>
        <w:rPr>
          <w:rFonts w:hint="eastAsia" w:ascii="仿宋" w:hAnsi="仿宋" w:eastAsia="仿宋"/>
          <w:szCs w:val="32"/>
          <w:lang w:val="en-US" w:eastAsia="zh-CN"/>
        </w:rPr>
        <w:t>道县</w:t>
      </w:r>
      <w:r>
        <w:rPr>
          <w:rFonts w:hint="eastAsia" w:ascii="仿宋" w:hAnsi="仿宋" w:eastAsia="仿宋"/>
          <w:szCs w:val="32"/>
        </w:rPr>
        <w:t>气象局</w:t>
      </w:r>
      <w:bookmarkStart w:id="0" w:name="_GoBack"/>
      <w:bookmarkEnd w:id="0"/>
      <w:r>
        <w:rPr>
          <w:rFonts w:hint="eastAsia" w:ascii="仿宋" w:hAnsi="仿宋" w:eastAsia="仿宋"/>
          <w:szCs w:val="32"/>
        </w:rPr>
        <w:t>重大行政执法决定法制审核目录清单（试行）</w:t>
      </w:r>
    </w:p>
    <w:tbl>
      <w:tblPr>
        <w:tblStyle w:val="4"/>
        <w:tblW w:w="9382" w:type="dxa"/>
        <w:tblInd w:w="-295" w:type="dxa"/>
        <w:tblLayout w:type="autofit"/>
        <w:tblCellMar>
          <w:top w:w="15" w:type="dxa"/>
          <w:left w:w="15" w:type="dxa"/>
          <w:bottom w:w="15" w:type="dxa"/>
          <w:right w:w="15" w:type="dxa"/>
        </w:tblCellMar>
      </w:tblPr>
      <w:tblGrid>
        <w:gridCol w:w="638"/>
        <w:gridCol w:w="510"/>
        <w:gridCol w:w="3810"/>
        <w:gridCol w:w="948"/>
        <w:gridCol w:w="3476"/>
      </w:tblGrid>
      <w:tr>
        <w:tblPrEx>
          <w:tblCellMar>
            <w:top w:w="15" w:type="dxa"/>
            <w:left w:w="15" w:type="dxa"/>
            <w:bottom w:w="15" w:type="dxa"/>
            <w:right w:w="15" w:type="dxa"/>
          </w:tblCellMar>
        </w:tblPrEx>
        <w:trPr>
          <w:trHeight w:val="330" w:hRule="atLeast"/>
          <w:tblHeader/>
        </w:trPr>
        <w:tc>
          <w:tcPr>
            <w:tcW w:w="638"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b/>
                <w:sz w:val="21"/>
                <w:szCs w:val="21"/>
              </w:rPr>
            </w:pPr>
            <w:r>
              <w:rPr>
                <w:rFonts w:hint="eastAsia" w:ascii="仿宋" w:hAnsi="仿宋" w:eastAsia="仿宋"/>
                <w:b/>
                <w:sz w:val="21"/>
                <w:szCs w:val="21"/>
              </w:rPr>
              <w:t>权力类型</w:t>
            </w: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b/>
                <w:sz w:val="21"/>
                <w:szCs w:val="21"/>
              </w:rPr>
            </w:pPr>
            <w:r>
              <w:rPr>
                <w:rFonts w:hint="eastAsia" w:ascii="仿宋" w:hAnsi="仿宋" w:eastAsia="仿宋"/>
                <w:b/>
                <w:sz w:val="21"/>
                <w:szCs w:val="21"/>
              </w:rPr>
              <w:t>序号</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b/>
                <w:sz w:val="21"/>
                <w:szCs w:val="21"/>
              </w:rPr>
            </w:pPr>
            <w:r>
              <w:rPr>
                <w:rFonts w:hint="eastAsia" w:ascii="仿宋" w:hAnsi="仿宋" w:eastAsia="仿宋"/>
                <w:b/>
                <w:sz w:val="21"/>
                <w:szCs w:val="21"/>
              </w:rPr>
              <w:t>重大行政执法决定法制审核事项名称</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b/>
                <w:sz w:val="21"/>
                <w:szCs w:val="21"/>
              </w:rPr>
            </w:pPr>
            <w:r>
              <w:rPr>
                <w:rFonts w:hint="eastAsia" w:ascii="仿宋" w:hAnsi="仿宋" w:eastAsia="仿宋"/>
                <w:b/>
                <w:sz w:val="21"/>
                <w:szCs w:val="21"/>
              </w:rPr>
              <w:t>行政层级</w:t>
            </w:r>
          </w:p>
        </w:tc>
        <w:tc>
          <w:tcPr>
            <w:tcW w:w="3476"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b/>
                <w:sz w:val="28"/>
                <w:szCs w:val="28"/>
              </w:rPr>
            </w:pPr>
            <w:r>
              <w:rPr>
                <w:rFonts w:hint="eastAsia" w:ascii="仿宋" w:hAnsi="仿宋" w:eastAsia="仿宋"/>
                <w:b/>
                <w:sz w:val="28"/>
                <w:szCs w:val="28"/>
              </w:rPr>
              <w:t>重大执法决定法制审核情形</w:t>
            </w:r>
          </w:p>
        </w:tc>
      </w:tr>
      <w:tr>
        <w:tblPrEx>
          <w:tblCellMar>
            <w:top w:w="15" w:type="dxa"/>
            <w:left w:w="15" w:type="dxa"/>
            <w:bottom w:w="15" w:type="dxa"/>
            <w:right w:w="15" w:type="dxa"/>
          </w:tblCellMar>
        </w:tblPrEx>
        <w:trPr>
          <w:trHeight w:val="330" w:hRule="atLeast"/>
        </w:trPr>
        <w:tc>
          <w:tcPr>
            <w:tcW w:w="638" w:type="dxa"/>
            <w:vMerge w:val="restart"/>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行政处罚</w:t>
            </w: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hint="eastAsia" w:ascii="仿宋" w:hAnsi="仿宋" w:eastAsia="仿宋"/>
                <w:color w:val="000000"/>
                <w:sz w:val="21"/>
                <w:szCs w:val="21"/>
              </w:rPr>
            </w:pPr>
            <w:r>
              <w:rPr>
                <w:rFonts w:hint="eastAsia" w:ascii="仿宋" w:hAnsi="仿宋" w:eastAsia="仿宋"/>
                <w:color w:val="000000"/>
                <w:sz w:val="21"/>
                <w:szCs w:val="21"/>
              </w:rPr>
              <w:t>在雷电防护装置检测活动中弄虚作假的处罚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restart"/>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1.拟作出给予吊销许可证、对公民处以5000元以上罚款、对法人和其他组织处以3万元以上罚款决定的案件；</w:t>
            </w:r>
          </w:p>
          <w:p>
            <w:pPr>
              <w:rPr>
                <w:rFonts w:ascii="仿宋" w:hAnsi="仿宋" w:eastAsia="仿宋"/>
                <w:sz w:val="21"/>
                <w:szCs w:val="21"/>
              </w:rPr>
            </w:pPr>
            <w:r>
              <w:rPr>
                <w:rFonts w:hint="eastAsia" w:ascii="仿宋" w:hAnsi="仿宋" w:eastAsia="仿宋"/>
                <w:sz w:val="21"/>
                <w:szCs w:val="21"/>
              </w:rPr>
              <w:t>2.拟向省级气象主管机构申请吊销资质证书，降低资质等级的案件；</w:t>
            </w:r>
          </w:p>
          <w:p>
            <w:pPr>
              <w:rPr>
                <w:rFonts w:ascii="仿宋" w:hAnsi="仿宋" w:eastAsia="仿宋"/>
                <w:sz w:val="21"/>
                <w:szCs w:val="21"/>
              </w:rPr>
            </w:pPr>
            <w:r>
              <w:rPr>
                <w:rFonts w:hint="eastAsia" w:ascii="仿宋" w:hAnsi="仿宋" w:eastAsia="仿宋"/>
                <w:sz w:val="21"/>
                <w:szCs w:val="21"/>
              </w:rPr>
              <w:t>3.拟作出减轻行政处罚和从重行政处罚案件；</w:t>
            </w:r>
          </w:p>
          <w:p>
            <w:pPr>
              <w:rPr>
                <w:rFonts w:ascii="仿宋" w:hAnsi="仿宋" w:eastAsia="仿宋"/>
                <w:sz w:val="21"/>
                <w:szCs w:val="21"/>
              </w:rPr>
            </w:pPr>
            <w:r>
              <w:rPr>
                <w:rFonts w:hint="eastAsia" w:ascii="仿宋" w:hAnsi="仿宋" w:eastAsia="仿宋"/>
                <w:sz w:val="21"/>
                <w:szCs w:val="21"/>
              </w:rPr>
              <w:t>4.拟对已发生法律效力的行政处罚决定进行纠正的案件；</w:t>
            </w:r>
          </w:p>
          <w:p>
            <w:pPr>
              <w:rPr>
                <w:rFonts w:ascii="仿宋" w:hAnsi="仿宋" w:eastAsia="仿宋"/>
                <w:sz w:val="21"/>
                <w:szCs w:val="21"/>
              </w:rPr>
            </w:pPr>
            <w:r>
              <w:rPr>
                <w:rFonts w:hint="eastAsia" w:ascii="仿宋" w:hAnsi="仿宋" w:eastAsia="仿宋"/>
                <w:sz w:val="21"/>
                <w:szCs w:val="21"/>
              </w:rPr>
              <w:t>5.符合听证条件的行政处罚案件；</w:t>
            </w:r>
          </w:p>
          <w:p>
            <w:pPr>
              <w:rPr>
                <w:rFonts w:ascii="仿宋" w:hAnsi="仿宋" w:eastAsia="仿宋"/>
                <w:sz w:val="21"/>
                <w:szCs w:val="21"/>
              </w:rPr>
            </w:pPr>
            <w:r>
              <w:rPr>
                <w:rFonts w:hint="eastAsia" w:ascii="仿宋" w:hAnsi="仿宋" w:eastAsia="仿宋"/>
                <w:sz w:val="21"/>
                <w:szCs w:val="21"/>
              </w:rPr>
              <w:t>6.申请人民法院强制执行的案件。</w:t>
            </w:r>
          </w:p>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从事大气环境影响评价的单位进行工程建设项目大气环境影响评价时，使用的气象资料不符合国家气象技术标准的”的处罚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3</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应当安装防雷装置而拒不安装、防雷装置经检测不合格又拒绝整改的处罚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4</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不具备气候可行性论证能力的机构从事气候可行性论证活动的处罚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5</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被许可单位以欺骗、贿赂等不正当手段取得资质、通过设计审核或者竣工验收的的处罚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6</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其他违反气象资料及其使用权使用规定的处罚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7</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使用不符合技术要求的气象专用技术装备的处罚取</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8</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未经批准擅自施放的；未按照批准的申请施放的；未按照规定设置识别标志的；未及时报告异常施放动态或者系留气球意外脱离时未按照规定及时报告的；在规定的禁止区域内施放无人驾驶自由气球或者系留气球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9</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安装或使用不符合使用要求的雷电灾害防护装置的处罚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10</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对重大雷电灾害事故隐瞒不报的处罚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11</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违反施放气球技术规范和标准的；未指定专人值守的；施放系留气球未加装快速放气装置的；利用气球开展各种活动的单位和个人，使用无《施放气球资质证》的单位施放气球的；在安全事故发生后隐瞒不报、谎报、故意迟延不报、故意破坏现场，或者拒绝接受调查以及拒绝提供有关情况和资料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12</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未取得施放气球资质证从事施放气球活动的处罚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13</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涂改、伪造、倒卖、出租、出借《施放气球资质证》或者许可文件的处罚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14</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将所获得的气象资料或者这些气象资料的使用权向国内外其他单位和个人有偿转让的处罚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15</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违反涉外气象探测气象资料管理规定的处罚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22</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非法向社会发布或传播气象预报、灾害性天气警报、预警信号的处罚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23</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涂改、伪造、倒卖、出租、出借、挂靠、转让防雷装置检测资质证书的处罚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24</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气候可行性论证中出具虚假论证报告，涂改、伪造气候可行性论证报告书面评审意见的处罚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25</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防雷装置设计方案未经审核同意擅自施工、未经竣工验收或者验收不合格擅自投入使用的处罚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26</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违反人工影响天气作业规定的处罚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27</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color w:val="000000"/>
                <w:sz w:val="21"/>
                <w:szCs w:val="21"/>
              </w:rPr>
            </w:pPr>
            <w:r>
              <w:rPr>
                <w:rFonts w:hint="eastAsia" w:ascii="仿宋" w:hAnsi="仿宋" w:eastAsia="仿宋"/>
                <w:color w:val="000000"/>
                <w:sz w:val="21"/>
                <w:szCs w:val="21"/>
              </w:rPr>
              <w:t>违反气象设施保护规定的处罚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28</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违法进行涉外气象探测活动的处罚</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282" w:hRule="atLeast"/>
        </w:trPr>
        <w:tc>
          <w:tcPr>
            <w:tcW w:w="638" w:type="dxa"/>
            <w:vMerge w:val="restart"/>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行政许可</w:t>
            </w: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 </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3476" w:type="dxa"/>
            <w:vMerge w:val="restart"/>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 拟作出变更、撤销行政许可决定的；</w:t>
            </w:r>
          </w:p>
          <w:p>
            <w:pPr>
              <w:rPr>
                <w:rFonts w:ascii="仿宋" w:hAnsi="仿宋" w:eastAsia="仿宋"/>
                <w:sz w:val="21"/>
                <w:szCs w:val="21"/>
              </w:rPr>
            </w:pPr>
            <w:r>
              <w:rPr>
                <w:rFonts w:hint="eastAsia" w:ascii="仿宋" w:hAnsi="仿宋" w:eastAsia="仿宋"/>
                <w:sz w:val="21"/>
                <w:szCs w:val="21"/>
              </w:rPr>
              <w:t>2. 拟作出新设、延续、变更、注销资质许可的；</w:t>
            </w:r>
          </w:p>
          <w:p>
            <w:pPr>
              <w:rPr>
                <w:rFonts w:ascii="仿宋" w:hAnsi="仿宋" w:eastAsia="仿宋"/>
                <w:sz w:val="21"/>
                <w:szCs w:val="21"/>
              </w:rPr>
            </w:pPr>
            <w:r>
              <w:rPr>
                <w:rFonts w:hint="eastAsia" w:ascii="仿宋" w:hAnsi="仿宋" w:eastAsia="仿宋"/>
                <w:sz w:val="21"/>
                <w:szCs w:val="21"/>
              </w:rPr>
              <w:t>3.直接涉及申请人与他人之间重大利益关系、或涉及重大公共利益的行政许可决定的；</w:t>
            </w:r>
          </w:p>
          <w:p>
            <w:pPr>
              <w:rPr>
                <w:rFonts w:ascii="仿宋" w:hAnsi="仿宋" w:eastAsia="仿宋"/>
                <w:sz w:val="21"/>
                <w:szCs w:val="21"/>
              </w:rPr>
            </w:pPr>
            <w:r>
              <w:rPr>
                <w:rFonts w:hint="eastAsia" w:ascii="仿宋" w:hAnsi="仿宋" w:eastAsia="仿宋"/>
                <w:sz w:val="21"/>
                <w:szCs w:val="21"/>
              </w:rPr>
              <w:t>4.符合听证条件的许可。</w:t>
            </w:r>
          </w:p>
        </w:tc>
      </w:tr>
      <w:tr>
        <w:tblPrEx>
          <w:tblCellMar>
            <w:top w:w="15" w:type="dxa"/>
            <w:left w:w="15" w:type="dxa"/>
            <w:bottom w:w="15" w:type="dxa"/>
            <w:right w:w="15" w:type="dxa"/>
          </w:tblCellMar>
        </w:tblPrEx>
        <w:trPr>
          <w:trHeight w:val="330" w:hRule="atLeast"/>
        </w:trPr>
        <w:tc>
          <w:tcPr>
            <w:tcW w:w="638"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hint="eastAsia" w:ascii="仿宋" w:hAnsi="仿宋" w:eastAsia="仿宋"/>
                <w:sz w:val="21"/>
                <w:szCs w:val="21"/>
                <w:lang w:eastAsia="zh-CN"/>
              </w:rPr>
            </w:pPr>
            <w:r>
              <w:rPr>
                <w:rFonts w:hint="eastAsia" w:ascii="仿宋" w:hAnsi="仿宋" w:eastAsia="仿宋"/>
                <w:sz w:val="21"/>
                <w:szCs w:val="21"/>
                <w:lang w:val="en-US" w:eastAsia="zh-CN"/>
              </w:rPr>
              <w:t>1</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四类新建建筑物防雷设计审核和竣工验收审批</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vMerge w:val="continue"/>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p>
        </w:tc>
      </w:tr>
      <w:tr>
        <w:tblPrEx>
          <w:tblCellMar>
            <w:top w:w="15" w:type="dxa"/>
            <w:left w:w="15" w:type="dxa"/>
            <w:bottom w:w="15" w:type="dxa"/>
            <w:right w:w="15" w:type="dxa"/>
          </w:tblCellMar>
        </w:tblPrEx>
        <w:trPr>
          <w:trHeight w:val="330" w:hRule="atLeast"/>
        </w:trPr>
        <w:tc>
          <w:tcPr>
            <w:tcW w:w="638"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行政强制</w:t>
            </w: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1</w:t>
            </w: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对破坏气象设施和气象探测环境行为限期恢复原状、限期拆除</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申请人民法院强制执行限期恢复原状、限期拆除；</w:t>
            </w:r>
          </w:p>
        </w:tc>
      </w:tr>
      <w:tr>
        <w:tblPrEx>
          <w:tblCellMar>
            <w:top w:w="15" w:type="dxa"/>
            <w:left w:w="15" w:type="dxa"/>
            <w:bottom w:w="15" w:type="dxa"/>
            <w:right w:w="15" w:type="dxa"/>
          </w:tblCellMar>
        </w:tblPrEx>
        <w:trPr>
          <w:trHeight w:val="330" w:hRule="atLeast"/>
        </w:trPr>
        <w:tc>
          <w:tcPr>
            <w:tcW w:w="638"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ascii="仿宋" w:hAnsi="仿宋" w:eastAsia="仿宋"/>
                <w:sz w:val="21"/>
                <w:szCs w:val="21"/>
              </w:rPr>
              <w:t>其他</w:t>
            </w:r>
          </w:p>
        </w:tc>
        <w:tc>
          <w:tcPr>
            <w:tcW w:w="5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p>
        </w:tc>
        <w:tc>
          <w:tcPr>
            <w:tcW w:w="3810"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本部门认为应纳入法制审核范围的其他情形</w:t>
            </w:r>
          </w:p>
        </w:tc>
        <w:tc>
          <w:tcPr>
            <w:tcW w:w="948" w:type="dxa"/>
            <w:tcBorders>
              <w:top w:val="single" w:color="333333" w:sz="6" w:space="0"/>
              <w:left w:val="single" w:color="333333" w:sz="6" w:space="0"/>
              <w:bottom w:val="single" w:color="333333" w:sz="6" w:space="0"/>
              <w:right w:val="single" w:color="333333" w:sz="6" w:space="0"/>
            </w:tcBorders>
            <w:noWrap w:val="0"/>
            <w:vAlign w:val="center"/>
          </w:tcPr>
          <w:p>
            <w:pPr>
              <w:rPr>
                <w:rFonts w:ascii="仿宋" w:hAnsi="仿宋" w:eastAsia="仿宋"/>
                <w:sz w:val="21"/>
                <w:szCs w:val="21"/>
              </w:rPr>
            </w:pPr>
            <w:r>
              <w:rPr>
                <w:rFonts w:ascii="仿宋" w:hAnsi="仿宋" w:eastAsia="仿宋"/>
                <w:sz w:val="21"/>
                <w:szCs w:val="21"/>
              </w:rPr>
              <w:t>市县同级</w:t>
            </w:r>
          </w:p>
        </w:tc>
        <w:tc>
          <w:tcPr>
            <w:tcW w:w="3476" w:type="dxa"/>
            <w:tcBorders>
              <w:top w:val="single" w:color="333333" w:sz="6" w:space="0"/>
              <w:left w:val="single" w:color="333333" w:sz="6" w:space="0"/>
              <w:bottom w:val="single" w:color="333333" w:sz="6" w:space="0"/>
              <w:right w:val="single" w:color="333333" w:sz="6" w:space="0"/>
            </w:tcBorders>
            <w:noWrap w:val="0"/>
            <w:tcMar>
              <w:top w:w="75" w:type="dxa"/>
              <w:left w:w="75" w:type="dxa"/>
              <w:bottom w:w="75" w:type="dxa"/>
              <w:right w:w="75" w:type="dxa"/>
            </w:tcMar>
            <w:vAlign w:val="center"/>
          </w:tcPr>
          <w:p>
            <w:pPr>
              <w:rPr>
                <w:rFonts w:ascii="仿宋" w:hAnsi="仿宋" w:eastAsia="仿宋"/>
                <w:sz w:val="21"/>
                <w:szCs w:val="21"/>
              </w:rPr>
            </w:pPr>
            <w:r>
              <w:rPr>
                <w:rFonts w:hint="eastAsia" w:ascii="仿宋" w:hAnsi="仿宋" w:eastAsia="仿宋"/>
                <w:sz w:val="21"/>
                <w:szCs w:val="21"/>
              </w:rPr>
              <w:t xml:space="preserve">1.涉嫌犯罪，需移送司法机关处理的； </w:t>
            </w:r>
          </w:p>
          <w:p>
            <w:pPr>
              <w:rPr>
                <w:rFonts w:ascii="仿宋" w:hAnsi="仿宋" w:eastAsia="仿宋"/>
                <w:sz w:val="21"/>
                <w:szCs w:val="21"/>
              </w:rPr>
            </w:pPr>
            <w:r>
              <w:rPr>
                <w:rFonts w:hint="eastAsia" w:ascii="仿宋" w:hAnsi="仿宋" w:eastAsia="仿宋"/>
                <w:sz w:val="21"/>
                <w:szCs w:val="21"/>
              </w:rPr>
              <w:t>2.情况复杂、疑难的或者社会影响较大的；</w:t>
            </w:r>
          </w:p>
          <w:p>
            <w:pPr>
              <w:rPr>
                <w:rFonts w:ascii="仿宋" w:hAnsi="仿宋" w:eastAsia="仿宋"/>
                <w:sz w:val="21"/>
                <w:szCs w:val="21"/>
              </w:rPr>
            </w:pPr>
            <w:r>
              <w:rPr>
                <w:rFonts w:hint="eastAsia" w:ascii="仿宋" w:hAnsi="仿宋" w:eastAsia="仿宋"/>
                <w:sz w:val="21"/>
                <w:szCs w:val="21"/>
              </w:rPr>
              <w:t>3.属于上级交办、督办案件的。</w:t>
            </w:r>
          </w:p>
        </w:tc>
      </w:tr>
    </w:tbl>
    <w:p>
      <w:pPr>
        <w:rPr>
          <w:rFonts w:ascii="仿宋" w:hAnsi="仿宋" w:eastAsia="仿宋"/>
          <w:sz w:val="21"/>
          <w:szCs w:val="21"/>
        </w:rPr>
      </w:pPr>
    </w:p>
    <w:p/>
    <w:sectPr>
      <w:headerReference r:id="rId5" w:type="default"/>
      <w:footerReference r:id="rId7" w:type="default"/>
      <w:headerReference r:id="rId6" w:type="even"/>
      <w:footerReference r:id="rId8" w:type="even"/>
      <w:pgSz w:w="11906" w:h="16838"/>
      <w:pgMar w:top="1440" w:right="1478" w:bottom="1440" w:left="1800" w:header="851" w:footer="1418" w:gutter="0"/>
      <w:pgNumType w:chapSep="emDash"/>
      <w:cols w:space="720" w:num="1"/>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620" w:wrap="around" w:vAnchor="text" w:hAnchor="page" w:x="8701" w:y="56"/>
      <w:ind w:left="340"/>
      <w:rPr>
        <w:rStyle w:val="6"/>
        <w:rFonts w:hint="eastAsia"/>
        <w:sz w:val="28"/>
      </w:rPr>
    </w:pPr>
    <w:r>
      <w:rPr>
        <w:rStyle w:val="6"/>
        <w:rFonts w:hint="eastAsia"/>
        <w:sz w:val="28"/>
      </w:rPr>
      <w:t xml:space="preserve">— </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15</w:t>
    </w:r>
    <w:r>
      <w:rPr>
        <w:rFonts w:ascii="宋体" w:hAnsi="宋体" w:eastAsia="宋体"/>
        <w:sz w:val="28"/>
      </w:rPr>
      <w:fldChar w:fldCharType="end"/>
    </w:r>
    <w:r>
      <w:rPr>
        <w:rStyle w:val="6"/>
        <w:rFonts w:hint="eastAsia"/>
        <w:sz w:val="28"/>
      </w:rPr>
      <w:t xml:space="preserve"> —</w:t>
    </w:r>
  </w:p>
  <w:p>
    <w:pPr>
      <w:pStyle w:val="2"/>
      <w:ind w:right="360"/>
      <w:rPr>
        <w:rFonts w:hint="eastAsia"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620" w:wrap="around" w:vAnchor="text" w:hAnchor="page" w:x="1551" w:y="116"/>
      <w:spacing w:line="280" w:lineRule="exact"/>
      <w:ind w:left="340"/>
      <w:rPr>
        <w:rStyle w:val="6"/>
        <w:rFonts w:hint="eastAsia"/>
        <w:sz w:val="28"/>
      </w:rPr>
    </w:pPr>
    <w:r>
      <w:rPr>
        <w:rStyle w:val="6"/>
        <w:rFonts w:hint="eastAsia"/>
        <w:sz w:val="28"/>
      </w:rPr>
      <w:t xml:space="preserve">— </w:t>
    </w:r>
    <w:r>
      <w:rPr>
        <w:rFonts w:ascii="宋体" w:hAnsi="宋体" w:eastAsia="宋体"/>
        <w:sz w:val="28"/>
      </w:rPr>
      <w:fldChar w:fldCharType="begin"/>
    </w:r>
    <w:r>
      <w:rPr>
        <w:rStyle w:val="6"/>
        <w:rFonts w:ascii="宋体" w:hAnsi="宋体" w:eastAsia="宋体"/>
        <w:sz w:val="28"/>
      </w:rPr>
      <w:instrText xml:space="preserve">PAGE  </w:instrText>
    </w:r>
    <w:r>
      <w:rPr>
        <w:rFonts w:ascii="宋体" w:hAnsi="宋体" w:eastAsia="宋体"/>
        <w:sz w:val="28"/>
      </w:rPr>
      <w:fldChar w:fldCharType="separate"/>
    </w:r>
    <w:r>
      <w:rPr>
        <w:rStyle w:val="6"/>
        <w:rFonts w:ascii="宋体" w:hAnsi="宋体" w:eastAsia="宋体"/>
        <w:sz w:val="28"/>
      </w:rPr>
      <w:t>16</w:t>
    </w:r>
    <w:r>
      <w:rPr>
        <w:rFonts w:ascii="宋体" w:hAnsi="宋体" w:eastAsia="宋体"/>
        <w:sz w:val="28"/>
      </w:rPr>
      <w:fldChar w:fldCharType="end"/>
    </w:r>
    <w:r>
      <w:rPr>
        <w:rStyle w:val="6"/>
        <w:rFonts w:hint="eastAsia"/>
        <w:sz w:val="28"/>
      </w:rPr>
      <w:t xml:space="preserve"> —</w:t>
    </w:r>
  </w:p>
  <w:p>
    <w:pPr>
      <w:pStyle w:val="2"/>
      <w:tabs>
        <w:tab w:val="right" w:pos="8460"/>
        <w:tab w:val="clear" w:pos="8306"/>
      </w:tabs>
      <w:ind w:right="212"/>
      <w:jc w:val="right"/>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NjgwOGMxZmRkZjY1OWQwZGFiZDcwNjEyMzlmYzEifQ=="/>
  </w:docVars>
  <w:rsids>
    <w:rsidRoot w:val="3F1B16E3"/>
    <w:rsid w:val="0E912A23"/>
    <w:rsid w:val="1D3903F3"/>
    <w:rsid w:val="3F1B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1360</Words>
  <Characters>1389</Characters>
  <Lines>0</Lines>
  <Paragraphs>0</Paragraphs>
  <TotalTime>3</TotalTime>
  <ScaleCrop>false</ScaleCrop>
  <LinksUpToDate>false</LinksUpToDate>
  <CharactersWithSpaces>1393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2022-11-18T02:02:00Z</dcterms:created>
  <dc:creator>小溪</dc:creator>
  <cp:lastModifiedBy>道县气象局</cp:lastModifiedBy>
  <dcterms:modified xsi:type="dcterms:W3CDTF">2022-12-02T03:03:36Z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29279A62C80D430B880E1B06BA7C60D8</vt:lpwstr>
  </property>
</Properties>
</file>