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pPr>
    </w:p>
    <w:p>
      <w:pPr>
        <w:spacing w:line="220" w:lineRule="atLeast"/>
        <w:jc w:val="center"/>
        <w:rPr>
          <w:rFonts w:ascii="黑体" w:hAnsi="黑体" w:eastAsia="黑体"/>
          <w:sz w:val="44"/>
          <w:szCs w:val="44"/>
        </w:rPr>
      </w:pPr>
      <w:bookmarkStart w:id="0" w:name="_GoBack"/>
      <w:r>
        <w:rPr>
          <w:rFonts w:hint="eastAsia" w:ascii="黑体" w:hAnsi="黑体" w:eastAsia="黑体"/>
          <w:sz w:val="44"/>
          <w:szCs w:val="44"/>
          <w:lang w:val="en-US" w:eastAsia="zh-CN"/>
        </w:rPr>
        <w:t>道</w:t>
      </w:r>
      <w:r>
        <w:rPr>
          <w:rFonts w:hint="eastAsia" w:ascii="黑体" w:hAnsi="黑体" w:eastAsia="黑体"/>
          <w:sz w:val="44"/>
          <w:szCs w:val="44"/>
        </w:rPr>
        <w:t>县公共法律服务领域基层政务公开标准目录</w:t>
      </w:r>
      <w:bookmarkEnd w:id="0"/>
    </w:p>
    <w:p>
      <w:pPr>
        <w:spacing w:after="0" w:line="220" w:lineRule="atLeast"/>
      </w:pPr>
    </w:p>
    <w:tbl>
      <w:tblPr>
        <w:tblStyle w:val="5"/>
        <w:tblW w:w="1601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1159"/>
        <w:gridCol w:w="1304"/>
        <w:gridCol w:w="1895"/>
        <w:gridCol w:w="2017"/>
        <w:gridCol w:w="1447"/>
        <w:gridCol w:w="1160"/>
        <w:gridCol w:w="2429"/>
        <w:gridCol w:w="566"/>
        <w:gridCol w:w="848"/>
        <w:gridCol w:w="566"/>
        <w:gridCol w:w="847"/>
        <w:gridCol w:w="542"/>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582" w:type="dxa"/>
            <w:vMerge w:val="restart"/>
            <w:vAlign w:val="center"/>
          </w:tcPr>
          <w:p>
            <w:pPr>
              <w:spacing w:after="0"/>
              <w:jc w:val="center"/>
              <w:rPr>
                <w:rFonts w:ascii="仿宋" w:hAnsi="仿宋" w:eastAsia="仿宋"/>
                <w:b/>
              </w:rPr>
            </w:pPr>
            <w:r>
              <w:rPr>
                <w:rFonts w:hint="eastAsia" w:ascii="仿宋" w:hAnsi="仿宋" w:eastAsia="仿宋"/>
                <w:b/>
              </w:rPr>
              <w:t>序号</w:t>
            </w:r>
          </w:p>
        </w:tc>
        <w:tc>
          <w:tcPr>
            <w:tcW w:w="2475" w:type="dxa"/>
            <w:gridSpan w:val="2"/>
            <w:vAlign w:val="center"/>
          </w:tcPr>
          <w:p>
            <w:pPr>
              <w:spacing w:after="0" w:line="220" w:lineRule="atLeast"/>
              <w:jc w:val="center"/>
              <w:rPr>
                <w:rFonts w:ascii="仿宋" w:hAnsi="仿宋" w:eastAsia="仿宋"/>
                <w:b/>
              </w:rPr>
            </w:pPr>
            <w:r>
              <w:rPr>
                <w:rFonts w:hint="eastAsia" w:ascii="仿宋" w:hAnsi="仿宋" w:eastAsia="仿宋"/>
                <w:b/>
              </w:rPr>
              <w:t>公开事项</w:t>
            </w:r>
          </w:p>
        </w:tc>
        <w:tc>
          <w:tcPr>
            <w:tcW w:w="1905" w:type="dxa"/>
            <w:vMerge w:val="restart"/>
            <w:vAlign w:val="center"/>
          </w:tcPr>
          <w:p>
            <w:pPr>
              <w:spacing w:after="0" w:line="220" w:lineRule="atLeast"/>
              <w:jc w:val="center"/>
              <w:rPr>
                <w:rFonts w:ascii="仿宋" w:hAnsi="仿宋" w:eastAsia="仿宋"/>
                <w:b/>
              </w:rPr>
            </w:pPr>
            <w:r>
              <w:rPr>
                <w:rFonts w:hint="eastAsia" w:ascii="仿宋" w:hAnsi="仿宋" w:eastAsia="仿宋"/>
                <w:b/>
              </w:rPr>
              <w:t>公开内容</w:t>
            </w:r>
          </w:p>
          <w:p>
            <w:pPr>
              <w:spacing w:after="0" w:line="220" w:lineRule="atLeast"/>
              <w:jc w:val="center"/>
              <w:rPr>
                <w:rFonts w:ascii="仿宋" w:hAnsi="仿宋" w:eastAsia="仿宋"/>
                <w:b/>
              </w:rPr>
            </w:pPr>
            <w:r>
              <w:rPr>
                <w:rFonts w:hint="eastAsia" w:ascii="仿宋" w:hAnsi="仿宋" w:eastAsia="仿宋"/>
                <w:b/>
              </w:rPr>
              <w:t>（要素）</w:t>
            </w:r>
          </w:p>
        </w:tc>
        <w:tc>
          <w:tcPr>
            <w:tcW w:w="2024" w:type="dxa"/>
            <w:vMerge w:val="restart"/>
            <w:vAlign w:val="center"/>
          </w:tcPr>
          <w:p>
            <w:pPr>
              <w:spacing w:after="0" w:line="220" w:lineRule="atLeast"/>
              <w:jc w:val="center"/>
              <w:rPr>
                <w:rFonts w:ascii="仿宋" w:hAnsi="仿宋" w:eastAsia="仿宋"/>
                <w:b/>
              </w:rPr>
            </w:pPr>
            <w:r>
              <w:rPr>
                <w:rFonts w:hint="eastAsia" w:ascii="仿宋" w:hAnsi="仿宋" w:eastAsia="仿宋"/>
                <w:b/>
              </w:rPr>
              <w:t>公开依据</w:t>
            </w:r>
          </w:p>
        </w:tc>
        <w:tc>
          <w:tcPr>
            <w:tcW w:w="1456" w:type="dxa"/>
            <w:vMerge w:val="restart"/>
            <w:vAlign w:val="center"/>
          </w:tcPr>
          <w:p>
            <w:pPr>
              <w:spacing w:after="0" w:line="220" w:lineRule="atLeast"/>
              <w:jc w:val="center"/>
              <w:rPr>
                <w:rFonts w:ascii="仿宋" w:hAnsi="仿宋" w:eastAsia="仿宋"/>
                <w:b/>
              </w:rPr>
            </w:pPr>
            <w:r>
              <w:rPr>
                <w:rFonts w:hint="eastAsia" w:ascii="仿宋" w:hAnsi="仿宋" w:eastAsia="仿宋"/>
                <w:b/>
              </w:rPr>
              <w:t>公开时限</w:t>
            </w:r>
          </w:p>
        </w:tc>
        <w:tc>
          <w:tcPr>
            <w:tcW w:w="1164" w:type="dxa"/>
            <w:vMerge w:val="restart"/>
            <w:vAlign w:val="center"/>
          </w:tcPr>
          <w:p>
            <w:pPr>
              <w:spacing w:after="0" w:line="220" w:lineRule="atLeast"/>
              <w:jc w:val="center"/>
              <w:rPr>
                <w:rFonts w:ascii="仿宋" w:hAnsi="仿宋" w:eastAsia="仿宋"/>
                <w:b/>
              </w:rPr>
            </w:pPr>
            <w:r>
              <w:rPr>
                <w:rFonts w:hint="eastAsia" w:ascii="仿宋" w:hAnsi="仿宋" w:eastAsia="仿宋"/>
                <w:b/>
              </w:rPr>
              <w:t>公开主体</w:t>
            </w:r>
          </w:p>
        </w:tc>
        <w:tc>
          <w:tcPr>
            <w:tcW w:w="2444" w:type="dxa"/>
            <w:vMerge w:val="restart"/>
            <w:vAlign w:val="center"/>
          </w:tcPr>
          <w:p>
            <w:pPr>
              <w:spacing w:after="0" w:line="220" w:lineRule="atLeast"/>
              <w:jc w:val="center"/>
              <w:rPr>
                <w:rFonts w:ascii="仿宋" w:hAnsi="仿宋" w:eastAsia="仿宋"/>
                <w:b/>
              </w:rPr>
            </w:pPr>
            <w:r>
              <w:rPr>
                <w:rFonts w:hint="eastAsia" w:ascii="仿宋" w:hAnsi="仿宋" w:eastAsia="仿宋"/>
                <w:b/>
              </w:rPr>
              <w:t>公开渠道和载体</w:t>
            </w:r>
          </w:p>
        </w:tc>
        <w:tc>
          <w:tcPr>
            <w:tcW w:w="1417" w:type="dxa"/>
            <w:gridSpan w:val="2"/>
            <w:vAlign w:val="center"/>
          </w:tcPr>
          <w:p>
            <w:pPr>
              <w:spacing w:after="0" w:line="220" w:lineRule="atLeast"/>
              <w:jc w:val="center"/>
              <w:rPr>
                <w:rFonts w:ascii="仿宋" w:hAnsi="仿宋" w:eastAsia="仿宋"/>
                <w:b/>
              </w:rPr>
            </w:pPr>
            <w:r>
              <w:rPr>
                <w:rFonts w:hint="eastAsia" w:ascii="仿宋" w:hAnsi="仿宋" w:eastAsia="仿宋"/>
                <w:b/>
              </w:rPr>
              <w:t>公开对象</w:t>
            </w:r>
          </w:p>
        </w:tc>
        <w:tc>
          <w:tcPr>
            <w:tcW w:w="1418" w:type="dxa"/>
            <w:gridSpan w:val="2"/>
            <w:vAlign w:val="center"/>
          </w:tcPr>
          <w:p>
            <w:pPr>
              <w:spacing w:after="0" w:line="220" w:lineRule="atLeast"/>
              <w:jc w:val="center"/>
              <w:rPr>
                <w:rFonts w:ascii="仿宋" w:hAnsi="仿宋" w:eastAsia="仿宋"/>
                <w:b/>
              </w:rPr>
            </w:pPr>
            <w:r>
              <w:rPr>
                <w:rFonts w:hint="eastAsia" w:ascii="仿宋" w:hAnsi="仿宋" w:eastAsia="仿宋"/>
                <w:b/>
              </w:rPr>
              <w:t>公开方式</w:t>
            </w:r>
          </w:p>
        </w:tc>
        <w:tc>
          <w:tcPr>
            <w:tcW w:w="1134" w:type="dxa"/>
            <w:gridSpan w:val="2"/>
            <w:vAlign w:val="center"/>
          </w:tcPr>
          <w:p>
            <w:pPr>
              <w:spacing w:after="0" w:line="220" w:lineRule="atLeast"/>
              <w:jc w:val="center"/>
              <w:rPr>
                <w:rFonts w:ascii="仿宋" w:hAnsi="仿宋" w:eastAsia="仿宋"/>
                <w:b/>
              </w:rPr>
            </w:pPr>
            <w:r>
              <w:rPr>
                <w:rFonts w:hint="eastAsia" w:ascii="仿宋" w:hAnsi="仿宋" w:eastAsia="仿宋"/>
                <w:b/>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582" w:type="dxa"/>
            <w:vMerge w:val="continue"/>
            <w:vAlign w:val="center"/>
          </w:tcPr>
          <w:p>
            <w:pPr>
              <w:spacing w:after="0"/>
              <w:jc w:val="center"/>
              <w:rPr>
                <w:rFonts w:ascii="仿宋" w:hAnsi="仿宋" w:eastAsia="仿宋"/>
                <w:b/>
              </w:rPr>
            </w:pPr>
          </w:p>
        </w:tc>
        <w:tc>
          <w:tcPr>
            <w:tcW w:w="1165" w:type="dxa"/>
            <w:vAlign w:val="center"/>
          </w:tcPr>
          <w:p>
            <w:pPr>
              <w:spacing w:after="0" w:line="220" w:lineRule="atLeast"/>
              <w:jc w:val="center"/>
              <w:rPr>
                <w:rFonts w:ascii="仿宋" w:hAnsi="仿宋" w:eastAsia="仿宋"/>
                <w:b/>
              </w:rPr>
            </w:pPr>
            <w:r>
              <w:rPr>
                <w:rFonts w:hint="eastAsia" w:ascii="仿宋" w:hAnsi="仿宋" w:eastAsia="仿宋"/>
                <w:b/>
              </w:rPr>
              <w:t>一级事项</w:t>
            </w:r>
          </w:p>
        </w:tc>
        <w:tc>
          <w:tcPr>
            <w:tcW w:w="1310" w:type="dxa"/>
            <w:vAlign w:val="center"/>
          </w:tcPr>
          <w:p>
            <w:pPr>
              <w:spacing w:after="0" w:line="220" w:lineRule="atLeast"/>
              <w:jc w:val="center"/>
              <w:rPr>
                <w:rFonts w:ascii="仿宋" w:hAnsi="仿宋" w:eastAsia="仿宋"/>
                <w:b/>
              </w:rPr>
            </w:pPr>
            <w:r>
              <w:rPr>
                <w:rFonts w:hint="eastAsia" w:ascii="仿宋" w:hAnsi="仿宋" w:eastAsia="仿宋"/>
                <w:b/>
              </w:rPr>
              <w:t>二级事项</w:t>
            </w:r>
          </w:p>
        </w:tc>
        <w:tc>
          <w:tcPr>
            <w:tcW w:w="1905" w:type="dxa"/>
            <w:vMerge w:val="continue"/>
            <w:vAlign w:val="center"/>
          </w:tcPr>
          <w:p>
            <w:pPr>
              <w:spacing w:after="0" w:line="220" w:lineRule="atLeast"/>
              <w:jc w:val="center"/>
              <w:rPr>
                <w:rFonts w:ascii="仿宋" w:hAnsi="仿宋" w:eastAsia="仿宋"/>
                <w:b/>
              </w:rPr>
            </w:pPr>
          </w:p>
        </w:tc>
        <w:tc>
          <w:tcPr>
            <w:tcW w:w="2024" w:type="dxa"/>
            <w:vMerge w:val="continue"/>
            <w:vAlign w:val="center"/>
          </w:tcPr>
          <w:p>
            <w:pPr>
              <w:spacing w:after="0" w:line="220" w:lineRule="atLeast"/>
              <w:jc w:val="center"/>
              <w:rPr>
                <w:rFonts w:ascii="仿宋" w:hAnsi="仿宋" w:eastAsia="仿宋"/>
                <w:b/>
              </w:rPr>
            </w:pPr>
          </w:p>
        </w:tc>
        <w:tc>
          <w:tcPr>
            <w:tcW w:w="1456" w:type="dxa"/>
            <w:vMerge w:val="continue"/>
            <w:vAlign w:val="center"/>
          </w:tcPr>
          <w:p>
            <w:pPr>
              <w:spacing w:after="0" w:line="220" w:lineRule="atLeast"/>
              <w:jc w:val="center"/>
              <w:rPr>
                <w:rFonts w:ascii="仿宋" w:hAnsi="仿宋" w:eastAsia="仿宋"/>
                <w:b/>
              </w:rPr>
            </w:pPr>
          </w:p>
        </w:tc>
        <w:tc>
          <w:tcPr>
            <w:tcW w:w="1164" w:type="dxa"/>
            <w:vMerge w:val="continue"/>
            <w:vAlign w:val="center"/>
          </w:tcPr>
          <w:p>
            <w:pPr>
              <w:spacing w:after="0" w:line="220" w:lineRule="atLeast"/>
              <w:jc w:val="center"/>
              <w:rPr>
                <w:rFonts w:ascii="仿宋" w:hAnsi="仿宋" w:eastAsia="仿宋"/>
                <w:b/>
              </w:rPr>
            </w:pPr>
          </w:p>
        </w:tc>
        <w:tc>
          <w:tcPr>
            <w:tcW w:w="2444" w:type="dxa"/>
            <w:vMerge w:val="continue"/>
            <w:vAlign w:val="center"/>
          </w:tcPr>
          <w:p>
            <w:pPr>
              <w:spacing w:after="0" w:line="220" w:lineRule="atLeast"/>
              <w:jc w:val="center"/>
              <w:rPr>
                <w:rFonts w:ascii="仿宋" w:hAnsi="仿宋" w:eastAsia="仿宋"/>
                <w:b/>
              </w:rPr>
            </w:pPr>
          </w:p>
        </w:tc>
        <w:tc>
          <w:tcPr>
            <w:tcW w:w="567" w:type="dxa"/>
            <w:vAlign w:val="center"/>
          </w:tcPr>
          <w:p>
            <w:pPr>
              <w:spacing w:after="0" w:line="220" w:lineRule="atLeast"/>
              <w:jc w:val="center"/>
              <w:rPr>
                <w:rFonts w:ascii="仿宋" w:hAnsi="仿宋" w:eastAsia="仿宋"/>
                <w:b/>
              </w:rPr>
            </w:pPr>
            <w:r>
              <w:rPr>
                <w:rFonts w:hint="eastAsia" w:ascii="仿宋" w:hAnsi="仿宋" w:eastAsia="仿宋"/>
                <w:b/>
              </w:rPr>
              <w:t>全社会</w:t>
            </w:r>
          </w:p>
        </w:tc>
        <w:tc>
          <w:tcPr>
            <w:tcW w:w="850" w:type="dxa"/>
            <w:vAlign w:val="center"/>
          </w:tcPr>
          <w:p>
            <w:pPr>
              <w:spacing w:after="0" w:line="220" w:lineRule="atLeast"/>
              <w:jc w:val="center"/>
              <w:rPr>
                <w:rFonts w:ascii="仿宋" w:hAnsi="仿宋" w:eastAsia="仿宋"/>
                <w:b/>
              </w:rPr>
            </w:pPr>
            <w:r>
              <w:rPr>
                <w:rFonts w:hint="eastAsia" w:ascii="仿宋" w:hAnsi="仿宋" w:eastAsia="仿宋"/>
                <w:b/>
              </w:rPr>
              <w:t>特定群众</w:t>
            </w:r>
          </w:p>
        </w:tc>
        <w:tc>
          <w:tcPr>
            <w:tcW w:w="567" w:type="dxa"/>
            <w:vAlign w:val="center"/>
          </w:tcPr>
          <w:p>
            <w:pPr>
              <w:spacing w:after="0" w:line="220" w:lineRule="atLeast"/>
              <w:jc w:val="center"/>
              <w:rPr>
                <w:rFonts w:ascii="仿宋" w:hAnsi="仿宋" w:eastAsia="仿宋"/>
                <w:b/>
              </w:rPr>
            </w:pPr>
            <w:r>
              <w:rPr>
                <w:rFonts w:hint="eastAsia" w:ascii="仿宋" w:hAnsi="仿宋" w:eastAsia="仿宋"/>
                <w:b/>
              </w:rPr>
              <w:t>主动</w:t>
            </w:r>
          </w:p>
        </w:tc>
        <w:tc>
          <w:tcPr>
            <w:tcW w:w="851" w:type="dxa"/>
            <w:vAlign w:val="center"/>
          </w:tcPr>
          <w:p>
            <w:pPr>
              <w:spacing w:after="0" w:line="220" w:lineRule="atLeast"/>
              <w:jc w:val="center"/>
              <w:rPr>
                <w:rFonts w:ascii="仿宋" w:hAnsi="仿宋" w:eastAsia="仿宋"/>
                <w:b/>
              </w:rPr>
            </w:pPr>
            <w:r>
              <w:rPr>
                <w:rFonts w:hint="eastAsia" w:ascii="仿宋" w:hAnsi="仿宋" w:eastAsia="仿宋"/>
                <w:b/>
              </w:rPr>
              <w:t>依申请公开</w:t>
            </w:r>
          </w:p>
        </w:tc>
        <w:tc>
          <w:tcPr>
            <w:tcW w:w="543" w:type="dxa"/>
            <w:vAlign w:val="center"/>
          </w:tcPr>
          <w:p>
            <w:pPr>
              <w:spacing w:after="0" w:line="220" w:lineRule="atLeast"/>
              <w:jc w:val="center"/>
              <w:rPr>
                <w:rFonts w:ascii="仿宋" w:hAnsi="仿宋" w:eastAsia="仿宋"/>
                <w:b/>
              </w:rPr>
            </w:pPr>
            <w:r>
              <w:rPr>
                <w:rFonts w:hint="eastAsia" w:ascii="仿宋" w:hAnsi="仿宋" w:eastAsia="仿宋"/>
                <w:b/>
              </w:rPr>
              <w:t>县级</w:t>
            </w:r>
          </w:p>
        </w:tc>
        <w:tc>
          <w:tcPr>
            <w:tcW w:w="591" w:type="dxa"/>
            <w:vAlign w:val="center"/>
          </w:tcPr>
          <w:p>
            <w:pPr>
              <w:spacing w:after="0" w:line="220" w:lineRule="atLeast"/>
              <w:jc w:val="center"/>
              <w:rPr>
                <w:rFonts w:ascii="仿宋" w:hAnsi="仿宋" w:eastAsia="仿宋"/>
                <w:b/>
              </w:rPr>
            </w:pPr>
            <w:r>
              <w:rPr>
                <w:rFonts w:hint="eastAsia" w:ascii="仿宋" w:hAnsi="仿宋" w:eastAsia="仿宋"/>
                <w:b/>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8" w:hRule="atLeast"/>
        </w:trPr>
        <w:tc>
          <w:tcPr>
            <w:tcW w:w="582" w:type="dxa"/>
            <w:vAlign w:val="center"/>
          </w:tcPr>
          <w:p>
            <w:pPr>
              <w:spacing w:after="0" w:line="220" w:lineRule="atLeast"/>
              <w:jc w:val="center"/>
            </w:pPr>
            <w:r>
              <w:rPr>
                <w:rFonts w:hint="eastAsia"/>
              </w:rPr>
              <w:t>1</w:t>
            </w:r>
          </w:p>
        </w:tc>
        <w:tc>
          <w:tcPr>
            <w:tcW w:w="11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法治宣传教育</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法律知识普及服务</w:t>
            </w:r>
          </w:p>
        </w:tc>
        <w:tc>
          <w:tcPr>
            <w:tcW w:w="1905" w:type="dxa"/>
            <w:vAlign w:val="center"/>
          </w:tcPr>
          <w:p>
            <w:pPr>
              <w:spacing w:after="0" w:line="220" w:lineRule="atLeast"/>
              <w:jc w:val="center"/>
              <w:rPr>
                <w:rFonts w:hint="eastAsia" w:ascii="仿宋" w:hAnsi="仿宋" w:eastAsia="仿宋"/>
                <w:sz w:val="21"/>
                <w:szCs w:val="21"/>
              </w:rPr>
            </w:pPr>
            <w:r>
              <w:rPr>
                <w:rFonts w:hint="eastAsia" w:ascii="仿宋" w:hAnsi="仿宋" w:eastAsia="仿宋"/>
                <w:sz w:val="21"/>
                <w:szCs w:val="21"/>
              </w:rPr>
              <w:t>普法动态：开展扫黑除恶专项宣传活动；</w:t>
            </w:r>
          </w:p>
          <w:p>
            <w:pPr>
              <w:spacing w:after="0" w:line="220" w:lineRule="atLeast"/>
              <w:jc w:val="center"/>
              <w:rPr>
                <w:rFonts w:ascii="仿宋" w:hAnsi="仿宋" w:eastAsia="仿宋"/>
                <w:sz w:val="21"/>
                <w:szCs w:val="21"/>
              </w:rPr>
            </w:pPr>
            <w:r>
              <w:rPr>
                <w:rFonts w:hint="eastAsia" w:ascii="仿宋" w:hAnsi="仿宋" w:eastAsia="仿宋"/>
                <w:sz w:val="21"/>
                <w:szCs w:val="21"/>
              </w:rPr>
              <w:t>普法规划：把党的民族理论、政策、法律法规纳入普法规划</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《中共中央、国务院转发&lt;中央宣传部、司法部关于在公民中开展法治宣传教育的第七个五年规划（2016-2020年）&gt;》、湖南省“七五”普法规划</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■政府网站■两微一端■广播电视■纸质媒体</w:t>
            </w:r>
          </w:p>
          <w:p>
            <w:pPr>
              <w:spacing w:after="0" w:line="220" w:lineRule="atLeast"/>
              <w:rPr>
                <w:rFonts w:ascii="仿宋" w:hAnsi="仿宋" w:eastAsia="仿宋"/>
                <w:sz w:val="21"/>
                <w:szCs w:val="21"/>
              </w:rPr>
            </w:pPr>
            <w:r>
              <w:rPr>
                <w:rFonts w:hint="eastAsia" w:ascii="仿宋" w:hAnsi="仿宋" w:eastAsia="仿宋"/>
                <w:sz w:val="21"/>
                <w:szCs w:val="21"/>
              </w:rPr>
              <w:t>■入户/现场</w:t>
            </w:r>
          </w:p>
          <w:p>
            <w:pPr>
              <w:spacing w:after="0" w:line="220" w:lineRule="atLeast"/>
              <w:rPr>
                <w:rFonts w:ascii="仿宋" w:hAnsi="仿宋" w:eastAsia="仿宋"/>
                <w:sz w:val="21"/>
                <w:szCs w:val="21"/>
              </w:rPr>
            </w:pPr>
            <w:r>
              <w:rPr>
                <w:rFonts w:hint="eastAsia" w:ascii="仿宋" w:hAnsi="仿宋" w:eastAsia="仿宋"/>
                <w:sz w:val="21"/>
                <w:szCs w:val="21"/>
              </w:rPr>
              <w:t>■社区/企事业单位/村公示栏（电子屏）</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82" w:type="dxa"/>
            <w:vAlign w:val="center"/>
          </w:tcPr>
          <w:p>
            <w:pPr>
              <w:spacing w:after="0" w:line="220" w:lineRule="atLeast"/>
              <w:jc w:val="center"/>
            </w:pPr>
            <w:r>
              <w:rPr>
                <w:rFonts w:hint="eastAsia"/>
              </w:rPr>
              <w:t>2</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推广法治文化服务</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继续完善法治文化阵地信息；定期组织开展青少年法治教育基地参观活动</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同上</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同上</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82" w:type="dxa"/>
            <w:vAlign w:val="center"/>
          </w:tcPr>
          <w:p>
            <w:pPr>
              <w:spacing w:after="0" w:line="220" w:lineRule="atLeast"/>
              <w:jc w:val="center"/>
            </w:pPr>
            <w:r>
              <w:rPr>
                <w:rFonts w:hint="eastAsia"/>
              </w:rPr>
              <w:t>3</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对在法治宣传教育工作中做出显著成绩的单位和个人进行表彰奖励</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公布2019年表彰先进集体先进个人名单</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同上</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同上</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582" w:type="dxa"/>
            <w:vAlign w:val="center"/>
          </w:tcPr>
          <w:p>
            <w:pPr>
              <w:spacing w:after="0" w:line="220" w:lineRule="atLeast"/>
              <w:jc w:val="center"/>
            </w:pPr>
            <w:r>
              <w:rPr>
                <w:rFonts w:hint="eastAsia"/>
              </w:rPr>
              <w:t>4</w:t>
            </w:r>
          </w:p>
        </w:tc>
        <w:tc>
          <w:tcPr>
            <w:tcW w:w="116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公证</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公证员一般任职职业审核、考核任职执业审核</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公布2019年公证员考核意见</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《公证法》、《公证员执业管理办法》</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■精准推送</w:t>
            </w:r>
          </w:p>
        </w:tc>
        <w:tc>
          <w:tcPr>
            <w:tcW w:w="567" w:type="dxa"/>
            <w:vAlign w:val="center"/>
          </w:tcPr>
          <w:p>
            <w:pPr>
              <w:spacing w:after="0" w:line="220" w:lineRule="atLeast"/>
              <w:jc w:val="center"/>
              <w:rPr>
                <w:rFonts w:ascii="仿宋" w:hAnsi="仿宋" w:eastAsia="仿宋"/>
                <w:sz w:val="21"/>
                <w:szCs w:val="21"/>
              </w:rPr>
            </w:pPr>
          </w:p>
        </w:tc>
        <w:tc>
          <w:tcPr>
            <w:tcW w:w="85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5</w:t>
            </w:r>
          </w:p>
        </w:tc>
        <w:tc>
          <w:tcPr>
            <w:tcW w:w="11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法律援助服务</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给予法律援助决定书；不予法律援助决定书；指派通知书</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《法律援助条例》、《湖南省法律援助条例》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法律援助机构</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■精准推送</w:t>
            </w:r>
          </w:p>
        </w:tc>
        <w:tc>
          <w:tcPr>
            <w:tcW w:w="567" w:type="dxa"/>
            <w:vAlign w:val="center"/>
          </w:tcPr>
          <w:p>
            <w:pPr>
              <w:spacing w:after="0" w:line="220" w:lineRule="atLeast"/>
              <w:jc w:val="center"/>
              <w:rPr>
                <w:rFonts w:ascii="仿宋" w:hAnsi="仿宋" w:eastAsia="仿宋"/>
                <w:sz w:val="21"/>
                <w:szCs w:val="21"/>
              </w:rPr>
            </w:pPr>
          </w:p>
        </w:tc>
        <w:tc>
          <w:tcPr>
            <w:tcW w:w="85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法律援助申请人、受指派的律师事务所或其他组织等</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6</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法律援助办案人员办案补贴的审核发放</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公布2019年法律援助案件补贴审核发放表</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《法律援助条例》、《湖南省法律援助条例》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法律援助机构</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■精准推送</w:t>
            </w:r>
          </w:p>
        </w:tc>
        <w:tc>
          <w:tcPr>
            <w:tcW w:w="567" w:type="dxa"/>
            <w:vAlign w:val="center"/>
          </w:tcPr>
          <w:p>
            <w:pPr>
              <w:spacing w:after="0" w:line="220" w:lineRule="atLeast"/>
              <w:jc w:val="center"/>
              <w:rPr>
                <w:rFonts w:ascii="仿宋" w:hAnsi="仿宋" w:eastAsia="仿宋"/>
                <w:sz w:val="21"/>
                <w:szCs w:val="21"/>
              </w:rPr>
            </w:pPr>
          </w:p>
        </w:tc>
        <w:tc>
          <w:tcPr>
            <w:tcW w:w="85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w:t>
            </w:r>
          </w:p>
        </w:tc>
        <w:tc>
          <w:tcPr>
            <w:tcW w:w="567" w:type="dxa"/>
            <w:vAlign w:val="center"/>
          </w:tcPr>
          <w:p>
            <w:pPr>
              <w:spacing w:after="0" w:line="220" w:lineRule="atLeast"/>
              <w:jc w:val="center"/>
              <w:rPr>
                <w:rFonts w:ascii="仿宋" w:hAnsi="仿宋" w:eastAsia="仿宋"/>
                <w:sz w:val="21"/>
                <w:szCs w:val="21"/>
              </w:rPr>
            </w:pPr>
          </w:p>
        </w:tc>
        <w:tc>
          <w:tcPr>
            <w:tcW w:w="85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7</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对法律援助机构不予援助决定异议的审查</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处理决定书</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《法律援助条例》、《湖南省法律援助条例》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jc w:val="cente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■精准推送</w:t>
            </w:r>
          </w:p>
        </w:tc>
        <w:tc>
          <w:tcPr>
            <w:tcW w:w="567" w:type="dxa"/>
            <w:vAlign w:val="center"/>
          </w:tcPr>
          <w:p>
            <w:pPr>
              <w:spacing w:after="0" w:line="220" w:lineRule="atLeast"/>
              <w:jc w:val="center"/>
              <w:rPr>
                <w:rFonts w:ascii="仿宋" w:hAnsi="仿宋" w:eastAsia="仿宋"/>
                <w:sz w:val="21"/>
                <w:szCs w:val="21"/>
              </w:rPr>
            </w:pPr>
          </w:p>
        </w:tc>
        <w:tc>
          <w:tcPr>
            <w:tcW w:w="85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w:t>
            </w:r>
          </w:p>
        </w:tc>
        <w:tc>
          <w:tcPr>
            <w:tcW w:w="567" w:type="dxa"/>
            <w:vAlign w:val="center"/>
          </w:tcPr>
          <w:p>
            <w:pPr>
              <w:spacing w:after="0" w:line="220" w:lineRule="atLeast"/>
              <w:jc w:val="center"/>
              <w:rPr>
                <w:rFonts w:ascii="仿宋" w:hAnsi="仿宋" w:eastAsia="仿宋"/>
                <w:sz w:val="21"/>
                <w:szCs w:val="21"/>
              </w:rPr>
            </w:pPr>
          </w:p>
        </w:tc>
        <w:tc>
          <w:tcPr>
            <w:tcW w:w="85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8</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对在法律援助工作中作出突出贡献的组织和个人进行表彰奖励</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公布2019年表彰先进集体先进个人名单</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《法律援助条例》、《湖南省法律援助条例》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jc w:val="cente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■政府网站■两微一端■广播电视■纸质媒体</w:t>
            </w:r>
          </w:p>
          <w:p>
            <w:pPr>
              <w:spacing w:after="0" w:line="220" w:lineRule="atLeast"/>
              <w:rPr>
                <w:rFonts w:ascii="仿宋" w:hAnsi="仿宋" w:eastAsia="仿宋"/>
                <w:sz w:val="21"/>
                <w:szCs w:val="21"/>
              </w:rPr>
            </w:pPr>
            <w:r>
              <w:rPr>
                <w:rFonts w:hint="eastAsia" w:ascii="仿宋" w:hAnsi="仿宋" w:eastAsia="仿宋"/>
                <w:sz w:val="21"/>
                <w:szCs w:val="21"/>
              </w:rPr>
              <w:t>■社区/企事业单位/村公示栏（电子屏）</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9</w:t>
            </w:r>
          </w:p>
        </w:tc>
        <w:tc>
          <w:tcPr>
            <w:tcW w:w="11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基层法律服务</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基层法律服务工作者执业核准许可</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不予受理通知书</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《基层法律服务工作者管理办法》</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jc w:val="cente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■精准推送</w:t>
            </w:r>
          </w:p>
        </w:tc>
        <w:tc>
          <w:tcPr>
            <w:tcW w:w="567" w:type="dxa"/>
            <w:vAlign w:val="center"/>
          </w:tcPr>
          <w:p>
            <w:pPr>
              <w:spacing w:after="0" w:line="220" w:lineRule="atLeast"/>
              <w:jc w:val="center"/>
              <w:rPr>
                <w:rFonts w:ascii="仿宋" w:hAnsi="仿宋" w:eastAsia="仿宋"/>
                <w:sz w:val="21"/>
                <w:szCs w:val="21"/>
              </w:rPr>
            </w:pPr>
          </w:p>
        </w:tc>
        <w:tc>
          <w:tcPr>
            <w:tcW w:w="85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申请人</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10</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对基层法律服务所、基层法律服务工作者违法违规行为的处罚</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行政处罚决定或行政处罚决定书</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《基层法律服务所管理办法》、《基层法律服务工作者管理办法》</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■政府网站■两微一端■纸质媒体■其他法律服务网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trPr>
        <w:tc>
          <w:tcPr>
            <w:tcW w:w="582" w:type="dxa"/>
            <w:vAlign w:val="center"/>
          </w:tcPr>
          <w:p>
            <w:pPr>
              <w:spacing w:after="0" w:line="220" w:lineRule="atLeast"/>
              <w:jc w:val="center"/>
            </w:pPr>
            <w:r>
              <w:rPr>
                <w:rFonts w:hint="eastAsia"/>
              </w:rPr>
              <w:t>11</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对基层法律服务所、基层法律服务工作者进行表彰奖励</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公布2019年表彰先进集体先进个人名单</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《基层法律服务所管理办法》、《基层法律服务工作者管理办法》</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■政府网站■两微一端■广播电视■纸质媒体</w:t>
            </w:r>
          </w:p>
          <w:p>
            <w:pPr>
              <w:spacing w:after="0" w:line="220" w:lineRule="atLeast"/>
              <w:rPr>
                <w:rFonts w:ascii="仿宋" w:hAnsi="仿宋" w:eastAsia="仿宋"/>
                <w:sz w:val="21"/>
                <w:szCs w:val="21"/>
              </w:rPr>
            </w:pPr>
            <w:r>
              <w:rPr>
                <w:rFonts w:hint="eastAsia" w:ascii="仿宋" w:hAnsi="仿宋" w:eastAsia="仿宋"/>
                <w:sz w:val="21"/>
                <w:szCs w:val="21"/>
              </w:rPr>
              <w:t>■社区/企事业单位/村公示栏（电子屏）</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582" w:type="dxa"/>
            <w:vAlign w:val="center"/>
          </w:tcPr>
          <w:p>
            <w:pPr>
              <w:spacing w:after="0" w:line="220" w:lineRule="atLeast"/>
              <w:jc w:val="center"/>
            </w:pPr>
            <w:r>
              <w:rPr>
                <w:rFonts w:hint="eastAsia"/>
              </w:rPr>
              <w:t>12</w:t>
            </w:r>
          </w:p>
        </w:tc>
        <w:tc>
          <w:tcPr>
            <w:tcW w:w="116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人民调解</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对有突出贡献的人民调解委员会和人民调解员按照国家规定给与表彰奖励</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公布2019年表彰先进集体先进个人名单</w:t>
            </w:r>
          </w:p>
        </w:tc>
        <w:tc>
          <w:tcPr>
            <w:tcW w:w="2024" w:type="dxa"/>
            <w:vAlign w:val="center"/>
          </w:tcPr>
          <w:p>
            <w:pPr>
              <w:pStyle w:val="2"/>
              <w:spacing w:line="220" w:lineRule="atLeast"/>
              <w:jc w:val="center"/>
              <w:rPr>
                <w:rFonts w:ascii="仿宋" w:hAnsi="仿宋" w:eastAsia="仿宋"/>
                <w:sz w:val="21"/>
                <w:szCs w:val="21"/>
              </w:rPr>
            </w:pPr>
            <w:r>
              <w:rPr>
                <w:rFonts w:hint="eastAsia" w:ascii="仿宋" w:hAnsi="仿宋" w:eastAsia="仿宋"/>
                <w:sz w:val="21"/>
                <w:szCs w:val="21"/>
              </w:rPr>
              <w:t>《人民调解法》、《湖南省人民调解员管理办法》</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■政府网站■两微一端■广播电视■纸质媒体</w:t>
            </w:r>
          </w:p>
          <w:p>
            <w:pPr>
              <w:spacing w:after="0" w:line="220" w:lineRule="atLeast"/>
              <w:rPr>
                <w:rFonts w:ascii="仿宋" w:hAnsi="仿宋" w:eastAsia="仿宋"/>
                <w:sz w:val="21"/>
                <w:szCs w:val="21"/>
              </w:rPr>
            </w:pPr>
            <w:r>
              <w:rPr>
                <w:rFonts w:hint="eastAsia" w:ascii="仿宋" w:hAnsi="仿宋" w:eastAsia="仿宋"/>
                <w:sz w:val="21"/>
                <w:szCs w:val="21"/>
              </w:rPr>
              <w:t>■社区/企事业单位/村公示栏（电子屏）</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582" w:type="dxa"/>
            <w:vAlign w:val="center"/>
          </w:tcPr>
          <w:p>
            <w:pPr>
              <w:spacing w:after="0" w:line="220" w:lineRule="atLeast"/>
              <w:jc w:val="center"/>
            </w:pPr>
            <w:r>
              <w:rPr>
                <w:rFonts w:hint="eastAsia"/>
              </w:rPr>
              <w:t>13</w:t>
            </w:r>
          </w:p>
        </w:tc>
        <w:tc>
          <w:tcPr>
            <w:tcW w:w="1165" w:type="dxa"/>
            <w:vMerge w:val="restar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法律查询服务</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法律法规和案例检索服务</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法律法规网址或链接；典型案例库网址或链接</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《中共中央、国务院转发&lt;中央宣传部、司法部关于在公民中开展法治宣传教育的第七个五年规划（2016-2020年）&gt;》、湖南省“七五”普法规划</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■政府网站■两微一端</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582" w:type="dxa"/>
            <w:vAlign w:val="center"/>
          </w:tcPr>
          <w:p>
            <w:pPr>
              <w:spacing w:after="0" w:line="220" w:lineRule="atLeast"/>
              <w:jc w:val="center"/>
            </w:pPr>
            <w:r>
              <w:rPr>
                <w:rFonts w:hint="eastAsia"/>
              </w:rPr>
              <w:t>14</w:t>
            </w:r>
          </w:p>
        </w:tc>
        <w:tc>
          <w:tcPr>
            <w:tcW w:w="1165" w:type="dxa"/>
            <w:vMerge w:val="continue"/>
            <w:vAlign w:val="center"/>
          </w:tcPr>
          <w:p>
            <w:pPr>
              <w:spacing w:after="0" w:line="220" w:lineRule="atLeast"/>
              <w:jc w:val="center"/>
              <w:rPr>
                <w:rFonts w:ascii="仿宋" w:hAnsi="仿宋" w:eastAsia="仿宋"/>
                <w:sz w:val="21"/>
                <w:szCs w:val="21"/>
              </w:rPr>
            </w:pP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法律服务机构、人员信息查询服务</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推动社会信用体系建设，在信用工作平台公布辖区内的律师、公证、基层法律服务、司法鉴定、仲裁、人民调解等法律服务机构和人员有关基本信息、从业信息和信用信息等</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《政府信息公开条例》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■政府网站■两微一端■公开查阅点</w:t>
            </w:r>
          </w:p>
          <w:p>
            <w:pPr>
              <w:spacing w:after="0" w:line="220" w:lineRule="atLeast"/>
              <w:rPr>
                <w:rFonts w:ascii="仿宋" w:hAnsi="仿宋" w:eastAsia="仿宋"/>
                <w:sz w:val="21"/>
                <w:szCs w:val="21"/>
              </w:rPr>
            </w:pPr>
            <w:r>
              <w:rPr>
                <w:rFonts w:hint="eastAsia" w:ascii="仿宋" w:hAnsi="仿宋" w:eastAsia="仿宋"/>
                <w:sz w:val="21"/>
                <w:szCs w:val="21"/>
              </w:rPr>
              <w:t>■政务服务中心</w:t>
            </w:r>
          </w:p>
          <w:p>
            <w:pPr>
              <w:spacing w:after="0" w:line="220" w:lineRule="atLeast"/>
              <w:rPr>
                <w:rFonts w:ascii="仿宋" w:hAnsi="仿宋" w:eastAsia="仿宋"/>
                <w:sz w:val="21"/>
                <w:szCs w:val="21"/>
              </w:rPr>
            </w:pPr>
            <w:r>
              <w:rPr>
                <w:rFonts w:hint="eastAsia" w:ascii="仿宋" w:hAnsi="仿宋" w:eastAsia="仿宋"/>
                <w:sz w:val="21"/>
                <w:szCs w:val="21"/>
              </w:rPr>
              <w:t>■便民服务站</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trPr>
        <w:tc>
          <w:tcPr>
            <w:tcW w:w="582" w:type="dxa"/>
            <w:vAlign w:val="center"/>
          </w:tcPr>
          <w:p>
            <w:pPr>
              <w:spacing w:after="0" w:line="220" w:lineRule="atLeast"/>
              <w:jc w:val="center"/>
            </w:pPr>
            <w:r>
              <w:rPr>
                <w:rFonts w:hint="eastAsia"/>
              </w:rPr>
              <w:t>15</w:t>
            </w:r>
          </w:p>
        </w:tc>
        <w:tc>
          <w:tcPr>
            <w:tcW w:w="116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法律咨询服务</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公共法律服务实体平台、热线平台、网络平台咨询服务</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公共法律服务实体、热线、网络平台法律咨询服务指南</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《政府信息公开条例》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司法行政部门、公共法律服务中心、公共法律服务工作站</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■政府网站■两微一端</w:t>
            </w:r>
          </w:p>
          <w:p>
            <w:pPr>
              <w:spacing w:after="0" w:line="220" w:lineRule="atLeast"/>
              <w:rPr>
                <w:rFonts w:ascii="仿宋" w:hAnsi="仿宋" w:eastAsia="仿宋"/>
                <w:sz w:val="21"/>
                <w:szCs w:val="21"/>
              </w:rPr>
            </w:pPr>
            <w:r>
              <w:rPr>
                <w:rFonts w:hint="eastAsia" w:ascii="仿宋" w:hAnsi="仿宋" w:eastAsia="仿宋"/>
                <w:sz w:val="21"/>
                <w:szCs w:val="21"/>
              </w:rPr>
              <w:t>■政务服务中心</w:t>
            </w:r>
          </w:p>
          <w:p>
            <w:pPr>
              <w:spacing w:after="0" w:line="220" w:lineRule="atLeast"/>
              <w:rPr>
                <w:rFonts w:ascii="仿宋" w:hAnsi="仿宋" w:eastAsia="仿宋"/>
                <w:sz w:val="21"/>
                <w:szCs w:val="21"/>
              </w:rPr>
            </w:pPr>
            <w:r>
              <w:rPr>
                <w:rFonts w:hint="eastAsia" w:ascii="仿宋" w:hAnsi="仿宋" w:eastAsia="仿宋"/>
                <w:sz w:val="21"/>
                <w:szCs w:val="21"/>
              </w:rPr>
              <w:t>■便民服务站</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582" w:type="dxa"/>
            <w:vAlign w:val="center"/>
          </w:tcPr>
          <w:p>
            <w:pPr>
              <w:spacing w:after="0" w:line="220" w:lineRule="atLeast"/>
              <w:jc w:val="center"/>
            </w:pPr>
            <w:r>
              <w:rPr>
                <w:rFonts w:hint="eastAsia"/>
              </w:rPr>
              <w:t>16</w:t>
            </w:r>
          </w:p>
        </w:tc>
        <w:tc>
          <w:tcPr>
            <w:tcW w:w="116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公共法律服务平台</w:t>
            </w:r>
          </w:p>
        </w:tc>
        <w:tc>
          <w:tcPr>
            <w:tcW w:w="1310"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公共法律服务实体、热线、网络平台信息</w:t>
            </w:r>
          </w:p>
        </w:tc>
        <w:tc>
          <w:tcPr>
            <w:tcW w:w="1905"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公共法律服务平台建设相关规划；公共法律服务中心、工作站具体地址；12348公共法律服务热线号码；中国法律服务网和各省法律服务网网址；三大平台提供的公共法律服务事项清单及服务指南</w:t>
            </w:r>
          </w:p>
        </w:tc>
        <w:tc>
          <w:tcPr>
            <w:tcW w:w="202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《政府信息公开条例》</w:t>
            </w:r>
          </w:p>
        </w:tc>
        <w:tc>
          <w:tcPr>
            <w:tcW w:w="1456"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自制作或获取该信息之日起20个工作日内工作</w:t>
            </w:r>
          </w:p>
        </w:tc>
        <w:tc>
          <w:tcPr>
            <w:tcW w:w="1164"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司法行政部门、公共法律服务中心、公共法律服务工作站</w:t>
            </w:r>
          </w:p>
        </w:tc>
        <w:tc>
          <w:tcPr>
            <w:tcW w:w="2444" w:type="dxa"/>
            <w:vAlign w:val="center"/>
          </w:tcPr>
          <w:p>
            <w:pPr>
              <w:spacing w:after="0" w:line="220" w:lineRule="atLeast"/>
              <w:rPr>
                <w:rFonts w:ascii="仿宋" w:hAnsi="仿宋" w:eastAsia="仿宋"/>
                <w:sz w:val="21"/>
                <w:szCs w:val="21"/>
              </w:rPr>
            </w:pPr>
            <w:r>
              <w:rPr>
                <w:rFonts w:hint="eastAsia" w:ascii="仿宋" w:hAnsi="仿宋" w:eastAsia="仿宋"/>
                <w:sz w:val="21"/>
                <w:szCs w:val="21"/>
              </w:rPr>
              <w:t>■政府网站■政府公报■两微一端</w:t>
            </w:r>
          </w:p>
          <w:p>
            <w:pPr>
              <w:spacing w:after="0" w:line="220" w:lineRule="atLeast"/>
              <w:rPr>
                <w:rFonts w:ascii="仿宋" w:hAnsi="仿宋" w:eastAsia="仿宋"/>
                <w:sz w:val="21"/>
                <w:szCs w:val="21"/>
              </w:rPr>
            </w:pPr>
            <w:r>
              <w:rPr>
                <w:rFonts w:hint="eastAsia" w:ascii="仿宋" w:hAnsi="仿宋" w:eastAsia="仿宋"/>
                <w:sz w:val="21"/>
                <w:szCs w:val="21"/>
              </w:rPr>
              <w:t>■发布会/听证会</w:t>
            </w:r>
          </w:p>
          <w:p>
            <w:pPr>
              <w:spacing w:after="0" w:line="220" w:lineRule="atLeast"/>
              <w:rPr>
                <w:rFonts w:ascii="仿宋" w:hAnsi="仿宋" w:eastAsia="仿宋"/>
                <w:sz w:val="21"/>
                <w:szCs w:val="21"/>
              </w:rPr>
            </w:pPr>
            <w:r>
              <w:rPr>
                <w:rFonts w:hint="eastAsia" w:ascii="仿宋" w:hAnsi="仿宋" w:eastAsia="仿宋"/>
                <w:sz w:val="21"/>
                <w:szCs w:val="21"/>
              </w:rPr>
              <w:t>■广播电视</w:t>
            </w:r>
          </w:p>
          <w:p>
            <w:pPr>
              <w:spacing w:after="0" w:line="220" w:lineRule="atLeast"/>
              <w:rPr>
                <w:rFonts w:ascii="仿宋" w:hAnsi="仿宋" w:eastAsia="仿宋"/>
                <w:sz w:val="21"/>
                <w:szCs w:val="21"/>
              </w:rPr>
            </w:pPr>
            <w:r>
              <w:rPr>
                <w:rFonts w:hint="eastAsia" w:ascii="仿宋" w:hAnsi="仿宋" w:eastAsia="仿宋"/>
                <w:sz w:val="21"/>
                <w:szCs w:val="21"/>
              </w:rPr>
              <w:t>■公开查阅点</w:t>
            </w:r>
          </w:p>
          <w:p>
            <w:pPr>
              <w:spacing w:after="0" w:line="220" w:lineRule="atLeast"/>
              <w:rPr>
                <w:rFonts w:ascii="仿宋" w:hAnsi="仿宋" w:eastAsia="仿宋"/>
                <w:sz w:val="21"/>
                <w:szCs w:val="21"/>
              </w:rPr>
            </w:pPr>
            <w:r>
              <w:rPr>
                <w:rFonts w:hint="eastAsia" w:ascii="仿宋" w:hAnsi="仿宋" w:eastAsia="仿宋"/>
                <w:sz w:val="21"/>
                <w:szCs w:val="21"/>
              </w:rPr>
              <w:t>■便民服务站</w:t>
            </w:r>
          </w:p>
          <w:p>
            <w:pPr>
              <w:spacing w:after="0" w:line="220" w:lineRule="atLeast"/>
              <w:rPr>
                <w:rFonts w:ascii="仿宋" w:hAnsi="仿宋" w:eastAsia="仿宋"/>
                <w:sz w:val="21"/>
                <w:szCs w:val="21"/>
              </w:rPr>
            </w:pPr>
            <w:r>
              <w:rPr>
                <w:rFonts w:hint="eastAsia" w:ascii="仿宋" w:hAnsi="仿宋" w:eastAsia="仿宋"/>
                <w:sz w:val="21"/>
                <w:szCs w:val="21"/>
              </w:rPr>
              <w:t>■社区/企事业单位/村公示栏（电子屏）</w:t>
            </w:r>
          </w:p>
          <w:p>
            <w:pPr>
              <w:spacing w:after="0" w:line="220" w:lineRule="atLeast"/>
              <w:rPr>
                <w:rFonts w:ascii="仿宋" w:hAnsi="仿宋" w:eastAsia="仿宋"/>
                <w:sz w:val="21"/>
                <w:szCs w:val="21"/>
              </w:rPr>
            </w:pPr>
            <w:r>
              <w:rPr>
                <w:rFonts w:hint="eastAsia" w:ascii="仿宋" w:hAnsi="仿宋" w:eastAsia="仿宋"/>
                <w:sz w:val="21"/>
                <w:szCs w:val="21"/>
              </w:rPr>
              <w:t>■其他法律服务网</w:t>
            </w:r>
          </w:p>
          <w:p>
            <w:pPr>
              <w:spacing w:after="0" w:line="220" w:lineRule="atLeast"/>
              <w:jc w:val="center"/>
              <w:rPr>
                <w:rFonts w:ascii="仿宋" w:hAnsi="仿宋" w:eastAsia="仿宋"/>
                <w:sz w:val="21"/>
                <w:szCs w:val="21"/>
              </w:rPr>
            </w:pPr>
            <w:r>
              <w:rPr>
                <w:rFonts w:hint="eastAsia" w:ascii="仿宋" w:hAnsi="仿宋" w:eastAsia="仿宋"/>
                <w:sz w:val="21"/>
                <w:szCs w:val="21"/>
              </w:rPr>
              <w:t>注：有关公开信息可推送或归集至本省级法律服务网。</w:t>
            </w: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0" w:type="dxa"/>
            <w:vAlign w:val="center"/>
          </w:tcPr>
          <w:p>
            <w:pPr>
              <w:spacing w:after="0" w:line="220" w:lineRule="atLeast"/>
              <w:jc w:val="center"/>
              <w:rPr>
                <w:rFonts w:ascii="仿宋" w:hAnsi="仿宋" w:eastAsia="仿宋"/>
                <w:sz w:val="21"/>
                <w:szCs w:val="21"/>
              </w:rPr>
            </w:pPr>
          </w:p>
        </w:tc>
        <w:tc>
          <w:tcPr>
            <w:tcW w:w="567"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851" w:type="dxa"/>
            <w:vAlign w:val="center"/>
          </w:tcPr>
          <w:p>
            <w:pPr>
              <w:spacing w:after="0" w:line="220" w:lineRule="atLeast"/>
              <w:jc w:val="center"/>
              <w:rPr>
                <w:rFonts w:ascii="仿宋" w:hAnsi="仿宋" w:eastAsia="仿宋"/>
                <w:sz w:val="21"/>
                <w:szCs w:val="21"/>
              </w:rPr>
            </w:pPr>
          </w:p>
        </w:tc>
        <w:tc>
          <w:tcPr>
            <w:tcW w:w="543"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c>
          <w:tcPr>
            <w:tcW w:w="591" w:type="dxa"/>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w:t>
            </w:r>
          </w:p>
        </w:tc>
      </w:tr>
    </w:tbl>
    <w:p>
      <w:pPr>
        <w:spacing w:line="220" w:lineRule="atLeast"/>
      </w:pPr>
    </w:p>
    <w:sectPr>
      <w:pgSz w:w="16838" w:h="11906" w:orient="landscape"/>
      <w:pgMar w:top="1800" w:right="1440" w:bottom="180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B5A2F"/>
    <w:rsid w:val="0012016E"/>
    <w:rsid w:val="00136D84"/>
    <w:rsid w:val="00185A78"/>
    <w:rsid w:val="00205EC7"/>
    <w:rsid w:val="00223D13"/>
    <w:rsid w:val="00287E70"/>
    <w:rsid w:val="003061F6"/>
    <w:rsid w:val="00314F73"/>
    <w:rsid w:val="00323B43"/>
    <w:rsid w:val="00366E30"/>
    <w:rsid w:val="003D37D8"/>
    <w:rsid w:val="003E6BF2"/>
    <w:rsid w:val="004041D7"/>
    <w:rsid w:val="00426133"/>
    <w:rsid w:val="00433BF3"/>
    <w:rsid w:val="004358AB"/>
    <w:rsid w:val="00482EDA"/>
    <w:rsid w:val="00494691"/>
    <w:rsid w:val="005071EF"/>
    <w:rsid w:val="006A7FFD"/>
    <w:rsid w:val="006B0E22"/>
    <w:rsid w:val="00705C18"/>
    <w:rsid w:val="007779C7"/>
    <w:rsid w:val="00785F1F"/>
    <w:rsid w:val="007E5333"/>
    <w:rsid w:val="00803706"/>
    <w:rsid w:val="008337A5"/>
    <w:rsid w:val="0084723D"/>
    <w:rsid w:val="00872260"/>
    <w:rsid w:val="008B7726"/>
    <w:rsid w:val="009202DE"/>
    <w:rsid w:val="0093773A"/>
    <w:rsid w:val="00951C15"/>
    <w:rsid w:val="00953A31"/>
    <w:rsid w:val="009844D2"/>
    <w:rsid w:val="009914BD"/>
    <w:rsid w:val="00996B7A"/>
    <w:rsid w:val="00A2751D"/>
    <w:rsid w:val="00AF232F"/>
    <w:rsid w:val="00BF7FBF"/>
    <w:rsid w:val="00CD48DE"/>
    <w:rsid w:val="00D20467"/>
    <w:rsid w:val="00D31D50"/>
    <w:rsid w:val="00D42366"/>
    <w:rsid w:val="00D576C9"/>
    <w:rsid w:val="00D94FF1"/>
    <w:rsid w:val="00DC6A19"/>
    <w:rsid w:val="00EB4159"/>
    <w:rsid w:val="00F31AE5"/>
    <w:rsid w:val="00F45E75"/>
    <w:rsid w:val="00F74526"/>
    <w:rsid w:val="00F831AF"/>
    <w:rsid w:val="00FB0BD1"/>
    <w:rsid w:val="00FF4E86"/>
    <w:rsid w:val="24FF0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widowControl w:val="0"/>
      <w:tabs>
        <w:tab w:val="center" w:pos="4153"/>
        <w:tab w:val="right" w:pos="8306"/>
      </w:tabs>
      <w:adjustRightInd/>
      <w:spacing w:after="0"/>
    </w:pPr>
    <w:rPr>
      <w:rFonts w:ascii="Times New Roman" w:hAnsi="Times New Roman" w:eastAsia="宋体" w:cs="Times New Roman"/>
      <w:kern w:val="2"/>
      <w:sz w:val="18"/>
      <w:szCs w:val="24"/>
    </w:rPr>
  </w:style>
  <w:style w:type="paragraph" w:styleId="3">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脚 Char"/>
    <w:basedOn w:val="6"/>
    <w:link w:val="2"/>
    <w:uiPriority w:val="0"/>
    <w:rPr>
      <w:rFonts w:ascii="Times New Roman" w:hAnsi="Times New Roman" w:eastAsia="宋体" w:cs="Times New Roman"/>
      <w:kern w:val="2"/>
      <w:sz w:val="18"/>
      <w:szCs w:val="24"/>
    </w:rPr>
  </w:style>
  <w:style w:type="paragraph" w:customStyle="1" w:styleId="8">
    <w:name w:val="Char Char Char Char"/>
    <w:basedOn w:val="1"/>
    <w:uiPriority w:val="0"/>
    <w:pPr>
      <w:widowControl w:val="0"/>
      <w:snapToGrid/>
      <w:spacing w:after="0" w:line="360" w:lineRule="auto"/>
      <w:jc w:val="both"/>
    </w:pPr>
    <w:rPr>
      <w:rFonts w:ascii="Times New Roman" w:hAnsi="Times New Roman" w:eastAsia="宋体" w:cs="Times New Roman"/>
      <w:kern w:val="2"/>
      <w:sz w:val="21"/>
      <w:szCs w:val="24"/>
    </w:rPr>
  </w:style>
  <w:style w:type="character" w:customStyle="1" w:styleId="9">
    <w:name w:val="页眉 Char"/>
    <w:basedOn w:val="6"/>
    <w:link w:val="3"/>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403</Words>
  <Characters>2299</Characters>
  <Lines>19</Lines>
  <Paragraphs>5</Paragraphs>
  <TotalTime>135</TotalTime>
  <ScaleCrop>false</ScaleCrop>
  <LinksUpToDate>false</LinksUpToDate>
  <CharactersWithSpaces>2697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KAKA</dc:creator>
  <cp:lastModifiedBy>Danny</cp:lastModifiedBy>
  <dcterms:modified xsi:type="dcterms:W3CDTF">2020-12-03T06:53:56Z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