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600" w:lineRule="exact"/>
        <w:jc w:val="both"/>
        <w:rPr>
          <w:rFonts w:ascii="宋体"/>
          <w:b/>
          <w:bCs/>
          <w:sz w:val="44"/>
          <w:szCs w:val="44"/>
        </w:rPr>
      </w:pPr>
      <w:r>
        <mc:AlternateContent>
          <mc:Choice Requires="wps">
            <w:drawing>
              <wp:anchor distT="0" distB="0" distL="114300" distR="114300" simplePos="0" relativeHeight="251660288" behindDoc="0" locked="0" layoutInCell="1" allowOverlap="1">
                <wp:simplePos x="0" y="0"/>
                <wp:positionH relativeFrom="column">
                  <wp:posOffset>62865</wp:posOffset>
                </wp:positionH>
                <wp:positionV relativeFrom="paragraph">
                  <wp:posOffset>304800</wp:posOffset>
                </wp:positionV>
                <wp:extent cx="1990725" cy="830580"/>
                <wp:effectExtent l="0" t="0" r="9525" b="7620"/>
                <wp:wrapNone/>
                <wp:docPr id="1" name="文本框 3"/>
                <wp:cNvGraphicFramePr/>
                <a:graphic xmlns:a="http://schemas.openxmlformats.org/drawingml/2006/main">
                  <a:graphicData uri="http://schemas.microsoft.com/office/word/2010/wordprocessingShape">
                    <wps:wsp>
                      <wps:cNvSpPr txBox="1"/>
                      <wps:spPr>
                        <a:xfrm>
                          <a:off x="0" y="0"/>
                          <a:ext cx="1990725" cy="830580"/>
                        </a:xfrm>
                        <a:prstGeom prst="rect">
                          <a:avLst/>
                        </a:prstGeom>
                        <a:solidFill>
                          <a:srgbClr val="FFFFFF"/>
                        </a:solidFill>
                        <a:ln>
                          <a:noFill/>
                        </a:ln>
                      </wps:spPr>
                      <wps:txbx>
                        <w:txbxContent>
                          <w:p>
                            <w:pPr>
                              <w:spacing w:line="560" w:lineRule="exact"/>
                              <w:rPr>
                                <w:rFonts w:ascii="宋体"/>
                                <w:b/>
                                <w:bCs/>
                                <w:spacing w:val="-8"/>
                                <w:sz w:val="32"/>
                                <w:szCs w:val="32"/>
                              </w:rPr>
                            </w:pPr>
                            <w:r>
                              <w:rPr>
                                <w:rFonts w:hint="eastAsia" w:ascii="宋体" w:hAnsi="宋体" w:cs="宋体"/>
                                <w:b/>
                                <w:bCs/>
                                <w:spacing w:val="-8"/>
                                <w:sz w:val="32"/>
                                <w:szCs w:val="32"/>
                              </w:rPr>
                              <w:t>县</w:t>
                            </w:r>
                            <w:r>
                              <w:rPr>
                                <w:rFonts w:ascii="宋体" w:hAnsi="宋体" w:cs="宋体"/>
                                <w:b/>
                                <w:bCs/>
                                <w:spacing w:val="-8"/>
                                <w:sz w:val="32"/>
                                <w:szCs w:val="32"/>
                                <w:highlight w:val="none"/>
                              </w:rPr>
                              <w:t xml:space="preserve"> </w:t>
                            </w:r>
                            <w:r>
                              <w:rPr>
                                <w:rFonts w:hint="eastAsia" w:ascii="宋体" w:hAnsi="宋体" w:cs="宋体"/>
                                <w:b/>
                                <w:bCs/>
                                <w:spacing w:val="-8"/>
                                <w:sz w:val="32"/>
                                <w:szCs w:val="32"/>
                                <w:highlight w:val="none"/>
                              </w:rPr>
                              <w:t>十</w:t>
                            </w:r>
                            <w:r>
                              <w:rPr>
                                <w:rFonts w:ascii="宋体" w:hAnsi="宋体" w:cs="宋体"/>
                                <w:b/>
                                <w:bCs/>
                                <w:spacing w:val="-8"/>
                                <w:sz w:val="32"/>
                                <w:szCs w:val="32"/>
                                <w:highlight w:val="none"/>
                              </w:rPr>
                              <w:t xml:space="preserve"> </w:t>
                            </w:r>
                            <w:r>
                              <w:rPr>
                                <w:rFonts w:hint="eastAsia" w:ascii="宋体" w:hAnsi="宋体" w:cs="宋体"/>
                                <w:b/>
                                <w:bCs/>
                                <w:spacing w:val="-8"/>
                                <w:sz w:val="32"/>
                                <w:szCs w:val="32"/>
                                <w:highlight w:val="none"/>
                                <w:lang w:eastAsia="zh-CN"/>
                              </w:rPr>
                              <w:t>八</w:t>
                            </w:r>
                            <w:r>
                              <w:rPr>
                                <w:rFonts w:hint="eastAsia" w:ascii="宋体" w:hAnsi="宋体" w:cs="宋体"/>
                                <w:b/>
                                <w:bCs/>
                                <w:spacing w:val="-8"/>
                                <w:sz w:val="32"/>
                                <w:szCs w:val="32"/>
                                <w:highlight w:val="none"/>
                                <w:lang w:val="en-US" w:eastAsia="zh-CN"/>
                              </w:rPr>
                              <w:t xml:space="preserve"> </w:t>
                            </w:r>
                            <w:r>
                              <w:rPr>
                                <w:rFonts w:hint="eastAsia" w:ascii="宋体" w:hAnsi="宋体" w:cs="宋体"/>
                                <w:b/>
                                <w:bCs/>
                                <w:spacing w:val="-8"/>
                                <w:sz w:val="32"/>
                                <w:szCs w:val="32"/>
                              </w:rPr>
                              <w:t>届</w:t>
                            </w:r>
                            <w:r>
                              <w:rPr>
                                <w:rFonts w:ascii="宋体" w:hAnsi="宋体" w:cs="宋体"/>
                                <w:b/>
                                <w:bCs/>
                                <w:spacing w:val="-8"/>
                                <w:sz w:val="32"/>
                                <w:szCs w:val="32"/>
                              </w:rPr>
                              <w:t xml:space="preserve"> </w:t>
                            </w:r>
                            <w:r>
                              <w:rPr>
                                <w:rFonts w:hint="eastAsia" w:ascii="宋体" w:hAnsi="宋体" w:cs="宋体"/>
                                <w:b/>
                                <w:bCs/>
                                <w:spacing w:val="-8"/>
                                <w:sz w:val="32"/>
                                <w:szCs w:val="32"/>
                              </w:rPr>
                              <w:t>人</w:t>
                            </w:r>
                            <w:r>
                              <w:rPr>
                                <w:rFonts w:ascii="宋体" w:hAnsi="宋体" w:cs="宋体"/>
                                <w:b/>
                                <w:bCs/>
                                <w:spacing w:val="-8"/>
                                <w:sz w:val="32"/>
                                <w:szCs w:val="32"/>
                              </w:rPr>
                              <w:t xml:space="preserve"> </w:t>
                            </w:r>
                            <w:r>
                              <w:rPr>
                                <w:rFonts w:hint="eastAsia" w:ascii="宋体" w:hAnsi="宋体" w:cs="宋体"/>
                                <w:b/>
                                <w:bCs/>
                                <w:spacing w:val="-8"/>
                                <w:sz w:val="32"/>
                                <w:szCs w:val="32"/>
                              </w:rPr>
                              <w:t>大</w:t>
                            </w:r>
                          </w:p>
                          <w:p>
                            <w:pPr>
                              <w:spacing w:line="560" w:lineRule="exact"/>
                              <w:rPr>
                                <w:rFonts w:ascii="宋体"/>
                                <w:b/>
                                <w:bCs/>
                                <w:spacing w:val="-6"/>
                                <w:sz w:val="32"/>
                                <w:szCs w:val="32"/>
                              </w:rPr>
                            </w:pPr>
                            <w:r>
                              <w:rPr>
                                <w:rFonts w:hint="eastAsia" w:ascii="宋体" w:hAnsi="宋体" w:cs="宋体"/>
                                <w:b/>
                                <w:bCs/>
                                <w:spacing w:val="-6"/>
                                <w:sz w:val="32"/>
                                <w:szCs w:val="32"/>
                                <w:highlight w:val="none"/>
                                <w:lang w:eastAsia="zh-CN"/>
                              </w:rPr>
                              <w:t>二</w:t>
                            </w:r>
                            <w:r>
                              <w:rPr>
                                <w:rFonts w:hint="eastAsia" w:ascii="宋体" w:hAnsi="宋体" w:cs="宋体"/>
                                <w:b/>
                                <w:bCs/>
                                <w:spacing w:val="-6"/>
                                <w:sz w:val="32"/>
                                <w:szCs w:val="32"/>
                              </w:rPr>
                              <w:t>次会议文件（</w:t>
                            </w:r>
                            <w:r>
                              <w:rPr>
                                <w:rFonts w:hint="eastAsia" w:ascii="宋体" w:hAnsi="宋体" w:cs="宋体"/>
                                <w:b/>
                                <w:bCs/>
                                <w:spacing w:val="-6"/>
                                <w:sz w:val="32"/>
                                <w:szCs w:val="32"/>
                                <w:lang w:val="en-US" w:eastAsia="zh-CN"/>
                              </w:rPr>
                              <w:t>26</w:t>
                            </w:r>
                            <w:r>
                              <w:rPr>
                                <w:rFonts w:hint="eastAsia" w:ascii="宋体" w:hAnsi="宋体" w:cs="宋体"/>
                                <w:b/>
                                <w:bCs/>
                                <w:spacing w:val="-6"/>
                                <w:sz w:val="32"/>
                                <w:szCs w:val="32"/>
                              </w:rPr>
                              <w:t>）</w:t>
                            </w:r>
                          </w:p>
                          <w:p>
                            <w:pPr>
                              <w:spacing w:line="560" w:lineRule="exact"/>
                              <w:rPr>
                                <w:rFonts w:ascii="宋体"/>
                                <w:b/>
                                <w:bCs/>
                                <w:spacing w:val="-6"/>
                                <w:sz w:val="28"/>
                                <w:szCs w:val="28"/>
                              </w:rPr>
                            </w:pPr>
                          </w:p>
                        </w:txbxContent>
                      </wps:txbx>
                      <wps:bodyPr upright="1"/>
                    </wps:wsp>
                  </a:graphicData>
                </a:graphic>
              </wp:anchor>
            </w:drawing>
          </mc:Choice>
          <mc:Fallback>
            <w:pict>
              <v:shape id="文本框 3" o:spid="_x0000_s1026" o:spt="202" type="#_x0000_t202" style="position:absolute;left:0pt;margin-left:4.95pt;margin-top:24pt;height:65.4pt;width:156.75pt;z-index:251660288;mso-width-relative:page;mso-height-relative:page;" fillcolor="#FFFFFF" filled="t" stroked="f" coordsize="21600,21600" o:gfxdata="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ImNyijXAAAACAEAAA8AAAAAAAAAAQAgAAAAIgAAAGRycy9kb3ducmV2Lnht&#10;bFBLAQIUABQAAAAIAIdO4kDcP6FtwQEAAHcDAAAOAAAAAAAAAAEAIAAAACYBAABkcnMvZTJvRG9j&#10;LnhtbFBLBQYAAAAABgAGAFkBAABZBQAAAAA=&#10;">
                <v:fill on="t" focussize="0,0"/>
                <v:stroke on="f"/>
                <v:imagedata o:title=""/>
                <o:lock v:ext="edit" aspectratio="f"/>
                <v:textbox>
                  <w:txbxContent>
                    <w:p>
                      <w:pPr>
                        <w:spacing w:line="560" w:lineRule="exact"/>
                        <w:rPr>
                          <w:rFonts w:ascii="宋体"/>
                          <w:b/>
                          <w:bCs/>
                          <w:spacing w:val="-8"/>
                          <w:sz w:val="32"/>
                          <w:szCs w:val="32"/>
                        </w:rPr>
                      </w:pPr>
                      <w:r>
                        <w:rPr>
                          <w:rFonts w:hint="eastAsia" w:ascii="宋体" w:hAnsi="宋体" w:cs="宋体"/>
                          <w:b/>
                          <w:bCs/>
                          <w:spacing w:val="-8"/>
                          <w:sz w:val="32"/>
                          <w:szCs w:val="32"/>
                        </w:rPr>
                        <w:t>县</w:t>
                      </w:r>
                      <w:r>
                        <w:rPr>
                          <w:rFonts w:ascii="宋体" w:hAnsi="宋体" w:cs="宋体"/>
                          <w:b/>
                          <w:bCs/>
                          <w:spacing w:val="-8"/>
                          <w:sz w:val="32"/>
                          <w:szCs w:val="32"/>
                          <w:highlight w:val="none"/>
                        </w:rPr>
                        <w:t xml:space="preserve"> </w:t>
                      </w:r>
                      <w:r>
                        <w:rPr>
                          <w:rFonts w:hint="eastAsia" w:ascii="宋体" w:hAnsi="宋体" w:cs="宋体"/>
                          <w:b/>
                          <w:bCs/>
                          <w:spacing w:val="-8"/>
                          <w:sz w:val="32"/>
                          <w:szCs w:val="32"/>
                          <w:highlight w:val="none"/>
                        </w:rPr>
                        <w:t>十</w:t>
                      </w:r>
                      <w:r>
                        <w:rPr>
                          <w:rFonts w:ascii="宋体" w:hAnsi="宋体" w:cs="宋体"/>
                          <w:b/>
                          <w:bCs/>
                          <w:spacing w:val="-8"/>
                          <w:sz w:val="32"/>
                          <w:szCs w:val="32"/>
                          <w:highlight w:val="none"/>
                        </w:rPr>
                        <w:t xml:space="preserve"> </w:t>
                      </w:r>
                      <w:r>
                        <w:rPr>
                          <w:rFonts w:hint="eastAsia" w:ascii="宋体" w:hAnsi="宋体" w:cs="宋体"/>
                          <w:b/>
                          <w:bCs/>
                          <w:spacing w:val="-8"/>
                          <w:sz w:val="32"/>
                          <w:szCs w:val="32"/>
                          <w:highlight w:val="none"/>
                          <w:lang w:eastAsia="zh-CN"/>
                        </w:rPr>
                        <w:t>八</w:t>
                      </w:r>
                      <w:r>
                        <w:rPr>
                          <w:rFonts w:hint="eastAsia" w:ascii="宋体" w:hAnsi="宋体" w:cs="宋体"/>
                          <w:b/>
                          <w:bCs/>
                          <w:spacing w:val="-8"/>
                          <w:sz w:val="32"/>
                          <w:szCs w:val="32"/>
                          <w:highlight w:val="none"/>
                          <w:lang w:val="en-US" w:eastAsia="zh-CN"/>
                        </w:rPr>
                        <w:t xml:space="preserve"> </w:t>
                      </w:r>
                      <w:r>
                        <w:rPr>
                          <w:rFonts w:hint="eastAsia" w:ascii="宋体" w:hAnsi="宋体" w:cs="宋体"/>
                          <w:b/>
                          <w:bCs/>
                          <w:spacing w:val="-8"/>
                          <w:sz w:val="32"/>
                          <w:szCs w:val="32"/>
                        </w:rPr>
                        <w:t>届</w:t>
                      </w:r>
                      <w:r>
                        <w:rPr>
                          <w:rFonts w:ascii="宋体" w:hAnsi="宋体" w:cs="宋体"/>
                          <w:b/>
                          <w:bCs/>
                          <w:spacing w:val="-8"/>
                          <w:sz w:val="32"/>
                          <w:szCs w:val="32"/>
                        </w:rPr>
                        <w:t xml:space="preserve"> </w:t>
                      </w:r>
                      <w:r>
                        <w:rPr>
                          <w:rFonts w:hint="eastAsia" w:ascii="宋体" w:hAnsi="宋体" w:cs="宋体"/>
                          <w:b/>
                          <w:bCs/>
                          <w:spacing w:val="-8"/>
                          <w:sz w:val="32"/>
                          <w:szCs w:val="32"/>
                        </w:rPr>
                        <w:t>人</w:t>
                      </w:r>
                      <w:r>
                        <w:rPr>
                          <w:rFonts w:ascii="宋体" w:hAnsi="宋体" w:cs="宋体"/>
                          <w:b/>
                          <w:bCs/>
                          <w:spacing w:val="-8"/>
                          <w:sz w:val="32"/>
                          <w:szCs w:val="32"/>
                        </w:rPr>
                        <w:t xml:space="preserve"> </w:t>
                      </w:r>
                      <w:r>
                        <w:rPr>
                          <w:rFonts w:hint="eastAsia" w:ascii="宋体" w:hAnsi="宋体" w:cs="宋体"/>
                          <w:b/>
                          <w:bCs/>
                          <w:spacing w:val="-8"/>
                          <w:sz w:val="32"/>
                          <w:szCs w:val="32"/>
                        </w:rPr>
                        <w:t>大</w:t>
                      </w:r>
                    </w:p>
                    <w:p>
                      <w:pPr>
                        <w:spacing w:line="560" w:lineRule="exact"/>
                        <w:rPr>
                          <w:rFonts w:ascii="宋体"/>
                          <w:b/>
                          <w:bCs/>
                          <w:spacing w:val="-6"/>
                          <w:sz w:val="32"/>
                          <w:szCs w:val="32"/>
                        </w:rPr>
                      </w:pPr>
                      <w:r>
                        <w:rPr>
                          <w:rFonts w:hint="eastAsia" w:ascii="宋体" w:hAnsi="宋体" w:cs="宋体"/>
                          <w:b/>
                          <w:bCs/>
                          <w:spacing w:val="-6"/>
                          <w:sz w:val="32"/>
                          <w:szCs w:val="32"/>
                          <w:highlight w:val="none"/>
                          <w:lang w:eastAsia="zh-CN"/>
                        </w:rPr>
                        <w:t>二</w:t>
                      </w:r>
                      <w:r>
                        <w:rPr>
                          <w:rFonts w:hint="eastAsia" w:ascii="宋体" w:hAnsi="宋体" w:cs="宋体"/>
                          <w:b/>
                          <w:bCs/>
                          <w:spacing w:val="-6"/>
                          <w:sz w:val="32"/>
                          <w:szCs w:val="32"/>
                        </w:rPr>
                        <w:t>次会议文件（</w:t>
                      </w:r>
                      <w:r>
                        <w:rPr>
                          <w:rFonts w:hint="eastAsia" w:ascii="宋体" w:hAnsi="宋体" w:cs="宋体"/>
                          <w:b/>
                          <w:bCs/>
                          <w:spacing w:val="-6"/>
                          <w:sz w:val="32"/>
                          <w:szCs w:val="32"/>
                          <w:lang w:val="en-US" w:eastAsia="zh-CN"/>
                        </w:rPr>
                        <w:t>26</w:t>
                      </w:r>
                      <w:r>
                        <w:rPr>
                          <w:rFonts w:hint="eastAsia" w:ascii="宋体" w:hAnsi="宋体" w:cs="宋体"/>
                          <w:b/>
                          <w:bCs/>
                          <w:spacing w:val="-6"/>
                          <w:sz w:val="32"/>
                          <w:szCs w:val="32"/>
                        </w:rPr>
                        <w:t>）</w:t>
                      </w:r>
                    </w:p>
                    <w:p>
                      <w:pPr>
                        <w:spacing w:line="560" w:lineRule="exact"/>
                        <w:rPr>
                          <w:rFonts w:ascii="宋体"/>
                          <w:b/>
                          <w:bCs/>
                          <w:spacing w:val="-6"/>
                          <w:sz w:val="28"/>
                          <w:szCs w:val="28"/>
                        </w:rPr>
                      </w:pPr>
                    </w:p>
                  </w:txbxContent>
                </v:textbox>
              </v:shape>
            </w:pict>
          </mc:Fallback>
        </mc:AlternateContent>
      </w:r>
    </w:p>
    <w:p>
      <w:pPr>
        <w:shd w:val="clear"/>
        <w:spacing w:line="600" w:lineRule="exact"/>
        <w:jc w:val="center"/>
        <w:rPr>
          <w:rFonts w:ascii="宋体"/>
          <w:b/>
          <w:bCs/>
          <w:sz w:val="44"/>
          <w:szCs w:val="44"/>
        </w:rPr>
      </w:pPr>
    </w:p>
    <w:p>
      <w:pPr>
        <w:shd w:val="clear"/>
        <w:spacing w:line="600" w:lineRule="exact"/>
        <w:jc w:val="center"/>
        <w:rPr>
          <w:rFonts w:ascii="宋体"/>
          <w:b/>
          <w:bCs/>
          <w:sz w:val="44"/>
          <w:szCs w:val="44"/>
        </w:rPr>
      </w:pPr>
    </w:p>
    <w:p>
      <w:pPr>
        <w:shd w:val="clear"/>
        <w:spacing w:line="600" w:lineRule="exact"/>
        <w:jc w:val="center"/>
        <w:rPr>
          <w:rFonts w:ascii="宋体"/>
          <w:b/>
          <w:bCs/>
          <w:sz w:val="44"/>
          <w:szCs w:val="44"/>
        </w:rPr>
      </w:pPr>
    </w:p>
    <w:p>
      <w:pPr>
        <w:shd w:val="clear"/>
        <w:autoSpaceDE w:val="0"/>
        <w:autoSpaceDN w:val="0"/>
        <w:spacing w:line="680" w:lineRule="exact"/>
        <w:jc w:val="center"/>
        <w:rPr>
          <w:rFonts w:ascii="方正小标宋简体" w:hAnsi="方正小标宋简体" w:eastAsia="方正小标宋简体"/>
          <w:spacing w:val="6"/>
          <w:sz w:val="44"/>
          <w:szCs w:val="44"/>
        </w:rPr>
      </w:pPr>
      <w:r>
        <w:rPr>
          <w:rFonts w:hint="eastAsia" w:ascii="方正小标宋简体" w:hAnsi="方正小标宋简体" w:eastAsia="方正小标宋简体" w:cs="方正小标宋简体"/>
          <w:spacing w:val="6"/>
          <w:sz w:val="44"/>
          <w:szCs w:val="44"/>
        </w:rPr>
        <w:t>关于道县</w:t>
      </w:r>
      <w:r>
        <w:rPr>
          <w:rFonts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1</w:t>
      </w:r>
      <w:r>
        <w:rPr>
          <w:rFonts w:hint="eastAsia" w:ascii="方正小标宋简体" w:hAnsi="方正小标宋简体" w:eastAsia="方正小标宋简体" w:cs="方正小标宋简体"/>
          <w:spacing w:val="6"/>
          <w:sz w:val="44"/>
          <w:szCs w:val="44"/>
        </w:rPr>
        <w:t>年财政预算执行情况</w:t>
      </w:r>
    </w:p>
    <w:p>
      <w:pPr>
        <w:shd w:val="clear"/>
        <w:autoSpaceDE w:val="0"/>
        <w:autoSpaceDN w:val="0"/>
        <w:spacing w:line="680" w:lineRule="exact"/>
        <w:jc w:val="center"/>
        <w:rPr>
          <w:rFonts w:ascii="宋体"/>
          <w:b/>
          <w:bCs/>
          <w:spacing w:val="6"/>
          <w:sz w:val="44"/>
          <w:szCs w:val="44"/>
        </w:rPr>
      </w:pPr>
      <w:r>
        <w:rPr>
          <w:rFonts w:hint="eastAsia" w:ascii="方正小标宋简体" w:hAnsi="方正小标宋简体" w:eastAsia="方正小标宋简体" w:cs="方正小标宋简体"/>
          <w:spacing w:val="6"/>
          <w:sz w:val="44"/>
          <w:szCs w:val="44"/>
        </w:rPr>
        <w:t>和</w:t>
      </w:r>
      <w:r>
        <w:rPr>
          <w:rFonts w:ascii="方正小标宋简体" w:hAnsi="方正小标宋简体" w:eastAsia="方正小标宋简体" w:cs="方正小标宋简体"/>
          <w:spacing w:val="6"/>
          <w:sz w:val="44"/>
          <w:szCs w:val="44"/>
        </w:rPr>
        <w:t>202</w:t>
      </w:r>
      <w:r>
        <w:rPr>
          <w:rFonts w:hint="eastAsia" w:ascii="方正小标宋简体" w:hAnsi="方正小标宋简体" w:eastAsia="方正小标宋简体" w:cs="方正小标宋简体"/>
          <w:spacing w:val="6"/>
          <w:sz w:val="44"/>
          <w:szCs w:val="44"/>
          <w:lang w:val="en-US" w:eastAsia="zh-CN"/>
        </w:rPr>
        <w:t>2</w:t>
      </w:r>
      <w:r>
        <w:rPr>
          <w:rFonts w:hint="eastAsia" w:ascii="方正小标宋简体" w:hAnsi="方正小标宋简体" w:eastAsia="方正小标宋简体" w:cs="方正小标宋简体"/>
          <w:spacing w:val="6"/>
          <w:sz w:val="44"/>
          <w:szCs w:val="44"/>
        </w:rPr>
        <w:t>年财政预算草案的报告</w:t>
      </w:r>
    </w:p>
    <w:p>
      <w:pPr>
        <w:shd w:val="clear"/>
        <w:spacing w:line="680" w:lineRule="exact"/>
        <w:jc w:val="center"/>
        <w:rPr>
          <w:rFonts w:ascii="楷体_GB2312" w:hAnsi="楷体" w:eastAsia="楷体_GB2312"/>
          <w:spacing w:val="-16"/>
          <w:sz w:val="32"/>
          <w:szCs w:val="32"/>
        </w:rPr>
      </w:pPr>
      <w:r>
        <w:rPr>
          <w:rFonts w:ascii="楷体" w:hAnsi="楷体" w:eastAsia="楷体" w:cs="楷体"/>
          <w:sz w:val="32"/>
          <w:szCs w:val="32"/>
        </w:rPr>
        <w:t>——</w:t>
      </w:r>
      <w:r>
        <w:rPr>
          <w:rFonts w:ascii="楷体_GB2312" w:hAnsi="楷体" w:eastAsia="楷体_GB2312" w:cs="楷体_GB2312"/>
          <w:spacing w:val="-14"/>
          <w:sz w:val="32"/>
          <w:szCs w:val="32"/>
        </w:rPr>
        <w:t>202</w:t>
      </w:r>
      <w:r>
        <w:rPr>
          <w:rFonts w:hint="eastAsia" w:ascii="楷体_GB2312" w:hAnsi="楷体" w:eastAsia="楷体_GB2312" w:cs="楷体_GB2312"/>
          <w:spacing w:val="-14"/>
          <w:sz w:val="32"/>
          <w:szCs w:val="32"/>
          <w:lang w:val="en-US" w:eastAsia="zh-CN"/>
        </w:rPr>
        <w:t>2</w:t>
      </w:r>
      <w:r>
        <w:rPr>
          <w:rFonts w:hint="eastAsia" w:ascii="楷体_GB2312" w:hAnsi="楷体" w:eastAsia="楷体_GB2312" w:cs="楷体_GB2312"/>
          <w:spacing w:val="-14"/>
          <w:sz w:val="32"/>
          <w:szCs w:val="32"/>
        </w:rPr>
        <w:t>年</w:t>
      </w:r>
      <w:r>
        <w:rPr>
          <w:rFonts w:hint="eastAsia" w:ascii="楷体_GB2312" w:hAnsi="楷体" w:eastAsia="楷体_GB2312" w:cs="楷体_GB2312"/>
          <w:spacing w:val="-14"/>
          <w:sz w:val="32"/>
          <w:szCs w:val="32"/>
          <w:u w:val="none"/>
          <w:lang w:val="en-US" w:eastAsia="zh-CN"/>
        </w:rPr>
        <w:t>3</w:t>
      </w:r>
      <w:r>
        <w:rPr>
          <w:rFonts w:hint="eastAsia" w:ascii="楷体_GB2312" w:hAnsi="楷体" w:eastAsia="楷体_GB2312" w:cs="楷体_GB2312"/>
          <w:spacing w:val="-14"/>
          <w:sz w:val="32"/>
          <w:szCs w:val="32"/>
          <w:u w:val="none"/>
        </w:rPr>
        <w:t>月</w:t>
      </w:r>
      <w:r>
        <w:rPr>
          <w:rFonts w:hint="eastAsia" w:ascii="楷体_GB2312" w:hAnsi="楷体" w:eastAsia="楷体_GB2312" w:cs="楷体_GB2312"/>
          <w:spacing w:val="-14"/>
          <w:sz w:val="32"/>
          <w:szCs w:val="32"/>
          <w:u w:val="none"/>
          <w:lang w:val="en-US" w:eastAsia="zh-CN"/>
        </w:rPr>
        <w:t>15</w:t>
      </w:r>
      <w:r>
        <w:rPr>
          <w:rFonts w:hint="eastAsia" w:ascii="楷体_GB2312" w:hAnsi="楷体" w:eastAsia="楷体_GB2312" w:cs="楷体_GB2312"/>
          <w:spacing w:val="-14"/>
          <w:sz w:val="32"/>
          <w:szCs w:val="32"/>
        </w:rPr>
        <w:t>日在道县第十</w:t>
      </w:r>
      <w:r>
        <w:rPr>
          <w:rFonts w:hint="eastAsia" w:ascii="楷体_GB2312" w:hAnsi="楷体" w:eastAsia="楷体_GB2312" w:cs="楷体_GB2312"/>
          <w:spacing w:val="-14"/>
          <w:sz w:val="32"/>
          <w:szCs w:val="32"/>
          <w:lang w:eastAsia="zh-CN"/>
        </w:rPr>
        <w:t>八</w:t>
      </w:r>
      <w:r>
        <w:rPr>
          <w:rFonts w:hint="eastAsia" w:ascii="楷体_GB2312" w:hAnsi="楷体" w:eastAsia="楷体_GB2312" w:cs="楷体_GB2312"/>
          <w:spacing w:val="-14"/>
          <w:sz w:val="32"/>
          <w:szCs w:val="32"/>
        </w:rPr>
        <w:t>届人民代表大会第</w:t>
      </w:r>
      <w:r>
        <w:rPr>
          <w:rFonts w:hint="eastAsia" w:ascii="楷体_GB2312" w:hAnsi="楷体" w:eastAsia="楷体_GB2312" w:cs="楷体_GB2312"/>
          <w:spacing w:val="-14"/>
          <w:sz w:val="32"/>
          <w:szCs w:val="32"/>
          <w:lang w:eastAsia="zh-CN"/>
        </w:rPr>
        <w:t>二</w:t>
      </w:r>
      <w:r>
        <w:rPr>
          <w:rFonts w:hint="eastAsia" w:ascii="楷体_GB2312" w:hAnsi="楷体" w:eastAsia="楷体_GB2312" w:cs="楷体_GB2312"/>
          <w:spacing w:val="-14"/>
          <w:sz w:val="32"/>
          <w:szCs w:val="32"/>
        </w:rPr>
        <w:t>次会议上</w:t>
      </w:r>
    </w:p>
    <w:p>
      <w:pPr>
        <w:shd w:val="clear"/>
        <w:autoSpaceDE w:val="0"/>
        <w:autoSpaceDN w:val="0"/>
        <w:spacing w:line="680" w:lineRule="exact"/>
        <w:jc w:val="center"/>
        <w:rPr>
          <w:rFonts w:ascii="楷体_GB2312" w:hAnsi="宋体" w:eastAsia="楷体_GB2312"/>
          <w:b/>
          <w:bCs/>
          <w:sz w:val="32"/>
          <w:szCs w:val="32"/>
        </w:rPr>
      </w:pPr>
      <w:r>
        <w:rPr>
          <w:rFonts w:hint="eastAsia" w:ascii="楷体_GB2312" w:hAnsi="楷体_GB2312" w:eastAsia="楷体_GB2312" w:cs="楷体_GB2312"/>
          <w:sz w:val="32"/>
          <w:szCs w:val="32"/>
        </w:rPr>
        <w:t>县财政局局长</w:t>
      </w:r>
      <w:r>
        <w:rPr>
          <w:rFonts w:ascii="楷体_GB2312" w:hAnsi="楷体_GB2312" w:eastAsia="楷体_GB2312" w:cs="楷体_GB2312"/>
          <w:sz w:val="32"/>
          <w:szCs w:val="32"/>
        </w:rPr>
        <w:t xml:space="preserve">  </w:t>
      </w:r>
      <w:r>
        <w:rPr>
          <w:rFonts w:hint="eastAsia" w:ascii="楷体_GB2312" w:hAnsi="楷体_GB2312" w:eastAsia="楷体_GB2312" w:cs="楷体_GB2312"/>
          <w:sz w:val="32"/>
          <w:szCs w:val="32"/>
        </w:rPr>
        <w:t>杨小江</w:t>
      </w:r>
    </w:p>
    <w:p>
      <w:pPr>
        <w:pStyle w:val="5"/>
        <w:shd w:val="clear"/>
        <w:autoSpaceDE w:val="0"/>
        <w:autoSpaceDN w:val="0"/>
        <w:spacing w:line="580" w:lineRule="exact"/>
        <w:rPr>
          <w:rFonts w:hint="eastAsia" w:ascii="仿宋_GB2312" w:eastAsia="仿宋_GB2312" w:cs="仿宋_GB2312"/>
          <w:sz w:val="32"/>
          <w:szCs w:val="32"/>
        </w:rPr>
      </w:pPr>
    </w:p>
    <w:p>
      <w:pPr>
        <w:pStyle w:val="5"/>
        <w:shd w:val="clear"/>
        <w:autoSpaceDE w:val="0"/>
        <w:autoSpaceDN w:val="0"/>
        <w:spacing w:line="580" w:lineRule="exact"/>
        <w:rPr>
          <w:rFonts w:ascii="仿宋_GB2312" w:eastAsia="仿宋_GB2312" w:cs="Times New Roman"/>
          <w:sz w:val="32"/>
          <w:szCs w:val="32"/>
        </w:rPr>
      </w:pPr>
      <w:r>
        <w:rPr>
          <w:rFonts w:hint="eastAsia" w:ascii="仿宋_GB2312" w:eastAsia="仿宋_GB2312" w:cs="仿宋_GB2312"/>
          <w:sz w:val="32"/>
          <w:szCs w:val="32"/>
        </w:rPr>
        <w:t>各位代表：</w:t>
      </w:r>
    </w:p>
    <w:p>
      <w:pPr>
        <w:pStyle w:val="5"/>
        <w:shd w:val="clear"/>
        <w:autoSpaceDE w:val="0"/>
        <w:autoSpaceDN w:val="0"/>
        <w:spacing w:line="580" w:lineRule="exact"/>
        <w:ind w:firstLine="600"/>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根据预算法规定，受县人民政府委托，向大会报告202</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年全县财政预算执行情况和</w:t>
      </w:r>
      <w:r>
        <w:rPr>
          <w:rFonts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2</w:t>
      </w:r>
      <w:r>
        <w:rPr>
          <w:rFonts w:hint="eastAsia" w:ascii="仿宋_GB2312" w:eastAsia="仿宋_GB2312" w:cs="仿宋_GB2312"/>
          <w:sz w:val="32"/>
          <w:szCs w:val="32"/>
          <w:highlight w:val="none"/>
        </w:rPr>
        <w:t>年财政预算草案，请予审查，并请各位政协委员、特邀和列席人员提出意见。</w:t>
      </w:r>
    </w:p>
    <w:p>
      <w:pPr>
        <w:pStyle w:val="5"/>
        <w:shd w:val="clear"/>
        <w:autoSpaceDE w:val="0"/>
        <w:autoSpaceDN w:val="0"/>
        <w:spacing w:line="580" w:lineRule="exact"/>
        <w:ind w:firstLine="600"/>
        <w:rPr>
          <w:rFonts w:hint="eastAsia" w:ascii="黑体" w:hAnsi="黑体" w:eastAsia="黑体" w:cs="黑体"/>
          <w:b w:val="0"/>
          <w:bCs w:val="0"/>
          <w:sz w:val="32"/>
          <w:szCs w:val="32"/>
          <w:highlight w:val="none"/>
        </w:rPr>
      </w:pPr>
      <w:r>
        <w:rPr>
          <w:rFonts w:hint="eastAsia" w:ascii="仿宋_GB2312" w:eastAsia="仿宋_GB2312" w:cs="仿宋_GB2312"/>
          <w:sz w:val="32"/>
          <w:szCs w:val="32"/>
          <w:highlight w:val="none"/>
          <w:lang w:val="en-US" w:eastAsia="zh-CN"/>
        </w:rPr>
        <w:t xml:space="preserve"> </w:t>
      </w:r>
      <w:r>
        <w:rPr>
          <w:rFonts w:hint="eastAsia" w:ascii="黑体" w:hAnsi="黑体" w:eastAsia="黑体" w:cs="黑体"/>
          <w:b w:val="0"/>
          <w:bCs w:val="0"/>
          <w:sz w:val="32"/>
          <w:szCs w:val="32"/>
          <w:highlight w:val="none"/>
        </w:rPr>
        <w:t>一、202</w:t>
      </w:r>
      <w:r>
        <w:rPr>
          <w:rFonts w:hint="eastAsia" w:ascii="黑体" w:hAnsi="黑体" w:eastAsia="黑体" w:cs="黑体"/>
          <w:b w:val="0"/>
          <w:bCs w:val="0"/>
          <w:sz w:val="32"/>
          <w:szCs w:val="32"/>
          <w:highlight w:val="none"/>
          <w:lang w:val="en-US" w:eastAsia="zh-CN"/>
        </w:rPr>
        <w:t>1</w:t>
      </w:r>
      <w:r>
        <w:rPr>
          <w:rFonts w:hint="eastAsia" w:ascii="黑体" w:hAnsi="黑体" w:eastAsia="黑体" w:cs="黑体"/>
          <w:b w:val="0"/>
          <w:bCs w:val="0"/>
          <w:sz w:val="32"/>
          <w:szCs w:val="32"/>
          <w:highlight w:val="none"/>
        </w:rPr>
        <w:t>年财政预算执行情况</w:t>
      </w:r>
    </w:p>
    <w:p>
      <w:pPr>
        <w:pStyle w:val="5"/>
        <w:shd w:val="clear"/>
        <w:autoSpaceDE w:val="0"/>
        <w:autoSpaceDN w:val="0"/>
        <w:spacing w:line="580" w:lineRule="exact"/>
        <w:ind w:firstLine="600"/>
        <w:rPr>
          <w:rFonts w:hint="eastAsia" w:ascii="仿宋_GB2312" w:hAnsi="仿宋_GB2312" w:eastAsia="仿宋_GB2312" w:cs="Times New Roman"/>
          <w:kern w:val="0"/>
          <w:sz w:val="32"/>
          <w:szCs w:val="32"/>
        </w:rPr>
      </w:pPr>
      <w:r>
        <w:rPr>
          <w:rFonts w:hint="eastAsia" w:ascii="仿宋_GB2312" w:eastAsia="仿宋_GB2312" w:cs="仿宋_GB2312"/>
          <w:sz w:val="32"/>
          <w:szCs w:val="32"/>
          <w:highlight w:val="none"/>
        </w:rPr>
        <w:t>202</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rPr>
        <w:t>年是党和国家历史上具有里程碑意义的一年。面对</w:t>
      </w:r>
      <w:r>
        <w:rPr>
          <w:rFonts w:hint="eastAsia" w:ascii="仿宋_GB2312" w:eastAsia="仿宋_GB2312" w:cs="仿宋_GB2312"/>
          <w:sz w:val="32"/>
          <w:szCs w:val="32"/>
          <w:highlight w:val="none"/>
          <w:lang w:eastAsia="zh-CN"/>
        </w:rPr>
        <w:t>国内外严峻的经济形势和</w:t>
      </w:r>
      <w:r>
        <w:rPr>
          <w:rFonts w:hint="eastAsia" w:ascii="仿宋_GB2312" w:eastAsia="仿宋_GB2312" w:cs="仿宋_GB2312"/>
          <w:sz w:val="32"/>
          <w:szCs w:val="32"/>
          <w:highlight w:val="none"/>
        </w:rPr>
        <w:t>收</w:t>
      </w:r>
      <w:r>
        <w:rPr>
          <w:rFonts w:hint="eastAsia" w:ascii="仿宋_GB2312" w:hAnsi="仿宋_GB2312" w:eastAsia="仿宋_GB2312" w:cs="Times New Roman"/>
          <w:sz w:val="32"/>
          <w:szCs w:val="32"/>
        </w:rPr>
        <w:t>支矛盾日益加剧的巨大压力</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财政部门在县委</w:t>
      </w:r>
      <w:r>
        <w:rPr>
          <w:rFonts w:hint="eastAsia" w:ascii="仿宋_GB2312" w:hAnsi="仿宋_GB2312" w:eastAsia="仿宋_GB2312" w:cs="Times New Roman"/>
          <w:sz w:val="32"/>
          <w:szCs w:val="32"/>
          <w:lang w:eastAsia="zh-CN"/>
        </w:rPr>
        <w:t>县政府</w:t>
      </w:r>
      <w:r>
        <w:rPr>
          <w:rFonts w:hint="eastAsia" w:ascii="仿宋_GB2312" w:hAnsi="仿宋_GB2312" w:eastAsia="仿宋_GB2312" w:cs="Times New Roman"/>
          <w:sz w:val="32"/>
          <w:szCs w:val="32"/>
        </w:rPr>
        <w:t>的坚强领导</w:t>
      </w:r>
      <w:r>
        <w:rPr>
          <w:rFonts w:hint="eastAsia" w:ascii="仿宋_GB2312" w:hAnsi="仿宋_GB2312" w:eastAsia="仿宋_GB2312" w:cs="Times New Roman"/>
          <w:sz w:val="32"/>
          <w:szCs w:val="32"/>
          <w:lang w:eastAsia="zh-CN"/>
        </w:rPr>
        <w:t>下，在</w:t>
      </w:r>
      <w:r>
        <w:rPr>
          <w:rFonts w:hint="eastAsia" w:ascii="仿宋_GB2312" w:hAnsi="仿宋_GB2312" w:eastAsia="仿宋_GB2312" w:cs="Times New Roman"/>
          <w:sz w:val="32"/>
          <w:szCs w:val="32"/>
        </w:rPr>
        <w:t>县人大</w:t>
      </w:r>
      <w:r>
        <w:rPr>
          <w:rFonts w:hint="eastAsia" w:ascii="仿宋_GB2312" w:hAnsi="仿宋_GB2312" w:eastAsia="仿宋_GB2312" w:cs="Times New Roman"/>
          <w:sz w:val="32"/>
          <w:szCs w:val="32"/>
          <w:lang w:eastAsia="zh-CN"/>
        </w:rPr>
        <w:t>、县政协</w:t>
      </w:r>
      <w:r>
        <w:rPr>
          <w:rFonts w:hint="eastAsia" w:ascii="仿宋_GB2312" w:hAnsi="仿宋_GB2312" w:eastAsia="仿宋_GB2312" w:cs="Times New Roman"/>
          <w:sz w:val="32"/>
          <w:szCs w:val="32"/>
        </w:rPr>
        <w:t>的监督指导</w:t>
      </w:r>
      <w:r>
        <w:rPr>
          <w:rFonts w:hint="eastAsia" w:ascii="仿宋_GB2312" w:hAnsi="仿宋_GB2312" w:eastAsia="仿宋_GB2312" w:cs="Times New Roman"/>
          <w:sz w:val="32"/>
          <w:szCs w:val="32"/>
          <w:lang w:eastAsia="zh-CN"/>
        </w:rPr>
        <w:t>和社会各界的关心支持下，紧紧围绕中央和省市县决策部署，紧扣“十四五”规划新起点和第二个一百年新征程奋斗目标，大力弘扬“三盯”精神、保持“三干”作风，统筹推进疫情防控和经济社会发展，扎实做好“六稳”工作，全面落实“六保”任务，全县经济运行稳中有进，预算执行</w:t>
      </w:r>
      <w:r>
        <w:rPr>
          <w:rFonts w:hint="eastAsia" w:ascii="仿宋_GB2312" w:hAnsi="仿宋_GB2312" w:eastAsia="仿宋_GB2312" w:cs="Times New Roman"/>
          <w:kern w:val="0"/>
          <w:sz w:val="32"/>
          <w:szCs w:val="32"/>
          <w:lang w:eastAsia="zh-CN"/>
        </w:rPr>
        <w:t>情况总体较好，“十四五”开局良好</w:t>
      </w:r>
      <w:r>
        <w:rPr>
          <w:rFonts w:hint="eastAsia" w:ascii="仿宋_GB2312" w:hAnsi="仿宋_GB2312" w:eastAsia="仿宋_GB2312" w:cs="Times New Roman"/>
          <w:kern w:val="0"/>
          <w:sz w:val="32"/>
          <w:szCs w:val="32"/>
        </w:rPr>
        <w:t>。</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line="580" w:lineRule="exact"/>
        <w:ind w:firstLine="643" w:firstLineChars="200"/>
        <w:textAlignment w:val="auto"/>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w:t>
      </w:r>
      <w:r>
        <w:rPr>
          <w:rFonts w:hint="eastAsia" w:ascii="楷体_GB2312" w:hAnsi="楷体_GB2312" w:eastAsia="楷体_GB2312" w:cs="楷体_GB2312"/>
          <w:b/>
          <w:bCs/>
          <w:kern w:val="0"/>
          <w:sz w:val="32"/>
          <w:szCs w:val="32"/>
          <w:lang w:val="en-US" w:eastAsia="zh-CN"/>
        </w:rPr>
        <w:t>2021年</w:t>
      </w:r>
      <w:r>
        <w:rPr>
          <w:rFonts w:hint="eastAsia" w:ascii="楷体_GB2312" w:hAnsi="楷体_GB2312" w:eastAsia="楷体_GB2312" w:cs="楷体_GB2312"/>
          <w:b/>
          <w:bCs/>
          <w:kern w:val="0"/>
          <w:sz w:val="32"/>
          <w:szCs w:val="32"/>
          <w:lang w:eastAsia="zh-CN"/>
        </w:rPr>
        <w:t>财政</w:t>
      </w:r>
      <w:r>
        <w:rPr>
          <w:rFonts w:hint="eastAsia" w:ascii="楷体_GB2312" w:hAnsi="楷体_GB2312" w:eastAsia="楷体_GB2312" w:cs="楷体_GB2312"/>
          <w:b/>
          <w:bCs/>
          <w:kern w:val="0"/>
          <w:sz w:val="32"/>
          <w:szCs w:val="32"/>
        </w:rPr>
        <w:t>预算</w:t>
      </w:r>
      <w:r>
        <w:rPr>
          <w:rFonts w:hint="eastAsia" w:ascii="楷体_GB2312" w:hAnsi="楷体_GB2312" w:eastAsia="楷体_GB2312" w:cs="楷体_GB2312"/>
          <w:b/>
          <w:bCs/>
          <w:kern w:val="0"/>
          <w:sz w:val="32"/>
          <w:szCs w:val="32"/>
          <w:lang w:eastAsia="zh-CN"/>
        </w:rPr>
        <w:t>收支</w:t>
      </w:r>
      <w:r>
        <w:rPr>
          <w:rFonts w:hint="eastAsia" w:ascii="楷体_GB2312" w:hAnsi="楷体_GB2312" w:eastAsia="楷体_GB2312" w:cs="楷体_GB2312"/>
          <w:b/>
          <w:bCs/>
          <w:kern w:val="0"/>
          <w:sz w:val="32"/>
          <w:szCs w:val="32"/>
        </w:rPr>
        <w:t>执行情况</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line="580" w:lineRule="exact"/>
        <w:ind w:firstLine="643" w:firstLineChars="200"/>
        <w:textAlignment w:val="auto"/>
        <w:rPr>
          <w:rFonts w:hint="default" w:ascii="仿宋_GB2312" w:hAnsi="仿宋_GB2312" w:eastAsia="仿宋_GB2312" w:cs="Times New Roman"/>
          <w:b/>
          <w:bCs/>
          <w:kern w:val="0"/>
          <w:sz w:val="32"/>
          <w:szCs w:val="32"/>
          <w:lang w:val="en-US" w:eastAsia="zh-CN"/>
        </w:rPr>
      </w:pPr>
      <w:r>
        <w:rPr>
          <w:rFonts w:hint="eastAsia" w:ascii="仿宋_GB2312" w:hAnsi="仿宋_GB2312" w:eastAsia="仿宋_GB2312" w:cs="Times New Roman"/>
          <w:b/>
          <w:bCs/>
          <w:kern w:val="0"/>
          <w:sz w:val="32"/>
          <w:szCs w:val="32"/>
          <w:lang w:val="en-US" w:eastAsia="zh-CN"/>
        </w:rPr>
        <w:t>1.一般公共预算</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line="580" w:lineRule="exact"/>
        <w:ind w:firstLine="643" w:firstLineChars="200"/>
        <w:textAlignment w:val="auto"/>
        <w:rPr>
          <w:rFonts w:hint="eastAsia" w:ascii="仿宋_GB2312" w:hAnsi="仿宋_GB2312" w:eastAsia="仿宋_GB2312" w:cs="Times New Roman"/>
          <w:kern w:val="0"/>
          <w:sz w:val="32"/>
          <w:szCs w:val="32"/>
        </w:rPr>
      </w:pPr>
      <w:r>
        <w:rPr>
          <w:rFonts w:hint="eastAsia" w:ascii="仿宋_GB2312" w:hAnsi="仿宋_GB2312" w:eastAsia="仿宋_GB2312" w:cs="Times New Roman"/>
          <w:b/>
          <w:bCs/>
          <w:kern w:val="0"/>
          <w:sz w:val="32"/>
          <w:szCs w:val="32"/>
        </w:rPr>
        <w:t>收入预算执行情况：</w:t>
      </w:r>
      <w:r>
        <w:rPr>
          <w:rFonts w:hint="eastAsia" w:ascii="仿宋_GB2312" w:hAnsi="仿宋_GB2312" w:eastAsia="仿宋_GB2312" w:cs="Times New Roman"/>
          <w:kern w:val="0"/>
          <w:sz w:val="32"/>
          <w:szCs w:val="32"/>
          <w:lang w:val="en-US" w:eastAsia="zh-CN"/>
        </w:rPr>
        <w:t>据简表数统计，</w:t>
      </w:r>
      <w:r>
        <w:rPr>
          <w:rFonts w:hint="eastAsia" w:ascii="仿宋_GB2312" w:hAnsi="仿宋_GB2312" w:eastAsia="仿宋_GB2312" w:cs="Times New Roman"/>
          <w:kern w:val="0"/>
          <w:sz w:val="32"/>
          <w:szCs w:val="32"/>
        </w:rPr>
        <w:t>202</w:t>
      </w:r>
      <w:r>
        <w:rPr>
          <w:rFonts w:hint="eastAsia" w:ascii="仿宋_GB2312" w:hAnsi="仿宋_GB2312" w:eastAsia="仿宋_GB2312" w:cs="Times New Roman"/>
          <w:kern w:val="0"/>
          <w:sz w:val="32"/>
          <w:szCs w:val="32"/>
          <w:lang w:val="en-US" w:eastAsia="zh-CN"/>
        </w:rPr>
        <w:t>1</w:t>
      </w:r>
      <w:r>
        <w:rPr>
          <w:rFonts w:hint="eastAsia" w:ascii="仿宋_GB2312" w:hAnsi="仿宋_GB2312" w:eastAsia="仿宋_GB2312" w:cs="Times New Roman"/>
          <w:kern w:val="0"/>
          <w:sz w:val="32"/>
          <w:szCs w:val="32"/>
        </w:rPr>
        <w:t>年地方一般公共预算收入完成</w:t>
      </w:r>
      <w:r>
        <w:rPr>
          <w:rFonts w:hint="eastAsia" w:ascii="仿宋_GB2312" w:hAnsi="仿宋_GB2312" w:eastAsia="仿宋_GB2312" w:cs="Times New Roman"/>
          <w:kern w:val="0"/>
          <w:sz w:val="32"/>
          <w:szCs w:val="32"/>
          <w:lang w:val="en-US" w:eastAsia="zh-CN"/>
        </w:rPr>
        <w:t>12.7</w:t>
      </w:r>
      <w:r>
        <w:rPr>
          <w:rFonts w:hint="eastAsia" w:ascii="仿宋_GB2312" w:hAnsi="仿宋_GB2312" w:eastAsia="仿宋_GB2312" w:cs="Times New Roman"/>
          <w:kern w:val="0"/>
          <w:sz w:val="32"/>
          <w:szCs w:val="32"/>
        </w:rPr>
        <w:t>亿元，比年初预算超收</w:t>
      </w:r>
      <w:r>
        <w:rPr>
          <w:rFonts w:hint="eastAsia" w:ascii="仿宋_GB2312" w:hAnsi="仿宋_GB2312" w:eastAsia="仿宋_GB2312" w:cs="Times New Roman"/>
          <w:kern w:val="0"/>
          <w:sz w:val="32"/>
          <w:szCs w:val="32"/>
          <w:lang w:val="en-US" w:eastAsia="zh-CN"/>
        </w:rPr>
        <w:t>1.42</w:t>
      </w:r>
      <w:r>
        <w:rPr>
          <w:rFonts w:hint="eastAsia" w:ascii="仿宋_GB2312" w:hAnsi="仿宋_GB2312" w:eastAsia="仿宋_GB2312" w:cs="Times New Roman"/>
          <w:kern w:val="0"/>
          <w:sz w:val="32"/>
          <w:szCs w:val="32"/>
        </w:rPr>
        <w:t>亿元，比上年增加</w:t>
      </w:r>
      <w:r>
        <w:rPr>
          <w:rFonts w:hint="eastAsia" w:ascii="仿宋_GB2312" w:hAnsi="仿宋_GB2312" w:eastAsia="仿宋_GB2312" w:cs="Times New Roman"/>
          <w:kern w:val="0"/>
          <w:sz w:val="32"/>
          <w:szCs w:val="32"/>
          <w:lang w:val="en-US" w:eastAsia="zh-CN"/>
        </w:rPr>
        <w:t>2.06</w:t>
      </w:r>
      <w:r>
        <w:rPr>
          <w:rFonts w:hint="eastAsia" w:ascii="仿宋_GB2312" w:hAnsi="仿宋_GB2312" w:eastAsia="仿宋_GB2312" w:cs="Times New Roman"/>
          <w:kern w:val="0"/>
          <w:sz w:val="32"/>
          <w:szCs w:val="32"/>
        </w:rPr>
        <w:t>亿元，增长</w:t>
      </w:r>
      <w:r>
        <w:rPr>
          <w:rFonts w:hint="eastAsia" w:ascii="仿宋_GB2312" w:hAnsi="仿宋_GB2312" w:eastAsia="仿宋_GB2312" w:cs="Times New Roman"/>
          <w:kern w:val="0"/>
          <w:sz w:val="32"/>
          <w:szCs w:val="32"/>
          <w:lang w:val="en-US" w:eastAsia="zh-CN"/>
        </w:rPr>
        <w:t>19.35</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eastAsia="zh-CN"/>
        </w:rPr>
        <w:t>，排全市第二</w:t>
      </w:r>
      <w:r>
        <w:rPr>
          <w:rFonts w:hint="eastAsia" w:ascii="仿宋_GB2312" w:hAnsi="仿宋_GB2312" w:eastAsia="仿宋_GB2312" w:cs="Times New Roman"/>
          <w:kern w:val="0"/>
          <w:sz w:val="32"/>
          <w:szCs w:val="32"/>
        </w:rPr>
        <w:t>。其中：地方税收收入</w:t>
      </w:r>
      <w:r>
        <w:rPr>
          <w:rFonts w:hint="eastAsia" w:ascii="仿宋_GB2312" w:hAnsi="仿宋_GB2312" w:eastAsia="仿宋_GB2312" w:cs="Times New Roman"/>
          <w:kern w:val="0"/>
          <w:sz w:val="32"/>
          <w:szCs w:val="32"/>
          <w:lang w:val="en-US" w:eastAsia="zh-CN"/>
        </w:rPr>
        <w:t>9.64</w:t>
      </w:r>
      <w:r>
        <w:rPr>
          <w:rFonts w:hint="eastAsia" w:ascii="仿宋_GB2312" w:hAnsi="仿宋_GB2312" w:eastAsia="仿宋_GB2312" w:cs="Times New Roman"/>
          <w:kern w:val="0"/>
          <w:sz w:val="32"/>
          <w:szCs w:val="32"/>
        </w:rPr>
        <w:t>亿元，</w:t>
      </w:r>
      <w:r>
        <w:rPr>
          <w:rFonts w:hint="eastAsia" w:ascii="仿宋_GB2312" w:hAnsi="仿宋_GB2312" w:eastAsia="仿宋_GB2312" w:cs="Times New Roman"/>
          <w:kern w:val="0"/>
          <w:sz w:val="32"/>
          <w:szCs w:val="32"/>
          <w:lang w:eastAsia="zh-CN"/>
        </w:rPr>
        <w:t>完成年初</w:t>
      </w:r>
      <w:r>
        <w:rPr>
          <w:rFonts w:hint="eastAsia" w:ascii="仿宋_GB2312" w:hAnsi="仿宋_GB2312" w:eastAsia="仿宋_GB2312" w:cs="Times New Roman"/>
          <w:kern w:val="0"/>
          <w:sz w:val="32"/>
          <w:szCs w:val="32"/>
        </w:rPr>
        <w:t>预算的</w:t>
      </w:r>
      <w:r>
        <w:rPr>
          <w:rFonts w:hint="eastAsia" w:ascii="仿宋_GB2312" w:hAnsi="仿宋_GB2312" w:eastAsia="仿宋_GB2312" w:cs="Times New Roman"/>
          <w:kern w:val="0"/>
          <w:sz w:val="32"/>
          <w:szCs w:val="32"/>
          <w:lang w:val="en-US" w:eastAsia="zh-CN"/>
        </w:rPr>
        <w:t>114.4</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eastAsia="zh-CN"/>
        </w:rPr>
        <w:t>比上年</w:t>
      </w:r>
      <w:r>
        <w:rPr>
          <w:rFonts w:hint="eastAsia" w:ascii="仿宋_GB2312" w:hAnsi="仿宋_GB2312" w:eastAsia="仿宋_GB2312" w:cs="Times New Roman"/>
          <w:kern w:val="0"/>
          <w:sz w:val="32"/>
          <w:szCs w:val="32"/>
        </w:rPr>
        <w:t>增长</w:t>
      </w:r>
      <w:r>
        <w:rPr>
          <w:rFonts w:hint="eastAsia" w:ascii="仿宋_GB2312" w:hAnsi="仿宋_GB2312" w:eastAsia="仿宋_GB2312" w:cs="Times New Roman"/>
          <w:kern w:val="0"/>
          <w:sz w:val="32"/>
          <w:szCs w:val="32"/>
          <w:lang w:val="en-US" w:eastAsia="zh-CN"/>
        </w:rPr>
        <w:t>21.6</w:t>
      </w:r>
      <w:r>
        <w:rPr>
          <w:rFonts w:hint="eastAsia" w:ascii="仿宋_GB2312" w:hAnsi="仿宋_GB2312" w:eastAsia="仿宋_GB2312" w:cs="Times New Roman"/>
          <w:kern w:val="0"/>
          <w:sz w:val="32"/>
          <w:szCs w:val="32"/>
        </w:rPr>
        <w:t>%；非税收入</w:t>
      </w:r>
      <w:r>
        <w:rPr>
          <w:rFonts w:hint="eastAsia" w:ascii="仿宋_GB2312" w:hAnsi="仿宋_GB2312" w:eastAsia="仿宋_GB2312" w:cs="Times New Roman"/>
          <w:kern w:val="0"/>
          <w:sz w:val="32"/>
          <w:szCs w:val="32"/>
          <w:lang w:val="en-US" w:eastAsia="zh-CN"/>
        </w:rPr>
        <w:t>3.06</w:t>
      </w:r>
      <w:r>
        <w:rPr>
          <w:rFonts w:hint="eastAsia" w:ascii="仿宋_GB2312" w:hAnsi="仿宋_GB2312" w:eastAsia="仿宋_GB2312" w:cs="Times New Roman"/>
          <w:kern w:val="0"/>
          <w:sz w:val="32"/>
          <w:szCs w:val="32"/>
        </w:rPr>
        <w:t>亿元，</w:t>
      </w:r>
      <w:r>
        <w:rPr>
          <w:rFonts w:hint="eastAsia" w:ascii="仿宋_GB2312" w:hAnsi="仿宋_GB2312" w:eastAsia="仿宋_GB2312" w:cs="Times New Roman"/>
          <w:kern w:val="0"/>
          <w:sz w:val="32"/>
          <w:szCs w:val="32"/>
          <w:lang w:eastAsia="zh-CN"/>
        </w:rPr>
        <w:t>完成年初</w:t>
      </w:r>
      <w:r>
        <w:rPr>
          <w:rFonts w:hint="eastAsia" w:ascii="仿宋_GB2312" w:hAnsi="仿宋_GB2312" w:eastAsia="仿宋_GB2312" w:cs="Times New Roman"/>
          <w:kern w:val="0"/>
          <w:sz w:val="32"/>
          <w:szCs w:val="32"/>
        </w:rPr>
        <w:t>预算的</w:t>
      </w:r>
      <w:r>
        <w:rPr>
          <w:rFonts w:hint="eastAsia" w:ascii="仿宋_GB2312" w:hAnsi="仿宋_GB2312" w:eastAsia="仿宋_GB2312" w:cs="Times New Roman"/>
          <w:kern w:val="0"/>
          <w:sz w:val="32"/>
          <w:szCs w:val="32"/>
          <w:lang w:val="en-US" w:eastAsia="zh-CN"/>
        </w:rPr>
        <w:t>107.2</w:t>
      </w:r>
      <w:r>
        <w:rPr>
          <w:rFonts w:hint="eastAsia" w:ascii="仿宋_GB2312" w:hAnsi="仿宋_GB2312" w:eastAsia="仿宋_GB2312" w:cs="Times New Roman"/>
          <w:kern w:val="0"/>
          <w:sz w:val="32"/>
          <w:szCs w:val="32"/>
        </w:rPr>
        <w:t>%，</w:t>
      </w:r>
      <w:r>
        <w:rPr>
          <w:rFonts w:hint="eastAsia" w:ascii="仿宋_GB2312" w:hAnsi="仿宋_GB2312" w:eastAsia="仿宋_GB2312" w:cs="Times New Roman"/>
          <w:kern w:val="0"/>
          <w:sz w:val="32"/>
          <w:szCs w:val="32"/>
          <w:lang w:eastAsia="zh-CN"/>
        </w:rPr>
        <w:t>比上年</w:t>
      </w:r>
      <w:r>
        <w:rPr>
          <w:rFonts w:hint="eastAsia" w:ascii="仿宋_GB2312" w:hAnsi="仿宋_GB2312" w:eastAsia="仿宋_GB2312" w:cs="Times New Roman"/>
          <w:kern w:val="0"/>
          <w:sz w:val="32"/>
          <w:szCs w:val="32"/>
        </w:rPr>
        <w:t>增长</w:t>
      </w:r>
      <w:r>
        <w:rPr>
          <w:rFonts w:hint="eastAsia" w:ascii="仿宋_GB2312" w:hAnsi="仿宋_GB2312" w:eastAsia="仿宋_GB2312" w:cs="Times New Roman"/>
          <w:kern w:val="0"/>
          <w:sz w:val="32"/>
          <w:szCs w:val="32"/>
          <w:lang w:val="en-US" w:eastAsia="zh-CN"/>
        </w:rPr>
        <w:t>12.9</w:t>
      </w:r>
      <w:r>
        <w:rPr>
          <w:rFonts w:hint="eastAsia" w:ascii="仿宋_GB2312" w:hAnsi="仿宋_GB2312" w:eastAsia="仿宋_GB2312" w:cs="Times New Roman"/>
          <w:kern w:val="0"/>
          <w:sz w:val="32"/>
          <w:szCs w:val="32"/>
        </w:rPr>
        <w:t>%。地方税收收入占地方一般公共预算收入的比重为</w:t>
      </w:r>
      <w:r>
        <w:rPr>
          <w:rFonts w:hint="eastAsia" w:ascii="仿宋_GB2312" w:hAnsi="仿宋_GB2312" w:eastAsia="仿宋_GB2312" w:cs="Times New Roman"/>
          <w:kern w:val="0"/>
          <w:sz w:val="32"/>
          <w:szCs w:val="32"/>
          <w:lang w:val="en-US" w:eastAsia="zh-CN"/>
        </w:rPr>
        <w:t>75.9</w:t>
      </w:r>
      <w:r>
        <w:rPr>
          <w:rFonts w:hint="eastAsia" w:ascii="仿宋_GB2312" w:hAnsi="仿宋_GB2312" w:eastAsia="仿宋_GB2312" w:cs="Times New Roman"/>
          <w:kern w:val="0"/>
          <w:sz w:val="32"/>
          <w:szCs w:val="32"/>
        </w:rPr>
        <w:t>%，比上年提高1.4个百分点。</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line="580" w:lineRule="exact"/>
        <w:ind w:firstLine="643" w:firstLineChars="200"/>
        <w:textAlignment w:val="auto"/>
        <w:rPr>
          <w:rFonts w:hint="eastAsia" w:ascii="仿宋_GB2312" w:hAnsi="仿宋_GB2312" w:eastAsia="仿宋_GB2312" w:cs="Times New Roman"/>
          <w:kern w:val="0"/>
          <w:sz w:val="32"/>
          <w:szCs w:val="32"/>
          <w:highlight w:val="none"/>
          <w:lang w:val="en-US" w:eastAsia="zh-CN"/>
        </w:rPr>
      </w:pPr>
      <w:r>
        <w:rPr>
          <w:rFonts w:hint="eastAsia" w:ascii="仿宋_GB2312" w:hAnsi="仿宋_GB2312" w:eastAsia="仿宋_GB2312" w:cs="Times New Roman"/>
          <w:b/>
          <w:bCs/>
          <w:kern w:val="0"/>
          <w:sz w:val="32"/>
          <w:szCs w:val="32"/>
          <w:highlight w:val="none"/>
        </w:rPr>
        <w:t>支出预算执行情况：</w:t>
      </w:r>
      <w:r>
        <w:rPr>
          <w:rFonts w:hint="eastAsia" w:ascii="仿宋_GB2312" w:hAnsi="仿宋_GB2312" w:eastAsia="仿宋_GB2312" w:cs="Times New Roman"/>
          <w:b w:val="0"/>
          <w:bCs w:val="0"/>
          <w:kern w:val="0"/>
          <w:sz w:val="32"/>
          <w:szCs w:val="32"/>
          <w:highlight w:val="none"/>
          <w:lang w:val="en-US" w:eastAsia="zh-CN"/>
        </w:rPr>
        <w:t>据简表数统计，</w:t>
      </w:r>
      <w:r>
        <w:rPr>
          <w:rFonts w:hint="eastAsia" w:ascii="仿宋_GB2312" w:hAnsi="仿宋_GB2312" w:eastAsia="仿宋_GB2312" w:cs="Times New Roman"/>
          <w:kern w:val="0"/>
          <w:sz w:val="32"/>
          <w:szCs w:val="32"/>
          <w:highlight w:val="none"/>
          <w:lang w:val="en-US" w:eastAsia="zh-CN"/>
        </w:rPr>
        <w:t>2021年全县一般公共预算支出完成47.28亿元，比上年增加2.83亿元，增长6.4%。支出按功能科目分类，主要项目完成情况：教育支出10.01亿元，增长6.5%；公共安全支出1.38亿元，增长0.8%；文化体育与传媒支出0.79亿元，增长19.2%，科学技术支出1.3亿元，增长19.9%；社会保障和就业支出9.08亿元，增长25.3%；卫生健康支出7.75亿元，增长16.1%；节能环保支出0.89亿元，减少17.5%；农林水支出7.28亿元，增长0.8%；交通运输支出1.54亿元，增长17.6%。</w:t>
      </w:r>
    </w:p>
    <w:p>
      <w:pPr>
        <w:pStyle w:val="5"/>
        <w:keepNext w:val="0"/>
        <w:keepLines w:val="0"/>
        <w:pageBreakBefore w:val="0"/>
        <w:widowControl w:val="0"/>
        <w:numPr>
          <w:ilvl w:val="0"/>
          <w:numId w:val="0"/>
        </w:numPr>
        <w:shd w:val="clear"/>
        <w:kinsoku/>
        <w:wordWrap/>
        <w:overflowPunct/>
        <w:topLinePunct w:val="0"/>
        <w:autoSpaceDE w:val="0"/>
        <w:autoSpaceDN w:val="0"/>
        <w:bidi w:val="0"/>
        <w:adjustRightInd/>
        <w:snapToGrid/>
        <w:spacing w:line="580" w:lineRule="exact"/>
        <w:ind w:firstLine="643" w:firstLineChars="200"/>
        <w:textAlignment w:val="auto"/>
        <w:rPr>
          <w:rFonts w:ascii="仿宋_GB2312" w:hAnsi="Times New Roman" w:eastAsia="仿宋_GB2312" w:cs="Times New Roman"/>
          <w:sz w:val="32"/>
          <w:szCs w:val="32"/>
        </w:rPr>
      </w:pPr>
      <w:r>
        <w:rPr>
          <w:rFonts w:hint="eastAsia" w:ascii="仿宋_GB2312" w:hAnsi="仿宋_GB2312" w:eastAsia="仿宋_GB2312" w:cs="Times New Roman"/>
          <w:b/>
          <w:bCs/>
          <w:kern w:val="0"/>
          <w:sz w:val="32"/>
          <w:szCs w:val="32"/>
          <w:lang w:val="en-US" w:eastAsia="zh-CN"/>
        </w:rPr>
        <w:t>财政收支平衡</w:t>
      </w:r>
      <w:r>
        <w:rPr>
          <w:rFonts w:hint="eastAsia" w:ascii="仿宋_GB2312" w:hAnsi="仿宋_GB2312" w:eastAsia="仿宋_GB2312" w:cs="Times New Roman"/>
          <w:b/>
          <w:bCs/>
          <w:kern w:val="0"/>
          <w:sz w:val="32"/>
          <w:szCs w:val="32"/>
        </w:rPr>
        <w:t>情况</w:t>
      </w:r>
      <w:r>
        <w:rPr>
          <w:rFonts w:hint="eastAsia" w:ascii="仿宋_GB2312" w:hAnsi="仿宋_GB2312" w:eastAsia="仿宋_GB2312" w:cs="Times New Roman"/>
          <w:b/>
          <w:bCs/>
          <w:sz w:val="32"/>
          <w:szCs w:val="32"/>
        </w:rPr>
        <w:t>：</w:t>
      </w:r>
      <w:r>
        <w:rPr>
          <w:rFonts w:hint="eastAsia" w:ascii="仿宋_GB2312" w:hAnsi="仿宋_GB2312" w:eastAsia="仿宋_GB2312" w:cs="Times New Roman"/>
          <w:b w:val="0"/>
          <w:bCs w:val="0"/>
          <w:kern w:val="0"/>
          <w:sz w:val="32"/>
          <w:szCs w:val="32"/>
          <w:lang w:val="en-US" w:eastAsia="zh-CN"/>
        </w:rPr>
        <w:t>据简表数统计，</w:t>
      </w:r>
      <w:r>
        <w:rPr>
          <w:rFonts w:hint="eastAsia" w:ascii="仿宋_GB2312" w:hAnsi="仿宋_GB2312" w:eastAsia="仿宋_GB2312" w:cs="Times New Roman"/>
          <w:kern w:val="2"/>
          <w:sz w:val="32"/>
          <w:szCs w:val="32"/>
          <w:lang w:val="en-US" w:eastAsia="zh-CN" w:bidi="ar-SA"/>
        </w:rPr>
        <w:t>2021年县本级一般公共预算收入12.7亿元，返还性收入0.83亿元，一般性转移支付收入26.28亿元，专项转移支付收入2.4亿元，债券转贷收入5.92亿元，调入资金4亿元，上年结余0.17亿元，调入预算稳定调节基金0.15亿元。收入合计52.45亿元。减去2021年一般公共预算支出47.28亿元，上解支出0.38亿元，地方政府债券还本支出4.2亿元。2021年年末滚存结余0.59亿元。</w:t>
      </w:r>
    </w:p>
    <w:p>
      <w:pPr>
        <w:shd w:val="clear"/>
        <w:autoSpaceDE w:val="0"/>
        <w:autoSpaceDN w:val="0"/>
        <w:spacing w:line="580" w:lineRule="exact"/>
        <w:ind w:firstLine="643" w:firstLineChars="200"/>
        <w:rPr>
          <w:rFonts w:hint="eastAsia" w:ascii="仿宋_GB2312" w:hAnsi="仿宋_GB2312" w:eastAsia="仿宋_GB2312" w:cs="Times New Roman"/>
          <w:b/>
          <w:bCs/>
          <w:kern w:val="0"/>
          <w:sz w:val="32"/>
          <w:szCs w:val="32"/>
          <w:lang w:val="en-US" w:eastAsia="zh-CN" w:bidi="ar-SA"/>
        </w:rPr>
      </w:pPr>
      <w:r>
        <w:rPr>
          <w:rFonts w:hint="eastAsia" w:ascii="仿宋_GB2312" w:hAnsi="仿宋_GB2312" w:eastAsia="仿宋_GB2312" w:cs="Times New Roman"/>
          <w:b/>
          <w:bCs/>
          <w:kern w:val="0"/>
          <w:sz w:val="32"/>
          <w:szCs w:val="32"/>
          <w:lang w:val="en-US" w:eastAsia="zh-CN" w:bidi="ar-SA"/>
        </w:rPr>
        <w:t>2.政府性基金预算</w:t>
      </w:r>
    </w:p>
    <w:p>
      <w:pPr>
        <w:pStyle w:val="5"/>
        <w:shd w:val="clear"/>
        <w:autoSpaceDE w:val="0"/>
        <w:autoSpaceDN w:val="0"/>
        <w:spacing w:line="580" w:lineRule="exact"/>
        <w:ind w:firstLine="600"/>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lang w:val="en-US" w:eastAsia="zh-CN"/>
        </w:rPr>
        <w:t>据简表数统计，</w:t>
      </w:r>
      <w:r>
        <w:rPr>
          <w:rFonts w:hint="eastAsia" w:ascii="仿宋_GB2312" w:eastAsia="仿宋_GB2312" w:cs="仿宋_GB2312"/>
          <w:sz w:val="32"/>
          <w:szCs w:val="32"/>
          <w:highlight w:val="none"/>
          <w:lang w:eastAsia="zh-CN"/>
        </w:rPr>
        <w:t>202</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eastAsia="zh-CN"/>
        </w:rPr>
        <w:t>年县本级政府性基金收入完成</w:t>
      </w:r>
      <w:r>
        <w:rPr>
          <w:rFonts w:hint="eastAsia" w:ascii="仿宋_GB2312" w:eastAsia="仿宋_GB2312" w:cs="仿宋_GB2312"/>
          <w:sz w:val="32"/>
          <w:szCs w:val="32"/>
          <w:highlight w:val="none"/>
          <w:lang w:val="en-US" w:eastAsia="zh-CN"/>
        </w:rPr>
        <w:t>19.44</w:t>
      </w:r>
      <w:r>
        <w:rPr>
          <w:rFonts w:hint="eastAsia" w:ascii="仿宋_GB2312" w:eastAsia="仿宋_GB2312" w:cs="仿宋_GB2312"/>
          <w:sz w:val="32"/>
          <w:szCs w:val="32"/>
          <w:highlight w:val="none"/>
          <w:lang w:eastAsia="zh-CN"/>
        </w:rPr>
        <w:t>亿元，比年初预算增加</w:t>
      </w:r>
      <w:r>
        <w:rPr>
          <w:rFonts w:hint="eastAsia" w:ascii="仿宋_GB2312" w:eastAsia="仿宋_GB2312" w:cs="仿宋_GB2312"/>
          <w:sz w:val="32"/>
          <w:szCs w:val="32"/>
          <w:highlight w:val="none"/>
          <w:lang w:val="en-US" w:eastAsia="zh-CN"/>
        </w:rPr>
        <w:t>3.89</w:t>
      </w:r>
      <w:r>
        <w:rPr>
          <w:rFonts w:hint="eastAsia" w:ascii="仿宋_GB2312" w:eastAsia="仿宋_GB2312" w:cs="仿宋_GB2312"/>
          <w:sz w:val="32"/>
          <w:szCs w:val="32"/>
          <w:highlight w:val="none"/>
          <w:lang w:eastAsia="zh-CN"/>
        </w:rPr>
        <w:t>亿元，</w:t>
      </w:r>
      <w:r>
        <w:rPr>
          <w:rFonts w:hint="eastAsia" w:ascii="仿宋_GB2312" w:eastAsia="仿宋_GB2312" w:cs="仿宋_GB2312"/>
          <w:sz w:val="32"/>
          <w:szCs w:val="32"/>
          <w:highlight w:val="none"/>
          <w:lang w:val="en-US" w:eastAsia="zh-CN"/>
        </w:rPr>
        <w:t>专项指标</w:t>
      </w:r>
      <w:r>
        <w:rPr>
          <w:rFonts w:hint="eastAsia" w:ascii="仿宋_GB2312" w:eastAsia="仿宋_GB2312" w:cs="仿宋_GB2312"/>
          <w:sz w:val="32"/>
          <w:szCs w:val="32"/>
          <w:highlight w:val="none"/>
          <w:lang w:eastAsia="zh-CN"/>
        </w:rPr>
        <w:t>收入</w:t>
      </w:r>
      <w:r>
        <w:rPr>
          <w:rFonts w:hint="eastAsia" w:ascii="仿宋_GB2312" w:eastAsia="仿宋_GB2312" w:cs="仿宋_GB2312"/>
          <w:sz w:val="32"/>
          <w:szCs w:val="32"/>
          <w:highlight w:val="none"/>
          <w:lang w:val="en-US" w:eastAsia="zh-CN"/>
        </w:rPr>
        <w:t>0.99</w:t>
      </w:r>
      <w:r>
        <w:rPr>
          <w:rFonts w:hint="eastAsia" w:ascii="仿宋_GB2312" w:eastAsia="仿宋_GB2312" w:cs="仿宋_GB2312"/>
          <w:sz w:val="32"/>
          <w:szCs w:val="32"/>
          <w:highlight w:val="none"/>
          <w:lang w:eastAsia="zh-CN"/>
        </w:rPr>
        <w:t>亿元，地方政府专项债务转贷收入</w:t>
      </w:r>
      <w:r>
        <w:rPr>
          <w:rFonts w:hint="eastAsia" w:ascii="仿宋_GB2312" w:eastAsia="仿宋_GB2312" w:cs="仿宋_GB2312"/>
          <w:sz w:val="32"/>
          <w:szCs w:val="32"/>
          <w:highlight w:val="none"/>
          <w:lang w:val="en-US" w:eastAsia="zh-CN"/>
        </w:rPr>
        <w:t>8.81</w:t>
      </w:r>
      <w:r>
        <w:rPr>
          <w:rFonts w:hint="eastAsia" w:ascii="仿宋_GB2312" w:eastAsia="仿宋_GB2312" w:cs="仿宋_GB2312"/>
          <w:sz w:val="32"/>
          <w:szCs w:val="32"/>
          <w:highlight w:val="none"/>
          <w:lang w:eastAsia="zh-CN"/>
        </w:rPr>
        <w:t>亿元，上年结余</w:t>
      </w:r>
      <w:r>
        <w:rPr>
          <w:rFonts w:hint="eastAsia" w:ascii="仿宋_GB2312" w:eastAsia="仿宋_GB2312" w:cs="仿宋_GB2312"/>
          <w:sz w:val="32"/>
          <w:szCs w:val="32"/>
          <w:highlight w:val="none"/>
          <w:lang w:val="en-US" w:eastAsia="zh-CN"/>
        </w:rPr>
        <w:t>19</w:t>
      </w:r>
      <w:r>
        <w:rPr>
          <w:rFonts w:hint="eastAsia" w:ascii="仿宋_GB2312" w:eastAsia="仿宋_GB2312" w:cs="仿宋_GB2312"/>
          <w:sz w:val="32"/>
          <w:szCs w:val="32"/>
          <w:highlight w:val="none"/>
          <w:lang w:eastAsia="zh-CN"/>
        </w:rPr>
        <w:t>万元，收入合计</w:t>
      </w:r>
      <w:r>
        <w:rPr>
          <w:rFonts w:hint="eastAsia" w:ascii="仿宋_GB2312" w:eastAsia="仿宋_GB2312" w:cs="仿宋_GB2312"/>
          <w:sz w:val="32"/>
          <w:szCs w:val="32"/>
          <w:highlight w:val="none"/>
          <w:lang w:val="en-US" w:eastAsia="zh-CN"/>
        </w:rPr>
        <w:t>29.24</w:t>
      </w:r>
      <w:r>
        <w:rPr>
          <w:rFonts w:hint="eastAsia" w:ascii="仿宋_GB2312" w:eastAsia="仿宋_GB2312" w:cs="仿宋_GB2312"/>
          <w:sz w:val="32"/>
          <w:szCs w:val="32"/>
          <w:highlight w:val="none"/>
          <w:lang w:eastAsia="zh-CN"/>
        </w:rPr>
        <w:t>亿元。减去政府性基金支出</w:t>
      </w:r>
      <w:r>
        <w:rPr>
          <w:rFonts w:hint="eastAsia" w:ascii="仿宋_GB2312" w:eastAsia="仿宋_GB2312" w:cs="仿宋_GB2312"/>
          <w:sz w:val="32"/>
          <w:szCs w:val="32"/>
          <w:highlight w:val="none"/>
          <w:lang w:val="en-US" w:eastAsia="zh-CN"/>
        </w:rPr>
        <w:t>23.39</w:t>
      </w:r>
      <w:r>
        <w:rPr>
          <w:rFonts w:hint="eastAsia" w:ascii="仿宋_GB2312" w:eastAsia="仿宋_GB2312" w:cs="仿宋_GB2312"/>
          <w:sz w:val="32"/>
          <w:szCs w:val="32"/>
          <w:highlight w:val="none"/>
          <w:lang w:eastAsia="zh-CN"/>
        </w:rPr>
        <w:t>亿元，上解支出</w:t>
      </w:r>
      <w:r>
        <w:rPr>
          <w:rFonts w:hint="eastAsia" w:ascii="仿宋_GB2312" w:eastAsia="仿宋_GB2312" w:cs="仿宋_GB2312"/>
          <w:sz w:val="32"/>
          <w:szCs w:val="32"/>
          <w:highlight w:val="none"/>
          <w:lang w:val="en-US" w:eastAsia="zh-CN"/>
        </w:rPr>
        <w:t>100</w:t>
      </w:r>
      <w:r>
        <w:rPr>
          <w:rFonts w:hint="eastAsia" w:ascii="仿宋_GB2312" w:eastAsia="仿宋_GB2312" w:cs="仿宋_GB2312"/>
          <w:sz w:val="32"/>
          <w:szCs w:val="32"/>
          <w:highlight w:val="none"/>
          <w:lang w:eastAsia="zh-CN"/>
        </w:rPr>
        <w:t>万元，调出资金</w:t>
      </w:r>
      <w:r>
        <w:rPr>
          <w:rFonts w:hint="eastAsia" w:ascii="仿宋_GB2312" w:eastAsia="仿宋_GB2312" w:cs="仿宋_GB2312"/>
          <w:sz w:val="32"/>
          <w:szCs w:val="32"/>
          <w:highlight w:val="none"/>
          <w:lang w:val="en-US" w:eastAsia="zh-CN"/>
        </w:rPr>
        <w:t>4</w:t>
      </w:r>
      <w:r>
        <w:rPr>
          <w:rFonts w:hint="eastAsia" w:ascii="仿宋_GB2312" w:eastAsia="仿宋_GB2312" w:cs="仿宋_GB2312"/>
          <w:sz w:val="32"/>
          <w:szCs w:val="32"/>
          <w:highlight w:val="none"/>
          <w:lang w:eastAsia="zh-CN"/>
        </w:rPr>
        <w:t>亿元，地方政府专项债券还本支出0.</w:t>
      </w:r>
      <w:r>
        <w:rPr>
          <w:rFonts w:hint="eastAsia" w:ascii="仿宋_GB2312" w:eastAsia="仿宋_GB2312" w:cs="仿宋_GB2312"/>
          <w:sz w:val="32"/>
          <w:szCs w:val="32"/>
          <w:highlight w:val="none"/>
          <w:lang w:val="en-US" w:eastAsia="zh-CN"/>
        </w:rPr>
        <w:t>22</w:t>
      </w:r>
      <w:r>
        <w:rPr>
          <w:rFonts w:hint="eastAsia" w:ascii="仿宋_GB2312" w:eastAsia="仿宋_GB2312" w:cs="仿宋_GB2312"/>
          <w:sz w:val="32"/>
          <w:szCs w:val="32"/>
          <w:highlight w:val="none"/>
          <w:lang w:eastAsia="zh-CN"/>
        </w:rPr>
        <w:t>亿元。202</w:t>
      </w:r>
      <w:r>
        <w:rPr>
          <w:rFonts w:hint="eastAsia" w:ascii="仿宋_GB2312" w:eastAsia="仿宋_GB2312" w:cs="仿宋_GB2312"/>
          <w:sz w:val="32"/>
          <w:szCs w:val="32"/>
          <w:highlight w:val="none"/>
          <w:lang w:val="en-US" w:eastAsia="zh-CN"/>
        </w:rPr>
        <w:t>1</w:t>
      </w:r>
      <w:r>
        <w:rPr>
          <w:rFonts w:hint="eastAsia" w:ascii="仿宋_GB2312" w:eastAsia="仿宋_GB2312" w:cs="仿宋_GB2312"/>
          <w:sz w:val="32"/>
          <w:szCs w:val="32"/>
          <w:highlight w:val="none"/>
          <w:lang w:eastAsia="zh-CN"/>
        </w:rPr>
        <w:t>年年末滚存结余</w:t>
      </w:r>
      <w:r>
        <w:rPr>
          <w:rFonts w:hint="eastAsia" w:ascii="仿宋_GB2312" w:eastAsia="仿宋_GB2312" w:cs="仿宋_GB2312"/>
          <w:sz w:val="32"/>
          <w:szCs w:val="32"/>
          <w:highlight w:val="none"/>
          <w:lang w:val="en-US" w:eastAsia="zh-CN"/>
        </w:rPr>
        <w:t>1.62亿</w:t>
      </w:r>
      <w:r>
        <w:rPr>
          <w:rFonts w:hint="eastAsia" w:ascii="仿宋_GB2312" w:eastAsia="仿宋_GB2312" w:cs="仿宋_GB2312"/>
          <w:sz w:val="32"/>
          <w:szCs w:val="32"/>
          <w:highlight w:val="none"/>
          <w:lang w:eastAsia="zh-CN"/>
        </w:rPr>
        <w:t>元。</w:t>
      </w:r>
    </w:p>
    <w:p>
      <w:pPr>
        <w:shd w:val="clear"/>
        <w:autoSpaceDE w:val="0"/>
        <w:autoSpaceDN w:val="0"/>
        <w:spacing w:line="580" w:lineRule="exact"/>
        <w:ind w:firstLine="643" w:firstLineChars="200"/>
        <w:rPr>
          <w:rFonts w:hint="eastAsia" w:ascii="仿宋_GB2312" w:hAnsi="仿宋_GB2312" w:eastAsia="仿宋_GB2312" w:cs="Times New Roman"/>
          <w:b/>
          <w:bCs/>
          <w:kern w:val="0"/>
          <w:sz w:val="32"/>
          <w:szCs w:val="32"/>
          <w:highlight w:val="none"/>
          <w:lang w:val="en-US" w:eastAsia="zh-CN" w:bidi="ar-SA"/>
        </w:rPr>
      </w:pPr>
      <w:r>
        <w:rPr>
          <w:rFonts w:hint="eastAsia" w:ascii="仿宋_GB2312" w:hAnsi="仿宋_GB2312" w:eastAsia="仿宋_GB2312" w:cs="Times New Roman"/>
          <w:b/>
          <w:bCs/>
          <w:kern w:val="0"/>
          <w:sz w:val="32"/>
          <w:szCs w:val="32"/>
          <w:lang w:val="en-US" w:eastAsia="zh-CN" w:bidi="ar-SA"/>
        </w:rPr>
        <w:t>3.</w:t>
      </w:r>
      <w:r>
        <w:rPr>
          <w:rFonts w:hint="eastAsia" w:ascii="仿宋_GB2312" w:hAnsi="仿宋_GB2312" w:eastAsia="仿宋_GB2312" w:cs="Times New Roman"/>
          <w:b/>
          <w:bCs/>
          <w:kern w:val="0"/>
          <w:sz w:val="32"/>
          <w:szCs w:val="32"/>
          <w:highlight w:val="none"/>
          <w:lang w:val="en-US" w:eastAsia="zh-CN" w:bidi="ar-SA"/>
        </w:rPr>
        <w:t>社会保险基金预算</w:t>
      </w:r>
    </w:p>
    <w:p>
      <w:pPr>
        <w:pStyle w:val="5"/>
        <w:shd w:val="clear"/>
        <w:autoSpaceDE w:val="0"/>
        <w:autoSpaceDN w:val="0"/>
        <w:spacing w:line="580" w:lineRule="exact"/>
        <w:ind w:firstLine="6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2021年全县社会保险基金收入完成5.53亿元，社会保险基金支出完成4.99亿元，本年收支结余0.54亿元，上年结余4.2亿元，2021年年末滚存结余4.74亿元。</w:t>
      </w:r>
    </w:p>
    <w:p>
      <w:pPr>
        <w:pStyle w:val="5"/>
        <w:shd w:val="clear"/>
        <w:autoSpaceDE w:val="0"/>
        <w:autoSpaceDN w:val="0"/>
        <w:spacing w:line="580" w:lineRule="exact"/>
        <w:ind w:firstLine="600"/>
        <w:rPr>
          <w:rFonts w:hint="eastAsia" w:ascii="仿宋_GB2312" w:hAnsi="仿宋_GB2312" w:eastAsia="仿宋_GB2312" w:cs="Times New Roman"/>
          <w:b/>
          <w:bCs/>
          <w:kern w:val="0"/>
          <w:sz w:val="32"/>
          <w:szCs w:val="32"/>
          <w:lang w:val="en-US" w:eastAsia="zh-CN" w:bidi="ar-SA"/>
        </w:rPr>
      </w:pPr>
      <w:r>
        <w:rPr>
          <w:rFonts w:hint="eastAsia" w:ascii="仿宋_GB2312" w:eastAsia="仿宋_GB2312" w:cs="仿宋_GB2312"/>
          <w:sz w:val="32"/>
          <w:szCs w:val="32"/>
          <w:highlight w:val="none"/>
          <w:lang w:val="en-US" w:eastAsia="zh-CN"/>
        </w:rPr>
        <w:t>社会保险基金收支主要完成情况：城乡居民养老保险基金收入1.99亿元，完成年初预算的111.8%；支出1.44亿元，完成年初预算的94.1%。机关养老保险基金收入3.51亿元，完成年初预算的96.4%；支出3.51亿元，完成年初预算的96.97%。</w:t>
      </w:r>
    </w:p>
    <w:p>
      <w:pPr>
        <w:pStyle w:val="5"/>
        <w:numPr>
          <w:numId w:val="0"/>
        </w:numPr>
        <w:shd w:val="clear"/>
        <w:autoSpaceDE w:val="0"/>
        <w:autoSpaceDN w:val="0"/>
        <w:spacing w:line="580" w:lineRule="exact"/>
        <w:ind w:firstLine="643" w:firstLineChars="200"/>
        <w:rPr>
          <w:rFonts w:hint="eastAsia" w:ascii="仿宋_GB2312" w:hAnsi="仿宋_GB2312" w:eastAsia="仿宋_GB2312" w:cs="Times New Roman"/>
          <w:b/>
          <w:bCs/>
          <w:kern w:val="0"/>
          <w:sz w:val="32"/>
          <w:szCs w:val="32"/>
          <w:lang w:val="en-US" w:eastAsia="zh-CN" w:bidi="ar-SA"/>
        </w:rPr>
      </w:pPr>
      <w:r>
        <w:rPr>
          <w:rFonts w:hint="eastAsia" w:ascii="仿宋_GB2312" w:hAnsi="仿宋_GB2312" w:eastAsia="仿宋_GB2312" w:cs="Times New Roman"/>
          <w:b/>
          <w:bCs/>
          <w:kern w:val="0"/>
          <w:sz w:val="32"/>
          <w:szCs w:val="32"/>
          <w:lang w:val="en-US" w:eastAsia="zh-CN" w:bidi="ar-SA"/>
        </w:rPr>
        <w:t>4.国有资本经营预算</w:t>
      </w:r>
    </w:p>
    <w:p>
      <w:pPr>
        <w:pStyle w:val="5"/>
        <w:shd w:val="clear"/>
        <w:autoSpaceDE w:val="0"/>
        <w:autoSpaceDN w:val="0"/>
        <w:spacing w:line="580" w:lineRule="exact"/>
        <w:ind w:firstLine="600"/>
        <w:rPr>
          <w:rFonts w:hint="eastAsia" w:ascii="仿宋_GB2312" w:hAnsi="仿宋_GB2312" w:eastAsia="仿宋_GB2312" w:cs="Times New Roman"/>
          <w:b/>
          <w:bCs/>
          <w:kern w:val="0"/>
          <w:sz w:val="32"/>
          <w:szCs w:val="32"/>
          <w:lang w:val="en-US" w:eastAsia="zh-CN" w:bidi="ar-SA"/>
        </w:rPr>
      </w:pPr>
      <w:r>
        <w:rPr>
          <w:rFonts w:hint="eastAsia" w:ascii="仿宋_GB2312" w:eastAsia="仿宋_GB2312" w:cs="仿宋_GB2312"/>
          <w:sz w:val="32"/>
          <w:szCs w:val="32"/>
          <w:highlight w:val="none"/>
          <w:lang w:val="en-US" w:eastAsia="zh-CN"/>
        </w:rPr>
        <w:t>据简表数统计，2021年我县国有资本经营预算收入12万元，为国有企业退休人员社会化管理补助资金，比年初预算增加12万元。2021年国有资本经营预算支出12万元，年末无结余。</w:t>
      </w:r>
    </w:p>
    <w:p>
      <w:pPr>
        <w:shd w:val="clear"/>
        <w:autoSpaceDE w:val="0"/>
        <w:autoSpaceDN w:val="0"/>
        <w:spacing w:line="580" w:lineRule="exact"/>
        <w:ind w:firstLine="643" w:firstLineChars="200"/>
        <w:rPr>
          <w:rFonts w:hint="eastAsia" w:ascii="仿宋_GB2312" w:hAnsi="仿宋_GB2312" w:eastAsia="仿宋_GB2312" w:cs="Times New Roman"/>
          <w:b/>
          <w:bCs/>
          <w:kern w:val="0"/>
          <w:sz w:val="32"/>
          <w:szCs w:val="32"/>
          <w:lang w:val="en-US" w:eastAsia="zh-CN" w:bidi="ar-SA"/>
        </w:rPr>
      </w:pPr>
      <w:r>
        <w:rPr>
          <w:rFonts w:hint="eastAsia" w:ascii="仿宋_GB2312" w:hAnsi="仿宋_GB2312" w:eastAsia="仿宋_GB2312" w:cs="Times New Roman"/>
          <w:b/>
          <w:bCs/>
          <w:kern w:val="0"/>
          <w:sz w:val="32"/>
          <w:szCs w:val="32"/>
          <w:lang w:val="en-US" w:eastAsia="zh-CN" w:bidi="ar-SA"/>
        </w:rPr>
        <w:t>5.地方政府债务情况</w:t>
      </w:r>
    </w:p>
    <w:p>
      <w:pPr>
        <w:pStyle w:val="5"/>
        <w:shd w:val="clear"/>
        <w:autoSpaceDE w:val="0"/>
        <w:autoSpaceDN w:val="0"/>
        <w:spacing w:line="580" w:lineRule="exact"/>
        <w:ind w:firstLine="6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省财政厅核定我县2021年底地方政府债务限额为46.37亿元。其中，一般债务25.69亿元，专项债务20.68亿元。2021年全年争取新增债券10.31亿元，其中一般债券1.72亿元，专项债券8.59亿元。截至2021年底政府债务余额为46.37亿元，其中一般债务余额25.69亿元，专项债务余额20.68亿元，债务余额与债务限额持平。</w:t>
      </w:r>
    </w:p>
    <w:p>
      <w:pPr>
        <w:pStyle w:val="5"/>
        <w:shd w:val="clear"/>
        <w:autoSpaceDE w:val="0"/>
        <w:autoSpaceDN w:val="0"/>
        <w:spacing w:line="580" w:lineRule="exact"/>
        <w:ind w:firstLine="600"/>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kern w:val="2"/>
          <w:sz w:val="32"/>
          <w:szCs w:val="32"/>
          <w:lang w:val="en-US" w:eastAsia="zh-CN" w:bidi="ar-SA"/>
        </w:rPr>
        <w:t>（二）2021年财政预算执行落实情况</w:t>
      </w:r>
    </w:p>
    <w:p>
      <w:pPr>
        <w:pStyle w:val="5"/>
        <w:shd w:val="clear"/>
        <w:autoSpaceDE w:val="0"/>
        <w:autoSpaceDN w:val="0"/>
        <w:spacing w:line="580" w:lineRule="exact"/>
        <w:ind w:firstLine="600"/>
        <w:rPr>
          <w:rFonts w:hint="eastAsia" w:ascii="仿宋_GB2312" w:eastAsia="仿宋_GB2312" w:cs="仿宋_GB2312"/>
          <w:sz w:val="32"/>
          <w:szCs w:val="32"/>
          <w:highlight w:val="none"/>
          <w:lang w:val="en-US" w:eastAsia="zh-CN"/>
        </w:rPr>
      </w:pPr>
      <w:r>
        <w:rPr>
          <w:rFonts w:hint="eastAsia" w:ascii="仿宋_GB2312" w:eastAsia="仿宋_GB2312" w:cs="仿宋_GB2312"/>
          <w:sz w:val="32"/>
          <w:szCs w:val="32"/>
          <w:highlight w:val="none"/>
          <w:lang w:val="en-US" w:eastAsia="zh-CN"/>
        </w:rPr>
        <w:t>2021年，财政部门坚决贯彻县委县政府决策部署，切实增强重点任务和基本民生保障能力，认真落实县人大预算决议，全面深化财税改革，着力规范财政管理，切实防范重大风险，为全县经济社会平稳发展提供了有力支撑。</w:t>
      </w:r>
    </w:p>
    <w:p>
      <w:pPr>
        <w:numPr>
          <w:ilvl w:val="0"/>
          <w:numId w:val="0"/>
        </w:numPr>
        <w:shd w:val="clear"/>
        <w:autoSpaceDE w:val="0"/>
        <w:autoSpaceDN w:val="0"/>
        <w:spacing w:line="580" w:lineRule="exact"/>
        <w:ind w:firstLine="643" w:firstLineChars="2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1.突出提质增效，贯彻落实积极财政政策</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555"/>
        <w:rPr>
          <w:rFonts w:hint="eastAsia" w:ascii="仿宋_GB2312" w:hAnsi="仿宋_GB2312" w:eastAsia="仿宋_GB2312" w:cs="Times New Roman"/>
          <w:b/>
          <w:bCs/>
          <w:sz w:val="32"/>
          <w:szCs w:val="32"/>
          <w:lang w:eastAsia="zh-CN"/>
        </w:rPr>
      </w:pPr>
      <w:r>
        <w:rPr>
          <w:rFonts w:hint="eastAsia" w:ascii="仿宋_GB2312" w:hAnsi="仿宋_GB2312" w:eastAsia="仿宋_GB2312" w:cs="Times New Roman"/>
          <w:sz w:val="32"/>
          <w:szCs w:val="32"/>
        </w:rPr>
        <w:t>坚持积极的财政政策更加积极有为，贯彻落实好各项财税政策。</w:t>
      </w:r>
      <w:r>
        <w:rPr>
          <w:rFonts w:hint="eastAsia" w:ascii="仿宋_GB2312" w:hAnsi="仿宋_GB2312" w:eastAsia="仿宋_GB2312" w:cs="Times New Roman"/>
          <w:b/>
          <w:bCs/>
          <w:sz w:val="32"/>
          <w:szCs w:val="32"/>
        </w:rPr>
        <w:t>一是</w:t>
      </w:r>
      <w:r>
        <w:rPr>
          <w:rFonts w:hint="eastAsia" w:ascii="仿宋_GB2312" w:hAnsi="仿宋_GB2312" w:eastAsia="仿宋_GB2312" w:cs="Times New Roman"/>
          <w:b/>
          <w:bCs/>
          <w:sz w:val="32"/>
          <w:szCs w:val="32"/>
          <w:lang w:eastAsia="zh-CN"/>
        </w:rPr>
        <w:t>加力落实</w:t>
      </w:r>
      <w:r>
        <w:rPr>
          <w:rFonts w:hint="eastAsia" w:ascii="仿宋_GB2312" w:hAnsi="仿宋_GB2312" w:eastAsia="仿宋_GB2312" w:cs="Times New Roman"/>
          <w:b/>
          <w:bCs/>
          <w:sz w:val="32"/>
          <w:szCs w:val="32"/>
        </w:rPr>
        <w:t>减税降费政策</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2021</w:t>
      </w:r>
      <w:r>
        <w:rPr>
          <w:rFonts w:hint="eastAsia" w:ascii="仿宋_GB2312" w:hAnsi="仿宋_GB2312" w:eastAsia="仿宋_GB2312" w:cs="Times New Roman"/>
          <w:sz w:val="32"/>
          <w:szCs w:val="32"/>
        </w:rPr>
        <w:t>年全县</w:t>
      </w:r>
      <w:r>
        <w:rPr>
          <w:rFonts w:hint="eastAsia" w:ascii="仿宋_GB2312" w:hAnsi="仿宋_GB2312" w:eastAsia="仿宋_GB2312" w:cs="Times New Roman"/>
          <w:sz w:val="32"/>
          <w:szCs w:val="32"/>
          <w:lang w:eastAsia="zh-CN"/>
        </w:rPr>
        <w:t>新增</w:t>
      </w:r>
      <w:r>
        <w:rPr>
          <w:rFonts w:hint="eastAsia" w:ascii="仿宋_GB2312" w:hAnsi="仿宋_GB2312" w:eastAsia="仿宋_GB2312" w:cs="Times New Roman"/>
          <w:sz w:val="32"/>
          <w:szCs w:val="32"/>
        </w:rPr>
        <w:t>减税降费</w:t>
      </w:r>
      <w:r>
        <w:rPr>
          <w:rFonts w:hint="eastAsia" w:ascii="仿宋_GB2312" w:hAnsi="仿宋_GB2312" w:eastAsia="仿宋_GB2312" w:cs="Times New Roman"/>
          <w:sz w:val="32"/>
          <w:szCs w:val="32"/>
          <w:lang w:val="en-US" w:eastAsia="zh-CN"/>
        </w:rPr>
        <w:t>32</w:t>
      </w:r>
      <w:r>
        <w:rPr>
          <w:rFonts w:hint="eastAsia" w:ascii="仿宋_GB2312" w:hAnsi="Courier New" w:eastAsia="仿宋_GB2312" w:cs="仿宋_GB2312"/>
          <w:kern w:val="2"/>
          <w:sz w:val="32"/>
          <w:szCs w:val="32"/>
          <w:highlight w:val="none"/>
          <w:lang w:val="en-US" w:eastAsia="zh-CN" w:bidi="ar-SA"/>
        </w:rPr>
        <w:t>00万元，惠及纳税人2400余户，减税降费力度空前，为企业纾困解难，激发企业活力，有效促进市场主体和实体</w:t>
      </w:r>
      <w:r>
        <w:rPr>
          <w:rFonts w:hint="eastAsia" w:ascii="仿宋_GB2312" w:hAnsi="仿宋_GB2312" w:eastAsia="仿宋_GB2312" w:cs="Times New Roman"/>
          <w:sz w:val="32"/>
          <w:szCs w:val="32"/>
          <w:lang w:eastAsia="zh-CN"/>
        </w:rPr>
        <w:t>经济发展</w:t>
      </w:r>
      <w:r>
        <w:rPr>
          <w:rFonts w:hint="eastAsia" w:ascii="仿宋_GB2312" w:hAnsi="仿宋_GB2312" w:eastAsia="仿宋_GB2312" w:cs="Times New Roman"/>
          <w:sz w:val="32"/>
          <w:szCs w:val="32"/>
        </w:rPr>
        <w:t>。</w:t>
      </w:r>
      <w:r>
        <w:rPr>
          <w:rFonts w:hint="eastAsia" w:ascii="仿宋_GB2312" w:hAnsi="仿宋_GB2312" w:eastAsia="仿宋_GB2312" w:cs="Times New Roman"/>
          <w:b/>
          <w:bCs/>
          <w:sz w:val="32"/>
          <w:szCs w:val="32"/>
        </w:rPr>
        <w:t>二是</w:t>
      </w:r>
      <w:r>
        <w:rPr>
          <w:rFonts w:hint="eastAsia" w:ascii="仿宋_GB2312" w:hAnsi="仿宋_GB2312" w:eastAsia="仿宋_GB2312" w:cs="Times New Roman"/>
          <w:b/>
          <w:bCs/>
          <w:sz w:val="32"/>
          <w:szCs w:val="32"/>
          <w:lang w:eastAsia="zh-CN"/>
        </w:rPr>
        <w:t>按期兑现产业扶持资金。</w:t>
      </w:r>
      <w:r>
        <w:rPr>
          <w:rFonts w:hint="eastAsia" w:ascii="仿宋_GB2312" w:hAnsi="Courier New" w:eastAsia="仿宋_GB2312" w:cs="仿宋_GB2312"/>
          <w:kern w:val="2"/>
          <w:sz w:val="32"/>
          <w:szCs w:val="32"/>
          <w:highlight w:val="none"/>
          <w:lang w:val="en-US" w:eastAsia="zh-CN" w:bidi="ar-SA"/>
        </w:rPr>
        <w:t>持续优化营商环境，积极落实招商引资优惠政策，兑现产业项目扶持发展资金7150万元，有效促进企业健康发展。统筹资金4210万元实施政策性农业保险补贴，惠及农户15.4万户。</w:t>
      </w:r>
      <w:r>
        <w:rPr>
          <w:rFonts w:hint="eastAsia" w:ascii="仿宋_GB2312" w:hAnsi="Courier New" w:eastAsia="仿宋_GB2312" w:cs="仿宋_GB2312"/>
          <w:b/>
          <w:bCs/>
          <w:kern w:val="2"/>
          <w:sz w:val="32"/>
          <w:szCs w:val="32"/>
          <w:highlight w:val="none"/>
          <w:lang w:val="en-US" w:eastAsia="zh-CN" w:bidi="ar-SA"/>
        </w:rPr>
        <w:t>三是优化支持普惠金融政策。</w:t>
      </w:r>
      <w:r>
        <w:rPr>
          <w:rFonts w:hint="eastAsia" w:ascii="仿宋_GB2312" w:hAnsi="Courier New" w:eastAsia="仿宋_GB2312" w:cs="仿宋_GB2312"/>
          <w:kern w:val="2"/>
          <w:sz w:val="32"/>
          <w:szCs w:val="32"/>
          <w:highlight w:val="none"/>
          <w:lang w:val="en-US" w:eastAsia="zh-CN" w:bidi="ar-SA"/>
        </w:rPr>
        <w:t>支持发放小额农业担保</w:t>
      </w:r>
      <w:r>
        <w:rPr>
          <w:rFonts w:hint="eastAsia" w:ascii="仿宋_GB2312" w:hAnsi="Courier New" w:eastAsia="仿宋_GB2312" w:cs="仿宋_GB2312"/>
          <w:kern w:val="2"/>
          <w:sz w:val="32"/>
          <w:szCs w:val="32"/>
          <w:highlight w:val="none"/>
          <w:lang w:val="en-US" w:eastAsia="zh-CN" w:bidi="ar-SA"/>
        </w:rPr>
        <w:t>贷款和创业担保贷款7563万元，2021年度补贴贷款利息776万元，推动普惠金融政策</w:t>
      </w:r>
      <w:r>
        <w:rPr>
          <w:rFonts w:hint="eastAsia" w:ascii="仿宋_GB2312" w:hAnsi="仿宋_GB2312" w:eastAsia="仿宋_GB2312" w:cs="Times New Roman"/>
          <w:sz w:val="32"/>
          <w:szCs w:val="32"/>
        </w:rPr>
        <w:t>落地落实，</w:t>
      </w:r>
      <w:r>
        <w:rPr>
          <w:rFonts w:hint="eastAsia" w:ascii="仿宋_GB2312" w:hAnsi="仿宋_GB2312" w:eastAsia="仿宋_GB2312" w:cs="Times New Roman"/>
          <w:sz w:val="32"/>
          <w:szCs w:val="32"/>
          <w:lang w:eastAsia="zh-CN"/>
        </w:rPr>
        <w:t>充分发挥财政资金支持引导作用，</w:t>
      </w:r>
      <w:r>
        <w:rPr>
          <w:rFonts w:hint="eastAsia" w:ascii="仿宋_GB2312" w:hAnsi="仿宋_GB2312" w:eastAsia="仿宋_GB2312" w:cs="Times New Roman"/>
          <w:sz w:val="32"/>
          <w:szCs w:val="32"/>
        </w:rPr>
        <w:t>实现支农支小增量扩面、提质降本。</w:t>
      </w:r>
      <w:r>
        <w:rPr>
          <w:rFonts w:hint="eastAsia" w:ascii="仿宋_GB2312" w:hAnsi="仿宋_GB2312" w:eastAsia="仿宋_GB2312" w:cs="Times New Roman"/>
          <w:b/>
          <w:bCs/>
          <w:sz w:val="32"/>
          <w:szCs w:val="32"/>
          <w:lang w:eastAsia="zh-CN"/>
        </w:rPr>
        <w:t>四是管好用好直达资金。</w:t>
      </w:r>
      <w:r>
        <w:rPr>
          <w:rFonts w:hint="eastAsia" w:ascii="仿宋_GB2312" w:eastAsia="仿宋_GB2312"/>
          <w:sz w:val="32"/>
          <w:szCs w:val="32"/>
          <w:lang w:val="en-US" w:eastAsia="zh-CN"/>
        </w:rPr>
        <w:t>加强直达资金常态化监管，确保直达资金直接惠企利民，2021年我县直达资金规模12.09亿元，支付进度达98.7%。</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2.突出开源节流，强化财政收支预算管理</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555"/>
        <w:rPr>
          <w:rFonts w:hint="eastAsia" w:ascii="仿宋_GB2312" w:eastAsia="仿宋_GB2312"/>
          <w:sz w:val="32"/>
          <w:szCs w:val="32"/>
          <w:lang w:val="en-US" w:eastAsia="zh-CN"/>
        </w:rPr>
      </w:pPr>
      <w:r>
        <w:rPr>
          <w:rFonts w:hint="eastAsia" w:ascii="仿宋_GB2312" w:eastAsia="仿宋_GB2312"/>
          <w:sz w:val="32"/>
          <w:szCs w:val="32"/>
          <w:lang w:eastAsia="zh-CN"/>
        </w:rPr>
        <w:t>坚持增收与节支并重、开源与节流兼顾，当好“铁公鸡”，打好“铁算盘”。</w:t>
      </w:r>
      <w:r>
        <w:rPr>
          <w:rFonts w:hint="eastAsia" w:ascii="仿宋_GB2312" w:eastAsia="仿宋_GB2312"/>
          <w:b/>
          <w:bCs/>
          <w:sz w:val="32"/>
          <w:szCs w:val="32"/>
        </w:rPr>
        <w:t>一是财政收入持续增长。</w:t>
      </w:r>
      <w:r>
        <w:rPr>
          <w:rFonts w:hint="eastAsia" w:ascii="仿宋_GB2312" w:eastAsia="仿宋_GB2312"/>
          <w:sz w:val="32"/>
          <w:szCs w:val="32"/>
        </w:rPr>
        <w:t>面对经济下行及政策性减收因素，</w:t>
      </w:r>
      <w:r>
        <w:rPr>
          <w:rFonts w:hint="eastAsia" w:ascii="仿宋_GB2312" w:eastAsia="仿宋_GB2312"/>
          <w:sz w:val="32"/>
          <w:szCs w:val="32"/>
          <w:lang w:eastAsia="zh-CN"/>
        </w:rPr>
        <w:t>加强收入分析和统筹调度，充分挖潜增收，</w:t>
      </w:r>
      <w:r>
        <w:rPr>
          <w:rFonts w:hint="eastAsia" w:ascii="仿宋_GB2312" w:eastAsia="仿宋_GB2312"/>
          <w:sz w:val="32"/>
          <w:szCs w:val="32"/>
        </w:rPr>
        <w:t>全</w:t>
      </w:r>
      <w:r>
        <w:rPr>
          <w:rFonts w:hint="eastAsia" w:ascii="仿宋_GB2312" w:eastAsia="仿宋_GB2312"/>
          <w:sz w:val="32"/>
          <w:szCs w:val="32"/>
          <w:lang w:eastAsia="zh-CN"/>
        </w:rPr>
        <w:t>年</w:t>
      </w:r>
      <w:r>
        <w:rPr>
          <w:rFonts w:hint="eastAsia" w:ascii="仿宋_GB2312" w:eastAsia="仿宋_GB2312"/>
          <w:sz w:val="32"/>
          <w:szCs w:val="32"/>
        </w:rPr>
        <w:t>地方</w:t>
      </w:r>
      <w:r>
        <w:rPr>
          <w:rFonts w:hint="eastAsia" w:ascii="仿宋_GB2312" w:eastAsia="仿宋_GB2312"/>
          <w:sz w:val="32"/>
          <w:szCs w:val="32"/>
          <w:lang w:eastAsia="zh-CN"/>
        </w:rPr>
        <w:t>一般公共预算</w:t>
      </w:r>
      <w:r>
        <w:rPr>
          <w:rFonts w:hint="eastAsia" w:ascii="仿宋_GB2312" w:eastAsia="仿宋_GB2312"/>
          <w:sz w:val="32"/>
          <w:szCs w:val="32"/>
        </w:rPr>
        <w:t>收入完成</w:t>
      </w:r>
      <w:r>
        <w:rPr>
          <w:rFonts w:hint="eastAsia" w:ascii="仿宋_GB2312" w:eastAsia="仿宋_GB2312"/>
          <w:sz w:val="32"/>
          <w:szCs w:val="32"/>
          <w:lang w:val="en-US" w:eastAsia="zh-CN"/>
        </w:rPr>
        <w:t>12.7</w:t>
      </w:r>
      <w:r>
        <w:rPr>
          <w:rFonts w:hint="eastAsia" w:ascii="仿宋_GB2312" w:eastAsia="仿宋_GB2312"/>
          <w:sz w:val="32"/>
          <w:szCs w:val="32"/>
        </w:rPr>
        <w:t>亿元，同比增长</w:t>
      </w:r>
      <w:r>
        <w:rPr>
          <w:rFonts w:hint="eastAsia" w:ascii="仿宋_GB2312" w:eastAsia="仿宋_GB2312"/>
          <w:sz w:val="32"/>
          <w:szCs w:val="32"/>
          <w:lang w:val="en-US" w:eastAsia="zh-CN"/>
        </w:rPr>
        <w:t>19.35</w:t>
      </w:r>
      <w:r>
        <w:rPr>
          <w:rFonts w:hint="eastAsia" w:ascii="仿宋_GB2312" w:eastAsia="仿宋_GB2312"/>
          <w:sz w:val="32"/>
          <w:szCs w:val="32"/>
        </w:rPr>
        <w:t>%</w:t>
      </w:r>
      <w:r>
        <w:rPr>
          <w:rFonts w:hint="eastAsia" w:ascii="仿宋_GB2312" w:eastAsia="仿宋_GB2312"/>
          <w:sz w:val="32"/>
          <w:szCs w:val="32"/>
          <w:lang w:eastAsia="zh-CN"/>
        </w:rPr>
        <w:t>，高于全市平均水平</w:t>
      </w:r>
      <w:r>
        <w:rPr>
          <w:rFonts w:hint="eastAsia" w:ascii="仿宋_GB2312" w:eastAsia="仿宋_GB2312"/>
          <w:sz w:val="32"/>
          <w:szCs w:val="32"/>
          <w:lang w:val="en-US" w:eastAsia="zh-CN"/>
        </w:rPr>
        <w:t>7.85个百分点，挤入全市“第一方阵”。</w:t>
      </w:r>
      <w:r>
        <w:rPr>
          <w:rFonts w:hint="eastAsia" w:ascii="仿宋_GB2312" w:eastAsia="仿宋_GB2312"/>
          <w:sz w:val="32"/>
          <w:szCs w:val="32"/>
          <w:lang w:eastAsia="zh-CN"/>
        </w:rPr>
        <w:t>税收占比</w:t>
      </w:r>
      <w:r>
        <w:rPr>
          <w:rFonts w:hint="eastAsia" w:ascii="仿宋_GB2312" w:eastAsia="仿宋_GB2312"/>
          <w:sz w:val="32"/>
          <w:szCs w:val="32"/>
          <w:lang w:val="en-US" w:eastAsia="zh-CN"/>
        </w:rPr>
        <w:t>75.9%，收入质量逐年攀升，处于历史最高水平</w:t>
      </w:r>
      <w:r>
        <w:rPr>
          <w:rFonts w:hint="eastAsia" w:ascii="仿宋_GB2312" w:eastAsia="仿宋_GB2312"/>
          <w:sz w:val="32"/>
          <w:szCs w:val="32"/>
        </w:rPr>
        <w:t>。</w:t>
      </w:r>
      <w:r>
        <w:rPr>
          <w:rFonts w:hint="eastAsia" w:ascii="仿宋_GB2312" w:eastAsia="仿宋_GB2312"/>
          <w:b/>
          <w:bCs/>
          <w:sz w:val="32"/>
          <w:szCs w:val="32"/>
        </w:rPr>
        <w:t>二是债券争取成效明显。</w:t>
      </w:r>
      <w:r>
        <w:rPr>
          <w:rFonts w:hint="eastAsia" w:ascii="仿宋_GB2312" w:eastAsia="仿宋_GB2312"/>
          <w:sz w:val="32"/>
          <w:szCs w:val="32"/>
          <w:lang w:eastAsia="zh-CN"/>
        </w:rPr>
        <w:t>县主要领导多次带队，积极向</w:t>
      </w:r>
      <w:r>
        <w:rPr>
          <w:rFonts w:hint="eastAsia" w:ascii="仿宋_GB2312" w:eastAsia="仿宋_GB2312"/>
          <w:sz w:val="32"/>
          <w:szCs w:val="32"/>
        </w:rPr>
        <w:t>省财政厅</w:t>
      </w:r>
      <w:r>
        <w:rPr>
          <w:rFonts w:hint="eastAsia" w:ascii="仿宋_GB2312" w:eastAsia="仿宋_GB2312"/>
          <w:sz w:val="32"/>
          <w:szCs w:val="32"/>
          <w:lang w:eastAsia="zh-CN"/>
        </w:rPr>
        <w:t>汇报，通过科学研判、提前谋划、及早部署、积极对接，</w:t>
      </w:r>
      <w:r>
        <w:rPr>
          <w:rFonts w:hint="eastAsia" w:ascii="仿宋_GB2312" w:eastAsia="仿宋_GB2312"/>
          <w:sz w:val="32"/>
          <w:szCs w:val="32"/>
          <w:lang w:val="en-US" w:eastAsia="zh-CN"/>
        </w:rPr>
        <w:t>2021年共争取</w:t>
      </w:r>
      <w:r>
        <w:rPr>
          <w:rFonts w:hint="eastAsia" w:ascii="仿宋_GB2312" w:eastAsia="仿宋_GB2312"/>
          <w:sz w:val="32"/>
          <w:szCs w:val="32"/>
        </w:rPr>
        <w:t>新增债券</w:t>
      </w:r>
      <w:r>
        <w:rPr>
          <w:rFonts w:hint="eastAsia" w:ascii="仿宋_GB2312" w:eastAsia="仿宋_GB2312"/>
          <w:sz w:val="32"/>
          <w:szCs w:val="32"/>
          <w:lang w:val="en-US" w:eastAsia="zh-CN"/>
        </w:rPr>
        <w:t>资金</w:t>
      </w:r>
      <w:r>
        <w:rPr>
          <w:rFonts w:hint="eastAsia" w:ascii="仿宋_GB2312" w:eastAsia="仿宋_GB2312"/>
          <w:sz w:val="32"/>
          <w:szCs w:val="32"/>
        </w:rPr>
        <w:t>10.</w:t>
      </w:r>
      <w:r>
        <w:rPr>
          <w:rFonts w:hint="eastAsia" w:ascii="仿宋_GB2312" w:eastAsia="仿宋_GB2312"/>
          <w:sz w:val="32"/>
          <w:szCs w:val="32"/>
          <w:lang w:val="en-US" w:eastAsia="zh-CN"/>
        </w:rPr>
        <w:t>31</w:t>
      </w:r>
      <w:r>
        <w:rPr>
          <w:rFonts w:hint="eastAsia" w:ascii="仿宋_GB2312" w:eastAsia="仿宋_GB2312"/>
          <w:sz w:val="32"/>
          <w:szCs w:val="32"/>
        </w:rPr>
        <w:t>亿元，</w:t>
      </w:r>
      <w:r>
        <w:rPr>
          <w:rFonts w:hint="eastAsia" w:ascii="仿宋_GB2312" w:eastAsia="仿宋_GB2312"/>
          <w:sz w:val="32"/>
          <w:szCs w:val="32"/>
          <w:lang w:eastAsia="zh-CN"/>
        </w:rPr>
        <w:t>比上年增加</w:t>
      </w:r>
      <w:r>
        <w:rPr>
          <w:rFonts w:hint="eastAsia" w:ascii="仿宋_GB2312" w:eastAsia="仿宋_GB2312"/>
          <w:sz w:val="32"/>
          <w:szCs w:val="32"/>
          <w:lang w:val="en-US" w:eastAsia="zh-CN"/>
        </w:rPr>
        <w:t>3.7亿元，</w:t>
      </w:r>
      <w:r>
        <w:rPr>
          <w:rFonts w:hint="eastAsia" w:ascii="仿宋_GB2312" w:eastAsia="仿宋_GB2312"/>
          <w:sz w:val="32"/>
          <w:szCs w:val="32"/>
        </w:rPr>
        <w:t>增长</w:t>
      </w:r>
      <w:r>
        <w:rPr>
          <w:rFonts w:hint="eastAsia" w:ascii="仿宋_GB2312" w:eastAsia="仿宋_GB2312"/>
          <w:sz w:val="32"/>
          <w:szCs w:val="32"/>
          <w:lang w:val="en-US" w:eastAsia="zh-CN"/>
        </w:rPr>
        <w:t>55.98</w:t>
      </w:r>
      <w:r>
        <w:rPr>
          <w:rFonts w:hint="eastAsia" w:ascii="仿宋_GB2312" w:eastAsia="仿宋_GB2312"/>
          <w:sz w:val="32"/>
          <w:szCs w:val="32"/>
        </w:rPr>
        <w:t>%。其中</w:t>
      </w:r>
      <w:r>
        <w:rPr>
          <w:rFonts w:hint="eastAsia" w:ascii="仿宋_GB2312" w:eastAsia="仿宋_GB2312"/>
          <w:sz w:val="32"/>
          <w:szCs w:val="32"/>
          <w:lang w:val="en-US" w:eastAsia="zh-CN"/>
        </w:rPr>
        <w:t>新增</w:t>
      </w:r>
      <w:r>
        <w:rPr>
          <w:rFonts w:hint="eastAsia" w:ascii="仿宋_GB2312" w:eastAsia="仿宋_GB2312"/>
          <w:sz w:val="32"/>
          <w:szCs w:val="32"/>
        </w:rPr>
        <w:t>一般债</w:t>
      </w:r>
      <w:r>
        <w:rPr>
          <w:rFonts w:hint="eastAsia" w:ascii="仿宋_GB2312" w:eastAsia="仿宋_GB2312"/>
          <w:sz w:val="32"/>
          <w:szCs w:val="32"/>
          <w:lang w:val="en-US" w:eastAsia="zh-CN"/>
        </w:rPr>
        <w:t>券资金1.72</w:t>
      </w:r>
      <w:r>
        <w:rPr>
          <w:rFonts w:hint="eastAsia" w:ascii="仿宋_GB2312" w:eastAsia="仿宋_GB2312"/>
          <w:sz w:val="32"/>
          <w:szCs w:val="32"/>
        </w:rPr>
        <w:t>亿元、</w:t>
      </w:r>
      <w:r>
        <w:rPr>
          <w:rFonts w:hint="eastAsia" w:ascii="仿宋_GB2312" w:eastAsia="仿宋_GB2312"/>
          <w:sz w:val="32"/>
          <w:szCs w:val="32"/>
          <w:lang w:val="en-US" w:eastAsia="zh-CN"/>
        </w:rPr>
        <w:t>新增</w:t>
      </w:r>
      <w:r>
        <w:rPr>
          <w:rFonts w:hint="eastAsia" w:ascii="仿宋_GB2312" w:eastAsia="仿宋_GB2312"/>
          <w:sz w:val="32"/>
          <w:szCs w:val="32"/>
        </w:rPr>
        <w:t>专项债</w:t>
      </w:r>
      <w:r>
        <w:rPr>
          <w:rFonts w:hint="eastAsia" w:ascii="仿宋_GB2312" w:eastAsia="仿宋_GB2312"/>
          <w:sz w:val="32"/>
          <w:szCs w:val="32"/>
          <w:lang w:val="en-US" w:eastAsia="zh-CN"/>
        </w:rPr>
        <w:t>券资金8.59</w:t>
      </w:r>
      <w:r>
        <w:rPr>
          <w:rFonts w:hint="eastAsia" w:ascii="仿宋_GB2312" w:eastAsia="仿宋_GB2312"/>
          <w:sz w:val="32"/>
          <w:szCs w:val="32"/>
        </w:rPr>
        <w:t>亿元</w:t>
      </w:r>
      <w:r>
        <w:rPr>
          <w:rFonts w:hint="eastAsia" w:ascii="仿宋_GB2312" w:eastAsia="仿宋_GB2312"/>
          <w:sz w:val="32"/>
          <w:szCs w:val="32"/>
          <w:lang w:eastAsia="zh-CN"/>
        </w:rPr>
        <w:t>，在全省债券总额度大幅减少的情况下，我县争取到的债券资金逆势上扬，为经济高质量发展提供坚实保障</w:t>
      </w:r>
      <w:r>
        <w:rPr>
          <w:rFonts w:hint="eastAsia" w:ascii="仿宋_GB2312" w:eastAsia="仿宋_GB2312"/>
          <w:sz w:val="32"/>
          <w:szCs w:val="32"/>
        </w:rPr>
        <w:t>。</w:t>
      </w:r>
      <w:r>
        <w:rPr>
          <w:rFonts w:hint="eastAsia" w:ascii="仿宋_GB2312" w:eastAsia="仿宋_GB2312"/>
          <w:b/>
          <w:bCs/>
          <w:sz w:val="32"/>
          <w:szCs w:val="32"/>
          <w:lang w:eastAsia="zh-CN"/>
        </w:rPr>
        <w:t>三是支出结构持续优化。</w:t>
      </w:r>
      <w:r>
        <w:rPr>
          <w:rFonts w:hint="eastAsia" w:ascii="仿宋_GB2312" w:eastAsia="仿宋_GB2312"/>
          <w:sz w:val="32"/>
          <w:szCs w:val="32"/>
          <w:lang w:eastAsia="zh-CN"/>
        </w:rPr>
        <w:t>持续压减“三公经费”和一般性支出，</w:t>
      </w:r>
      <w:r>
        <w:rPr>
          <w:rFonts w:hint="eastAsia" w:ascii="仿宋_GB2312" w:eastAsia="仿宋_GB2312"/>
          <w:sz w:val="32"/>
          <w:szCs w:val="32"/>
          <w:lang w:val="en-US" w:eastAsia="zh-CN"/>
        </w:rPr>
        <w:t>扎实开展存量资金清理，全年盘活财政存量资金2.8亿元，占一般公共预算支出的6%。强化库款保障管理。按月对财政收支情况进行分析，按照“先三保、后债务、再项目”的原则，控总量、调变量，实时监测库款运行，提高财政资金保障水平，防范财政支付风险。</w:t>
      </w:r>
    </w:p>
    <w:p>
      <w:pPr>
        <w:pStyle w:val="10"/>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600" w:leftChars="0" w:right="0" w:rightChars="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3.突出保障民生，着力改善人民生活品质</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555"/>
        <w:rPr>
          <w:rFonts w:hint="default" w:ascii="仿宋_GB2312" w:eastAsia="仿宋_GB2312"/>
          <w:sz w:val="32"/>
          <w:szCs w:val="32"/>
          <w:highlight w:val="none"/>
          <w:lang w:val="en-US" w:eastAsia="zh-CN"/>
        </w:rPr>
      </w:pPr>
      <w:r>
        <w:rPr>
          <w:rFonts w:hint="eastAsia" w:ascii="仿宋_GB2312" w:eastAsia="仿宋_GB2312"/>
          <w:sz w:val="32"/>
          <w:szCs w:val="32"/>
          <w:lang w:val="en-US" w:eastAsia="zh-CN"/>
        </w:rPr>
        <w:t>坚持以人民为中心的发展思想，用心用情用力保障和改善民生支出。持续加大就业、教育、社会保障、医疗卫生、生态环境、住房保障等重点领域投入力度，不断提升人民群众幸福感和获得感。全年民生支出达35.98亿元，占一般公共预算支出的比重为76.1%。</w:t>
      </w:r>
      <w:r>
        <w:rPr>
          <w:rFonts w:hint="eastAsia" w:ascii="仿宋_GB2312" w:eastAsia="仿宋_GB2312"/>
          <w:b/>
          <w:bCs/>
          <w:sz w:val="32"/>
          <w:szCs w:val="32"/>
          <w:lang w:val="en-US" w:eastAsia="zh-CN"/>
        </w:rPr>
        <w:t>一是始终兜底居民和就业保障支出。</w:t>
      </w:r>
      <w:r>
        <w:rPr>
          <w:rFonts w:hint="eastAsia" w:ascii="仿宋_GB2312" w:eastAsia="仿宋_GB2312"/>
          <w:sz w:val="32"/>
          <w:szCs w:val="32"/>
          <w:lang w:val="en-US" w:eastAsia="zh-CN"/>
        </w:rPr>
        <w:t>社会保障和就业支出9.08亿元。企业退休人员基本养老金实现“17连调”，2021年月人均增加118.52元；发放低保、优抚、救助等资金2.29亿元，同比增长11.7%，惠及困难群众56.93万人次；安排就业及再就业奖扶和贴息贴费、职业培训资金3497万元；落实退休中人职业年金虚账记实3278万元。</w:t>
      </w:r>
      <w:r>
        <w:rPr>
          <w:rFonts w:hint="eastAsia" w:ascii="仿宋_GB2312" w:eastAsia="仿宋_GB2312"/>
          <w:b/>
          <w:bCs/>
          <w:sz w:val="32"/>
          <w:szCs w:val="32"/>
          <w:lang w:val="en-US" w:eastAsia="zh-CN"/>
        </w:rPr>
        <w:t>二是坚持教育优先发展。</w:t>
      </w:r>
      <w:r>
        <w:rPr>
          <w:rFonts w:hint="eastAsia" w:ascii="仿宋_GB2312" w:eastAsia="仿宋_GB2312"/>
          <w:sz w:val="32"/>
          <w:szCs w:val="32"/>
          <w:lang w:val="en-US" w:eastAsia="zh-CN"/>
        </w:rPr>
        <w:t>全年投入教育事业10.01亿元。拨付义务教育公用经费9800余万元，发放农村教师岗位津贴和班主任津贴2099万元、教师的乡镇和边远乡镇工作补贴1691万元、定向师范生培养325万元等。教师队伍逐年扩大，全年保障6004名在编老师、710名合同制教师、292名返聘教师的工资及绩效等5.35亿元。安排人才发展专项资金1387万元、科技创新奖励资金1000万元。</w:t>
      </w:r>
      <w:r>
        <w:rPr>
          <w:rFonts w:hint="eastAsia" w:ascii="仿宋_GB2312" w:eastAsia="仿宋_GB2312"/>
          <w:b/>
          <w:bCs/>
          <w:sz w:val="32"/>
          <w:szCs w:val="32"/>
          <w:highlight w:val="none"/>
          <w:lang w:val="en-US" w:eastAsia="zh-CN"/>
        </w:rPr>
        <w:t>三是推进医卫事业健康发展。</w:t>
      </w:r>
      <w:r>
        <w:rPr>
          <w:rFonts w:hint="eastAsia" w:ascii="仿宋_GB2312" w:eastAsia="仿宋_GB2312"/>
          <w:sz w:val="32"/>
          <w:szCs w:val="32"/>
          <w:highlight w:val="none"/>
          <w:lang w:val="en-US" w:eastAsia="zh-CN"/>
        </w:rPr>
        <w:t>卫生健康支出7.75亿元。资助城乡贫困人口及困难群众参加居民医保资金1246万元，惠及7.59万人。基本公共卫生服务人均补助标准持续提高，支持免费开展预防出生缺陷产前筛查、新生儿疾病筛查和农村适龄妇女两癌检查，落实妇幼保健院、乡镇卫生院等医疗机构工资打卡发放，稳定基层卫生队伍，提高基层医疗卫生服务能力。</w:t>
      </w:r>
      <w:r>
        <w:rPr>
          <w:rFonts w:hint="eastAsia" w:ascii="仿宋_GB2312" w:eastAsia="仿宋_GB2312"/>
          <w:b/>
          <w:bCs/>
          <w:sz w:val="32"/>
          <w:szCs w:val="32"/>
          <w:highlight w:val="none"/>
          <w:lang w:val="en-US" w:eastAsia="zh-CN"/>
        </w:rPr>
        <w:t>四是持续推进乡村振兴</w:t>
      </w:r>
      <w:r>
        <w:rPr>
          <w:rFonts w:hint="eastAsia" w:ascii="仿宋_GB2312" w:eastAsia="仿宋_GB2312"/>
          <w:sz w:val="32"/>
          <w:szCs w:val="32"/>
          <w:highlight w:val="none"/>
          <w:lang w:val="en-US" w:eastAsia="zh-CN"/>
        </w:rPr>
        <w:t>。全年共投入乡村振兴衔接补助资金9181万元。不断加大农村基础设施建设，全年土地出让收入用于农业农村支出2.4亿元，为乡村振兴提供稳定资金来源，农村人居环境得到有效改善，人民群众幸福指数不断提升。</w:t>
      </w:r>
      <w:r>
        <w:rPr>
          <w:rFonts w:hint="eastAsia" w:ascii="仿宋_GB2312" w:eastAsia="仿宋_GB2312"/>
          <w:b/>
          <w:bCs/>
          <w:sz w:val="32"/>
          <w:szCs w:val="32"/>
          <w:highlight w:val="none"/>
          <w:lang w:val="en-US" w:eastAsia="zh-CN"/>
        </w:rPr>
        <w:t>五是全力支持文明创建和城乡发展建设</w:t>
      </w:r>
      <w:bookmarkStart w:id="0" w:name="_GoBack"/>
      <w:bookmarkEnd w:id="0"/>
      <w:r>
        <w:rPr>
          <w:rFonts w:hint="eastAsia" w:ascii="仿宋_GB2312" w:eastAsia="仿宋_GB2312"/>
          <w:b/>
          <w:bCs/>
          <w:sz w:val="32"/>
          <w:szCs w:val="32"/>
          <w:highlight w:val="none"/>
          <w:lang w:val="en-US" w:eastAsia="zh-CN"/>
        </w:rPr>
        <w:t>。</w:t>
      </w:r>
      <w:r>
        <w:rPr>
          <w:rFonts w:hint="eastAsia" w:ascii="仿宋_GB2312" w:eastAsia="仿宋_GB2312"/>
          <w:sz w:val="32"/>
          <w:szCs w:val="32"/>
          <w:highlight w:val="none"/>
          <w:lang w:val="en-US" w:eastAsia="zh-CN"/>
        </w:rPr>
        <w:t>全年统筹安排3.6亿元用于支持全县文明创建和城乡发展建设，将资金聚焦安排用于社会群众关注度高、受益面广，贴近居民、贴近生活，群众热切希望解决的民生微实事、城市绿化、市政设施改造、公园建设维护等项目，既提升了城市形象，又提高了群众满意度，为我县撤县设市打下良好基础。</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00"/>
        <w:rPr>
          <w:rFonts w:hint="eastAsia" w:ascii="仿宋_GB2312" w:hAnsi="仿宋_GB2312" w:eastAsia="仿宋_GB2312" w:cs="仿宋_GB2312"/>
          <w:i w:val="0"/>
          <w:iCs w:val="0"/>
          <w:caps w:val="0"/>
          <w:color w:val="000000"/>
          <w:spacing w:val="0"/>
          <w:sz w:val="21"/>
          <w:szCs w:val="21"/>
        </w:rPr>
      </w:pPr>
      <w:r>
        <w:rPr>
          <w:rFonts w:hint="eastAsia" w:ascii="仿宋_GB2312" w:hAnsi="仿宋_GB2312" w:eastAsia="仿宋_GB2312" w:cs="仿宋_GB2312"/>
          <w:b/>
          <w:bCs/>
          <w:kern w:val="2"/>
          <w:sz w:val="32"/>
          <w:szCs w:val="32"/>
          <w:highlight w:val="none"/>
          <w:lang w:val="en-US" w:eastAsia="zh-CN" w:bidi="ar-SA"/>
        </w:rPr>
        <w:t>4.突出底线思维，防范化解重大债务风险</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555"/>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坚持从严控制新增债务，遏制隐性债务增量。进一步加强地方政府债务限额管理和预算管理，规范政府举债行为，积极稳妥有序消化存量，严格落实平台公司融资负面清单，合规向平台公司注入资金资产资源。2021年度提前超额完成年度化债任务，风险级别经评定保持为“相对安全地区”，保持低风险级别将更有利于向上争取更多的债券资金。</w:t>
      </w:r>
    </w:p>
    <w:p>
      <w:pPr>
        <w:pStyle w:val="10"/>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420" w:lineRule="atLeast"/>
        <w:ind w:left="0" w:right="0" w:firstLine="600"/>
        <w:rPr>
          <w:rFonts w:hint="eastAsia" w:ascii="仿宋_GB2312" w:hAnsi="仿宋_GB2312" w:eastAsia="仿宋_GB2312" w:cs="仿宋_GB2312"/>
          <w:b/>
          <w:bCs/>
          <w:kern w:val="2"/>
          <w:sz w:val="32"/>
          <w:szCs w:val="32"/>
          <w:highlight w:val="none"/>
          <w:lang w:val="en-US" w:eastAsia="zh-CN" w:bidi="ar-SA"/>
        </w:rPr>
      </w:pPr>
      <w:r>
        <w:rPr>
          <w:rFonts w:hint="eastAsia" w:ascii="仿宋_GB2312" w:hAnsi="仿宋_GB2312" w:eastAsia="仿宋_GB2312" w:cs="仿宋_GB2312"/>
          <w:b/>
          <w:bCs/>
          <w:kern w:val="2"/>
          <w:sz w:val="32"/>
          <w:szCs w:val="32"/>
          <w:highlight w:val="none"/>
          <w:lang w:val="en-US" w:eastAsia="zh-CN" w:bidi="ar-SA"/>
        </w:rPr>
        <w:t>5.突出深化改革，全面提升财政管理水平</w:t>
      </w:r>
    </w:p>
    <w:p>
      <w:pPr>
        <w:pStyle w:val="5"/>
        <w:shd w:val="clear"/>
        <w:autoSpaceDE w:val="0"/>
        <w:autoSpaceDN w:val="0"/>
        <w:spacing w:line="360" w:lineRule="auto"/>
        <w:ind w:firstLine="640" w:firstLineChars="200"/>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kern w:val="0"/>
          <w:sz w:val="32"/>
          <w:szCs w:val="32"/>
          <w:highlight w:val="none"/>
          <w:lang w:val="en-US" w:eastAsia="zh-CN" w:bidi="ar-SA"/>
        </w:rPr>
        <w:t>2021年，财政部门以深入开展县级预算管理制度改革工作为抓手，将真抓实干贯穿到规范预算编制、强化预算执行、优化支出结构、盘活财政存量、加强库款保障、加大预决算公开等财政管理工作的始终，提高财政资金的使用效率，为构建阳光财政、打造透明政府添砖加瓦，取得显著成效。县级财政管理绩效综合评价工作连续两年获得中央表彰和中央奖励资金1000万元。县级财政管理工作首次获得省政府真抓实干表扬激励并获得奖励300万元。债务管理工作得到省债务办充分肯定，获得400万元奖励资金和3000万元新增债务限额奖励。市县财政管理工作绩效考核在全省123个县区中获评A级并获得奖励250万元。暂付款清理工作在全省123个县区考核中获评A级并获得奖励资金150万元。财政预算执行、财政绩效管理、财政监督、财政信息统计等多项工作获得省市通报表扬并奖励。</w:t>
      </w:r>
    </w:p>
    <w:p>
      <w:pPr>
        <w:pStyle w:val="10"/>
        <w:autoSpaceDE w:val="0"/>
        <w:autoSpaceDN w:val="0"/>
        <w:spacing w:before="0" w:beforeAutospacing="0" w:after="0" w:afterAutospacing="0" w:line="580" w:lineRule="exact"/>
        <w:ind w:firstLine="643" w:firstLineChars="200"/>
        <w:jc w:val="both"/>
        <w:rPr>
          <w:rFonts w:hint="eastAsia" w:ascii="仿宋_GB2312" w:hAnsi="宋体" w:eastAsia="仿宋_GB2312" w:cs="宋体"/>
          <w:kern w:val="0"/>
          <w:sz w:val="32"/>
          <w:szCs w:val="32"/>
          <w:highlight w:val="none"/>
          <w:lang w:val="en-US" w:eastAsia="zh-CN" w:bidi="ar-SA"/>
        </w:rPr>
      </w:pPr>
      <w:r>
        <w:rPr>
          <w:rFonts w:hint="eastAsia" w:ascii="仿宋_GB2312" w:hAnsi="宋体" w:eastAsia="仿宋_GB2312" w:cs="宋体"/>
          <w:b/>
          <w:bCs/>
          <w:kern w:val="0"/>
          <w:sz w:val="32"/>
          <w:szCs w:val="32"/>
          <w:highlight w:val="none"/>
          <w:lang w:val="en-US" w:eastAsia="zh-CN" w:bidi="ar-SA"/>
        </w:rPr>
        <w:t>一是深化预算管理制度改革。</w:t>
      </w:r>
      <w:r>
        <w:rPr>
          <w:rFonts w:hint="eastAsia" w:ascii="仿宋_GB2312" w:hAnsi="宋体" w:eastAsia="仿宋_GB2312" w:cs="宋体"/>
          <w:kern w:val="0"/>
          <w:sz w:val="32"/>
          <w:szCs w:val="32"/>
          <w:highlight w:val="none"/>
          <w:lang w:val="en-US" w:eastAsia="zh-CN" w:bidi="ar-SA"/>
        </w:rPr>
        <w:t>坚持党的全面领导，统筹各类财政资源，优化财政支出结构，坚持预算法定，强化预算刚性约束，兜牢“三保”底线，守住风险底线，有序推进预算管理一体化系统建设，对财政资金从预算安排源头到使用末端的全链条跟踪监控，</w:t>
      </w:r>
      <w:r>
        <w:rPr>
          <w:rFonts w:hint="eastAsia" w:ascii="仿宋_GB2312" w:eastAsia="仿宋_GB2312" w:cs="宋体"/>
          <w:kern w:val="0"/>
          <w:sz w:val="32"/>
          <w:szCs w:val="32"/>
          <w:highlight w:val="none"/>
          <w:lang w:val="en-US" w:eastAsia="zh-CN" w:bidi="ar-SA"/>
        </w:rPr>
        <w:t>统筹当前与长远，推动可持续发展。</w:t>
      </w:r>
      <w:r>
        <w:rPr>
          <w:rFonts w:hint="eastAsia" w:ascii="仿宋_GB2312" w:hAnsi="宋体" w:eastAsia="仿宋_GB2312" w:cs="宋体"/>
          <w:b/>
          <w:bCs/>
          <w:kern w:val="0"/>
          <w:sz w:val="32"/>
          <w:szCs w:val="32"/>
          <w:highlight w:val="none"/>
          <w:lang w:val="en-US" w:eastAsia="zh-CN" w:bidi="ar-SA"/>
        </w:rPr>
        <w:t>二是加大预决算公开力度。</w:t>
      </w:r>
      <w:r>
        <w:rPr>
          <w:rFonts w:hint="eastAsia" w:ascii="仿宋_GB2312" w:hAnsi="宋体" w:eastAsia="仿宋_GB2312" w:cs="宋体"/>
          <w:kern w:val="0"/>
          <w:sz w:val="32"/>
          <w:szCs w:val="32"/>
          <w:highlight w:val="none"/>
          <w:lang w:val="en-US" w:eastAsia="zh-CN" w:bidi="ar-SA"/>
        </w:rPr>
        <w:t>除涉密单位外，做到政府预决算和128个县直单位部门预决算全部公开，其他民生资金和财政信息做到应公开尽公开。</w:t>
      </w:r>
      <w:r>
        <w:rPr>
          <w:rFonts w:hint="eastAsia" w:ascii="仿宋_GB2312" w:hAnsi="宋体" w:eastAsia="仿宋_GB2312" w:cs="宋体"/>
          <w:b/>
          <w:bCs/>
          <w:kern w:val="0"/>
          <w:sz w:val="32"/>
          <w:szCs w:val="32"/>
          <w:highlight w:val="none"/>
          <w:lang w:val="en-US" w:eastAsia="zh-CN" w:bidi="ar-SA"/>
        </w:rPr>
        <w:t>三是加强国有资产监管。</w:t>
      </w:r>
      <w:r>
        <w:rPr>
          <w:rFonts w:hint="eastAsia" w:ascii="仿宋_GB2312" w:hAnsi="宋体" w:eastAsia="仿宋_GB2312" w:cs="宋体"/>
          <w:kern w:val="0"/>
          <w:sz w:val="32"/>
          <w:szCs w:val="32"/>
          <w:highlight w:val="none"/>
          <w:lang w:val="en-US" w:eastAsia="zh-CN" w:bidi="ar-SA"/>
        </w:rPr>
        <w:t>进一步摸清家底，完善制度，搭建国有资产管理平台，准确掌握资产状况，包括资产的配置、使用、处置、出租情况，有效杜绝国有资产长租、贱租等行为，加大资产盘活，实现国有资产效益最大化。</w:t>
      </w:r>
      <w:r>
        <w:rPr>
          <w:rFonts w:hint="eastAsia" w:ascii="仿宋_GB2312" w:hAnsi="宋体" w:eastAsia="仿宋_GB2312" w:cs="宋体"/>
          <w:b/>
          <w:bCs/>
          <w:kern w:val="0"/>
          <w:sz w:val="32"/>
          <w:szCs w:val="32"/>
          <w:highlight w:val="none"/>
          <w:lang w:val="en-US" w:eastAsia="zh-CN" w:bidi="ar-SA"/>
        </w:rPr>
        <w:t>四是推进预算绩效管理。</w:t>
      </w:r>
      <w:r>
        <w:rPr>
          <w:rFonts w:hint="eastAsia" w:ascii="仿宋_GB2312" w:hAnsi="宋体" w:eastAsia="仿宋_GB2312" w:cs="宋体"/>
          <w:kern w:val="0"/>
          <w:sz w:val="32"/>
          <w:szCs w:val="32"/>
          <w:highlight w:val="none"/>
          <w:lang w:val="en-US" w:eastAsia="zh-CN" w:bidi="ar-SA"/>
        </w:rPr>
        <w:t>将预算绩效管理理念贯穿资金、资产、资源配置全过程，花钱必问效、无效必问责。构建包含事前绩效评估、绩效目标管理、绩效运行监控、绩效目标评价和评价结果运用的全过程预算绩效管理链条。</w:t>
      </w:r>
    </w:p>
    <w:p>
      <w:pPr>
        <w:pStyle w:val="10"/>
        <w:autoSpaceDE w:val="0"/>
        <w:autoSpaceDN w:val="0"/>
        <w:spacing w:before="0" w:beforeAutospacing="0" w:after="0" w:afterAutospacing="0" w:line="580" w:lineRule="exact"/>
        <w:ind w:firstLine="640" w:firstLineChars="200"/>
        <w:jc w:val="both"/>
        <w:rPr>
          <w:rFonts w:ascii="仿宋_GB2312" w:hAnsi="Times New Roman" w:eastAsia="仿宋_GB2312" w:cs="Times New Roman"/>
          <w:sz w:val="32"/>
          <w:szCs w:val="32"/>
        </w:rPr>
      </w:pPr>
      <w:r>
        <w:rPr>
          <w:rFonts w:hint="eastAsia" w:ascii="仿宋_GB2312" w:hAnsi="仿宋_GB2312" w:eastAsia="仿宋_GB2312" w:cs="Times New Roman"/>
          <w:sz w:val="32"/>
          <w:szCs w:val="32"/>
        </w:rPr>
        <w:t>各位代表，我县财政工作虽然取得了一定的成绩，但我们也清醒地认识到，财政运行还面临一些问题和挑战，主要是：</w:t>
      </w:r>
      <w:r>
        <w:rPr>
          <w:rFonts w:hint="eastAsia" w:ascii="仿宋_GB2312" w:hAnsi="仿宋_GB2312" w:eastAsia="仿宋_GB2312" w:cs="Times New Roman"/>
          <w:sz w:val="32"/>
          <w:szCs w:val="32"/>
          <w:lang w:eastAsia="zh-CN"/>
        </w:rPr>
        <w:t>税源</w:t>
      </w:r>
      <w:r>
        <w:rPr>
          <w:rFonts w:hint="eastAsia" w:ascii="仿宋_GB2312" w:hAnsi="仿宋_GB2312" w:eastAsia="仿宋_GB2312" w:cs="Times New Roman"/>
          <w:sz w:val="32"/>
          <w:szCs w:val="32"/>
        </w:rPr>
        <w:t>结构依然欠优，收入增长后劲</w:t>
      </w:r>
      <w:r>
        <w:rPr>
          <w:rFonts w:hint="eastAsia" w:ascii="仿宋_GB2312" w:hAnsi="仿宋_GB2312" w:eastAsia="仿宋_GB2312" w:cs="Times New Roman"/>
          <w:sz w:val="32"/>
          <w:szCs w:val="32"/>
          <w:lang w:eastAsia="zh-CN"/>
        </w:rPr>
        <w:t>乏力</w:t>
      </w:r>
      <w:r>
        <w:rPr>
          <w:rFonts w:hint="eastAsia" w:ascii="仿宋_GB2312" w:hAnsi="仿宋_GB2312" w:eastAsia="仿宋_GB2312" w:cs="Times New Roman"/>
          <w:sz w:val="32"/>
          <w:szCs w:val="32"/>
        </w:rPr>
        <w:t>；</w:t>
      </w:r>
      <w:r>
        <w:rPr>
          <w:rFonts w:hint="eastAsia" w:ascii="仿宋_GB2312" w:hAnsi="仿宋_GB2312" w:eastAsia="仿宋_GB2312" w:cs="Times New Roman"/>
          <w:sz w:val="32"/>
          <w:szCs w:val="32"/>
          <w:lang w:eastAsia="zh-CN"/>
        </w:rPr>
        <w:t>收支矛盾</w:t>
      </w:r>
      <w:r>
        <w:rPr>
          <w:rFonts w:hint="eastAsia" w:ascii="仿宋_GB2312" w:hAnsi="仿宋_GB2312" w:eastAsia="仿宋_GB2312" w:cs="Times New Roman"/>
          <w:sz w:val="32"/>
          <w:szCs w:val="32"/>
        </w:rPr>
        <w:t>不断突出，</w:t>
      </w:r>
      <w:r>
        <w:rPr>
          <w:rFonts w:hint="eastAsia" w:ascii="仿宋_GB2312" w:hAnsi="仿宋_GB2312" w:eastAsia="仿宋_GB2312" w:cs="Times New Roman"/>
          <w:sz w:val="32"/>
          <w:szCs w:val="32"/>
          <w:lang w:eastAsia="zh-CN"/>
        </w:rPr>
        <w:t>库款</w:t>
      </w:r>
      <w:r>
        <w:rPr>
          <w:rFonts w:hint="eastAsia" w:ascii="仿宋_GB2312" w:hAnsi="仿宋_GB2312" w:eastAsia="仿宋_GB2312" w:cs="Times New Roman"/>
          <w:sz w:val="32"/>
          <w:szCs w:val="32"/>
        </w:rPr>
        <w:t>保障压力加大；财政监管还较薄弱，绩效结果运用欠佳；平台公司转型缓慢，债务风险压力增大等等。对此，我们将切实提高政治站位，高度重视，主动作为，积极应对，努力提升财政工作水平，也竭诚希望各位代表</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rPr>
        <w:t>委员一如既往给予关心和支持。</w:t>
      </w:r>
    </w:p>
    <w:p>
      <w:pPr>
        <w:widowControl/>
        <w:shd w:val="clear"/>
        <w:autoSpaceDE w:val="0"/>
        <w:autoSpaceDN w:val="0"/>
        <w:spacing w:line="580" w:lineRule="exact"/>
        <w:ind w:firstLine="643"/>
        <w:rPr>
          <w:rFonts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、202</w:t>
      </w:r>
      <w:r>
        <w:rPr>
          <w:rFonts w:hint="eastAsia" w:ascii="黑体" w:hAnsi="黑体" w:eastAsia="黑体"/>
          <w:sz w:val="32"/>
          <w:szCs w:val="32"/>
          <w:lang w:val="en-US" w:eastAsia="zh-CN"/>
        </w:rPr>
        <w:t>2</w:t>
      </w:r>
      <w:r>
        <w:rPr>
          <w:rFonts w:hint="eastAsia" w:ascii="黑体" w:hAnsi="黑体" w:eastAsia="黑体"/>
          <w:sz w:val="32"/>
          <w:szCs w:val="32"/>
        </w:rPr>
        <w:t>年财政预算草案</w:t>
      </w:r>
    </w:p>
    <w:p>
      <w:pPr>
        <w:pStyle w:val="25"/>
        <w:numPr>
          <w:ilvl w:val="0"/>
          <w:numId w:val="0"/>
        </w:numPr>
        <w:shd w:val="clear"/>
        <w:autoSpaceDE w:val="0"/>
        <w:autoSpaceDN w:val="0"/>
        <w:spacing w:line="580" w:lineRule="exact"/>
        <w:ind w:firstLine="643" w:firstLineChars="200"/>
        <w:rPr>
          <w:rFonts w:hint="eastAsia" w:ascii="楷体_GB2312" w:hAnsi="Times New Roman" w:eastAsia="楷体_GB2312" w:cs="Times New Roman"/>
          <w:b/>
          <w:bCs/>
          <w:sz w:val="32"/>
          <w:szCs w:val="32"/>
        </w:rPr>
      </w:pPr>
      <w:r>
        <w:rPr>
          <w:rFonts w:hint="eastAsia" w:ascii="楷体_GB2312" w:hAnsi="Times New Roman" w:eastAsia="楷体_GB2312" w:cs="Times New Roman"/>
          <w:b/>
          <w:bCs/>
          <w:sz w:val="32"/>
          <w:szCs w:val="32"/>
          <w:lang w:eastAsia="zh-CN"/>
        </w:rPr>
        <w:t>（一）</w:t>
      </w:r>
      <w:r>
        <w:rPr>
          <w:rFonts w:hint="eastAsia" w:ascii="楷体_GB2312" w:hAnsi="Times New Roman" w:eastAsia="楷体_GB2312" w:cs="Times New Roman"/>
          <w:b/>
          <w:bCs/>
          <w:sz w:val="32"/>
          <w:szCs w:val="32"/>
        </w:rPr>
        <w:t>预算编制的指导思想和基本原则</w:t>
      </w:r>
    </w:p>
    <w:p>
      <w:pPr>
        <w:pStyle w:val="25"/>
        <w:numPr>
          <w:ilvl w:val="0"/>
          <w:numId w:val="0"/>
        </w:numPr>
        <w:shd w:val="clear"/>
        <w:autoSpaceDE w:val="0"/>
        <w:autoSpaceDN w:val="0"/>
        <w:spacing w:line="580" w:lineRule="exact"/>
        <w:ind w:firstLine="640" w:firstLineChars="200"/>
        <w:rPr>
          <w:rFonts w:hint="eastAsia" w:ascii="仿宋_GB2312" w:hAnsi="仿宋_GB2312" w:eastAsia="仿宋_GB2312" w:cs="Times New Roman"/>
          <w:kern w:val="0"/>
          <w:sz w:val="32"/>
          <w:szCs w:val="32"/>
          <w:lang w:val="en-US" w:eastAsia="zh-CN" w:bidi="ar-SA"/>
        </w:rPr>
      </w:pPr>
      <w:r>
        <w:rPr>
          <w:rFonts w:hint="eastAsia" w:ascii="仿宋_GB2312" w:hAnsi="仿宋_GB2312" w:eastAsia="仿宋_GB2312" w:cs="Times New Roman"/>
          <w:sz w:val="32"/>
          <w:szCs w:val="32"/>
        </w:rPr>
        <w:t>根据中央省市相关政策文件精神，</w:t>
      </w:r>
      <w:r>
        <w:rPr>
          <w:rFonts w:hint="eastAsia" w:ascii="仿宋_GB2312" w:hAnsi="Times New Roman" w:eastAsia="仿宋_GB2312" w:cs="Times New Roman"/>
          <w:b/>
          <w:bCs/>
          <w:sz w:val="32"/>
          <w:szCs w:val="32"/>
        </w:rPr>
        <w:t>202</w:t>
      </w:r>
      <w:r>
        <w:rPr>
          <w:rFonts w:hint="eastAsia" w:ascii="仿宋_GB2312" w:hAnsi="Times New Roman" w:eastAsia="仿宋_GB2312" w:cs="Times New Roman"/>
          <w:b/>
          <w:bCs/>
          <w:sz w:val="32"/>
          <w:szCs w:val="32"/>
          <w:lang w:val="en-US" w:eastAsia="zh-CN"/>
        </w:rPr>
        <w:t>2</w:t>
      </w:r>
      <w:r>
        <w:rPr>
          <w:rFonts w:hint="eastAsia" w:ascii="仿宋_GB2312" w:hAnsi="仿宋_GB2312" w:eastAsia="仿宋_GB2312" w:cs="Times New Roman"/>
          <w:b/>
          <w:bCs/>
          <w:sz w:val="32"/>
          <w:szCs w:val="32"/>
        </w:rPr>
        <w:t>年预算编制的指导思想是：</w:t>
      </w:r>
      <w:r>
        <w:rPr>
          <w:rFonts w:hint="eastAsia" w:ascii="仿宋_GB2312" w:hAnsi="仿宋_GB2312" w:eastAsia="仿宋_GB2312" w:cs="Times New Roman"/>
          <w:kern w:val="0"/>
          <w:sz w:val="32"/>
          <w:szCs w:val="32"/>
          <w:lang w:val="en-US" w:eastAsia="zh-CN" w:bidi="ar-SA"/>
        </w:rPr>
        <w:t>以习近平新时代中国特色社会主义思想为指导，认真贯彻习近平总书记考察湖南重要讲话精神和党中央、国务院各项决策部署，坚持以人民为中心，坚持稳中求进工作总基调，坚持统筹发展与安全，坚持以结构性改革破解高质量发展中的难题，立足新发展阶段，贯彻新发展理念，构建新发展格局，进一步完善预算管理制度，提升预算管理规范化、科学化、标准化水平，紧紧围绕省市县各项战略部署，加强预算统筹，增强重大战略任务财力保障，着重解决社会发展中的突出矛盾，推动全县经济社会高质量发展。</w:t>
      </w:r>
    </w:p>
    <w:p>
      <w:pPr>
        <w:shd w:val="clear"/>
        <w:rPr>
          <w:rFonts w:ascii="仿宋_GB2312" w:eastAsia="仿宋_GB2312"/>
          <w:sz w:val="32"/>
          <w:szCs w:val="32"/>
        </w:rPr>
      </w:pPr>
      <w:r>
        <w:rPr>
          <w:rFonts w:hint="eastAsia" w:ascii="仿宋_GB2312" w:hAnsi="仿宋_GB2312" w:eastAsia="仿宋_GB2312"/>
          <w:sz w:val="32"/>
          <w:szCs w:val="32"/>
        </w:rPr>
        <w:t xml:space="preserve">    贯彻上述指导思想，</w:t>
      </w:r>
      <w:r>
        <w:rPr>
          <w:rFonts w:hint="eastAsia" w:ascii="仿宋_GB2312" w:eastAsia="仿宋_GB2312"/>
          <w:b/>
          <w:bCs/>
          <w:sz w:val="32"/>
          <w:szCs w:val="32"/>
        </w:rPr>
        <w:t>202</w:t>
      </w:r>
      <w:r>
        <w:rPr>
          <w:rFonts w:hint="eastAsia" w:ascii="仿宋_GB2312" w:eastAsia="仿宋_GB2312"/>
          <w:b/>
          <w:bCs/>
          <w:sz w:val="32"/>
          <w:szCs w:val="32"/>
          <w:lang w:val="en-US" w:eastAsia="zh-CN"/>
        </w:rPr>
        <w:t>2</w:t>
      </w:r>
      <w:r>
        <w:rPr>
          <w:rFonts w:hint="eastAsia" w:ascii="仿宋_GB2312" w:hAnsi="仿宋_GB2312" w:eastAsia="仿宋_GB2312"/>
          <w:b/>
          <w:bCs/>
          <w:sz w:val="32"/>
          <w:szCs w:val="32"/>
        </w:rPr>
        <w:t>年预算编制的基本原则：一是立足实际，深化零基预算。</w:t>
      </w:r>
      <w:r>
        <w:rPr>
          <w:rFonts w:hint="eastAsia" w:ascii="仿宋_GB2312" w:hAnsi="仿宋_GB2312" w:eastAsia="仿宋_GB2312"/>
          <w:sz w:val="32"/>
          <w:szCs w:val="32"/>
        </w:rPr>
        <w:t>坚持培植财源与挖潜增收同步，收入总量和质量并重，科学预测财政收入，合理确定收入预期。进一步深化零基预算，一切从实际工作需要出发，以零为基点编制预算。</w:t>
      </w:r>
      <w:r>
        <w:rPr>
          <w:rFonts w:hint="eastAsia" w:ascii="仿宋_GB2312" w:hAnsi="仿宋_GB2312" w:eastAsia="仿宋_GB2312"/>
          <w:b/>
          <w:bCs/>
          <w:sz w:val="32"/>
          <w:szCs w:val="32"/>
        </w:rPr>
        <w:t>二是兜牢底线，坚持有保有压。一要</w:t>
      </w:r>
      <w:r>
        <w:rPr>
          <w:rFonts w:hint="eastAsia" w:ascii="仿宋_GB2312" w:hAnsi="仿宋_GB2312" w:eastAsia="仿宋_GB2312"/>
          <w:sz w:val="32"/>
          <w:szCs w:val="32"/>
        </w:rPr>
        <w:t>兜牢</w:t>
      </w:r>
      <w:r>
        <w:rPr>
          <w:rFonts w:hint="eastAsia" w:ascii="仿宋_GB2312" w:eastAsia="仿宋_GB2312"/>
          <w:sz w:val="32"/>
          <w:szCs w:val="32"/>
        </w:rPr>
        <w:t>“</w:t>
      </w:r>
      <w:r>
        <w:rPr>
          <w:rFonts w:hint="eastAsia" w:ascii="仿宋_GB2312" w:hAnsi="仿宋_GB2312" w:eastAsia="仿宋_GB2312"/>
          <w:sz w:val="32"/>
          <w:szCs w:val="32"/>
        </w:rPr>
        <w:t>三保</w:t>
      </w:r>
      <w:r>
        <w:rPr>
          <w:rFonts w:hint="eastAsia" w:ascii="仿宋_GB2312" w:eastAsia="仿宋_GB2312"/>
          <w:sz w:val="32"/>
          <w:szCs w:val="32"/>
        </w:rPr>
        <w:t>”</w:t>
      </w:r>
      <w:r>
        <w:rPr>
          <w:rFonts w:hint="eastAsia" w:ascii="仿宋_GB2312" w:hAnsi="仿宋_GB2312" w:eastAsia="仿宋_GB2312"/>
          <w:sz w:val="32"/>
          <w:szCs w:val="32"/>
        </w:rPr>
        <w:t>底线。按照以收定支、量力而行的预算编制基本原则，始终将兜牢</w:t>
      </w:r>
      <w:r>
        <w:rPr>
          <w:rFonts w:hint="eastAsia" w:ascii="仿宋_GB2312" w:eastAsia="仿宋_GB2312"/>
          <w:sz w:val="32"/>
          <w:szCs w:val="32"/>
        </w:rPr>
        <w:t>“</w:t>
      </w:r>
      <w:r>
        <w:rPr>
          <w:rFonts w:hint="eastAsia" w:ascii="仿宋_GB2312" w:hAnsi="仿宋_GB2312" w:eastAsia="仿宋_GB2312"/>
          <w:sz w:val="32"/>
          <w:szCs w:val="32"/>
        </w:rPr>
        <w:t>三保</w:t>
      </w:r>
      <w:r>
        <w:rPr>
          <w:rFonts w:hint="eastAsia" w:ascii="仿宋_GB2312" w:eastAsia="仿宋_GB2312"/>
          <w:sz w:val="32"/>
          <w:szCs w:val="32"/>
        </w:rPr>
        <w:t>”</w:t>
      </w:r>
      <w:r>
        <w:rPr>
          <w:rFonts w:hint="eastAsia" w:ascii="仿宋_GB2312" w:hAnsi="仿宋_GB2312" w:eastAsia="仿宋_GB2312"/>
          <w:sz w:val="32"/>
          <w:szCs w:val="32"/>
        </w:rPr>
        <w:t>底线摆在首要位置。</w:t>
      </w:r>
      <w:r>
        <w:rPr>
          <w:rFonts w:hint="eastAsia" w:ascii="仿宋_GB2312" w:hAnsi="仿宋_GB2312" w:eastAsia="仿宋_GB2312"/>
          <w:b/>
          <w:bCs/>
          <w:sz w:val="32"/>
          <w:szCs w:val="32"/>
        </w:rPr>
        <w:t>二要</w:t>
      </w:r>
      <w:r>
        <w:rPr>
          <w:rFonts w:hint="eastAsia" w:ascii="仿宋_GB2312" w:hAnsi="仿宋_GB2312" w:eastAsia="仿宋_GB2312"/>
          <w:sz w:val="32"/>
          <w:szCs w:val="32"/>
        </w:rPr>
        <w:t>突出保</w:t>
      </w:r>
      <w:r>
        <w:rPr>
          <w:rFonts w:hint="eastAsia" w:ascii="仿宋_GB2312" w:eastAsia="仿宋_GB2312"/>
          <w:sz w:val="32"/>
          <w:szCs w:val="32"/>
        </w:rPr>
        <w:t>“</w:t>
      </w:r>
      <w:r>
        <w:rPr>
          <w:rFonts w:hint="eastAsia" w:ascii="仿宋_GB2312" w:hAnsi="仿宋_GB2312" w:eastAsia="仿宋_GB2312"/>
          <w:sz w:val="32"/>
          <w:szCs w:val="32"/>
        </w:rPr>
        <w:t>考核</w:t>
      </w:r>
      <w:r>
        <w:rPr>
          <w:rFonts w:hint="eastAsia" w:ascii="仿宋_GB2312" w:eastAsia="仿宋_GB2312"/>
          <w:sz w:val="32"/>
          <w:szCs w:val="32"/>
        </w:rPr>
        <w:t>”</w:t>
      </w:r>
      <w:r>
        <w:rPr>
          <w:rFonts w:hint="eastAsia" w:ascii="仿宋_GB2312" w:hAnsi="仿宋_GB2312" w:eastAsia="仿宋_GB2312"/>
          <w:sz w:val="32"/>
          <w:szCs w:val="32"/>
        </w:rPr>
        <w:t>以及政府债券还本付息等刚性必保支出。</w:t>
      </w:r>
      <w:r>
        <w:rPr>
          <w:rFonts w:hint="eastAsia" w:ascii="仿宋_GB2312" w:hAnsi="仿宋_GB2312" w:eastAsia="仿宋_GB2312"/>
          <w:b/>
          <w:bCs/>
          <w:sz w:val="32"/>
          <w:szCs w:val="32"/>
        </w:rPr>
        <w:t>三要</w:t>
      </w:r>
      <w:r>
        <w:rPr>
          <w:rFonts w:hint="eastAsia" w:ascii="仿宋_GB2312" w:hAnsi="仿宋_GB2312" w:eastAsia="仿宋_GB2312"/>
          <w:sz w:val="32"/>
          <w:szCs w:val="32"/>
        </w:rPr>
        <w:t>突出保重点。在落实以上保障的基础上，重点保障县委</w:t>
      </w:r>
      <w:r>
        <w:rPr>
          <w:rFonts w:hint="eastAsia" w:ascii="仿宋_GB2312" w:hAnsi="仿宋_GB2312" w:eastAsia="仿宋_GB2312"/>
          <w:sz w:val="32"/>
          <w:szCs w:val="32"/>
          <w:lang w:eastAsia="zh-CN"/>
        </w:rPr>
        <w:t>县</w:t>
      </w:r>
      <w:r>
        <w:rPr>
          <w:rFonts w:hint="eastAsia" w:ascii="仿宋_GB2312" w:hAnsi="仿宋_GB2312" w:eastAsia="仿宋_GB2312"/>
          <w:sz w:val="32"/>
          <w:szCs w:val="32"/>
        </w:rPr>
        <w:t>政府确定的重大决策和重点领域方面。</w:t>
      </w:r>
      <w:r>
        <w:rPr>
          <w:rFonts w:hint="eastAsia" w:ascii="仿宋_GB2312" w:hAnsi="仿宋_GB2312" w:eastAsia="仿宋_GB2312"/>
          <w:b/>
          <w:bCs/>
          <w:sz w:val="32"/>
          <w:szCs w:val="32"/>
        </w:rPr>
        <w:t>四要</w:t>
      </w:r>
      <w:r>
        <w:rPr>
          <w:rFonts w:hint="eastAsia" w:ascii="仿宋_GB2312" w:hAnsi="仿宋_GB2312" w:eastAsia="仿宋_GB2312"/>
          <w:sz w:val="32"/>
          <w:szCs w:val="32"/>
        </w:rPr>
        <w:t>全力保平衡。坚持预算安排有保有压，</w:t>
      </w:r>
      <w:r>
        <w:rPr>
          <w:rFonts w:hint="eastAsia" w:ascii="仿宋_GB2312" w:hAnsi="仿宋_GB2312" w:eastAsia="仿宋_GB2312"/>
          <w:sz w:val="32"/>
          <w:szCs w:val="32"/>
          <w:lang w:eastAsia="zh-CN"/>
        </w:rPr>
        <w:t>财力保障有倾斜，</w:t>
      </w:r>
      <w:r>
        <w:rPr>
          <w:rFonts w:hint="eastAsia" w:ascii="仿宋_GB2312" w:hAnsi="仿宋_GB2312" w:eastAsia="仿宋_GB2312"/>
          <w:sz w:val="32"/>
          <w:szCs w:val="32"/>
        </w:rPr>
        <w:t>民生保障应保尽保</w:t>
      </w:r>
      <w:r>
        <w:rPr>
          <w:rFonts w:hint="eastAsia" w:ascii="仿宋_GB2312" w:hAnsi="仿宋_GB2312" w:eastAsia="仿宋_GB2312"/>
          <w:sz w:val="32"/>
          <w:szCs w:val="32"/>
          <w:lang w:eastAsia="zh-CN"/>
        </w:rPr>
        <w:t>，公用经费深入压减，非急需、非刚性支出能压则压，</w:t>
      </w:r>
      <w:r>
        <w:rPr>
          <w:rFonts w:hint="eastAsia" w:ascii="仿宋_GB2312" w:hAnsi="仿宋_GB2312" w:eastAsia="仿宋_GB2312"/>
          <w:sz w:val="32"/>
          <w:szCs w:val="32"/>
        </w:rPr>
        <w:t>确保年度收支平衡。</w:t>
      </w:r>
      <w:r>
        <w:rPr>
          <w:rFonts w:hint="eastAsia" w:ascii="仿宋_GB2312" w:hAnsi="仿宋_GB2312" w:eastAsia="仿宋_GB2312"/>
          <w:b/>
          <w:bCs/>
          <w:sz w:val="32"/>
          <w:szCs w:val="32"/>
        </w:rPr>
        <w:t>三是注重实效，推进绩效管理。</w:t>
      </w:r>
      <w:r>
        <w:rPr>
          <w:rFonts w:hint="eastAsia" w:ascii="仿宋_GB2312" w:hAnsi="仿宋_GB2312" w:eastAsia="仿宋_GB2312"/>
          <w:sz w:val="32"/>
          <w:szCs w:val="32"/>
        </w:rPr>
        <w:t>强化预算绩效管理，全面落实党政机关坚持过紧日子思想，进一步节约支出，应对当前财政收支缺口，切实提高资金使用效益。</w:t>
      </w:r>
    </w:p>
    <w:p>
      <w:pPr>
        <w:pStyle w:val="25"/>
        <w:shd w:val="clear"/>
        <w:autoSpaceDE w:val="0"/>
        <w:autoSpaceDN w:val="0"/>
        <w:spacing w:line="580" w:lineRule="exact"/>
        <w:ind w:firstLine="643" w:firstLineChars="200"/>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（二）收入预计与支出安排</w:t>
      </w:r>
    </w:p>
    <w:p>
      <w:pPr>
        <w:pStyle w:val="25"/>
        <w:shd w:val="clear"/>
        <w:autoSpaceDE w:val="0"/>
        <w:autoSpaceDN w:val="0"/>
        <w:spacing w:line="58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1.一般公共预算</w:t>
      </w:r>
    </w:p>
    <w:p>
      <w:pPr>
        <w:shd w:val="clear"/>
        <w:autoSpaceDE w:val="0"/>
        <w:autoSpaceDN w:val="0"/>
        <w:spacing w:line="580" w:lineRule="exact"/>
        <w:ind w:firstLine="640" w:firstLineChars="200"/>
        <w:rPr>
          <w:rFonts w:hint="eastAsia" w:ascii="仿宋_GB2312" w:hAnsi="仿宋_GB2312" w:eastAsia="仿宋_GB2312"/>
          <w:kern w:val="0"/>
          <w:sz w:val="32"/>
          <w:szCs w:val="32"/>
        </w:rPr>
      </w:pPr>
      <w:r>
        <w:rPr>
          <w:rFonts w:hint="eastAsia" w:ascii="仿宋_GB2312" w:hAnsi="仿宋_GB2312" w:eastAsia="仿宋_GB2312"/>
          <w:kern w:val="0"/>
          <w:sz w:val="32"/>
          <w:szCs w:val="32"/>
        </w:rPr>
        <w:t>2022年地方一般公共预算收入在上年完成数12.7亿</w:t>
      </w:r>
      <w:r>
        <w:rPr>
          <w:rFonts w:hint="eastAsia" w:ascii="仿宋_GB2312" w:hAnsi="仿宋_GB2312" w:eastAsia="仿宋_GB2312"/>
          <w:kern w:val="0"/>
          <w:sz w:val="32"/>
          <w:szCs w:val="32"/>
          <w:lang w:eastAsia="zh-CN"/>
        </w:rPr>
        <w:t>元</w:t>
      </w:r>
      <w:r>
        <w:rPr>
          <w:rFonts w:hint="eastAsia" w:ascii="仿宋_GB2312" w:hAnsi="仿宋_GB2312" w:eastAsia="仿宋_GB2312"/>
          <w:kern w:val="0"/>
          <w:sz w:val="32"/>
          <w:szCs w:val="32"/>
        </w:rPr>
        <w:t>的基础上按增长10.5%安排，全年预计数为14.03亿</w:t>
      </w:r>
      <w:r>
        <w:rPr>
          <w:rFonts w:hint="eastAsia" w:ascii="仿宋_GB2312" w:hAnsi="仿宋_GB2312" w:eastAsia="仿宋_GB2312"/>
          <w:kern w:val="0"/>
          <w:sz w:val="32"/>
          <w:szCs w:val="32"/>
          <w:lang w:eastAsia="zh-CN"/>
        </w:rPr>
        <w:t>元</w:t>
      </w:r>
      <w:r>
        <w:rPr>
          <w:rFonts w:hint="eastAsia" w:ascii="仿宋_GB2312" w:hAnsi="仿宋_GB2312" w:eastAsia="仿宋_GB2312"/>
          <w:kern w:val="0"/>
          <w:sz w:val="32"/>
          <w:szCs w:val="32"/>
        </w:rPr>
        <w:t>。其中税收收入10.6</w:t>
      </w:r>
      <w:r>
        <w:rPr>
          <w:rFonts w:hint="eastAsia" w:ascii="仿宋_GB2312" w:hAnsi="仿宋_GB2312" w:eastAsia="仿宋_GB2312"/>
          <w:kern w:val="0"/>
          <w:sz w:val="32"/>
          <w:szCs w:val="32"/>
          <w:lang w:val="en-US" w:eastAsia="zh-CN"/>
        </w:rPr>
        <w:t>8</w:t>
      </w:r>
      <w:r>
        <w:rPr>
          <w:rFonts w:hint="eastAsia" w:ascii="仿宋_GB2312" w:hAnsi="仿宋_GB2312" w:eastAsia="仿宋_GB2312"/>
          <w:kern w:val="0"/>
          <w:sz w:val="32"/>
          <w:szCs w:val="32"/>
        </w:rPr>
        <w:t>亿元，非税收入3.3</w:t>
      </w:r>
      <w:r>
        <w:rPr>
          <w:rFonts w:hint="eastAsia" w:ascii="仿宋_GB2312" w:hAnsi="仿宋_GB2312" w:eastAsia="仿宋_GB2312"/>
          <w:kern w:val="0"/>
          <w:sz w:val="32"/>
          <w:szCs w:val="32"/>
          <w:lang w:val="en-US" w:eastAsia="zh-CN"/>
        </w:rPr>
        <w:t>5</w:t>
      </w:r>
      <w:r>
        <w:rPr>
          <w:rFonts w:hint="eastAsia" w:ascii="仿宋_GB2312" w:hAnsi="仿宋_GB2312" w:eastAsia="仿宋_GB2312"/>
          <w:kern w:val="0"/>
          <w:sz w:val="32"/>
          <w:szCs w:val="32"/>
        </w:rPr>
        <w:t>亿元，税收占比76</w:t>
      </w:r>
      <w:r>
        <w:rPr>
          <w:rFonts w:hint="eastAsia" w:ascii="仿宋_GB2312" w:hAnsi="仿宋_GB2312" w:eastAsia="仿宋_GB2312"/>
          <w:kern w:val="0"/>
          <w:sz w:val="32"/>
          <w:szCs w:val="32"/>
          <w:lang w:val="en-US" w:eastAsia="zh-CN"/>
        </w:rPr>
        <w:t>.1</w:t>
      </w:r>
      <w:r>
        <w:rPr>
          <w:rFonts w:hint="eastAsia" w:ascii="仿宋_GB2312" w:hAnsi="仿宋_GB2312" w:eastAsia="仿宋_GB2312"/>
          <w:kern w:val="0"/>
          <w:sz w:val="32"/>
          <w:szCs w:val="32"/>
        </w:rPr>
        <w:t>%。</w:t>
      </w:r>
    </w:p>
    <w:p>
      <w:pPr>
        <w:pStyle w:val="25"/>
        <w:shd w:val="clear"/>
        <w:autoSpaceDE w:val="0"/>
        <w:autoSpaceDN w:val="0"/>
        <w:spacing w:line="580" w:lineRule="exact"/>
        <w:ind w:firstLine="640" w:firstLineChars="200"/>
        <w:rPr>
          <w:rFonts w:ascii="仿宋_GB2312" w:hAnsi="Times New Roman" w:eastAsia="仿宋_GB2312" w:cs="Times New Roman"/>
          <w:kern w:val="0"/>
          <w:sz w:val="32"/>
          <w:szCs w:val="32"/>
          <w:highlight w:val="cyan"/>
        </w:rPr>
      </w:pPr>
      <w:r>
        <w:rPr>
          <w:rFonts w:hint="eastAsia" w:ascii="仿宋_GB2312" w:hAnsi="仿宋_GB2312" w:eastAsia="仿宋_GB2312" w:cs="Times New Roman"/>
          <w:kern w:val="0"/>
          <w:sz w:val="32"/>
          <w:szCs w:val="32"/>
        </w:rPr>
        <w:t>一般公共预算地方收入</w:t>
      </w:r>
      <w:r>
        <w:rPr>
          <w:rFonts w:hint="eastAsia" w:ascii="仿宋_GB2312" w:hAnsi="Times New Roman" w:eastAsia="仿宋_GB2312" w:cs="Times New Roman"/>
          <w:kern w:val="0"/>
          <w:sz w:val="32"/>
          <w:szCs w:val="32"/>
          <w:lang w:val="en-US" w:eastAsia="zh-CN"/>
        </w:rPr>
        <w:t>14.03</w:t>
      </w:r>
      <w:r>
        <w:rPr>
          <w:rFonts w:hint="eastAsia" w:ascii="仿宋_GB2312" w:hAnsi="仿宋_GB2312" w:eastAsia="仿宋_GB2312" w:cs="Times New Roman"/>
          <w:kern w:val="0"/>
          <w:sz w:val="32"/>
          <w:szCs w:val="32"/>
        </w:rPr>
        <w:t>亿元，加上上级补助收入</w:t>
      </w:r>
      <w:r>
        <w:rPr>
          <w:rFonts w:hint="eastAsia" w:ascii="仿宋_GB2312" w:hAnsi="Times New Roman" w:eastAsia="仿宋_GB2312" w:cs="Times New Roman"/>
          <w:kern w:val="0"/>
          <w:sz w:val="32"/>
          <w:szCs w:val="32"/>
        </w:rPr>
        <w:t>2</w:t>
      </w:r>
      <w:r>
        <w:rPr>
          <w:rFonts w:hint="eastAsia" w:ascii="仿宋_GB2312" w:hAnsi="Times New Roman" w:eastAsia="仿宋_GB2312" w:cs="Times New Roman"/>
          <w:kern w:val="0"/>
          <w:sz w:val="32"/>
          <w:szCs w:val="32"/>
          <w:lang w:val="en-US" w:eastAsia="zh-CN"/>
        </w:rPr>
        <w:t>4</w:t>
      </w:r>
      <w:r>
        <w:rPr>
          <w:rFonts w:hint="eastAsia" w:ascii="仿宋_GB2312" w:hAnsi="Times New Roman" w:eastAsia="仿宋_GB2312" w:cs="Times New Roman"/>
          <w:kern w:val="0"/>
          <w:sz w:val="32"/>
          <w:szCs w:val="32"/>
        </w:rPr>
        <w:t>.</w:t>
      </w:r>
      <w:r>
        <w:rPr>
          <w:rFonts w:hint="eastAsia" w:ascii="仿宋_GB2312" w:hAnsi="Times New Roman" w:eastAsia="仿宋_GB2312" w:cs="Times New Roman"/>
          <w:kern w:val="0"/>
          <w:sz w:val="32"/>
          <w:szCs w:val="32"/>
          <w:lang w:val="en-US" w:eastAsia="zh-CN"/>
        </w:rPr>
        <w:t>6</w:t>
      </w:r>
      <w:r>
        <w:rPr>
          <w:rFonts w:hint="eastAsia" w:ascii="仿宋_GB2312" w:hAnsi="仿宋_GB2312" w:eastAsia="仿宋_GB2312" w:cs="Times New Roman"/>
          <w:kern w:val="0"/>
          <w:sz w:val="32"/>
          <w:szCs w:val="32"/>
        </w:rPr>
        <w:t>亿元，上年结余收入</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59</w:t>
      </w:r>
      <w:r>
        <w:rPr>
          <w:rFonts w:hint="eastAsia" w:ascii="仿宋_GB2312" w:hAnsi="仿宋_GB2312" w:eastAsia="仿宋_GB2312" w:cs="Times New Roman"/>
          <w:kern w:val="0"/>
          <w:sz w:val="32"/>
          <w:szCs w:val="32"/>
        </w:rPr>
        <w:t>亿元，</w:t>
      </w:r>
      <w:r>
        <w:rPr>
          <w:rFonts w:hint="eastAsia" w:ascii="仿宋_GB2312" w:hAnsi="仿宋_GB2312" w:eastAsia="仿宋_GB2312" w:cs="Times New Roman"/>
          <w:kern w:val="0"/>
          <w:sz w:val="32"/>
          <w:szCs w:val="32"/>
          <w:lang w:eastAsia="zh-CN"/>
        </w:rPr>
        <w:t>新增债券</w:t>
      </w:r>
      <w:r>
        <w:rPr>
          <w:rFonts w:hint="eastAsia" w:ascii="仿宋_GB2312" w:hAnsi="仿宋_GB2312" w:eastAsia="仿宋_GB2312" w:cs="Times New Roman"/>
          <w:kern w:val="0"/>
          <w:sz w:val="32"/>
          <w:szCs w:val="32"/>
          <w:lang w:val="en-US" w:eastAsia="zh-CN"/>
        </w:rPr>
        <w:t>收入0.1亿元，</w:t>
      </w:r>
      <w:r>
        <w:rPr>
          <w:rFonts w:hint="eastAsia" w:ascii="仿宋_GB2312" w:hAnsi="仿宋_GB2312" w:eastAsia="仿宋_GB2312" w:cs="Times New Roman"/>
          <w:kern w:val="0"/>
          <w:sz w:val="32"/>
          <w:szCs w:val="32"/>
        </w:rPr>
        <w:t>从政府性基金预算调入</w:t>
      </w:r>
      <w:r>
        <w:rPr>
          <w:rFonts w:hint="eastAsia" w:ascii="仿宋_GB2312" w:hAnsi="Times New Roman" w:eastAsia="仿宋_GB2312" w:cs="Times New Roman"/>
          <w:kern w:val="0"/>
          <w:sz w:val="32"/>
          <w:szCs w:val="32"/>
        </w:rPr>
        <w:t>1</w:t>
      </w:r>
      <w:r>
        <w:rPr>
          <w:rFonts w:hint="eastAsia" w:ascii="仿宋_GB2312" w:hAnsi="Times New Roman" w:eastAsia="仿宋_GB2312" w:cs="Times New Roman"/>
          <w:kern w:val="0"/>
          <w:sz w:val="32"/>
          <w:szCs w:val="32"/>
          <w:lang w:val="en-US" w:eastAsia="zh-CN"/>
        </w:rPr>
        <w:t>0.5</w:t>
      </w:r>
      <w:r>
        <w:rPr>
          <w:rFonts w:hint="eastAsia" w:ascii="仿宋_GB2312" w:hAnsi="仿宋_GB2312" w:eastAsia="仿宋_GB2312" w:cs="Times New Roman"/>
          <w:kern w:val="0"/>
          <w:sz w:val="32"/>
          <w:szCs w:val="32"/>
        </w:rPr>
        <w:t>亿元，收入合计</w:t>
      </w:r>
      <w:r>
        <w:rPr>
          <w:rFonts w:hint="eastAsia" w:ascii="仿宋_GB2312" w:hAnsi="仿宋_GB2312" w:eastAsia="仿宋_GB2312" w:cs="Times New Roman"/>
          <w:kern w:val="0"/>
          <w:sz w:val="32"/>
          <w:szCs w:val="32"/>
          <w:lang w:val="en-US" w:eastAsia="zh-CN"/>
        </w:rPr>
        <w:t>49.82</w:t>
      </w:r>
      <w:r>
        <w:rPr>
          <w:rFonts w:hint="eastAsia" w:ascii="仿宋_GB2312" w:hAnsi="仿宋_GB2312" w:eastAsia="仿宋_GB2312" w:cs="Times New Roman"/>
          <w:kern w:val="0"/>
          <w:sz w:val="32"/>
          <w:szCs w:val="32"/>
        </w:rPr>
        <w:t>亿元</w:t>
      </w:r>
      <w:r>
        <w:rPr>
          <w:rFonts w:hint="eastAsia" w:ascii="仿宋_GB2312" w:hAnsi="Times New Roman" w:eastAsia="仿宋_GB2312" w:cs="Times New Roman"/>
          <w:kern w:val="0"/>
          <w:sz w:val="32"/>
          <w:szCs w:val="32"/>
        </w:rPr>
        <w:t>;</w:t>
      </w:r>
      <w:r>
        <w:rPr>
          <w:rFonts w:hint="eastAsia" w:ascii="仿宋_GB2312" w:hAnsi="仿宋_GB2312" w:eastAsia="仿宋_GB2312" w:cs="Times New Roman"/>
          <w:kern w:val="0"/>
          <w:sz w:val="32"/>
          <w:szCs w:val="32"/>
        </w:rPr>
        <w:t>县本级支出安排</w:t>
      </w:r>
      <w:r>
        <w:rPr>
          <w:rFonts w:hint="eastAsia" w:ascii="仿宋_GB2312" w:hAnsi="仿宋_GB2312" w:eastAsia="仿宋_GB2312" w:cs="Times New Roman"/>
          <w:kern w:val="0"/>
          <w:sz w:val="32"/>
          <w:szCs w:val="32"/>
          <w:lang w:val="en-US" w:eastAsia="zh-CN"/>
        </w:rPr>
        <w:t>4</w:t>
      </w:r>
      <w:r>
        <w:rPr>
          <w:rFonts w:hint="eastAsia" w:ascii="仿宋_GB2312" w:hAnsi="Times New Roman" w:eastAsia="仿宋_GB2312" w:cs="Times New Roman"/>
          <w:kern w:val="0"/>
          <w:sz w:val="32"/>
          <w:szCs w:val="32"/>
          <w:lang w:val="en-US" w:eastAsia="zh-CN"/>
        </w:rPr>
        <w:t>9.37</w:t>
      </w:r>
      <w:r>
        <w:rPr>
          <w:rFonts w:hint="eastAsia" w:ascii="仿宋_GB2312" w:hAnsi="仿宋_GB2312" w:eastAsia="仿宋_GB2312" w:cs="Times New Roman"/>
          <w:kern w:val="0"/>
          <w:sz w:val="32"/>
          <w:szCs w:val="32"/>
        </w:rPr>
        <w:t>亿元，加上上解支出</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45</w:t>
      </w:r>
      <w:r>
        <w:rPr>
          <w:rFonts w:hint="eastAsia" w:ascii="仿宋_GB2312" w:hAnsi="仿宋_GB2312" w:eastAsia="仿宋_GB2312" w:cs="Times New Roman"/>
          <w:kern w:val="0"/>
          <w:sz w:val="32"/>
          <w:szCs w:val="32"/>
        </w:rPr>
        <w:t>亿元，支出合计</w:t>
      </w:r>
      <w:r>
        <w:rPr>
          <w:rFonts w:hint="eastAsia" w:ascii="仿宋_GB2312" w:hAnsi="Times New Roman" w:eastAsia="仿宋_GB2312" w:cs="Times New Roman"/>
          <w:kern w:val="0"/>
          <w:sz w:val="32"/>
          <w:szCs w:val="32"/>
          <w:lang w:val="en-US" w:eastAsia="zh-CN"/>
        </w:rPr>
        <w:t>49.82</w:t>
      </w:r>
      <w:r>
        <w:rPr>
          <w:rFonts w:hint="eastAsia" w:ascii="仿宋_GB2312" w:hAnsi="仿宋_GB2312" w:eastAsia="仿宋_GB2312" w:cs="Times New Roman"/>
          <w:kern w:val="0"/>
          <w:sz w:val="32"/>
          <w:szCs w:val="32"/>
        </w:rPr>
        <w:t>亿元，</w:t>
      </w:r>
      <w:r>
        <w:rPr>
          <w:rFonts w:hint="eastAsia" w:ascii="仿宋_GB2312" w:hAnsi="仿宋_GB2312" w:eastAsia="仿宋_GB2312" w:cs="Times New Roman"/>
          <w:sz w:val="32"/>
          <w:szCs w:val="32"/>
          <w:lang w:val="en-US" w:eastAsia="zh-CN"/>
        </w:rPr>
        <w:t>年末滚存</w:t>
      </w:r>
      <w:r>
        <w:rPr>
          <w:rFonts w:hint="eastAsia" w:ascii="仿宋_GB2312" w:hAnsi="仿宋_GB2312" w:eastAsia="仿宋_GB2312" w:cs="Times New Roman"/>
          <w:kern w:val="0"/>
          <w:sz w:val="32"/>
          <w:szCs w:val="32"/>
        </w:rPr>
        <w:t>结余</w:t>
      </w:r>
      <w:r>
        <w:rPr>
          <w:rFonts w:hint="eastAsia" w:ascii="仿宋_GB2312" w:hAnsi="Times New Roman" w:eastAsia="仿宋_GB2312" w:cs="Times New Roman"/>
          <w:kern w:val="0"/>
          <w:sz w:val="32"/>
          <w:szCs w:val="32"/>
          <w:lang w:val="en-US" w:eastAsia="zh-CN"/>
        </w:rPr>
        <w:t>37</w:t>
      </w:r>
      <w:r>
        <w:rPr>
          <w:rFonts w:hint="eastAsia" w:ascii="仿宋_GB2312" w:hAnsi="仿宋_GB2312" w:eastAsia="仿宋_GB2312" w:cs="Times New Roman"/>
          <w:kern w:val="0"/>
          <w:sz w:val="32"/>
          <w:szCs w:val="32"/>
        </w:rPr>
        <w:t>万元。</w:t>
      </w:r>
    </w:p>
    <w:p>
      <w:pPr>
        <w:pStyle w:val="25"/>
        <w:shd w:val="clear"/>
        <w:autoSpaceDE w:val="0"/>
        <w:autoSpaceDN w:val="0"/>
        <w:spacing w:line="580" w:lineRule="exact"/>
        <w:ind w:firstLine="643" w:firstLineChars="200"/>
        <w:rPr>
          <w:rFonts w:ascii="仿宋_GB2312" w:hAnsi="仿宋_GB2312" w:eastAsia="仿宋_GB2312" w:cs="Times New Roman"/>
          <w:b/>
          <w:bCs/>
          <w:sz w:val="32"/>
          <w:szCs w:val="32"/>
        </w:rPr>
      </w:pPr>
      <w:r>
        <w:rPr>
          <w:rFonts w:hint="eastAsia" w:ascii="仿宋_GB2312" w:hAnsi="仿宋_GB2312" w:eastAsia="仿宋_GB2312" w:cs="Times New Roman"/>
          <w:b/>
          <w:bCs/>
          <w:sz w:val="32"/>
          <w:szCs w:val="32"/>
        </w:rPr>
        <w:t>2.政府性基金预算</w:t>
      </w:r>
    </w:p>
    <w:p>
      <w:pPr>
        <w:pStyle w:val="25"/>
        <w:shd w:val="clear"/>
        <w:autoSpaceDE w:val="0"/>
        <w:autoSpaceDN w:val="0"/>
        <w:spacing w:line="580" w:lineRule="exact"/>
        <w:ind w:firstLine="640" w:firstLineChars="200"/>
        <w:rPr>
          <w:rFonts w:hint="eastAsia" w:ascii="仿宋_GB2312" w:hAnsi="仿宋_GB2312" w:eastAsia="仿宋_GB2312" w:cs="Times New Roman"/>
          <w:sz w:val="32"/>
          <w:szCs w:val="32"/>
        </w:rPr>
      </w:pPr>
      <w:r>
        <w:rPr>
          <w:rFonts w:hint="eastAsia" w:ascii="仿宋_GB2312" w:hAnsi="仿宋_GB2312" w:eastAsia="仿宋_GB2312" w:cs="Times New Roman"/>
          <w:kern w:val="0"/>
          <w:sz w:val="32"/>
          <w:szCs w:val="32"/>
        </w:rPr>
        <w:t>根据基金收入和实际支出情况，按基金项目以收定支编制。</w:t>
      </w:r>
      <w:r>
        <w:rPr>
          <w:rFonts w:hint="eastAsia" w:ascii="仿宋_GB2312" w:hAnsi="仿宋_GB2312" w:eastAsia="仿宋_GB2312" w:cs="Times New Roman"/>
          <w:kern w:val="0"/>
          <w:sz w:val="32"/>
          <w:szCs w:val="32"/>
          <w:lang w:val="en-US" w:eastAsia="zh-CN"/>
        </w:rPr>
        <w:t>2022年</w:t>
      </w:r>
      <w:r>
        <w:rPr>
          <w:rFonts w:hint="eastAsia" w:ascii="仿宋_GB2312" w:hAnsi="仿宋_GB2312" w:eastAsia="仿宋_GB2312" w:cs="Times New Roman"/>
          <w:kern w:val="0"/>
          <w:sz w:val="32"/>
          <w:szCs w:val="32"/>
        </w:rPr>
        <w:t>政府性基金收入安排</w:t>
      </w:r>
      <w:r>
        <w:rPr>
          <w:rFonts w:hint="eastAsia" w:ascii="仿宋_GB2312" w:hAnsi="Times New Roman" w:eastAsia="仿宋_GB2312" w:cs="Times New Roman"/>
          <w:kern w:val="0"/>
          <w:sz w:val="32"/>
          <w:szCs w:val="32"/>
          <w:lang w:val="en-US" w:eastAsia="zh-CN"/>
        </w:rPr>
        <w:t>26.3</w:t>
      </w:r>
      <w:r>
        <w:rPr>
          <w:rFonts w:hint="eastAsia" w:ascii="仿宋_GB2312" w:hAnsi="仿宋_GB2312" w:eastAsia="仿宋_GB2312" w:cs="Times New Roman"/>
          <w:kern w:val="0"/>
          <w:sz w:val="32"/>
          <w:szCs w:val="32"/>
        </w:rPr>
        <w:t>亿元，主要是</w:t>
      </w:r>
      <w:r>
        <w:rPr>
          <w:rFonts w:hint="eastAsia" w:ascii="仿宋_GB2312" w:hAnsi="仿宋_GB2312" w:eastAsia="仿宋_GB2312" w:cs="Times New Roman"/>
          <w:kern w:val="0"/>
          <w:sz w:val="32"/>
          <w:szCs w:val="32"/>
          <w:lang w:val="en-US" w:eastAsia="zh-CN"/>
        </w:rPr>
        <w:t>国有</w:t>
      </w:r>
      <w:r>
        <w:rPr>
          <w:rFonts w:hint="eastAsia" w:ascii="仿宋_GB2312" w:hAnsi="仿宋_GB2312" w:eastAsia="仿宋_GB2312" w:cs="Times New Roman"/>
          <w:kern w:val="0"/>
          <w:sz w:val="32"/>
          <w:szCs w:val="32"/>
        </w:rPr>
        <w:t>土地使用权出让金收入</w:t>
      </w:r>
      <w:r>
        <w:rPr>
          <w:rFonts w:hint="eastAsia" w:ascii="仿宋_GB2312" w:hAnsi="仿宋_GB2312" w:eastAsia="仿宋_GB2312" w:cs="Times New Roman"/>
          <w:kern w:val="0"/>
          <w:sz w:val="32"/>
          <w:szCs w:val="32"/>
          <w:lang w:val="en-US" w:eastAsia="zh-CN"/>
        </w:rPr>
        <w:t>25.2</w:t>
      </w:r>
      <w:r>
        <w:rPr>
          <w:rFonts w:hint="eastAsia" w:ascii="仿宋_GB2312" w:hAnsi="仿宋_GB2312" w:eastAsia="仿宋_GB2312" w:cs="Times New Roman"/>
          <w:kern w:val="0"/>
          <w:sz w:val="32"/>
          <w:szCs w:val="32"/>
        </w:rPr>
        <w:t>亿元</w:t>
      </w:r>
      <w:r>
        <w:rPr>
          <w:rFonts w:hint="eastAsia" w:ascii="仿宋_GB2312" w:hAnsi="仿宋_GB2312" w:eastAsia="仿宋_GB2312" w:cs="Times New Roman"/>
          <w:kern w:val="0"/>
          <w:sz w:val="32"/>
          <w:szCs w:val="32"/>
          <w:lang w:eastAsia="zh-CN"/>
        </w:rPr>
        <w:t>、</w:t>
      </w:r>
      <w:r>
        <w:rPr>
          <w:rFonts w:hint="eastAsia" w:ascii="仿宋_GB2312" w:hAnsi="仿宋_GB2312" w:eastAsia="仿宋_GB2312" w:cs="Times New Roman"/>
          <w:kern w:val="0"/>
          <w:sz w:val="32"/>
          <w:szCs w:val="32"/>
        </w:rPr>
        <w:t>城市基础设施配套费收入</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4</w:t>
      </w:r>
      <w:r>
        <w:rPr>
          <w:rFonts w:hint="eastAsia" w:ascii="仿宋_GB2312" w:hAnsi="仿宋_GB2312" w:eastAsia="仿宋_GB2312" w:cs="Times New Roman"/>
          <w:kern w:val="0"/>
          <w:sz w:val="32"/>
          <w:szCs w:val="32"/>
        </w:rPr>
        <w:t>亿元、</w:t>
      </w:r>
      <w:r>
        <w:rPr>
          <w:rFonts w:hint="eastAsia" w:ascii="仿宋_GB2312" w:hAnsi="仿宋_GB2312" w:eastAsia="仿宋_GB2312" w:cs="Times New Roman"/>
          <w:kern w:val="0"/>
          <w:sz w:val="32"/>
          <w:szCs w:val="32"/>
          <w:lang w:val="en-US" w:eastAsia="zh-CN"/>
        </w:rPr>
        <w:t>专项债务对应项目专项收入0.5亿元、</w:t>
      </w:r>
      <w:r>
        <w:rPr>
          <w:rFonts w:hint="eastAsia" w:ascii="仿宋_GB2312" w:hAnsi="仿宋_GB2312" w:eastAsia="仿宋_GB2312" w:cs="Times New Roman"/>
          <w:kern w:val="0"/>
          <w:sz w:val="32"/>
          <w:szCs w:val="32"/>
        </w:rPr>
        <w:t>污水处理费</w:t>
      </w:r>
      <w:r>
        <w:rPr>
          <w:rFonts w:hint="eastAsia" w:ascii="仿宋_GB2312" w:hAnsi="仿宋_GB2312" w:eastAsia="仿宋_GB2312" w:cs="Times New Roman"/>
          <w:kern w:val="0"/>
          <w:sz w:val="32"/>
          <w:szCs w:val="32"/>
          <w:lang w:val="en-US" w:eastAsia="zh-CN"/>
        </w:rPr>
        <w:t>收入</w:t>
      </w:r>
      <w:r>
        <w:rPr>
          <w:rFonts w:hint="eastAsia" w:ascii="仿宋_GB2312" w:hAnsi="Times New Roman" w:eastAsia="仿宋_GB2312" w:cs="Times New Roman"/>
          <w:kern w:val="0"/>
          <w:sz w:val="32"/>
          <w:szCs w:val="32"/>
        </w:rPr>
        <w:t>0.</w:t>
      </w:r>
      <w:r>
        <w:rPr>
          <w:rFonts w:hint="eastAsia" w:ascii="仿宋_GB2312" w:hAnsi="Times New Roman" w:eastAsia="仿宋_GB2312" w:cs="Times New Roman"/>
          <w:kern w:val="0"/>
          <w:sz w:val="32"/>
          <w:szCs w:val="32"/>
          <w:lang w:val="en-US" w:eastAsia="zh-CN"/>
        </w:rPr>
        <w:t>2</w:t>
      </w:r>
      <w:r>
        <w:rPr>
          <w:rFonts w:hint="eastAsia" w:ascii="仿宋_GB2312" w:hAnsi="仿宋_GB2312" w:eastAsia="仿宋_GB2312" w:cs="Times New Roman"/>
          <w:kern w:val="0"/>
          <w:sz w:val="32"/>
          <w:szCs w:val="32"/>
        </w:rPr>
        <w:t>亿元。加上上级专项指标</w:t>
      </w:r>
      <w:r>
        <w:rPr>
          <w:rFonts w:hint="eastAsia" w:ascii="仿宋_GB2312" w:hAnsi="仿宋_GB2312" w:eastAsia="仿宋_GB2312" w:cs="Times New Roman"/>
          <w:kern w:val="0"/>
          <w:sz w:val="32"/>
          <w:szCs w:val="32"/>
          <w:lang w:val="en-US" w:eastAsia="zh-CN"/>
        </w:rPr>
        <w:t>收入</w:t>
      </w:r>
      <w:r>
        <w:rPr>
          <w:rFonts w:hint="eastAsia" w:ascii="仿宋_GB2312" w:hAnsi="Times New Roman" w:eastAsia="仿宋_GB2312" w:cs="Times New Roman"/>
          <w:kern w:val="0"/>
          <w:sz w:val="32"/>
          <w:szCs w:val="32"/>
        </w:rPr>
        <w:t>1</w:t>
      </w:r>
      <w:r>
        <w:rPr>
          <w:rFonts w:hint="eastAsia" w:ascii="仿宋_GB2312" w:hAnsi="仿宋_GB2312" w:eastAsia="仿宋_GB2312" w:cs="Times New Roman"/>
          <w:kern w:val="0"/>
          <w:sz w:val="32"/>
          <w:szCs w:val="32"/>
        </w:rPr>
        <w:t>亿元，上年结余收入</w:t>
      </w:r>
      <w:r>
        <w:rPr>
          <w:rFonts w:hint="eastAsia" w:ascii="仿宋_GB2312" w:hAnsi="Times New Roman" w:eastAsia="仿宋_GB2312" w:cs="Times New Roman"/>
          <w:kern w:val="0"/>
          <w:sz w:val="32"/>
          <w:szCs w:val="32"/>
          <w:lang w:val="en-US" w:eastAsia="zh-CN"/>
        </w:rPr>
        <w:t>1.62亿</w:t>
      </w:r>
      <w:r>
        <w:rPr>
          <w:rFonts w:hint="eastAsia" w:ascii="仿宋_GB2312" w:hAnsi="仿宋_GB2312" w:eastAsia="仿宋_GB2312" w:cs="Times New Roman"/>
          <w:kern w:val="0"/>
          <w:sz w:val="32"/>
          <w:szCs w:val="32"/>
        </w:rPr>
        <w:t>元，收入合计</w:t>
      </w:r>
      <w:r>
        <w:rPr>
          <w:rFonts w:hint="eastAsia" w:ascii="仿宋_GB2312" w:hAnsi="Times New Roman" w:eastAsia="仿宋_GB2312" w:cs="Times New Roman"/>
          <w:kern w:val="0"/>
          <w:sz w:val="32"/>
          <w:szCs w:val="32"/>
          <w:lang w:val="en-US" w:eastAsia="zh-CN"/>
        </w:rPr>
        <w:t>28.92</w:t>
      </w:r>
      <w:r>
        <w:rPr>
          <w:rFonts w:hint="eastAsia" w:ascii="仿宋_GB2312" w:hAnsi="仿宋_GB2312" w:eastAsia="仿宋_GB2312" w:cs="Times New Roman"/>
          <w:kern w:val="0"/>
          <w:sz w:val="32"/>
          <w:szCs w:val="32"/>
        </w:rPr>
        <w:t>亿元；支出安排</w:t>
      </w:r>
      <w:r>
        <w:rPr>
          <w:rFonts w:hint="eastAsia" w:ascii="仿宋_GB2312" w:hAnsi="Times New Roman" w:eastAsia="仿宋_GB2312" w:cs="Times New Roman"/>
          <w:sz w:val="32"/>
          <w:szCs w:val="32"/>
          <w:lang w:val="en-US" w:eastAsia="zh-CN"/>
        </w:rPr>
        <w:t>18.39</w:t>
      </w:r>
      <w:r>
        <w:rPr>
          <w:rFonts w:hint="eastAsia" w:ascii="仿宋_GB2312" w:hAnsi="仿宋_GB2312" w:eastAsia="仿宋_GB2312" w:cs="Times New Roman"/>
          <w:sz w:val="32"/>
          <w:szCs w:val="32"/>
        </w:rPr>
        <w:t>亿元，上解支出</w:t>
      </w:r>
      <w:r>
        <w:rPr>
          <w:rFonts w:hint="eastAsia" w:ascii="仿宋_GB2312" w:hAnsi="仿宋_GB2312" w:eastAsia="仿宋_GB2312" w:cs="Times New Roman"/>
          <w:sz w:val="32"/>
          <w:szCs w:val="32"/>
          <w:lang w:val="en-US" w:eastAsia="zh-CN"/>
        </w:rPr>
        <w:t>100</w:t>
      </w:r>
      <w:r>
        <w:rPr>
          <w:rFonts w:hint="eastAsia" w:ascii="仿宋_GB2312" w:hAnsi="仿宋_GB2312" w:eastAsia="仿宋_GB2312" w:cs="Times New Roman"/>
          <w:sz w:val="32"/>
          <w:szCs w:val="32"/>
        </w:rPr>
        <w:t>万元，调出资金</w:t>
      </w:r>
      <w:r>
        <w:rPr>
          <w:rFonts w:hint="eastAsia" w:ascii="仿宋_GB2312" w:hAnsi="Times New Roman" w:eastAsia="仿宋_GB2312" w:cs="Times New Roman"/>
          <w:sz w:val="32"/>
          <w:szCs w:val="32"/>
        </w:rPr>
        <w:t>1</w:t>
      </w:r>
      <w:r>
        <w:rPr>
          <w:rFonts w:hint="eastAsia" w:ascii="仿宋_GB2312" w:hAnsi="Times New Roman" w:eastAsia="仿宋_GB2312" w:cs="Times New Roman"/>
          <w:sz w:val="32"/>
          <w:szCs w:val="32"/>
          <w:lang w:val="en-US" w:eastAsia="zh-CN"/>
        </w:rPr>
        <w:t>0.5亿</w:t>
      </w:r>
      <w:r>
        <w:rPr>
          <w:rFonts w:hint="eastAsia" w:ascii="仿宋_GB2312" w:hAnsi="仿宋_GB2312" w:eastAsia="仿宋_GB2312" w:cs="Times New Roman"/>
          <w:sz w:val="32"/>
          <w:szCs w:val="32"/>
        </w:rPr>
        <w:t>元，支出合计</w:t>
      </w:r>
      <w:r>
        <w:rPr>
          <w:rFonts w:hint="eastAsia" w:ascii="仿宋_GB2312" w:hAnsi="Times New Roman" w:eastAsia="仿宋_GB2312" w:cs="Times New Roman"/>
          <w:sz w:val="32"/>
          <w:szCs w:val="32"/>
          <w:lang w:val="en-US" w:eastAsia="zh-CN"/>
        </w:rPr>
        <w:t>28.9</w:t>
      </w:r>
      <w:r>
        <w:rPr>
          <w:rFonts w:hint="eastAsia" w:ascii="仿宋_GB2312" w:hAnsi="仿宋_GB2312" w:eastAsia="仿宋_GB2312" w:cs="Times New Roman"/>
          <w:sz w:val="32"/>
          <w:szCs w:val="32"/>
        </w:rPr>
        <w:t>亿元，</w:t>
      </w:r>
      <w:r>
        <w:rPr>
          <w:rFonts w:hint="eastAsia" w:ascii="仿宋_GB2312" w:hAnsi="仿宋_GB2312" w:eastAsia="仿宋_GB2312" w:cs="Times New Roman"/>
          <w:sz w:val="32"/>
          <w:szCs w:val="32"/>
          <w:lang w:val="en-US" w:eastAsia="zh-CN"/>
        </w:rPr>
        <w:t>年末滚存</w:t>
      </w:r>
      <w:r>
        <w:rPr>
          <w:rFonts w:hint="eastAsia" w:ascii="仿宋_GB2312" w:hAnsi="仿宋_GB2312" w:eastAsia="仿宋_GB2312" w:cs="Times New Roman"/>
          <w:sz w:val="32"/>
          <w:szCs w:val="32"/>
        </w:rPr>
        <w:t>结余</w:t>
      </w:r>
      <w:r>
        <w:rPr>
          <w:rFonts w:hint="eastAsia" w:ascii="仿宋_GB2312" w:hAnsi="Times New Roman" w:eastAsia="仿宋_GB2312" w:cs="Times New Roman"/>
          <w:sz w:val="32"/>
          <w:szCs w:val="32"/>
          <w:lang w:val="en-US" w:eastAsia="zh-CN"/>
        </w:rPr>
        <w:t>158</w:t>
      </w:r>
      <w:r>
        <w:rPr>
          <w:rFonts w:hint="eastAsia" w:ascii="仿宋_GB2312" w:hAnsi="仿宋_GB2312" w:eastAsia="仿宋_GB2312" w:cs="Times New Roman"/>
          <w:sz w:val="32"/>
          <w:szCs w:val="32"/>
        </w:rPr>
        <w:t>万元。</w:t>
      </w:r>
    </w:p>
    <w:p>
      <w:pPr>
        <w:pStyle w:val="25"/>
        <w:numPr>
          <w:ilvl w:val="0"/>
          <w:numId w:val="0"/>
        </w:numPr>
        <w:shd w:val="clear"/>
        <w:autoSpaceDE w:val="0"/>
        <w:autoSpaceDN w:val="0"/>
        <w:spacing w:line="580" w:lineRule="exact"/>
        <w:ind w:firstLine="643" w:firstLineChars="200"/>
        <w:rPr>
          <w:rFonts w:hint="eastAsia"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3.社会保险基金预算</w:t>
      </w:r>
    </w:p>
    <w:p>
      <w:pPr>
        <w:pStyle w:val="25"/>
        <w:numPr>
          <w:ilvl w:val="0"/>
          <w:numId w:val="0"/>
        </w:numPr>
        <w:shd w:val="clear"/>
        <w:autoSpaceDE w:val="0"/>
        <w:autoSpaceDN w:val="0"/>
        <w:spacing w:line="58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2022年社保基金收入安排5.85亿元，支出安排5.35亿元，当年结余预计0.5亿元，上年结余4.74亿元，年末滚存结余5.24亿元。</w:t>
      </w:r>
    </w:p>
    <w:p>
      <w:pPr>
        <w:numPr>
          <w:ilvl w:val="0"/>
          <w:numId w:val="0"/>
        </w:numPr>
        <w:shd w:val="clear"/>
        <w:autoSpaceDE w:val="0"/>
        <w:autoSpaceDN w:val="0"/>
        <w:spacing w:line="580" w:lineRule="exact"/>
        <w:ind w:firstLine="643" w:firstLineChars="200"/>
        <w:rPr>
          <w:rFonts w:hint="default" w:ascii="仿宋_GB2312" w:hAnsi="仿宋_GB2312" w:eastAsia="仿宋_GB2312" w:cs="Times New Roman"/>
          <w:b/>
          <w:bCs/>
          <w:kern w:val="2"/>
          <w:sz w:val="32"/>
          <w:szCs w:val="32"/>
          <w:lang w:val="en-US" w:eastAsia="zh-CN" w:bidi="ar-SA"/>
        </w:rPr>
      </w:pPr>
      <w:r>
        <w:rPr>
          <w:rFonts w:hint="eastAsia" w:ascii="仿宋_GB2312" w:hAnsi="仿宋_GB2312" w:eastAsia="仿宋_GB2312" w:cs="Times New Roman"/>
          <w:b/>
          <w:bCs/>
          <w:kern w:val="2"/>
          <w:sz w:val="32"/>
          <w:szCs w:val="32"/>
          <w:lang w:val="en-US" w:eastAsia="zh-CN" w:bidi="ar-SA"/>
        </w:rPr>
        <w:t>4.国有资本经营预算</w:t>
      </w:r>
    </w:p>
    <w:p>
      <w:pPr>
        <w:numPr>
          <w:ilvl w:val="0"/>
          <w:numId w:val="0"/>
        </w:numPr>
        <w:shd w:val="clear"/>
        <w:autoSpaceDE w:val="0"/>
        <w:autoSpaceDN w:val="0"/>
        <w:spacing w:line="580" w:lineRule="exact"/>
        <w:ind w:firstLine="642"/>
        <w:rPr>
          <w:rFonts w:hint="default" w:ascii="仿宋_GB2312" w:hAnsi="仿宋_GB2312" w:eastAsia="仿宋_GB2312" w:cs="Times New Roman"/>
          <w:sz w:val="32"/>
          <w:szCs w:val="32"/>
          <w:lang w:val="en-US" w:eastAsia="zh-CN"/>
        </w:rPr>
      </w:pPr>
      <w:r>
        <w:rPr>
          <w:rFonts w:hint="eastAsia" w:ascii="仿宋_GB2312" w:eastAsia="仿宋_GB2312"/>
          <w:sz w:val="32"/>
          <w:szCs w:val="32"/>
          <w:lang w:val="en-US" w:eastAsia="zh-CN"/>
        </w:rPr>
        <w:t>2022年国有资本经营预算收入安排0.08亿元，支出安排0.08亿元，年末无结余。</w:t>
      </w:r>
    </w:p>
    <w:p>
      <w:pPr>
        <w:shd w:val="clear"/>
        <w:autoSpaceDE w:val="0"/>
        <w:autoSpaceDN w:val="0"/>
        <w:spacing w:line="58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、完成202</w:t>
      </w:r>
      <w:r>
        <w:rPr>
          <w:rFonts w:hint="eastAsia" w:ascii="黑体" w:hAnsi="黑体" w:eastAsia="黑体"/>
          <w:sz w:val="32"/>
          <w:szCs w:val="32"/>
          <w:lang w:val="en-US" w:eastAsia="zh-CN"/>
        </w:rPr>
        <w:t>2</w:t>
      </w:r>
      <w:r>
        <w:rPr>
          <w:rFonts w:hint="eastAsia" w:ascii="黑体" w:hAnsi="黑体" w:eastAsia="黑体"/>
          <w:sz w:val="32"/>
          <w:szCs w:val="32"/>
        </w:rPr>
        <w:t>年财政预算的主要措施</w:t>
      </w:r>
    </w:p>
    <w:p>
      <w:pPr>
        <w:pStyle w:val="5"/>
        <w:autoSpaceDE w:val="0"/>
        <w:autoSpaceDN w:val="0"/>
        <w:spacing w:line="360" w:lineRule="auto"/>
        <w:ind w:firstLine="640" w:firstLineChars="200"/>
        <w:rPr>
          <w:rFonts w:hint="eastAsia" w:ascii="仿宋_GB2312" w:hAnsi="仿宋" w:eastAsia="仿宋_GB2312" w:cs="Times New Roman"/>
          <w:sz w:val="32"/>
          <w:szCs w:val="32"/>
          <w:u w:val="none"/>
        </w:rPr>
      </w:pPr>
      <w:r>
        <w:rPr>
          <w:rFonts w:hint="eastAsia" w:ascii="仿宋_GB2312" w:hAnsi="仿宋" w:eastAsia="仿宋_GB2312" w:cs="Times New Roman"/>
          <w:sz w:val="32"/>
          <w:szCs w:val="32"/>
          <w:u w:val="none"/>
          <w:lang w:val="en-US" w:eastAsia="zh-CN"/>
        </w:rPr>
        <w:t>新冠</w:t>
      </w:r>
      <w:r>
        <w:rPr>
          <w:rFonts w:hint="eastAsia" w:ascii="仿宋_GB2312" w:hAnsi="仿宋" w:eastAsia="仿宋_GB2312" w:cs="Times New Roman"/>
          <w:sz w:val="32"/>
          <w:szCs w:val="32"/>
          <w:u w:val="none"/>
          <w:lang w:eastAsia="zh-CN"/>
        </w:rPr>
        <w:t>疫情叠加百年变局，外部环境更趋复杂严峻和不确定，在需求收缩、供给冲击、预期转弱三重压力影响下，经济增速面临较大下行压力，</w:t>
      </w:r>
      <w:r>
        <w:rPr>
          <w:rFonts w:hint="eastAsia" w:ascii="仿宋_GB2312" w:hAnsi="仿宋" w:eastAsia="仿宋_GB2312" w:cs="Times New Roman"/>
          <w:sz w:val="32"/>
          <w:szCs w:val="32"/>
          <w:u w:val="none"/>
          <w:lang w:val="en-US" w:eastAsia="zh-CN"/>
        </w:rPr>
        <w:t>越是困难，我们</w:t>
      </w:r>
      <w:r>
        <w:rPr>
          <w:rFonts w:hint="eastAsia" w:ascii="仿宋_GB2312" w:hAnsi="仿宋" w:eastAsia="仿宋_GB2312" w:cs="Times New Roman"/>
          <w:sz w:val="32"/>
          <w:szCs w:val="32"/>
          <w:u w:val="none"/>
          <w:lang w:eastAsia="zh-CN"/>
        </w:rPr>
        <w:t>越要坚信“信心比黄金更重要”，秉着“问题在发展中解决、资金在动态中平衡”的信念，坚信唯有发展才是硬道理，不发展就如“温水煮青蛙”，不进则退。</w:t>
      </w:r>
      <w:r>
        <w:rPr>
          <w:rFonts w:hint="eastAsia" w:ascii="仿宋_GB2312" w:hAnsi="仿宋" w:eastAsia="仿宋_GB2312" w:cs="Times New Roman"/>
          <w:sz w:val="32"/>
          <w:szCs w:val="32"/>
          <w:u w:val="none"/>
          <w:lang w:val="en-US" w:eastAsia="zh-CN"/>
        </w:rPr>
        <w:t>推动全县经济高质量发展是2022年财政工作的重中之重，我们</w:t>
      </w:r>
      <w:r>
        <w:rPr>
          <w:rFonts w:hint="eastAsia" w:ascii="Times New Roman" w:hAnsi="Times New Roman" w:eastAsia="仿宋_GB2312" w:cs="Times New Roman"/>
          <w:sz w:val="30"/>
          <w:szCs w:val="30"/>
          <w:u w:val="none"/>
          <w:lang w:val="en-US" w:eastAsia="zh-CN"/>
        </w:rPr>
        <w:t>将</w:t>
      </w:r>
      <w:r>
        <w:rPr>
          <w:rFonts w:hint="eastAsia" w:ascii="仿宋_GB2312" w:hAnsi="仿宋" w:eastAsia="仿宋_GB2312" w:cs="Times New Roman"/>
          <w:sz w:val="32"/>
          <w:szCs w:val="32"/>
          <w:u w:val="none"/>
          <w:lang w:eastAsia="zh-CN"/>
        </w:rPr>
        <w:t>继续坚持财随政走、政令财行，坚持艰苦奋斗、勤俭节约，坚持量力而行、尽力而为；在收支管理、防范化解风险、绩效管理等方面求创新、提效能、抓落实、见成效。</w:t>
      </w:r>
    </w:p>
    <w:p>
      <w:pPr>
        <w:pStyle w:val="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Times New Roman"/>
          <w:b/>
          <w:sz w:val="32"/>
          <w:szCs w:val="32"/>
        </w:rPr>
      </w:pPr>
      <w:r>
        <w:rPr>
          <w:rFonts w:hint="eastAsia" w:ascii="楷体_GB2312" w:hAnsi="仿宋" w:eastAsia="楷体_GB2312" w:cs="Times New Roman"/>
          <w:b/>
          <w:sz w:val="32"/>
          <w:szCs w:val="32"/>
        </w:rPr>
        <w:t>（</w:t>
      </w:r>
      <w:r>
        <w:rPr>
          <w:rFonts w:hint="eastAsia" w:ascii="楷体_GB2312" w:hAnsi="仿宋" w:eastAsia="楷体_GB2312" w:cs="Times New Roman"/>
          <w:b/>
          <w:sz w:val="32"/>
          <w:szCs w:val="32"/>
          <w:lang w:eastAsia="zh-CN"/>
        </w:rPr>
        <w:t>一</w:t>
      </w:r>
      <w:r>
        <w:rPr>
          <w:rFonts w:hint="eastAsia" w:ascii="楷体_GB2312" w:hAnsi="仿宋" w:eastAsia="楷体_GB2312" w:cs="Times New Roman"/>
          <w:b/>
          <w:sz w:val="32"/>
          <w:szCs w:val="32"/>
        </w:rPr>
        <w:t>）</w:t>
      </w:r>
      <w:r>
        <w:rPr>
          <w:rFonts w:hint="eastAsia" w:ascii="楷体_GB2312" w:hAnsi="楷体_GB2312" w:eastAsia="楷体_GB2312" w:cs="楷体_GB2312"/>
          <w:b/>
          <w:bCs w:val="0"/>
          <w:sz w:val="32"/>
          <w:szCs w:val="32"/>
          <w:lang w:eastAsia="zh-CN"/>
        </w:rPr>
        <w:t>聚焦财源建设，集中精力抓收入</w:t>
      </w:r>
    </w:p>
    <w:p>
      <w:pPr>
        <w:pStyle w:val="25"/>
        <w:shd w:val="clear"/>
        <w:spacing w:line="360" w:lineRule="auto"/>
        <w:ind w:firstLine="643" w:firstLineChars="200"/>
        <w:rPr>
          <w:rFonts w:hint="default" w:ascii="仿宋_GB2312" w:hAnsi="仿宋_GB2312" w:eastAsia="仿宋_GB2312" w:cs="仿宋_GB2312"/>
          <w:b w:val="0"/>
          <w:bCs/>
          <w:strike w:val="0"/>
          <w:dstrike w:val="0"/>
          <w:sz w:val="32"/>
          <w:szCs w:val="32"/>
          <w:u w:val="single"/>
          <w:lang w:val="en-US"/>
        </w:rPr>
      </w:pPr>
      <w:r>
        <w:rPr>
          <w:rFonts w:hint="eastAsia" w:ascii="仿宋_GB2312" w:hAnsi="仿宋" w:eastAsia="仿宋_GB2312" w:cs="Times New Roman"/>
          <w:b/>
          <w:bCs/>
          <w:sz w:val="32"/>
          <w:szCs w:val="32"/>
          <w:highlight w:val="none"/>
          <w:u w:val="none"/>
          <w:lang w:eastAsia="zh-CN"/>
        </w:rPr>
        <w:t>一是</w:t>
      </w:r>
      <w:r>
        <w:rPr>
          <w:rFonts w:hint="eastAsia" w:ascii="仿宋_GB2312" w:hAnsi="仿宋" w:eastAsia="仿宋_GB2312" w:cs="Times New Roman"/>
          <w:b/>
          <w:bCs/>
          <w:sz w:val="32"/>
          <w:szCs w:val="32"/>
          <w:highlight w:val="none"/>
          <w:u w:val="none"/>
          <w:lang w:val="en-US" w:eastAsia="zh-CN"/>
        </w:rPr>
        <w:t>探索房地产市场新出路，打好土地出让组合拳。</w:t>
      </w:r>
      <w:r>
        <w:rPr>
          <w:rFonts w:hint="eastAsia" w:ascii="仿宋_GB2312" w:hAnsi="仿宋" w:eastAsia="仿宋_GB2312" w:cs="Times New Roman"/>
          <w:sz w:val="32"/>
          <w:szCs w:val="32"/>
          <w:highlight w:val="none"/>
          <w:u w:val="none"/>
          <w:lang w:val="en-US" w:eastAsia="zh-CN"/>
        </w:rPr>
        <w:t>转变思路，</w:t>
      </w:r>
      <w:r>
        <w:rPr>
          <w:rFonts w:hint="eastAsia" w:ascii="仿宋_GB2312" w:hAnsi="仿宋" w:eastAsia="仿宋_GB2312" w:cs="Times New Roman"/>
          <w:sz w:val="32"/>
          <w:szCs w:val="32"/>
          <w:highlight w:val="none"/>
          <w:u w:val="none"/>
          <w:lang w:eastAsia="zh-CN"/>
        </w:rPr>
        <w:t>部门联合发力，</w:t>
      </w:r>
      <w:r>
        <w:rPr>
          <w:rFonts w:hint="eastAsia" w:ascii="仿宋_GB2312" w:hAnsi="仿宋" w:eastAsia="仿宋_GB2312" w:cs="Times New Roman"/>
          <w:sz w:val="32"/>
          <w:szCs w:val="32"/>
          <w:highlight w:val="none"/>
          <w:u w:val="none"/>
          <w:lang w:val="en-US" w:eastAsia="zh-CN"/>
        </w:rPr>
        <w:t>在做好</w:t>
      </w:r>
      <w:r>
        <w:rPr>
          <w:rFonts w:hint="eastAsia" w:ascii="仿宋_GB2312" w:hAnsi="仿宋" w:eastAsia="仿宋_GB2312" w:cs="Times New Roman"/>
          <w:sz w:val="32"/>
          <w:szCs w:val="32"/>
          <w:highlight w:val="none"/>
          <w:u w:val="none"/>
          <w:lang w:eastAsia="zh-CN"/>
        </w:rPr>
        <w:t>土地报批、征地拆迁</w:t>
      </w:r>
      <w:r>
        <w:rPr>
          <w:rFonts w:hint="eastAsia" w:ascii="仿宋_GB2312" w:hAnsi="仿宋_GB2312" w:eastAsia="仿宋_GB2312" w:cs="仿宋_GB2312"/>
          <w:b w:val="0"/>
          <w:bCs/>
          <w:sz w:val="32"/>
          <w:szCs w:val="32"/>
          <w:highlight w:val="none"/>
          <w:u w:val="none"/>
        </w:rPr>
        <w:t>、宣传发动、净地出让</w:t>
      </w:r>
      <w:r>
        <w:rPr>
          <w:rFonts w:hint="eastAsia" w:ascii="仿宋_GB2312" w:hAnsi="仿宋_GB2312" w:eastAsia="仿宋_GB2312" w:cs="仿宋_GB2312"/>
          <w:b w:val="0"/>
          <w:bCs/>
          <w:sz w:val="32"/>
          <w:szCs w:val="32"/>
          <w:highlight w:val="none"/>
          <w:u w:val="none"/>
          <w:lang w:val="en-US" w:eastAsia="zh-CN"/>
        </w:rPr>
        <w:t>一条龙服务的基础上，着重从破解房地产行业的供需矛盾关系入手，促进土地市场交易</w:t>
      </w:r>
      <w:r>
        <w:rPr>
          <w:rFonts w:hint="eastAsia" w:ascii="仿宋_GB2312" w:hAnsi="仿宋_GB2312" w:eastAsia="仿宋_GB2312" w:cs="仿宋_GB2312"/>
          <w:b w:val="0"/>
          <w:bCs/>
          <w:sz w:val="32"/>
          <w:szCs w:val="32"/>
          <w:highlight w:val="none"/>
          <w:u w:val="none"/>
          <w:lang w:eastAsia="zh-CN"/>
        </w:rPr>
        <w:t>。</w:t>
      </w:r>
      <w:r>
        <w:rPr>
          <w:rFonts w:hint="eastAsia" w:ascii="仿宋_GB2312" w:hAnsi="仿宋_GB2312" w:eastAsia="仿宋_GB2312" w:cs="仿宋_GB2312"/>
          <w:b/>
          <w:bCs w:val="0"/>
          <w:sz w:val="32"/>
          <w:szCs w:val="32"/>
          <w:u w:val="none"/>
        </w:rPr>
        <w:t>二</w:t>
      </w:r>
      <w:r>
        <w:rPr>
          <w:rFonts w:hint="eastAsia" w:ascii="仿宋_GB2312" w:hAnsi="仿宋_GB2312" w:eastAsia="仿宋_GB2312" w:cs="仿宋_GB2312"/>
          <w:b/>
          <w:bCs w:val="0"/>
          <w:sz w:val="32"/>
          <w:szCs w:val="32"/>
        </w:rPr>
        <w:t>是抓好房地产领域历史遗留问题化解的扫尾工作</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rPr>
        <w:t>加强对存量房产登记资料的调查摸底，进一步推进房改房、集资房办证</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val="0"/>
          <w:sz w:val="32"/>
          <w:szCs w:val="32"/>
        </w:rPr>
        <w:t>三是深入推进矿产资源出让，做好资源文章</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rPr>
        <w:t>充分做好探矿权、采矿权出让的用山用地、地质勘查、不动产评估等前期准备工作，确保竞买人竞得探矿权、采矿权后可顺利取得许可证并按期进场开展矿山建设，做到净矿出让</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val="0"/>
          <w:sz w:val="32"/>
          <w:szCs w:val="32"/>
          <w:highlight w:val="none"/>
          <w:u w:val="none"/>
        </w:rPr>
        <w:t>四是用好</w:t>
      </w:r>
      <w:r>
        <w:rPr>
          <w:rFonts w:hint="eastAsia" w:ascii="仿宋_GB2312" w:hAnsi="仿宋_GB2312" w:eastAsia="仿宋_GB2312" w:cs="仿宋_GB2312"/>
          <w:b/>
          <w:bCs w:val="0"/>
          <w:sz w:val="32"/>
          <w:szCs w:val="32"/>
          <w:highlight w:val="none"/>
          <w:u w:val="none"/>
          <w:lang w:eastAsia="zh-CN"/>
        </w:rPr>
        <w:t>大数据平台，</w:t>
      </w:r>
      <w:r>
        <w:rPr>
          <w:rFonts w:hint="eastAsia" w:ascii="仿宋_GB2312" w:hAnsi="仿宋_GB2312" w:eastAsia="仿宋_GB2312" w:cs="仿宋_GB2312"/>
          <w:b/>
          <w:bCs w:val="0"/>
          <w:sz w:val="32"/>
          <w:szCs w:val="32"/>
          <w:highlight w:val="none"/>
          <w:u w:val="none"/>
        </w:rPr>
        <w:t>堵截收入漏洞</w:t>
      </w:r>
      <w:r>
        <w:rPr>
          <w:rFonts w:hint="eastAsia" w:ascii="仿宋_GB2312" w:hAnsi="仿宋_GB2312" w:eastAsia="仿宋_GB2312" w:cs="仿宋_GB2312"/>
          <w:b/>
          <w:bCs w:val="0"/>
          <w:sz w:val="32"/>
          <w:szCs w:val="32"/>
          <w:highlight w:val="none"/>
          <w:u w:val="none"/>
          <w:lang w:eastAsia="zh-CN"/>
        </w:rPr>
        <w:t>。</w:t>
      </w:r>
      <w:r>
        <w:rPr>
          <w:rFonts w:hint="eastAsia" w:ascii="仿宋_GB2312" w:hAnsi="仿宋_GB2312" w:eastAsia="仿宋_GB2312" w:cs="仿宋_GB2312"/>
          <w:b w:val="0"/>
          <w:bCs/>
          <w:sz w:val="32"/>
          <w:szCs w:val="32"/>
          <w:highlight w:val="none"/>
          <w:u w:val="none"/>
          <w:lang w:eastAsia="zh-CN"/>
        </w:rPr>
        <w:t>充分利用好已运行的</w:t>
      </w:r>
      <w:r>
        <w:rPr>
          <w:rFonts w:hint="eastAsia" w:ascii="仿宋_GB2312" w:hAnsi="仿宋_GB2312" w:eastAsia="仿宋_GB2312" w:cs="仿宋_GB2312"/>
          <w:b w:val="0"/>
          <w:bCs/>
          <w:sz w:val="32"/>
          <w:szCs w:val="32"/>
          <w:highlight w:val="none"/>
          <w:u w:val="none"/>
        </w:rPr>
        <w:t>综合治税、砂石矿智慧监管、非税收入监管</w:t>
      </w:r>
      <w:r>
        <w:rPr>
          <w:rFonts w:hint="eastAsia" w:ascii="仿宋_GB2312" w:hAnsi="仿宋_GB2312" w:eastAsia="仿宋_GB2312" w:cs="仿宋_GB2312"/>
          <w:b w:val="0"/>
          <w:bCs/>
          <w:sz w:val="32"/>
          <w:szCs w:val="32"/>
          <w:highlight w:val="none"/>
          <w:u w:val="none"/>
          <w:lang w:eastAsia="zh-CN"/>
        </w:rPr>
        <w:t>等</w:t>
      </w:r>
      <w:r>
        <w:rPr>
          <w:rFonts w:hint="eastAsia" w:ascii="仿宋_GB2312" w:hAnsi="仿宋_GB2312" w:eastAsia="仿宋_GB2312" w:cs="仿宋_GB2312"/>
          <w:b w:val="0"/>
          <w:bCs/>
          <w:sz w:val="32"/>
          <w:szCs w:val="32"/>
          <w:highlight w:val="none"/>
          <w:u w:val="none"/>
        </w:rPr>
        <w:t>平台，积极向上对接，争取启动“加油站涉税数据管理云平台”项目建设，遏制加油站行业税费流失严重情况。</w:t>
      </w:r>
      <w:r>
        <w:rPr>
          <w:rFonts w:hint="eastAsia" w:ascii="仿宋_GB2312" w:hAnsi="仿宋_GB2312" w:eastAsia="仿宋_GB2312" w:cs="仿宋_GB2312"/>
          <w:b/>
          <w:bCs w:val="0"/>
          <w:sz w:val="32"/>
          <w:szCs w:val="32"/>
        </w:rPr>
        <w:t>五是用好国有资产管理信息化系统</w:t>
      </w:r>
      <w:r>
        <w:rPr>
          <w:rFonts w:hint="eastAsia" w:ascii="仿宋_GB2312" w:hAnsi="仿宋_GB2312" w:eastAsia="仿宋_GB2312" w:cs="仿宋_GB2312"/>
          <w:b/>
          <w:bCs w:val="0"/>
          <w:sz w:val="32"/>
          <w:szCs w:val="32"/>
          <w:lang w:eastAsia="zh-CN"/>
        </w:rPr>
        <w:t>。</w:t>
      </w:r>
      <w:r>
        <w:rPr>
          <w:rFonts w:hint="eastAsia" w:ascii="仿宋_GB2312" w:hAnsi="仿宋_GB2312" w:eastAsia="仿宋_GB2312" w:cs="仿宋_GB2312"/>
          <w:b w:val="0"/>
          <w:bCs/>
          <w:sz w:val="32"/>
          <w:szCs w:val="32"/>
        </w:rPr>
        <w:t>全面管控各单位经营性国有资产出租</w:t>
      </w:r>
      <w:r>
        <w:rPr>
          <w:rFonts w:hint="eastAsia" w:ascii="仿宋_GB2312" w:hAnsi="仿宋_GB2312" w:eastAsia="仿宋_GB2312" w:cs="仿宋_GB2312"/>
          <w:b w:val="0"/>
          <w:bCs/>
          <w:sz w:val="32"/>
          <w:szCs w:val="32"/>
          <w:lang w:eastAsia="zh-CN"/>
        </w:rPr>
        <w:t>、出售</w:t>
      </w:r>
      <w:r>
        <w:rPr>
          <w:rFonts w:hint="eastAsia" w:ascii="仿宋_GB2312" w:hAnsi="仿宋_GB2312" w:eastAsia="仿宋_GB2312" w:cs="仿宋_GB2312"/>
          <w:b w:val="0"/>
          <w:bCs/>
          <w:sz w:val="32"/>
          <w:szCs w:val="32"/>
        </w:rPr>
        <w:t>行为，把门面</w:t>
      </w:r>
      <w:r>
        <w:rPr>
          <w:rFonts w:hint="eastAsia" w:ascii="仿宋_GB2312" w:hAnsi="仿宋_GB2312" w:eastAsia="仿宋_GB2312" w:cs="仿宋_GB2312"/>
          <w:b w:val="0"/>
          <w:bCs/>
          <w:sz w:val="32"/>
          <w:szCs w:val="32"/>
          <w:lang w:val="en-US" w:eastAsia="zh-CN"/>
        </w:rPr>
        <w:t>等</w:t>
      </w:r>
      <w:r>
        <w:rPr>
          <w:rFonts w:hint="eastAsia" w:ascii="仿宋_GB2312" w:hAnsi="仿宋_GB2312" w:eastAsia="仿宋_GB2312" w:cs="仿宋_GB2312"/>
          <w:b w:val="0"/>
          <w:bCs/>
          <w:sz w:val="32"/>
          <w:szCs w:val="32"/>
        </w:rPr>
        <w:t>经营性资产作为国有资产管理的重点，通过竞标的形式出租或出售，</w:t>
      </w:r>
      <w:r>
        <w:rPr>
          <w:rFonts w:hint="eastAsia" w:ascii="仿宋_GB2312" w:hAnsi="仿宋_GB2312" w:eastAsia="仿宋_GB2312" w:cs="仿宋_GB2312"/>
          <w:b w:val="0"/>
          <w:bCs/>
          <w:sz w:val="32"/>
          <w:szCs w:val="32"/>
          <w:lang w:eastAsia="zh-CN"/>
        </w:rPr>
        <w:t>避免长租和贱租现象，</w:t>
      </w:r>
      <w:r>
        <w:rPr>
          <w:rFonts w:hint="eastAsia" w:ascii="仿宋_GB2312" w:hAnsi="仿宋_GB2312" w:eastAsia="仿宋_GB2312" w:cs="仿宋_GB2312"/>
          <w:b w:val="0"/>
          <w:bCs/>
          <w:sz w:val="32"/>
          <w:szCs w:val="32"/>
        </w:rPr>
        <w:t>实现国有资产利用最大化</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bCs w:val="0"/>
          <w:sz w:val="32"/>
          <w:szCs w:val="32"/>
        </w:rPr>
        <w:t>六是</w:t>
      </w:r>
      <w:r>
        <w:rPr>
          <w:rFonts w:hint="eastAsia" w:ascii="仿宋_GB2312" w:hAnsi="仿宋_GB2312" w:eastAsia="仿宋_GB2312" w:cs="仿宋_GB2312"/>
          <w:b/>
          <w:bCs w:val="0"/>
          <w:sz w:val="32"/>
          <w:szCs w:val="32"/>
          <w:lang w:eastAsia="zh-CN"/>
        </w:rPr>
        <w:t>增强园区造血功能</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val="0"/>
          <w:bCs/>
          <w:sz w:val="32"/>
          <w:szCs w:val="32"/>
        </w:rPr>
        <w:t>将园区的土地、闲置资产打包给园区，实行“放管服”，给园区自主权，合理利用园区内的资产，增强自身造血功能</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i w:val="0"/>
          <w:iCs w:val="0"/>
          <w:caps w:val="0"/>
          <w:color w:val="000000"/>
          <w:spacing w:val="0"/>
          <w:sz w:val="32"/>
          <w:szCs w:val="32"/>
        </w:rPr>
        <w:t>培育骨干税源企业</w:t>
      </w:r>
      <w:r>
        <w:rPr>
          <w:rFonts w:hint="eastAsia" w:ascii="仿宋_GB2312" w:hAnsi="仿宋_GB2312" w:eastAsia="仿宋_GB2312" w:cs="仿宋_GB2312"/>
          <w:i w:val="0"/>
          <w:iCs w:val="0"/>
          <w:caps w:val="0"/>
          <w:color w:val="000000"/>
          <w:spacing w:val="0"/>
          <w:sz w:val="32"/>
          <w:szCs w:val="32"/>
          <w:lang w:eastAsia="zh-CN"/>
        </w:rPr>
        <w:t>，扩大招商引资，</w:t>
      </w:r>
      <w:r>
        <w:rPr>
          <w:rFonts w:hint="eastAsia" w:ascii="仿宋_GB2312" w:hAnsi="仿宋_GB2312" w:eastAsia="仿宋_GB2312" w:cs="仿宋_GB2312"/>
          <w:kern w:val="0"/>
          <w:sz w:val="32"/>
          <w:szCs w:val="32"/>
        </w:rPr>
        <w:t>完善政府性融资担保体系助力产业结构优化升级</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i w:val="0"/>
          <w:iCs w:val="0"/>
          <w:caps w:val="0"/>
          <w:color w:val="000000"/>
          <w:spacing w:val="0"/>
          <w:sz w:val="32"/>
          <w:szCs w:val="32"/>
          <w:shd w:val="clear" w:fill="FFFFFF"/>
        </w:rPr>
        <w:t>进一步强化产业对财税的贡献率和支撑力</w:t>
      </w:r>
      <w:r>
        <w:rPr>
          <w:rFonts w:hint="eastAsia" w:ascii="仿宋_GB2312" w:hAnsi="仿宋_GB2312" w:eastAsia="仿宋_GB2312" w:cs="仿宋_GB2312"/>
          <w:i w:val="0"/>
          <w:iCs w:val="0"/>
          <w:caps w:val="0"/>
          <w:color w:val="000000"/>
          <w:spacing w:val="0"/>
          <w:sz w:val="32"/>
          <w:szCs w:val="32"/>
          <w:shd w:val="clear" w:fill="FFFFFF"/>
          <w:lang w:eastAsia="zh-CN"/>
        </w:rPr>
        <w:t>。</w:t>
      </w:r>
    </w:p>
    <w:p>
      <w:pPr>
        <w:pStyle w:val="5"/>
        <w:keepNext w:val="0"/>
        <w:keepLines w:val="0"/>
        <w:pageBreakBefore w:val="0"/>
        <w:widowControl w:val="0"/>
        <w:shd w:val="clear"/>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rPr>
        <w:t>（</w:t>
      </w:r>
      <w:r>
        <w:rPr>
          <w:rFonts w:hint="eastAsia" w:ascii="楷体_GB2312" w:hAnsi="仿宋" w:eastAsia="楷体_GB2312" w:cs="Times New Roman"/>
          <w:b/>
          <w:sz w:val="32"/>
          <w:szCs w:val="32"/>
          <w:lang w:eastAsia="zh-CN"/>
        </w:rPr>
        <w:t>二</w:t>
      </w:r>
      <w:r>
        <w:rPr>
          <w:rFonts w:hint="eastAsia" w:ascii="楷体_GB2312" w:hAnsi="仿宋" w:eastAsia="楷体_GB2312" w:cs="Times New Roman"/>
          <w:b/>
          <w:sz w:val="32"/>
          <w:szCs w:val="32"/>
        </w:rPr>
        <w:t>）</w:t>
      </w:r>
      <w:r>
        <w:rPr>
          <w:rFonts w:hint="eastAsia" w:ascii="楷体_GB2312" w:hAnsi="楷体_GB2312" w:eastAsia="楷体_GB2312" w:cs="楷体_GB2312"/>
          <w:b/>
          <w:bCs w:val="0"/>
          <w:sz w:val="32"/>
          <w:szCs w:val="32"/>
          <w:lang w:eastAsia="zh-CN"/>
        </w:rPr>
        <w:t>聚焦</w:t>
      </w:r>
      <w:r>
        <w:rPr>
          <w:rFonts w:hint="eastAsia" w:ascii="楷体_GB2312" w:hAnsi="仿宋" w:eastAsia="楷体_GB2312" w:cs="Times New Roman"/>
          <w:b/>
          <w:sz w:val="32"/>
          <w:szCs w:val="32"/>
          <w:lang w:eastAsia="zh-CN"/>
        </w:rPr>
        <w:t>勤俭节约，竭尽全力保支出</w:t>
      </w:r>
    </w:p>
    <w:p>
      <w:pPr>
        <w:shd w:val="clear"/>
        <w:spacing w:line="360" w:lineRule="auto"/>
        <w:ind w:firstLine="643" w:firstLineChars="200"/>
        <w:rPr>
          <w:rFonts w:hint="eastAsia" w:ascii="仿宋_GB2312" w:hAnsi="仿宋" w:eastAsia="仿宋_GB2312" w:cs="Times New Roman"/>
          <w:b w:val="0"/>
          <w:bCs/>
          <w:sz w:val="32"/>
          <w:szCs w:val="32"/>
        </w:rPr>
      </w:pPr>
      <w:r>
        <w:rPr>
          <w:rFonts w:hint="eastAsia" w:ascii="仿宋_GB2312" w:hAnsi="仿宋" w:eastAsia="仿宋_GB2312" w:cs="Times New Roman"/>
          <w:b/>
          <w:bCs w:val="0"/>
          <w:sz w:val="32"/>
          <w:szCs w:val="32"/>
        </w:rPr>
        <w:t>一是硬化预算刚性约束。</w:t>
      </w:r>
      <w:r>
        <w:rPr>
          <w:rFonts w:hint="eastAsia" w:eastAsia="仿宋_GB2312"/>
          <w:spacing w:val="4"/>
          <w:sz w:val="32"/>
          <w:szCs w:val="32"/>
        </w:rPr>
        <w:t>严禁超越发展阶段和财力可能安排支出</w:t>
      </w:r>
      <w:r>
        <w:rPr>
          <w:rFonts w:hint="eastAsia" w:eastAsia="仿宋_GB2312"/>
          <w:spacing w:val="4"/>
          <w:sz w:val="32"/>
          <w:szCs w:val="32"/>
          <w:lang w:eastAsia="zh-CN"/>
        </w:rPr>
        <w:t>，</w:t>
      </w:r>
      <w:r>
        <w:rPr>
          <w:rFonts w:hint="eastAsia" w:eastAsia="仿宋_GB2312"/>
          <w:spacing w:val="4"/>
          <w:sz w:val="32"/>
          <w:szCs w:val="32"/>
        </w:rPr>
        <w:t>严格执行人大批准的预算，严禁无预算、超预算支出，严格资金审批。尤其是对于项目建设资金，不得在未落实建设资金的情况下启动政府投资项目建设</w:t>
      </w:r>
      <w:r>
        <w:rPr>
          <w:rFonts w:hint="eastAsia" w:eastAsia="仿宋_GB2312"/>
          <w:spacing w:val="4"/>
          <w:sz w:val="32"/>
          <w:szCs w:val="32"/>
          <w:lang w:eastAsia="zh-CN"/>
        </w:rPr>
        <w:t>。</w:t>
      </w:r>
      <w:r>
        <w:rPr>
          <w:rFonts w:hint="eastAsia" w:ascii="仿宋_GB2312" w:hAnsi="仿宋" w:eastAsia="仿宋_GB2312" w:cs="Times New Roman"/>
          <w:b w:val="0"/>
          <w:bCs/>
          <w:sz w:val="32"/>
          <w:szCs w:val="32"/>
        </w:rPr>
        <w:t>年度预算执行中，除应急支出及县委县政府确定的重大事项外，原则上不再追加预算。</w:t>
      </w:r>
      <w:r>
        <w:rPr>
          <w:rFonts w:hint="eastAsia" w:ascii="仿宋_GB2312" w:hAnsi="仿宋" w:eastAsia="仿宋_GB2312" w:cs="Times New Roman"/>
          <w:b/>
          <w:bCs w:val="0"/>
          <w:sz w:val="32"/>
          <w:szCs w:val="32"/>
          <w:lang w:eastAsia="zh-CN"/>
        </w:rPr>
        <w:t>二是坚持支出有保有压。</w:t>
      </w:r>
      <w:r>
        <w:rPr>
          <w:rFonts w:hint="eastAsia" w:ascii="仿宋_GB2312" w:hAnsi="仿宋" w:eastAsia="仿宋_GB2312" w:cs="Times New Roman"/>
          <w:b w:val="0"/>
          <w:bCs/>
          <w:sz w:val="32"/>
          <w:szCs w:val="32"/>
        </w:rPr>
        <w:t>牢固树立过紧日子的思想，从严控制非刚性、非重点支出，节省下来的资金用于保障基本民生和重点领域。坚持“三保”支出在财政支出中的优先顺序，确保国家、省制定的工资、民生政策落实到位，切实兜牢县级“三保”底线</w:t>
      </w:r>
      <w:r>
        <w:rPr>
          <w:rFonts w:hint="eastAsia" w:ascii="仿宋_GB2312" w:hAnsi="仿宋" w:eastAsia="仿宋_GB2312" w:cs="Times New Roman"/>
          <w:b w:val="0"/>
          <w:bCs/>
          <w:sz w:val="32"/>
          <w:szCs w:val="32"/>
          <w:lang w:eastAsia="zh-CN"/>
        </w:rPr>
        <w:t>。</w:t>
      </w:r>
      <w:r>
        <w:rPr>
          <w:rFonts w:hint="eastAsia" w:ascii="仿宋_GB2312" w:hAnsi="仿宋" w:eastAsia="仿宋_GB2312" w:cs="Times New Roman"/>
          <w:b/>
          <w:bCs w:val="0"/>
          <w:sz w:val="32"/>
          <w:szCs w:val="32"/>
          <w:lang w:eastAsia="zh-CN"/>
        </w:rPr>
        <w:t>三</w:t>
      </w:r>
      <w:r>
        <w:rPr>
          <w:rFonts w:hint="eastAsia" w:ascii="仿宋_GB2312" w:hAnsi="仿宋" w:eastAsia="仿宋_GB2312" w:cs="Times New Roman"/>
          <w:b/>
          <w:bCs w:val="0"/>
          <w:sz w:val="32"/>
          <w:szCs w:val="32"/>
        </w:rPr>
        <w:t>是强化资金统筹整合。</w:t>
      </w:r>
      <w:r>
        <w:rPr>
          <w:rFonts w:hint="eastAsia" w:ascii="仿宋_GB2312" w:hAnsi="仿宋" w:eastAsia="仿宋_GB2312" w:cs="Times New Roman"/>
          <w:b w:val="0"/>
          <w:bCs/>
          <w:sz w:val="32"/>
          <w:szCs w:val="32"/>
          <w:lang w:eastAsia="zh-CN"/>
        </w:rPr>
        <w:t>紧紧</w:t>
      </w:r>
      <w:r>
        <w:rPr>
          <w:rFonts w:hint="eastAsia" w:ascii="仿宋_GB2312" w:hAnsi="仿宋" w:eastAsia="仿宋_GB2312" w:cs="Times New Roman"/>
          <w:b w:val="0"/>
          <w:bCs/>
          <w:sz w:val="32"/>
          <w:szCs w:val="32"/>
        </w:rPr>
        <w:t>围绕县委</w:t>
      </w:r>
      <w:r>
        <w:rPr>
          <w:rFonts w:hint="eastAsia" w:ascii="仿宋_GB2312" w:hAnsi="仿宋" w:eastAsia="仿宋_GB2312" w:cs="Times New Roman"/>
          <w:b w:val="0"/>
          <w:bCs/>
          <w:sz w:val="32"/>
          <w:szCs w:val="32"/>
          <w:lang w:eastAsia="zh-CN"/>
        </w:rPr>
        <w:t>县</w:t>
      </w:r>
      <w:r>
        <w:rPr>
          <w:rFonts w:hint="eastAsia" w:ascii="仿宋_GB2312" w:hAnsi="仿宋" w:eastAsia="仿宋_GB2312" w:cs="Times New Roman"/>
          <w:b w:val="0"/>
          <w:bCs/>
          <w:sz w:val="32"/>
          <w:szCs w:val="32"/>
        </w:rPr>
        <w:t>政府乡村振兴</w:t>
      </w:r>
      <w:r>
        <w:rPr>
          <w:rFonts w:hint="eastAsia" w:ascii="仿宋_GB2312" w:hAnsi="仿宋" w:eastAsia="仿宋_GB2312" w:cs="Times New Roman"/>
          <w:b w:val="0"/>
          <w:bCs/>
          <w:sz w:val="32"/>
          <w:szCs w:val="32"/>
          <w:lang w:eastAsia="zh-CN"/>
        </w:rPr>
        <w:t>、文明创建</w:t>
      </w:r>
      <w:r>
        <w:rPr>
          <w:rFonts w:hint="eastAsia" w:ascii="仿宋_GB2312" w:hAnsi="仿宋" w:eastAsia="仿宋_GB2312" w:cs="Times New Roman"/>
          <w:b w:val="0"/>
          <w:bCs/>
          <w:sz w:val="32"/>
          <w:szCs w:val="32"/>
        </w:rPr>
        <w:t>等中心</w:t>
      </w:r>
      <w:r>
        <w:rPr>
          <w:rFonts w:hint="eastAsia" w:ascii="仿宋_GB2312" w:hAnsi="仿宋" w:eastAsia="仿宋_GB2312" w:cs="Times New Roman"/>
          <w:b w:val="0"/>
          <w:bCs/>
          <w:sz w:val="32"/>
          <w:szCs w:val="32"/>
          <w:lang w:eastAsia="zh-CN"/>
        </w:rPr>
        <w:t>工作</w:t>
      </w:r>
      <w:r>
        <w:rPr>
          <w:rFonts w:hint="eastAsia" w:ascii="仿宋_GB2312" w:hAnsi="仿宋" w:eastAsia="仿宋_GB2312" w:cs="Times New Roman"/>
          <w:b w:val="0"/>
          <w:bCs/>
          <w:sz w:val="32"/>
          <w:szCs w:val="32"/>
        </w:rPr>
        <w:t>和重点项目开展，</w:t>
      </w:r>
      <w:r>
        <w:rPr>
          <w:rFonts w:hint="eastAsia" w:ascii="仿宋_GB2312" w:hAnsi="仿宋" w:eastAsia="仿宋_GB2312" w:cs="Times New Roman"/>
          <w:b w:val="0"/>
          <w:bCs/>
          <w:sz w:val="32"/>
          <w:szCs w:val="32"/>
          <w:lang w:eastAsia="zh-CN"/>
        </w:rPr>
        <w:t>扩大资金整合的范围，加大存量资金与新增预算、结转资金与年度预算、财政拨款与单位资金、上级拨款与县级资金的统筹力度，尤其是涉农资金，</w:t>
      </w:r>
      <w:r>
        <w:rPr>
          <w:rFonts w:hint="eastAsia" w:ascii="仿宋_GB2312" w:hAnsi="仿宋" w:eastAsia="仿宋_GB2312" w:cs="Times New Roman"/>
          <w:b w:val="0"/>
          <w:bCs/>
          <w:sz w:val="32"/>
          <w:szCs w:val="32"/>
        </w:rPr>
        <w:t>原则上在符合资金使用用途和范围的前提下</w:t>
      </w:r>
      <w:r>
        <w:rPr>
          <w:rFonts w:hint="eastAsia" w:ascii="仿宋_GB2312" w:hAnsi="仿宋" w:eastAsia="仿宋_GB2312" w:cs="Times New Roman"/>
          <w:b w:val="0"/>
          <w:bCs/>
          <w:sz w:val="32"/>
          <w:szCs w:val="32"/>
          <w:lang w:eastAsia="zh-CN"/>
        </w:rPr>
        <w:t>，按照“用途不改、主体不变、统筹安排、集中投入”的原则，对资金</w:t>
      </w:r>
      <w:r>
        <w:rPr>
          <w:rFonts w:hint="eastAsia" w:ascii="仿宋_GB2312" w:hAnsi="仿宋" w:eastAsia="仿宋_GB2312" w:cs="Times New Roman"/>
          <w:b w:val="0"/>
          <w:bCs/>
          <w:sz w:val="32"/>
          <w:szCs w:val="32"/>
        </w:rPr>
        <w:t>进行深度整合，形成资金合力，由财政把好资金整合关，集中财力办大事，确保有限的资金用在刀刃上，充分发挥财政资金使用效益。</w:t>
      </w:r>
    </w:p>
    <w:p>
      <w:pPr>
        <w:pStyle w:val="5"/>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Times New Roman"/>
          <w:b/>
          <w:sz w:val="32"/>
          <w:szCs w:val="32"/>
        </w:rPr>
      </w:pPr>
      <w:r>
        <w:rPr>
          <w:rFonts w:hint="eastAsia" w:ascii="楷体_GB2312" w:hAnsi="楷体_GB2312" w:eastAsia="楷体_GB2312" w:cs="楷体_GB2312"/>
          <w:b/>
          <w:bCs w:val="0"/>
          <w:sz w:val="32"/>
          <w:szCs w:val="32"/>
          <w:lang w:eastAsia="zh-CN"/>
        </w:rPr>
        <w:t>聚焦</w:t>
      </w:r>
      <w:r>
        <w:rPr>
          <w:rFonts w:hint="eastAsia" w:ascii="楷体_GB2312" w:hAnsi="仿宋" w:eastAsia="楷体_GB2312" w:cs="Times New Roman"/>
          <w:b/>
          <w:sz w:val="32"/>
          <w:szCs w:val="32"/>
          <w:lang w:eastAsia="zh-CN"/>
        </w:rPr>
        <w:t>科学谋划，善用巧力争资金</w:t>
      </w:r>
    </w:p>
    <w:p>
      <w:pPr>
        <w:pStyle w:val="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textAlignment w:val="auto"/>
        <w:rPr>
          <w:rFonts w:hint="eastAsia" w:ascii="楷体_GB2312" w:hAnsi="仿宋" w:eastAsia="楷体_GB2312" w:cs="Times New Roman"/>
          <w:b/>
          <w:sz w:val="32"/>
          <w:szCs w:val="32"/>
          <w:lang w:val="en-US" w:eastAsia="zh-CN"/>
        </w:rPr>
      </w:pPr>
      <w:r>
        <w:rPr>
          <w:rFonts w:hint="eastAsia" w:ascii="楷体_GB2312" w:hAnsi="仿宋" w:eastAsia="楷体_GB2312" w:cs="Times New Roman"/>
          <w:b/>
          <w:sz w:val="32"/>
          <w:szCs w:val="32"/>
          <w:lang w:val="en-US" w:eastAsia="zh-CN"/>
        </w:rPr>
        <w:t xml:space="preserve">    </w:t>
      </w:r>
      <w:r>
        <w:rPr>
          <w:rFonts w:hint="eastAsia" w:ascii="楷体_GB2312" w:hAnsi="仿宋" w:eastAsia="楷体_GB2312" w:cs="Times New Roman"/>
          <w:b/>
          <w:bCs w:val="0"/>
          <w:sz w:val="32"/>
          <w:szCs w:val="32"/>
          <w:lang w:val="en-US" w:eastAsia="zh-CN"/>
        </w:rPr>
        <w:t xml:space="preserve"> </w:t>
      </w:r>
      <w:r>
        <w:rPr>
          <w:rFonts w:hint="eastAsia" w:ascii="仿宋_GB2312" w:hAnsi="仿宋_GB2312" w:eastAsia="仿宋_GB2312" w:cs="仿宋_GB2312"/>
          <w:b/>
          <w:bCs w:val="0"/>
          <w:sz w:val="32"/>
          <w:szCs w:val="32"/>
          <w:lang w:val="en-US" w:eastAsia="zh-CN"/>
        </w:rPr>
        <w:t>一是提高思想认识。</w:t>
      </w:r>
      <w:r>
        <w:rPr>
          <w:rFonts w:hint="eastAsia" w:ascii="仿宋_GB2312" w:hAnsi="仿宋" w:eastAsia="仿宋_GB2312" w:cs="Times New Roman"/>
          <w:b w:val="0"/>
          <w:bCs/>
          <w:kern w:val="2"/>
          <w:sz w:val="32"/>
          <w:szCs w:val="32"/>
          <w:lang w:val="en-US" w:eastAsia="zh-CN" w:bidi="ar-SA"/>
        </w:rPr>
        <w:t>结合当前经济形势，紧跟国家、省市政策导向、资金投向等，理清思路、掌握方法，深入研究分析转移支付资金的分配管理办法和债券资金的分配办法，横向对比周边县区，纵向对比以往年度，充分考量因素分配法，逐条做优做好每项因素</w:t>
      </w:r>
      <w:r>
        <w:rPr>
          <w:rFonts w:hint="eastAsia" w:ascii="仿宋_GB2312" w:hAnsi="仿宋" w:eastAsia="仿宋_GB2312" w:cs="Times New Roman"/>
          <w:b w:val="0"/>
          <w:bCs/>
          <w:kern w:val="2"/>
          <w:sz w:val="32"/>
          <w:szCs w:val="32"/>
          <w:lang w:val="en-US" w:eastAsia="zh-CN" w:bidi="ar-SA"/>
        </w:rPr>
        <w:t>，为争取上级资金打好坚实的基础。</w:t>
      </w:r>
      <w:r>
        <w:rPr>
          <w:rFonts w:hint="eastAsia" w:ascii="仿宋_GB2312" w:hAnsi="仿宋" w:eastAsia="仿宋_GB2312" w:cs="Times New Roman"/>
          <w:b/>
          <w:bCs w:val="0"/>
          <w:kern w:val="2"/>
          <w:sz w:val="32"/>
          <w:szCs w:val="32"/>
          <w:lang w:val="en-US" w:eastAsia="zh-CN" w:bidi="ar-SA"/>
        </w:rPr>
        <w:t>二是突出精准对接。</w:t>
      </w:r>
      <w:r>
        <w:rPr>
          <w:rFonts w:hint="eastAsia" w:ascii="仿宋_GB2312" w:hAnsi="仿宋" w:eastAsia="仿宋_GB2312" w:cs="Times New Roman"/>
          <w:b w:val="0"/>
          <w:bCs/>
          <w:kern w:val="2"/>
          <w:sz w:val="32"/>
          <w:szCs w:val="32"/>
          <w:lang w:val="en-US" w:eastAsia="zh-CN" w:bidi="ar-SA"/>
        </w:rPr>
        <w:t>要打好争资争项工作的主动仗，加大与上级对口部门对接力度，及时调整方法路径，勤联系、勤沟通、勤反映，做到紧密跟踪，争取政策倾斜，拓宽争资争项渠道，尤其要全面做好梳理工作，将已经有意向性的项目资金争取到位。</w:t>
      </w:r>
      <w:r>
        <w:rPr>
          <w:rFonts w:hint="eastAsia" w:ascii="仿宋_GB2312" w:hAnsi="仿宋_GB2312" w:eastAsia="仿宋_GB2312" w:cs="仿宋_GB2312"/>
          <w:b/>
          <w:bCs w:val="0"/>
          <w:sz w:val="32"/>
          <w:szCs w:val="32"/>
          <w:lang w:val="en-US" w:eastAsia="zh-CN"/>
        </w:rPr>
        <w:t>三是及时掌握上情。</w:t>
      </w:r>
      <w:r>
        <w:rPr>
          <w:rFonts w:hint="eastAsia" w:ascii="仿宋_GB2312" w:hAnsi="仿宋_GB2312" w:eastAsia="仿宋_GB2312" w:cs="仿宋_GB2312"/>
          <w:b w:val="0"/>
          <w:bCs/>
          <w:sz w:val="32"/>
          <w:szCs w:val="32"/>
          <w:lang w:val="en-US" w:eastAsia="zh-CN"/>
        </w:rPr>
        <w:t>要及时了解把握国家投资方向，了解投放渠道，做足前期准备，主动策划项目、储备项目</w:t>
      </w:r>
      <w:r>
        <w:rPr>
          <w:rFonts w:hint="eastAsia" w:ascii="仿宋_GB2312" w:hAnsi="仿宋" w:eastAsia="仿宋_GB2312" w:cs="Times New Roman"/>
          <w:b w:val="0"/>
          <w:bCs/>
          <w:sz w:val="32"/>
          <w:szCs w:val="32"/>
        </w:rPr>
        <w:t>，聘请优质的中介机构，掌握核心信息，做好债券</w:t>
      </w:r>
      <w:r>
        <w:rPr>
          <w:rFonts w:hint="eastAsia" w:ascii="仿宋_GB2312" w:hAnsi="仿宋" w:eastAsia="仿宋_GB2312" w:cs="Times New Roman"/>
          <w:b w:val="0"/>
          <w:bCs/>
          <w:sz w:val="32"/>
          <w:szCs w:val="32"/>
          <w:lang w:eastAsia="zh-CN"/>
        </w:rPr>
        <w:t>资金和上级专项资</w:t>
      </w:r>
      <w:r>
        <w:rPr>
          <w:rFonts w:hint="eastAsia" w:ascii="仿宋_GB2312" w:hAnsi="仿宋" w:eastAsia="仿宋_GB2312" w:cs="Times New Roman"/>
          <w:b w:val="0"/>
          <w:bCs/>
          <w:sz w:val="32"/>
          <w:szCs w:val="32"/>
          <w:lang w:val="en-US" w:eastAsia="zh-CN"/>
        </w:rPr>
        <w:t>金的</w:t>
      </w:r>
      <w:r>
        <w:rPr>
          <w:rFonts w:hint="eastAsia" w:ascii="仿宋_GB2312" w:hAnsi="仿宋" w:eastAsia="仿宋_GB2312" w:cs="Times New Roman"/>
          <w:b w:val="0"/>
          <w:bCs/>
          <w:sz w:val="32"/>
          <w:szCs w:val="32"/>
        </w:rPr>
        <w:t>申报工作</w:t>
      </w:r>
      <w:r>
        <w:rPr>
          <w:rFonts w:hint="eastAsia" w:ascii="仿宋_GB2312" w:hAnsi="仿宋" w:eastAsia="仿宋_GB2312" w:cs="Times New Roman"/>
          <w:b w:val="0"/>
          <w:bCs/>
          <w:sz w:val="32"/>
          <w:szCs w:val="32"/>
          <w:lang w:eastAsia="zh-CN"/>
        </w:rPr>
        <w:t>。</w:t>
      </w:r>
    </w:p>
    <w:p>
      <w:pPr>
        <w:pStyle w:val="5"/>
        <w:keepNext w:val="0"/>
        <w:keepLines w:val="0"/>
        <w:pageBreakBefore w:val="0"/>
        <w:widowControl w:val="0"/>
        <w:numPr>
          <w:ilvl w:val="0"/>
          <w:numId w:val="1"/>
        </w:numPr>
        <w:shd w:val="clear"/>
        <w:kinsoku/>
        <w:wordWrap/>
        <w:overflowPunct/>
        <w:topLinePunct w:val="0"/>
        <w:autoSpaceDE/>
        <w:autoSpaceDN/>
        <w:bidi w:val="0"/>
        <w:adjustRightInd/>
        <w:snapToGrid/>
        <w:spacing w:line="560" w:lineRule="exact"/>
        <w:ind w:left="0" w:leftChars="0" w:firstLine="643" w:firstLineChars="200"/>
        <w:textAlignment w:val="auto"/>
        <w:rPr>
          <w:rFonts w:hint="eastAsia" w:ascii="楷体_GB2312" w:hAnsi="仿宋" w:eastAsia="楷体_GB2312" w:cs="Times New Roman"/>
          <w:b/>
          <w:sz w:val="32"/>
          <w:szCs w:val="32"/>
          <w:lang w:val="en-US" w:eastAsia="zh-CN"/>
        </w:rPr>
      </w:pPr>
      <w:r>
        <w:rPr>
          <w:rFonts w:hint="eastAsia" w:ascii="楷体_GB2312" w:hAnsi="楷体_GB2312" w:eastAsia="楷体_GB2312" w:cs="楷体_GB2312"/>
          <w:b/>
          <w:bCs w:val="0"/>
          <w:sz w:val="32"/>
          <w:szCs w:val="32"/>
          <w:lang w:eastAsia="zh-CN"/>
        </w:rPr>
        <w:t>聚焦</w:t>
      </w:r>
      <w:r>
        <w:rPr>
          <w:rFonts w:hint="eastAsia" w:ascii="楷体_GB2312" w:hAnsi="仿宋" w:eastAsia="楷体_GB2312" w:cs="Times New Roman"/>
          <w:b/>
          <w:sz w:val="32"/>
          <w:szCs w:val="32"/>
          <w:lang w:val="en-US" w:eastAsia="zh-CN"/>
        </w:rPr>
        <w:t>底线意识，不遗余力防风险</w:t>
      </w:r>
    </w:p>
    <w:p>
      <w:pPr>
        <w:pStyle w:val="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left="0" w:leftChars="0" w:firstLine="642"/>
        <w:jc w:val="left"/>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b/>
          <w:bCs w:val="0"/>
          <w:sz w:val="32"/>
          <w:szCs w:val="32"/>
          <w:lang w:val="en-US" w:eastAsia="zh-CN"/>
        </w:rPr>
        <w:t>一是强化制度建设，实施动态监管。</w:t>
      </w:r>
      <w:r>
        <w:rPr>
          <w:rFonts w:hint="eastAsia" w:ascii="仿宋_GB2312" w:hAnsi="仿宋_GB2312" w:eastAsia="仿宋_GB2312" w:cs="仿宋_GB2312"/>
          <w:b w:val="0"/>
          <w:bCs/>
          <w:sz w:val="32"/>
          <w:szCs w:val="32"/>
          <w:lang w:val="en-US" w:eastAsia="zh-CN"/>
        </w:rPr>
        <w:t>细化和明确政府债务管理规定的余额管理、举借债务的规模，建立健全政府债务风险评估指标体系，组织评估政府债务风险状况。加强各方面对政府债务的监督，切实防范和化解债务风险。坚持降低债务总量与提高综合财力并重，有效降低综合债务率，保持债务风险控制在安全线以内。</w:t>
      </w:r>
      <w:r>
        <w:rPr>
          <w:rFonts w:hint="eastAsia" w:ascii="仿宋_GB2312" w:hAnsi="仿宋_GB2312" w:eastAsia="仿宋_GB2312" w:cs="仿宋_GB2312"/>
          <w:b/>
          <w:bCs w:val="0"/>
          <w:sz w:val="32"/>
          <w:szCs w:val="32"/>
          <w:lang w:val="en-US" w:eastAsia="zh-CN"/>
        </w:rPr>
        <w:t>二是加大存量债务化解。</w:t>
      </w:r>
      <w:r>
        <w:rPr>
          <w:rFonts w:hint="eastAsia" w:ascii="仿宋_GB2312" w:hAnsi="仿宋_GB2312" w:eastAsia="仿宋_GB2312" w:cs="仿宋_GB2312"/>
          <w:b w:val="0"/>
          <w:bCs/>
          <w:sz w:val="32"/>
          <w:szCs w:val="32"/>
          <w:lang w:val="en-US" w:eastAsia="zh-CN"/>
        </w:rPr>
        <w:t>统筹化债责任主体综合施策，压实债务单位主体责任，坚决完成全年化债任务；</w:t>
      </w:r>
      <w:r>
        <w:rPr>
          <w:rFonts w:hint="eastAsia" w:ascii="仿宋_GB2312" w:hAnsi="仿宋_GB2312" w:eastAsia="仿宋_GB2312" w:cs="仿宋_GB2312"/>
          <w:b w:val="0"/>
          <w:bCs/>
          <w:i w:val="0"/>
          <w:iCs w:val="0"/>
          <w:caps w:val="0"/>
          <w:color w:val="000000"/>
          <w:spacing w:val="0"/>
          <w:sz w:val="32"/>
          <w:szCs w:val="32"/>
          <w:shd w:val="clear" w:fill="FFFFFF"/>
        </w:rPr>
        <w:t>加强资金来源的审核，对没有明确资金来源的一律不受理，杜绝因变相增加支出加重政府债务</w:t>
      </w:r>
      <w:r>
        <w:rPr>
          <w:rFonts w:hint="eastAsia" w:ascii="仿宋_GB2312" w:hAnsi="仿宋_GB2312" w:eastAsia="仿宋_GB2312" w:cs="仿宋_GB2312"/>
          <w:b w:val="0"/>
          <w:bCs/>
          <w:i w:val="0"/>
          <w:iCs w:val="0"/>
          <w:caps w:val="0"/>
          <w:color w:val="000000"/>
          <w:spacing w:val="0"/>
          <w:sz w:val="32"/>
          <w:szCs w:val="32"/>
          <w:shd w:val="clear" w:fill="FFFFFF"/>
          <w:lang w:eastAsia="zh-CN"/>
        </w:rPr>
        <w:t>。</w:t>
      </w:r>
      <w:r>
        <w:rPr>
          <w:rFonts w:hint="eastAsia" w:ascii="仿宋_GB2312" w:hAnsi="仿宋_GB2312" w:eastAsia="仿宋_GB2312" w:cs="仿宋_GB2312"/>
          <w:b/>
          <w:bCs w:val="0"/>
          <w:i w:val="0"/>
          <w:iCs w:val="0"/>
          <w:caps w:val="0"/>
          <w:color w:val="000000"/>
          <w:spacing w:val="0"/>
          <w:sz w:val="32"/>
          <w:szCs w:val="32"/>
          <w:shd w:val="clear" w:fill="FFFFFF"/>
          <w:lang w:eastAsia="zh-CN"/>
        </w:rPr>
        <w:t>三是推动平台公司转型升级。</w:t>
      </w:r>
      <w:r>
        <w:rPr>
          <w:rFonts w:hint="eastAsia" w:ascii="仿宋_GB2312" w:hAnsi="仿宋_GB2312" w:eastAsia="仿宋_GB2312" w:cs="仿宋_GB2312"/>
          <w:b w:val="0"/>
          <w:bCs/>
          <w:i w:val="0"/>
          <w:iCs w:val="0"/>
          <w:caps w:val="0"/>
          <w:color w:val="000000"/>
          <w:spacing w:val="0"/>
          <w:sz w:val="32"/>
          <w:szCs w:val="32"/>
          <w:shd w:val="clear" w:fill="FFFFFF"/>
          <w:lang w:val="en-US" w:eastAsia="zh-CN"/>
        </w:rPr>
        <w:t>尽快</w:t>
      </w:r>
      <w:r>
        <w:rPr>
          <w:rFonts w:hint="eastAsia" w:ascii="仿宋_GB2312" w:hAnsi="仿宋_GB2312" w:eastAsia="仿宋_GB2312" w:cs="仿宋_GB2312"/>
          <w:b w:val="0"/>
          <w:bCs/>
          <w:sz w:val="32"/>
          <w:szCs w:val="32"/>
          <w:lang w:val="en-US" w:eastAsia="zh-CN"/>
        </w:rPr>
        <w:t>做实公司资产，及时回笼公司资金，加快经营性业务的拓展，健全完善运营机制。打造出优质资质的平台，切实发挥融资平台服务实体经济的作用。</w:t>
      </w:r>
    </w:p>
    <w:p>
      <w:pPr>
        <w:pStyle w:val="5"/>
        <w:keepNext w:val="0"/>
        <w:keepLines w:val="0"/>
        <w:pageBreakBefore w:val="0"/>
        <w:widowControl w:val="0"/>
        <w:numPr>
          <w:ilvl w:val="0"/>
          <w:numId w:val="0"/>
        </w:numPr>
        <w:shd w:val="clear"/>
        <w:kinsoku/>
        <w:wordWrap/>
        <w:overflowPunct/>
        <w:topLinePunct w:val="0"/>
        <w:autoSpaceDE/>
        <w:autoSpaceDN/>
        <w:bidi w:val="0"/>
        <w:adjustRightInd/>
        <w:snapToGrid/>
        <w:spacing w:line="560" w:lineRule="exact"/>
        <w:ind w:firstLine="643" w:firstLineChars="200"/>
        <w:textAlignment w:val="auto"/>
        <w:rPr>
          <w:rFonts w:hint="eastAsia" w:ascii="楷体_GB2312" w:hAnsi="仿宋" w:eastAsia="楷体_GB2312" w:cs="Times New Roman"/>
          <w:b/>
          <w:sz w:val="32"/>
          <w:szCs w:val="32"/>
          <w:lang w:eastAsia="zh-CN"/>
        </w:rPr>
      </w:pPr>
      <w:r>
        <w:rPr>
          <w:rFonts w:hint="eastAsia" w:ascii="楷体_GB2312" w:hAnsi="仿宋" w:eastAsia="楷体_GB2312" w:cs="Times New Roman"/>
          <w:b/>
          <w:sz w:val="32"/>
          <w:szCs w:val="32"/>
          <w:lang w:eastAsia="zh-CN"/>
        </w:rPr>
        <w:t>（五）</w:t>
      </w:r>
      <w:r>
        <w:rPr>
          <w:rFonts w:hint="eastAsia" w:ascii="楷体_GB2312" w:hAnsi="楷体_GB2312" w:eastAsia="楷体_GB2312" w:cs="楷体_GB2312"/>
          <w:b/>
          <w:bCs w:val="0"/>
          <w:sz w:val="32"/>
          <w:szCs w:val="32"/>
          <w:lang w:eastAsia="zh-CN"/>
        </w:rPr>
        <w:t>聚焦</w:t>
      </w:r>
      <w:r>
        <w:rPr>
          <w:rFonts w:hint="eastAsia" w:ascii="楷体_GB2312" w:hAnsi="仿宋" w:eastAsia="楷体_GB2312" w:cs="Times New Roman"/>
          <w:b/>
          <w:sz w:val="32"/>
          <w:szCs w:val="32"/>
          <w:lang w:eastAsia="zh-CN"/>
        </w:rPr>
        <w:t>绩效管理，同心协力促效益</w:t>
      </w:r>
    </w:p>
    <w:p>
      <w:pPr>
        <w:keepNext w:val="0"/>
        <w:keepLines w:val="0"/>
        <w:pageBreakBefore w:val="0"/>
        <w:widowControl w:val="0"/>
        <w:shd w:val="clear" w:color="auto" w:fill="auto"/>
        <w:kinsoku/>
        <w:wordWrap/>
        <w:overflowPunct/>
        <w:topLinePunct w:val="0"/>
        <w:autoSpaceDE/>
        <w:autoSpaceDN/>
        <w:bidi w:val="0"/>
        <w:adjustRightInd/>
        <w:snapToGrid/>
        <w:spacing w:line="580" w:lineRule="exact"/>
        <w:ind w:firstLine="643"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cs="仿宋_GB2312"/>
          <w:b/>
          <w:bCs/>
          <w:sz w:val="32"/>
          <w:szCs w:val="32"/>
          <w:lang w:val="en-US" w:eastAsia="zh-CN"/>
        </w:rPr>
        <w:t>一是强化绩效管理理念。</w:t>
      </w:r>
      <w:r>
        <w:rPr>
          <w:rFonts w:hint="eastAsia" w:ascii="仿宋_GB2312" w:hAnsi="仿宋_GB2312" w:eastAsia="仿宋_GB2312" w:cs="仿宋_GB2312"/>
          <w:sz w:val="32"/>
          <w:szCs w:val="32"/>
          <w:lang w:val="en-US" w:eastAsia="zh-CN"/>
        </w:rPr>
        <w:t>推进预算和绩效管理一体化，构建“绩效目标管理全覆盖、目标执行过程全监控、绩效目标信息全公开、评价结果运用全追踪”的全过程预算绩效管理体系，将绩效理念和方法融入预算编制全过程。</w:t>
      </w:r>
      <w:r>
        <w:rPr>
          <w:rFonts w:hint="eastAsia" w:ascii="仿宋_GB2312" w:hAnsi="仿宋_GB2312" w:eastAsia="仿宋_GB2312" w:cs="仿宋_GB2312"/>
          <w:b/>
          <w:bCs/>
          <w:sz w:val="32"/>
          <w:szCs w:val="32"/>
          <w:highlight w:val="none"/>
          <w:u w:val="none"/>
          <w:lang w:val="en-US" w:eastAsia="zh-CN"/>
        </w:rPr>
        <w:t>二是细化绩效目标审核。</w:t>
      </w:r>
      <w:r>
        <w:rPr>
          <w:rFonts w:hint="eastAsia" w:ascii="仿宋_GB2312" w:hAnsi="仿宋_GB2312" w:eastAsia="仿宋_GB2312" w:cs="仿宋_GB2312"/>
          <w:sz w:val="32"/>
          <w:szCs w:val="32"/>
          <w:highlight w:val="none"/>
          <w:u w:val="none"/>
          <w:lang w:val="en-US" w:eastAsia="zh-CN"/>
        </w:rPr>
        <w:t>借助预算一体化系统，将绩效目标设置作为预算安排的前置条件，从源头上提高财政资源配置的科学性，横向分析项目本身的成本、数量、产生的效益等，纵向对比项目库里类似的项目，多维度多角度科学审核，经审核确认的绩效目标作为预算执行、绩效跟踪监控及绩效评价的依据。</w:t>
      </w:r>
      <w:r>
        <w:rPr>
          <w:rFonts w:hint="eastAsia" w:ascii="仿宋_GB2312" w:hAnsi="仿宋_GB2312" w:eastAsia="仿宋_GB2312" w:cs="仿宋_GB2312"/>
          <w:b/>
          <w:bCs/>
          <w:sz w:val="32"/>
          <w:szCs w:val="32"/>
          <w:highlight w:val="none"/>
          <w:u w:val="none"/>
          <w:lang w:val="en-US" w:eastAsia="zh-CN"/>
        </w:rPr>
        <w:t>三是注重绩效结果应用。</w:t>
      </w:r>
      <w:r>
        <w:rPr>
          <w:rFonts w:hint="eastAsia" w:ascii="仿宋_GB2312" w:hAnsi="仿宋_GB2312" w:eastAsia="仿宋_GB2312" w:cs="仿宋_GB2312"/>
          <w:sz w:val="32"/>
          <w:szCs w:val="32"/>
          <w:highlight w:val="none"/>
          <w:u w:val="none"/>
          <w:lang w:val="en-US" w:eastAsia="zh-CN"/>
        </w:rPr>
        <w:t>进一步强化财审联动机制，信息共享、指标共商、成果共用、整改共促。将绩效评价结果与完善政策、调整预算安排有机衔接，</w:t>
      </w:r>
      <w:r>
        <w:rPr>
          <w:rFonts w:hint="eastAsia" w:ascii="仿宋_GB2312" w:hAnsi="仿宋_GB2312" w:eastAsia="仿宋_GB2312"/>
          <w:sz w:val="32"/>
          <w:szCs w:val="32"/>
          <w:highlight w:val="none"/>
          <w:u w:val="none"/>
        </w:rPr>
        <w:t>对绩效好的项目优先保障，对交叉重复、碎片化的项目予以调整，对低效无效资金一律削减或取消</w:t>
      </w:r>
      <w:r>
        <w:rPr>
          <w:rFonts w:hint="eastAsia" w:ascii="仿宋_GB2312" w:hAnsi="仿宋_GB2312" w:eastAsia="仿宋_GB2312"/>
          <w:sz w:val="32"/>
          <w:szCs w:val="32"/>
          <w:highlight w:val="none"/>
          <w:u w:val="none"/>
          <w:lang w:eastAsia="zh-CN"/>
        </w:rPr>
        <w:t>，</w:t>
      </w:r>
      <w:r>
        <w:rPr>
          <w:rFonts w:hint="eastAsia" w:ascii="仿宋_GB2312" w:hAnsi="仿宋_GB2312" w:eastAsia="仿宋_GB2312"/>
          <w:sz w:val="32"/>
          <w:szCs w:val="32"/>
          <w:highlight w:val="none"/>
          <w:u w:val="none"/>
        </w:rPr>
        <w:t>加快形成</w:t>
      </w:r>
      <w:r>
        <w:rPr>
          <w:rFonts w:hint="eastAsia" w:ascii="仿宋_GB2312" w:hAnsi="仿宋_GB2312" w:eastAsia="仿宋_GB2312" w:cs="仿宋_GB2312"/>
          <w:sz w:val="32"/>
          <w:szCs w:val="32"/>
          <w:highlight w:val="none"/>
          <w:u w:val="none"/>
          <w:lang w:val="en-US" w:eastAsia="zh-CN"/>
        </w:rPr>
        <w:t>“奖优罚劣、无效问责”的权责机制，确保财政资金使用效益不断提高。</w:t>
      </w:r>
    </w:p>
    <w:p>
      <w:pPr>
        <w:pStyle w:val="2"/>
        <w:ind w:firstLine="640" w:firstLineChars="200"/>
        <w:rPr>
          <w:rFonts w:hint="eastAsia"/>
          <w:lang w:eastAsia="zh-CN"/>
        </w:rPr>
      </w:pPr>
      <w:r>
        <w:rPr>
          <w:rFonts w:hint="eastAsia" w:ascii="仿宋_GB2312" w:hAnsi="Times New Roman" w:eastAsia="仿宋_GB2312" w:cs="Times New Roman"/>
          <w:color w:val="000000"/>
          <w:sz w:val="32"/>
          <w:szCs w:val="32"/>
          <w:lang w:eastAsia="zh-CN"/>
        </w:rPr>
        <w:t>新时代财政改革与发展任务艰巨，责任重大，</w:t>
      </w:r>
      <w:r>
        <w:rPr>
          <w:rFonts w:hint="eastAsia" w:ascii="仿宋_GB2312" w:hAnsi="仿宋_GB2312" w:eastAsia="仿宋_GB2312" w:cs="Times New Roman"/>
          <w:color w:val="000000"/>
          <w:sz w:val="32"/>
          <w:szCs w:val="32"/>
        </w:rPr>
        <w:t>我们将在县委</w:t>
      </w:r>
      <w:r>
        <w:rPr>
          <w:rFonts w:hint="eastAsia" w:ascii="仿宋_GB2312" w:hAnsi="仿宋_GB2312" w:eastAsia="仿宋_GB2312" w:cs="Times New Roman"/>
          <w:color w:val="000000"/>
          <w:sz w:val="32"/>
          <w:szCs w:val="32"/>
          <w:lang w:eastAsia="zh-CN"/>
        </w:rPr>
        <w:t>县政府</w:t>
      </w:r>
      <w:r>
        <w:rPr>
          <w:rFonts w:hint="eastAsia" w:ascii="仿宋_GB2312" w:hAnsi="仿宋_GB2312" w:eastAsia="仿宋_GB2312" w:cs="Times New Roman"/>
          <w:color w:val="000000"/>
          <w:sz w:val="32"/>
          <w:szCs w:val="32"/>
        </w:rPr>
        <w:t>的坚强领导下，在县人大和县政协的监督支持下，</w:t>
      </w:r>
      <w:r>
        <w:rPr>
          <w:rFonts w:hint="eastAsia" w:ascii="仿宋_GB2312" w:hAnsi="仿宋_GB2312" w:eastAsia="仿宋_GB2312" w:cs="Times New Roman"/>
          <w:color w:val="000000"/>
          <w:sz w:val="32"/>
          <w:szCs w:val="32"/>
          <w:lang w:eastAsia="zh-CN"/>
        </w:rPr>
        <w:t>全面深化财政改革</w:t>
      </w:r>
      <w:r>
        <w:rPr>
          <w:rFonts w:hint="eastAsia" w:ascii="仿宋_GB2312" w:hAnsi="仿宋_GB2312" w:eastAsia="仿宋_GB2312" w:cs="Times New Roman"/>
          <w:color w:val="000000"/>
          <w:sz w:val="32"/>
          <w:szCs w:val="32"/>
        </w:rPr>
        <w:t>，</w:t>
      </w:r>
      <w:r>
        <w:rPr>
          <w:rFonts w:hint="eastAsia" w:ascii="仿宋_GB2312" w:hAnsi="仿宋_GB2312" w:eastAsia="仿宋_GB2312" w:cs="Times New Roman"/>
          <w:color w:val="000000"/>
          <w:sz w:val="32"/>
          <w:szCs w:val="32"/>
          <w:lang w:eastAsia="zh-CN"/>
        </w:rPr>
        <w:t>统筹财政发展与安全，踔厉奋发，笃行不怠，全力支持撤县设市，</w:t>
      </w:r>
      <w:r>
        <w:rPr>
          <w:rFonts w:hint="eastAsia" w:ascii="仿宋_GB2312" w:hAnsi="仿宋_GB2312" w:eastAsia="仿宋_GB2312" w:cs="Times New Roman"/>
          <w:color w:val="000000"/>
          <w:sz w:val="32"/>
          <w:szCs w:val="32"/>
        </w:rPr>
        <w:t>为</w:t>
      </w:r>
      <w:r>
        <w:rPr>
          <w:rFonts w:hint="eastAsia" w:ascii="仿宋_GB2312" w:hAnsi="仿宋_GB2312" w:eastAsia="仿宋_GB2312" w:cs="仿宋_GB2312"/>
          <w:color w:val="auto"/>
          <w:spacing w:val="0"/>
          <w:kern w:val="2"/>
          <w:sz w:val="32"/>
          <w:szCs w:val="32"/>
        </w:rPr>
        <w:t>开创道县高质量发展新局面</w:t>
      </w:r>
      <w:r>
        <w:rPr>
          <w:rFonts w:hint="eastAsia" w:ascii="仿宋_GB2312" w:hAnsi="仿宋_GB2312" w:eastAsia="仿宋_GB2312" w:cs="Times New Roman"/>
          <w:color w:val="000000"/>
          <w:sz w:val="32"/>
          <w:szCs w:val="32"/>
        </w:rPr>
        <w:t>做出新的更大贡献！</w:t>
      </w: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pStyle w:val="25"/>
        <w:shd w:val="clear"/>
        <w:autoSpaceDE w:val="0"/>
        <w:autoSpaceDN w:val="0"/>
        <w:spacing w:line="440" w:lineRule="exact"/>
        <w:rPr>
          <w:rFonts w:ascii="Times New Roman" w:hAnsi="Times New Roman" w:eastAsia="仿宋_GB2312" w:cs="Times New Roman"/>
          <w:color w:val="000000"/>
          <w:sz w:val="30"/>
          <w:szCs w:val="30"/>
        </w:rPr>
      </w:pPr>
    </w:p>
    <w:p>
      <w:pPr>
        <w:shd w:val="clear"/>
        <w:spacing w:line="560" w:lineRule="exact"/>
        <w:rPr>
          <w:rFonts w:eastAsia="楷体_GB2312"/>
          <w:b/>
          <w:bCs/>
          <w:sz w:val="32"/>
          <w:szCs w:val="32"/>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5486400" cy="20320"/>
                <wp:effectExtent l="0" t="4445" r="0" b="13335"/>
                <wp:wrapNone/>
                <wp:docPr id="2" name="直线 11"/>
                <wp:cNvGraphicFramePr/>
                <a:graphic xmlns:a="http://schemas.openxmlformats.org/drawingml/2006/main">
                  <a:graphicData uri="http://schemas.microsoft.com/office/word/2010/wordprocessingShape">
                    <wps:wsp>
                      <wps:cNvCnPr/>
                      <wps:spPr>
                        <a:xfrm flipV="1">
                          <a:off x="0" y="0"/>
                          <a:ext cx="548640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1" o:spid="_x0000_s1026" o:spt="20" style="position:absolute;left:0pt;flip:y;margin-left:0pt;margin-top:0pt;height:1.6pt;width:432pt;z-index:251661312;mso-width-relative:page;mso-height-relative:page;" filled="f" stroked="t" coordsize="21600,21600" o:gfxdata="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oyr/jTAAAAAwEAAA8AAAAAAAAAAQAgAAAAIgAAAGRycy9kb3ducmV2LnhtbFBLAQIUABQA&#10;AAAIAIdO4kDoV7wz9QEAAOoDAAAOAAAAAAAAAAEAIAAAACI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396240</wp:posOffset>
                </wp:positionV>
                <wp:extent cx="5486400" cy="20320"/>
                <wp:effectExtent l="0" t="4445" r="0" b="13335"/>
                <wp:wrapNone/>
                <wp:docPr id="3" name="直线 12"/>
                <wp:cNvGraphicFramePr/>
                <a:graphic xmlns:a="http://schemas.openxmlformats.org/drawingml/2006/main">
                  <a:graphicData uri="http://schemas.microsoft.com/office/word/2010/wordprocessingShape">
                    <wps:wsp>
                      <wps:cNvCnPr/>
                      <wps:spPr>
                        <a:xfrm flipV="1">
                          <a:off x="0" y="0"/>
                          <a:ext cx="5486400" cy="203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12" o:spid="_x0000_s1026" o:spt="20" style="position:absolute;left:0pt;flip:y;margin-left:0pt;margin-top:31.2pt;height:1.6pt;width:432pt;z-index:251662336;mso-width-relative:page;mso-height-relative:page;" filled="f" stroked="t" coordsize="21600,21600" o:gfxdata="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DPGBsdQAAAAGAQAADwAAAAAAAAABACAAAAAiAAAAZHJzL2Rvd25yZXYueG1sUEsBAhQA&#10;FAAAAAgAh07iQHoYnwD2AQAA6gMAAA4AAAAAAAAAAQAgAAAAIwEAAGRycy9lMm9Eb2MueG1sUEsF&#10;BgAAAAAGAAYAWQEAAIsFAAAAAA==&#10;">
                <v:fill on="f" focussize="0,0"/>
                <v:stroke color="#000000" joinstyle="round"/>
                <v:imagedata o:title=""/>
                <o:lock v:ext="edit" aspectratio="f"/>
              </v:line>
            </w:pict>
          </mc:Fallback>
        </mc:AlternateContent>
      </w:r>
      <w:r>
        <w:rPr>
          <w:rFonts w:eastAsia="楷体_GB2312"/>
          <w:b/>
          <w:bCs/>
          <w:sz w:val="32"/>
          <w:szCs w:val="32"/>
        </w:rPr>
        <w:t>县十</w:t>
      </w:r>
      <w:r>
        <w:rPr>
          <w:rFonts w:hint="eastAsia" w:eastAsia="楷体_GB2312"/>
          <w:b/>
          <w:bCs/>
          <w:sz w:val="32"/>
          <w:szCs w:val="32"/>
          <w:lang w:eastAsia="zh-CN"/>
        </w:rPr>
        <w:t>八</w:t>
      </w:r>
      <w:r>
        <w:rPr>
          <w:rFonts w:eastAsia="楷体_GB2312"/>
          <w:b/>
          <w:bCs/>
          <w:sz w:val="32"/>
          <w:szCs w:val="32"/>
        </w:rPr>
        <w:t>届人大</w:t>
      </w:r>
      <w:r>
        <w:rPr>
          <w:rFonts w:hint="eastAsia" w:eastAsia="楷体_GB2312"/>
          <w:b/>
          <w:bCs/>
          <w:sz w:val="32"/>
          <w:szCs w:val="32"/>
          <w:lang w:eastAsia="zh-CN"/>
        </w:rPr>
        <w:t>二</w:t>
      </w:r>
      <w:r>
        <w:rPr>
          <w:rFonts w:eastAsia="楷体_GB2312"/>
          <w:b/>
          <w:bCs/>
          <w:sz w:val="32"/>
          <w:szCs w:val="32"/>
        </w:rPr>
        <w:t>次会议秘书处</w:t>
      </w:r>
    </w:p>
    <w:sectPr>
      <w:footerReference r:id="rId3" w:type="default"/>
      <w:pgSz w:w="11906" w:h="16838"/>
      <w:pgMar w:top="1553" w:right="1757" w:bottom="1497" w:left="175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28575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Style w:val="14"/>
                              <w:rFonts w:ascii="仿宋_GB2312" w:eastAsia="仿宋_GB2312"/>
                              <w:sz w:val="28"/>
                              <w:szCs w:val="28"/>
                            </w:rPr>
                          </w:pPr>
                          <w:r>
                            <w:rPr>
                              <w:rStyle w:val="14"/>
                              <w:rFonts w:ascii="仿宋_GB2312" w:eastAsia="仿宋_GB2312" w:cs="仿宋_GB2312"/>
                              <w:sz w:val="28"/>
                              <w:szCs w:val="28"/>
                            </w:rPr>
                            <w:fldChar w:fldCharType="begin"/>
                          </w:r>
                          <w:r>
                            <w:rPr>
                              <w:rStyle w:val="14"/>
                              <w:rFonts w:ascii="仿宋_GB2312" w:eastAsia="仿宋_GB2312" w:cs="仿宋_GB2312"/>
                              <w:sz w:val="28"/>
                              <w:szCs w:val="28"/>
                            </w:rPr>
                            <w:instrText xml:space="preserve">PAGE  </w:instrText>
                          </w:r>
                          <w:r>
                            <w:rPr>
                              <w:rStyle w:val="14"/>
                              <w:rFonts w:ascii="仿宋_GB2312" w:eastAsia="仿宋_GB2312" w:cs="仿宋_GB2312"/>
                              <w:sz w:val="28"/>
                              <w:szCs w:val="28"/>
                            </w:rPr>
                            <w:fldChar w:fldCharType="separate"/>
                          </w:r>
                          <w:r>
                            <w:rPr>
                              <w:rStyle w:val="14"/>
                              <w:rFonts w:ascii="仿宋_GB2312" w:eastAsia="仿宋_GB2312" w:cs="仿宋_GB2312"/>
                              <w:sz w:val="28"/>
                              <w:szCs w:val="28"/>
                            </w:rPr>
                            <w:t>2</w:t>
                          </w:r>
                          <w:r>
                            <w:rPr>
                              <w:rStyle w:val="14"/>
                              <w:rFonts w:asci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25pt;height:144pt;width:144pt;mso-position-horizontal:outside;mso-position-horizontal-relative:margin;mso-wrap-style:none;z-index:251659264;mso-width-relative:page;mso-height-relative:page;" filled="f" stroked="f" coordsize="21600,21600" o:gfxdata="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YwDZX0wAAAAYBAAAPAAAAAAAAAAEAIAAAACIAAABkcnMvZG93bnJldi54bWxQSwEC&#10;FAAUAAAACACHTuJAuow4KzICAABhBAAADgAAAAAAAAABACAAAAAiAQAAZHJzL2Uyb0RvYy54bWxQ&#10;SwUGAAAAAAYABgBZAQAAxgUAAAAA&#10;">
              <v:fill on="f" focussize="0,0"/>
              <v:stroke on="f" weight="0.5pt"/>
              <v:imagedata o:title=""/>
              <o:lock v:ext="edit" aspectratio="f"/>
              <v:textbox inset="0mm,0mm,0mm,0mm" style="mso-fit-shape-to-text:t;">
                <w:txbxContent>
                  <w:p>
                    <w:pPr>
                      <w:pStyle w:val="7"/>
                      <w:rPr>
                        <w:rStyle w:val="14"/>
                        <w:rFonts w:ascii="仿宋_GB2312" w:eastAsia="仿宋_GB2312"/>
                        <w:sz w:val="28"/>
                        <w:szCs w:val="28"/>
                      </w:rPr>
                    </w:pPr>
                    <w:r>
                      <w:rPr>
                        <w:rStyle w:val="14"/>
                        <w:rFonts w:ascii="仿宋_GB2312" w:eastAsia="仿宋_GB2312" w:cs="仿宋_GB2312"/>
                        <w:sz w:val="28"/>
                        <w:szCs w:val="28"/>
                      </w:rPr>
                      <w:fldChar w:fldCharType="begin"/>
                    </w:r>
                    <w:r>
                      <w:rPr>
                        <w:rStyle w:val="14"/>
                        <w:rFonts w:ascii="仿宋_GB2312" w:eastAsia="仿宋_GB2312" w:cs="仿宋_GB2312"/>
                        <w:sz w:val="28"/>
                        <w:szCs w:val="28"/>
                      </w:rPr>
                      <w:instrText xml:space="preserve">PAGE  </w:instrText>
                    </w:r>
                    <w:r>
                      <w:rPr>
                        <w:rStyle w:val="14"/>
                        <w:rFonts w:ascii="仿宋_GB2312" w:eastAsia="仿宋_GB2312" w:cs="仿宋_GB2312"/>
                        <w:sz w:val="28"/>
                        <w:szCs w:val="28"/>
                      </w:rPr>
                      <w:fldChar w:fldCharType="separate"/>
                    </w:r>
                    <w:r>
                      <w:rPr>
                        <w:rStyle w:val="14"/>
                        <w:rFonts w:ascii="仿宋_GB2312" w:eastAsia="仿宋_GB2312" w:cs="仿宋_GB2312"/>
                        <w:sz w:val="28"/>
                        <w:szCs w:val="28"/>
                      </w:rPr>
                      <w:t>2</w:t>
                    </w:r>
                    <w:r>
                      <w:rPr>
                        <w:rStyle w:val="14"/>
                        <w:rFonts w:ascii="仿宋_GB2312" w:eastAsia="仿宋_GB2312" w:cs="仿宋_GB2312"/>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3C44E1"/>
    <w:multiLevelType w:val="singleLevel"/>
    <w:tmpl w:val="8D3C44E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mirrorMargins w:val="1"/>
  <w:bordersDoNotSurroundHeader w:val="0"/>
  <w:bordersDoNotSurroundFooter w:val="0"/>
  <w:documentProtection w:enforcement="0"/>
  <w:defaultTabStop w:val="420"/>
  <w:doNotHyphenateCaps/>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D98"/>
    <w:rsid w:val="00000715"/>
    <w:rsid w:val="00000A05"/>
    <w:rsid w:val="00002DE8"/>
    <w:rsid w:val="0000314B"/>
    <w:rsid w:val="000047E9"/>
    <w:rsid w:val="00005E83"/>
    <w:rsid w:val="0000701F"/>
    <w:rsid w:val="00011E90"/>
    <w:rsid w:val="00012A27"/>
    <w:rsid w:val="00013543"/>
    <w:rsid w:val="00013C4A"/>
    <w:rsid w:val="00015A3B"/>
    <w:rsid w:val="00015CD6"/>
    <w:rsid w:val="00017ECF"/>
    <w:rsid w:val="00020260"/>
    <w:rsid w:val="00020E2F"/>
    <w:rsid w:val="00023CFB"/>
    <w:rsid w:val="00024C93"/>
    <w:rsid w:val="000269A6"/>
    <w:rsid w:val="00027550"/>
    <w:rsid w:val="000278B3"/>
    <w:rsid w:val="0003187B"/>
    <w:rsid w:val="000329AB"/>
    <w:rsid w:val="00033B05"/>
    <w:rsid w:val="000349EC"/>
    <w:rsid w:val="0003559C"/>
    <w:rsid w:val="0004067F"/>
    <w:rsid w:val="00041CB5"/>
    <w:rsid w:val="000435C9"/>
    <w:rsid w:val="00043C63"/>
    <w:rsid w:val="00044137"/>
    <w:rsid w:val="00044491"/>
    <w:rsid w:val="00044566"/>
    <w:rsid w:val="00044B77"/>
    <w:rsid w:val="00045609"/>
    <w:rsid w:val="00045EB6"/>
    <w:rsid w:val="00050C84"/>
    <w:rsid w:val="00051538"/>
    <w:rsid w:val="000515EB"/>
    <w:rsid w:val="00052E5F"/>
    <w:rsid w:val="000544ED"/>
    <w:rsid w:val="00054C39"/>
    <w:rsid w:val="0005659E"/>
    <w:rsid w:val="00057BAB"/>
    <w:rsid w:val="00060217"/>
    <w:rsid w:val="00061150"/>
    <w:rsid w:val="00062A4F"/>
    <w:rsid w:val="00063A2A"/>
    <w:rsid w:val="00064E5A"/>
    <w:rsid w:val="0006676F"/>
    <w:rsid w:val="0006775F"/>
    <w:rsid w:val="00071788"/>
    <w:rsid w:val="00071B35"/>
    <w:rsid w:val="000749E0"/>
    <w:rsid w:val="00074A95"/>
    <w:rsid w:val="00074DCF"/>
    <w:rsid w:val="00075356"/>
    <w:rsid w:val="00075CF7"/>
    <w:rsid w:val="00076434"/>
    <w:rsid w:val="000772C6"/>
    <w:rsid w:val="0008081D"/>
    <w:rsid w:val="00080C4A"/>
    <w:rsid w:val="0008192B"/>
    <w:rsid w:val="00084F23"/>
    <w:rsid w:val="000861CB"/>
    <w:rsid w:val="00087A17"/>
    <w:rsid w:val="00087B33"/>
    <w:rsid w:val="0009227F"/>
    <w:rsid w:val="00092666"/>
    <w:rsid w:val="0009301D"/>
    <w:rsid w:val="00093CE6"/>
    <w:rsid w:val="00093E41"/>
    <w:rsid w:val="00094CC8"/>
    <w:rsid w:val="0009526A"/>
    <w:rsid w:val="0009602D"/>
    <w:rsid w:val="000A0CAC"/>
    <w:rsid w:val="000A280E"/>
    <w:rsid w:val="000A3163"/>
    <w:rsid w:val="000A34F1"/>
    <w:rsid w:val="000A3E57"/>
    <w:rsid w:val="000A4922"/>
    <w:rsid w:val="000A5F4E"/>
    <w:rsid w:val="000A615F"/>
    <w:rsid w:val="000B0D27"/>
    <w:rsid w:val="000B124C"/>
    <w:rsid w:val="000B44D3"/>
    <w:rsid w:val="000B6172"/>
    <w:rsid w:val="000B723A"/>
    <w:rsid w:val="000C24D5"/>
    <w:rsid w:val="000C30B9"/>
    <w:rsid w:val="000C3137"/>
    <w:rsid w:val="000C3C62"/>
    <w:rsid w:val="000C548D"/>
    <w:rsid w:val="000D0381"/>
    <w:rsid w:val="000D14FB"/>
    <w:rsid w:val="000D1EB9"/>
    <w:rsid w:val="000D2F0C"/>
    <w:rsid w:val="000D30BC"/>
    <w:rsid w:val="000D3462"/>
    <w:rsid w:val="000D366E"/>
    <w:rsid w:val="000D368D"/>
    <w:rsid w:val="000D614C"/>
    <w:rsid w:val="000D61FC"/>
    <w:rsid w:val="000D7D9F"/>
    <w:rsid w:val="000E0375"/>
    <w:rsid w:val="000E1160"/>
    <w:rsid w:val="000E45EE"/>
    <w:rsid w:val="000E5D6F"/>
    <w:rsid w:val="000F0DE8"/>
    <w:rsid w:val="000F1783"/>
    <w:rsid w:val="000F1CB0"/>
    <w:rsid w:val="000F1CD3"/>
    <w:rsid w:val="000F2633"/>
    <w:rsid w:val="000F6DAE"/>
    <w:rsid w:val="00100226"/>
    <w:rsid w:val="0010126B"/>
    <w:rsid w:val="0010195B"/>
    <w:rsid w:val="00103FD7"/>
    <w:rsid w:val="00105404"/>
    <w:rsid w:val="0010705C"/>
    <w:rsid w:val="00110147"/>
    <w:rsid w:val="0011077B"/>
    <w:rsid w:val="00110A7B"/>
    <w:rsid w:val="00113643"/>
    <w:rsid w:val="0011440C"/>
    <w:rsid w:val="00115F5B"/>
    <w:rsid w:val="00116516"/>
    <w:rsid w:val="00120685"/>
    <w:rsid w:val="00120705"/>
    <w:rsid w:val="00120F5F"/>
    <w:rsid w:val="001217E0"/>
    <w:rsid w:val="00123142"/>
    <w:rsid w:val="0013039F"/>
    <w:rsid w:val="00130CD5"/>
    <w:rsid w:val="001313A9"/>
    <w:rsid w:val="001313F0"/>
    <w:rsid w:val="00132D60"/>
    <w:rsid w:val="00133295"/>
    <w:rsid w:val="00137B0F"/>
    <w:rsid w:val="00140F76"/>
    <w:rsid w:val="001424FF"/>
    <w:rsid w:val="00143654"/>
    <w:rsid w:val="00147297"/>
    <w:rsid w:val="00147D72"/>
    <w:rsid w:val="00150130"/>
    <w:rsid w:val="0015018F"/>
    <w:rsid w:val="0015022A"/>
    <w:rsid w:val="00150242"/>
    <w:rsid w:val="00150C93"/>
    <w:rsid w:val="00155525"/>
    <w:rsid w:val="0015572C"/>
    <w:rsid w:val="001558E9"/>
    <w:rsid w:val="00156026"/>
    <w:rsid w:val="00156574"/>
    <w:rsid w:val="00157B22"/>
    <w:rsid w:val="0016509D"/>
    <w:rsid w:val="001674A8"/>
    <w:rsid w:val="00167833"/>
    <w:rsid w:val="001678F9"/>
    <w:rsid w:val="0017051A"/>
    <w:rsid w:val="00173684"/>
    <w:rsid w:val="001757F8"/>
    <w:rsid w:val="001804F9"/>
    <w:rsid w:val="00182BB9"/>
    <w:rsid w:val="00182CBB"/>
    <w:rsid w:val="0018454E"/>
    <w:rsid w:val="00184BA2"/>
    <w:rsid w:val="001858EA"/>
    <w:rsid w:val="001904A4"/>
    <w:rsid w:val="00190609"/>
    <w:rsid w:val="00190C89"/>
    <w:rsid w:val="001913D2"/>
    <w:rsid w:val="00191B3C"/>
    <w:rsid w:val="0019429B"/>
    <w:rsid w:val="00194ACC"/>
    <w:rsid w:val="00195726"/>
    <w:rsid w:val="001A014D"/>
    <w:rsid w:val="001A0DFB"/>
    <w:rsid w:val="001A0E9E"/>
    <w:rsid w:val="001A110D"/>
    <w:rsid w:val="001A154F"/>
    <w:rsid w:val="001A5B30"/>
    <w:rsid w:val="001B1865"/>
    <w:rsid w:val="001B3D15"/>
    <w:rsid w:val="001B3E41"/>
    <w:rsid w:val="001B4056"/>
    <w:rsid w:val="001B5332"/>
    <w:rsid w:val="001B603E"/>
    <w:rsid w:val="001B6816"/>
    <w:rsid w:val="001B7D3C"/>
    <w:rsid w:val="001C3363"/>
    <w:rsid w:val="001C628B"/>
    <w:rsid w:val="001D0631"/>
    <w:rsid w:val="001D0D0F"/>
    <w:rsid w:val="001D11D8"/>
    <w:rsid w:val="001D17F8"/>
    <w:rsid w:val="001D1DFE"/>
    <w:rsid w:val="001D1FFB"/>
    <w:rsid w:val="001D2656"/>
    <w:rsid w:val="001D27BD"/>
    <w:rsid w:val="001D372B"/>
    <w:rsid w:val="001D38A3"/>
    <w:rsid w:val="001D45AD"/>
    <w:rsid w:val="001D5E80"/>
    <w:rsid w:val="001D6577"/>
    <w:rsid w:val="001D6640"/>
    <w:rsid w:val="001D6AD9"/>
    <w:rsid w:val="001E1320"/>
    <w:rsid w:val="001E3162"/>
    <w:rsid w:val="001E5A42"/>
    <w:rsid w:val="001E7A03"/>
    <w:rsid w:val="001E7A1A"/>
    <w:rsid w:val="001F0411"/>
    <w:rsid w:val="001F105E"/>
    <w:rsid w:val="001F115D"/>
    <w:rsid w:val="001F16D8"/>
    <w:rsid w:val="001F1DA5"/>
    <w:rsid w:val="001F3578"/>
    <w:rsid w:val="001F4075"/>
    <w:rsid w:val="001F58C5"/>
    <w:rsid w:val="0020151C"/>
    <w:rsid w:val="002029A5"/>
    <w:rsid w:val="002029C1"/>
    <w:rsid w:val="0020382A"/>
    <w:rsid w:val="002041DE"/>
    <w:rsid w:val="00204294"/>
    <w:rsid w:val="002065F6"/>
    <w:rsid w:val="00210A69"/>
    <w:rsid w:val="002116A9"/>
    <w:rsid w:val="00211B7D"/>
    <w:rsid w:val="002128FE"/>
    <w:rsid w:val="002135DD"/>
    <w:rsid w:val="00213E12"/>
    <w:rsid w:val="00214253"/>
    <w:rsid w:val="00214EA9"/>
    <w:rsid w:val="00216460"/>
    <w:rsid w:val="00217A52"/>
    <w:rsid w:val="00220274"/>
    <w:rsid w:val="00220EB8"/>
    <w:rsid w:val="00221200"/>
    <w:rsid w:val="002244CA"/>
    <w:rsid w:val="00227800"/>
    <w:rsid w:val="00230448"/>
    <w:rsid w:val="00230960"/>
    <w:rsid w:val="00233EA8"/>
    <w:rsid w:val="00235389"/>
    <w:rsid w:val="002356FC"/>
    <w:rsid w:val="0023688A"/>
    <w:rsid w:val="00236FEB"/>
    <w:rsid w:val="0023720C"/>
    <w:rsid w:val="00237876"/>
    <w:rsid w:val="00240B17"/>
    <w:rsid w:val="002411A9"/>
    <w:rsid w:val="002436AC"/>
    <w:rsid w:val="00247363"/>
    <w:rsid w:val="002476BC"/>
    <w:rsid w:val="002513FC"/>
    <w:rsid w:val="00251650"/>
    <w:rsid w:val="00253D0F"/>
    <w:rsid w:val="002545DE"/>
    <w:rsid w:val="00255454"/>
    <w:rsid w:val="002554D0"/>
    <w:rsid w:val="0025722E"/>
    <w:rsid w:val="00257D0A"/>
    <w:rsid w:val="00260950"/>
    <w:rsid w:val="00260D27"/>
    <w:rsid w:val="002632A7"/>
    <w:rsid w:val="002650EF"/>
    <w:rsid w:val="002655E8"/>
    <w:rsid w:val="00266A1A"/>
    <w:rsid w:val="00266AF4"/>
    <w:rsid w:val="00270C45"/>
    <w:rsid w:val="00271428"/>
    <w:rsid w:val="00273C11"/>
    <w:rsid w:val="00274B81"/>
    <w:rsid w:val="002762AB"/>
    <w:rsid w:val="002802A3"/>
    <w:rsid w:val="00280964"/>
    <w:rsid w:val="0028135A"/>
    <w:rsid w:val="00281CF6"/>
    <w:rsid w:val="0028453A"/>
    <w:rsid w:val="00284B3D"/>
    <w:rsid w:val="002856DD"/>
    <w:rsid w:val="002872BA"/>
    <w:rsid w:val="00287423"/>
    <w:rsid w:val="00291047"/>
    <w:rsid w:val="00291AE1"/>
    <w:rsid w:val="00292B2D"/>
    <w:rsid w:val="00293304"/>
    <w:rsid w:val="00294A94"/>
    <w:rsid w:val="0029588B"/>
    <w:rsid w:val="00296E52"/>
    <w:rsid w:val="002A2E55"/>
    <w:rsid w:val="002A4382"/>
    <w:rsid w:val="002A6575"/>
    <w:rsid w:val="002A676B"/>
    <w:rsid w:val="002B11C5"/>
    <w:rsid w:val="002B1886"/>
    <w:rsid w:val="002B2820"/>
    <w:rsid w:val="002B2CC0"/>
    <w:rsid w:val="002B3A1E"/>
    <w:rsid w:val="002B411A"/>
    <w:rsid w:val="002B4D9D"/>
    <w:rsid w:val="002B51FE"/>
    <w:rsid w:val="002B5C13"/>
    <w:rsid w:val="002B6177"/>
    <w:rsid w:val="002C23B8"/>
    <w:rsid w:val="002C2A3F"/>
    <w:rsid w:val="002C3E25"/>
    <w:rsid w:val="002C40A4"/>
    <w:rsid w:val="002C53C5"/>
    <w:rsid w:val="002D602F"/>
    <w:rsid w:val="002D7FC2"/>
    <w:rsid w:val="002E11F1"/>
    <w:rsid w:val="002E127D"/>
    <w:rsid w:val="002E2555"/>
    <w:rsid w:val="002E3ACA"/>
    <w:rsid w:val="002E60AB"/>
    <w:rsid w:val="002E6B31"/>
    <w:rsid w:val="002F1F97"/>
    <w:rsid w:val="002F22BB"/>
    <w:rsid w:val="002F2C74"/>
    <w:rsid w:val="002F2F09"/>
    <w:rsid w:val="002F3084"/>
    <w:rsid w:val="002F31B7"/>
    <w:rsid w:val="002F3EEA"/>
    <w:rsid w:val="002F4D88"/>
    <w:rsid w:val="002F5B43"/>
    <w:rsid w:val="002F736D"/>
    <w:rsid w:val="003016EE"/>
    <w:rsid w:val="003022ED"/>
    <w:rsid w:val="00302BB3"/>
    <w:rsid w:val="00303657"/>
    <w:rsid w:val="00305A2C"/>
    <w:rsid w:val="00305EB9"/>
    <w:rsid w:val="00306E3C"/>
    <w:rsid w:val="00310BB9"/>
    <w:rsid w:val="00314115"/>
    <w:rsid w:val="0031498E"/>
    <w:rsid w:val="003169FE"/>
    <w:rsid w:val="0031711F"/>
    <w:rsid w:val="00317955"/>
    <w:rsid w:val="0032282F"/>
    <w:rsid w:val="003229CD"/>
    <w:rsid w:val="00322FC5"/>
    <w:rsid w:val="003230B2"/>
    <w:rsid w:val="00323EF0"/>
    <w:rsid w:val="00324DE2"/>
    <w:rsid w:val="00327671"/>
    <w:rsid w:val="003276A0"/>
    <w:rsid w:val="00330684"/>
    <w:rsid w:val="003312C8"/>
    <w:rsid w:val="00331322"/>
    <w:rsid w:val="0033158D"/>
    <w:rsid w:val="003319C1"/>
    <w:rsid w:val="00333100"/>
    <w:rsid w:val="00333852"/>
    <w:rsid w:val="003341D8"/>
    <w:rsid w:val="0033565B"/>
    <w:rsid w:val="00335809"/>
    <w:rsid w:val="00337D3E"/>
    <w:rsid w:val="003400D9"/>
    <w:rsid w:val="00340133"/>
    <w:rsid w:val="00343277"/>
    <w:rsid w:val="003507FE"/>
    <w:rsid w:val="0035126E"/>
    <w:rsid w:val="003520B2"/>
    <w:rsid w:val="003529E4"/>
    <w:rsid w:val="00352CC1"/>
    <w:rsid w:val="00352D8A"/>
    <w:rsid w:val="003560C8"/>
    <w:rsid w:val="0035622A"/>
    <w:rsid w:val="0035766A"/>
    <w:rsid w:val="00357CCC"/>
    <w:rsid w:val="0036115A"/>
    <w:rsid w:val="00361A2A"/>
    <w:rsid w:val="00361C4D"/>
    <w:rsid w:val="003621D2"/>
    <w:rsid w:val="0036255F"/>
    <w:rsid w:val="003631FE"/>
    <w:rsid w:val="00364DB8"/>
    <w:rsid w:val="00365F4C"/>
    <w:rsid w:val="00367511"/>
    <w:rsid w:val="00367A2A"/>
    <w:rsid w:val="0037131D"/>
    <w:rsid w:val="00373663"/>
    <w:rsid w:val="00374916"/>
    <w:rsid w:val="00376DC9"/>
    <w:rsid w:val="00376EFB"/>
    <w:rsid w:val="00377064"/>
    <w:rsid w:val="0037708C"/>
    <w:rsid w:val="003819DB"/>
    <w:rsid w:val="00382EA7"/>
    <w:rsid w:val="003868F2"/>
    <w:rsid w:val="0039260D"/>
    <w:rsid w:val="00392872"/>
    <w:rsid w:val="00392B57"/>
    <w:rsid w:val="003953A1"/>
    <w:rsid w:val="00395447"/>
    <w:rsid w:val="00395DB7"/>
    <w:rsid w:val="00397855"/>
    <w:rsid w:val="003A3115"/>
    <w:rsid w:val="003A4669"/>
    <w:rsid w:val="003A4748"/>
    <w:rsid w:val="003A6AF0"/>
    <w:rsid w:val="003B0C99"/>
    <w:rsid w:val="003B0DAD"/>
    <w:rsid w:val="003B1289"/>
    <w:rsid w:val="003B1E8F"/>
    <w:rsid w:val="003B2B5E"/>
    <w:rsid w:val="003B4013"/>
    <w:rsid w:val="003B568D"/>
    <w:rsid w:val="003B6B6D"/>
    <w:rsid w:val="003B6D47"/>
    <w:rsid w:val="003B7B93"/>
    <w:rsid w:val="003C0E68"/>
    <w:rsid w:val="003C705B"/>
    <w:rsid w:val="003C768C"/>
    <w:rsid w:val="003C7739"/>
    <w:rsid w:val="003D0513"/>
    <w:rsid w:val="003D0562"/>
    <w:rsid w:val="003D0780"/>
    <w:rsid w:val="003D1BF3"/>
    <w:rsid w:val="003D2426"/>
    <w:rsid w:val="003D6DB9"/>
    <w:rsid w:val="003D77FF"/>
    <w:rsid w:val="003E353E"/>
    <w:rsid w:val="003E3D25"/>
    <w:rsid w:val="003E4A3A"/>
    <w:rsid w:val="003E5CD0"/>
    <w:rsid w:val="003E6C0A"/>
    <w:rsid w:val="003E7B36"/>
    <w:rsid w:val="003F0041"/>
    <w:rsid w:val="003F073C"/>
    <w:rsid w:val="003F0CD7"/>
    <w:rsid w:val="003F25DE"/>
    <w:rsid w:val="003F6005"/>
    <w:rsid w:val="003F632A"/>
    <w:rsid w:val="003F672F"/>
    <w:rsid w:val="003F68B8"/>
    <w:rsid w:val="0040043C"/>
    <w:rsid w:val="004009D7"/>
    <w:rsid w:val="0040240C"/>
    <w:rsid w:val="0040314E"/>
    <w:rsid w:val="00403A94"/>
    <w:rsid w:val="00404FFD"/>
    <w:rsid w:val="00405137"/>
    <w:rsid w:val="004067C5"/>
    <w:rsid w:val="004110FB"/>
    <w:rsid w:val="004113E0"/>
    <w:rsid w:val="00413B94"/>
    <w:rsid w:val="00415FA8"/>
    <w:rsid w:val="004161BB"/>
    <w:rsid w:val="00416CF3"/>
    <w:rsid w:val="00420078"/>
    <w:rsid w:val="00420777"/>
    <w:rsid w:val="0042298D"/>
    <w:rsid w:val="00422D2A"/>
    <w:rsid w:val="00422F08"/>
    <w:rsid w:val="004234C1"/>
    <w:rsid w:val="004237FF"/>
    <w:rsid w:val="00423AC0"/>
    <w:rsid w:val="0043041A"/>
    <w:rsid w:val="00430F4A"/>
    <w:rsid w:val="004311D7"/>
    <w:rsid w:val="004317B4"/>
    <w:rsid w:val="004318C3"/>
    <w:rsid w:val="00432308"/>
    <w:rsid w:val="00432FE7"/>
    <w:rsid w:val="00433652"/>
    <w:rsid w:val="00437D8B"/>
    <w:rsid w:val="00441631"/>
    <w:rsid w:val="004462D5"/>
    <w:rsid w:val="004472D2"/>
    <w:rsid w:val="0044755F"/>
    <w:rsid w:val="00447F76"/>
    <w:rsid w:val="00450A7E"/>
    <w:rsid w:val="00451138"/>
    <w:rsid w:val="00451B0E"/>
    <w:rsid w:val="00452793"/>
    <w:rsid w:val="004537F7"/>
    <w:rsid w:val="004571FF"/>
    <w:rsid w:val="00457D45"/>
    <w:rsid w:val="00460850"/>
    <w:rsid w:val="00460B50"/>
    <w:rsid w:val="004644F7"/>
    <w:rsid w:val="00465FF7"/>
    <w:rsid w:val="004678E7"/>
    <w:rsid w:val="004701FA"/>
    <w:rsid w:val="00470968"/>
    <w:rsid w:val="004743ED"/>
    <w:rsid w:val="004758ED"/>
    <w:rsid w:val="0047590B"/>
    <w:rsid w:val="00476FD2"/>
    <w:rsid w:val="004807EC"/>
    <w:rsid w:val="00481573"/>
    <w:rsid w:val="00481650"/>
    <w:rsid w:val="00483E8F"/>
    <w:rsid w:val="00484DD4"/>
    <w:rsid w:val="004853B8"/>
    <w:rsid w:val="00486B5D"/>
    <w:rsid w:val="004900B0"/>
    <w:rsid w:val="00491000"/>
    <w:rsid w:val="00494D63"/>
    <w:rsid w:val="00495FB4"/>
    <w:rsid w:val="00496B1D"/>
    <w:rsid w:val="0049723C"/>
    <w:rsid w:val="004A11C4"/>
    <w:rsid w:val="004A35D1"/>
    <w:rsid w:val="004A5370"/>
    <w:rsid w:val="004A56E0"/>
    <w:rsid w:val="004A5A5B"/>
    <w:rsid w:val="004A6EEA"/>
    <w:rsid w:val="004B0832"/>
    <w:rsid w:val="004B17D0"/>
    <w:rsid w:val="004B2D29"/>
    <w:rsid w:val="004B38D7"/>
    <w:rsid w:val="004B4175"/>
    <w:rsid w:val="004B55CC"/>
    <w:rsid w:val="004C0B04"/>
    <w:rsid w:val="004C0EC7"/>
    <w:rsid w:val="004C181F"/>
    <w:rsid w:val="004C47E5"/>
    <w:rsid w:val="004C5702"/>
    <w:rsid w:val="004C5B32"/>
    <w:rsid w:val="004C70D7"/>
    <w:rsid w:val="004D0CA9"/>
    <w:rsid w:val="004D0D8A"/>
    <w:rsid w:val="004D1C2F"/>
    <w:rsid w:val="004D383A"/>
    <w:rsid w:val="004D3C61"/>
    <w:rsid w:val="004D5DE8"/>
    <w:rsid w:val="004D674C"/>
    <w:rsid w:val="004E04CC"/>
    <w:rsid w:val="004E1E81"/>
    <w:rsid w:val="004E251D"/>
    <w:rsid w:val="004E3D42"/>
    <w:rsid w:val="004E6806"/>
    <w:rsid w:val="004E6E56"/>
    <w:rsid w:val="004E7D12"/>
    <w:rsid w:val="004E7DBF"/>
    <w:rsid w:val="004F0062"/>
    <w:rsid w:val="004F09E5"/>
    <w:rsid w:val="004F0D1D"/>
    <w:rsid w:val="004F25D0"/>
    <w:rsid w:val="004F3A12"/>
    <w:rsid w:val="004F6709"/>
    <w:rsid w:val="004F6DB2"/>
    <w:rsid w:val="004F7CB9"/>
    <w:rsid w:val="00500860"/>
    <w:rsid w:val="00503C76"/>
    <w:rsid w:val="005055FA"/>
    <w:rsid w:val="0050611F"/>
    <w:rsid w:val="00507B9D"/>
    <w:rsid w:val="00510785"/>
    <w:rsid w:val="00512DA3"/>
    <w:rsid w:val="00512DC0"/>
    <w:rsid w:val="0051466C"/>
    <w:rsid w:val="00514F8E"/>
    <w:rsid w:val="005150EB"/>
    <w:rsid w:val="0052000D"/>
    <w:rsid w:val="00520050"/>
    <w:rsid w:val="00520740"/>
    <w:rsid w:val="00522E54"/>
    <w:rsid w:val="005253B0"/>
    <w:rsid w:val="005266BA"/>
    <w:rsid w:val="00527756"/>
    <w:rsid w:val="0053108C"/>
    <w:rsid w:val="00531119"/>
    <w:rsid w:val="0053158C"/>
    <w:rsid w:val="005323BD"/>
    <w:rsid w:val="00532D3E"/>
    <w:rsid w:val="00534D71"/>
    <w:rsid w:val="00535725"/>
    <w:rsid w:val="0053744F"/>
    <w:rsid w:val="00537A27"/>
    <w:rsid w:val="0054092B"/>
    <w:rsid w:val="00542256"/>
    <w:rsid w:val="00542F23"/>
    <w:rsid w:val="00543391"/>
    <w:rsid w:val="0054418B"/>
    <w:rsid w:val="005442AB"/>
    <w:rsid w:val="00544DAE"/>
    <w:rsid w:val="00546A69"/>
    <w:rsid w:val="00547CB9"/>
    <w:rsid w:val="005505DB"/>
    <w:rsid w:val="00552223"/>
    <w:rsid w:val="0055264B"/>
    <w:rsid w:val="005527E5"/>
    <w:rsid w:val="005538F1"/>
    <w:rsid w:val="00554538"/>
    <w:rsid w:val="00554607"/>
    <w:rsid w:val="0055522F"/>
    <w:rsid w:val="0055555F"/>
    <w:rsid w:val="00556106"/>
    <w:rsid w:val="00560882"/>
    <w:rsid w:val="005615F5"/>
    <w:rsid w:val="0056280C"/>
    <w:rsid w:val="0056344A"/>
    <w:rsid w:val="00565DD7"/>
    <w:rsid w:val="005667F3"/>
    <w:rsid w:val="00566AD8"/>
    <w:rsid w:val="00566D86"/>
    <w:rsid w:val="005708EC"/>
    <w:rsid w:val="00571A02"/>
    <w:rsid w:val="005727A9"/>
    <w:rsid w:val="00572DDD"/>
    <w:rsid w:val="0057443A"/>
    <w:rsid w:val="005748BE"/>
    <w:rsid w:val="0058015B"/>
    <w:rsid w:val="005802C7"/>
    <w:rsid w:val="00580F52"/>
    <w:rsid w:val="00581BF5"/>
    <w:rsid w:val="00583333"/>
    <w:rsid w:val="005833D5"/>
    <w:rsid w:val="00586FA3"/>
    <w:rsid w:val="00587A70"/>
    <w:rsid w:val="00591A66"/>
    <w:rsid w:val="00591BAA"/>
    <w:rsid w:val="00593AB5"/>
    <w:rsid w:val="005941C3"/>
    <w:rsid w:val="005942A5"/>
    <w:rsid w:val="00596071"/>
    <w:rsid w:val="0059625E"/>
    <w:rsid w:val="00596F98"/>
    <w:rsid w:val="00597AA5"/>
    <w:rsid w:val="005A2970"/>
    <w:rsid w:val="005A5281"/>
    <w:rsid w:val="005A7A56"/>
    <w:rsid w:val="005B046B"/>
    <w:rsid w:val="005B143A"/>
    <w:rsid w:val="005B1F3C"/>
    <w:rsid w:val="005B4108"/>
    <w:rsid w:val="005B6D9C"/>
    <w:rsid w:val="005B7957"/>
    <w:rsid w:val="005C02C5"/>
    <w:rsid w:val="005C1631"/>
    <w:rsid w:val="005C1792"/>
    <w:rsid w:val="005C19CA"/>
    <w:rsid w:val="005C1B24"/>
    <w:rsid w:val="005C1F08"/>
    <w:rsid w:val="005C2933"/>
    <w:rsid w:val="005C3481"/>
    <w:rsid w:val="005C3B83"/>
    <w:rsid w:val="005C5CBB"/>
    <w:rsid w:val="005C745F"/>
    <w:rsid w:val="005D08DF"/>
    <w:rsid w:val="005D17EC"/>
    <w:rsid w:val="005D3235"/>
    <w:rsid w:val="005D5609"/>
    <w:rsid w:val="005E2002"/>
    <w:rsid w:val="005E3458"/>
    <w:rsid w:val="005F0AB7"/>
    <w:rsid w:val="005F1CE5"/>
    <w:rsid w:val="005F3F8A"/>
    <w:rsid w:val="005F470B"/>
    <w:rsid w:val="005F5790"/>
    <w:rsid w:val="005F65E7"/>
    <w:rsid w:val="00600EFC"/>
    <w:rsid w:val="00601DA4"/>
    <w:rsid w:val="00602AF9"/>
    <w:rsid w:val="00602DC6"/>
    <w:rsid w:val="00604932"/>
    <w:rsid w:val="006049E2"/>
    <w:rsid w:val="0060508F"/>
    <w:rsid w:val="006055AC"/>
    <w:rsid w:val="00605D1E"/>
    <w:rsid w:val="00606A68"/>
    <w:rsid w:val="0061237E"/>
    <w:rsid w:val="006154CE"/>
    <w:rsid w:val="006157E6"/>
    <w:rsid w:val="006157F0"/>
    <w:rsid w:val="00616586"/>
    <w:rsid w:val="00621885"/>
    <w:rsid w:val="00622293"/>
    <w:rsid w:val="0062473E"/>
    <w:rsid w:val="006257A1"/>
    <w:rsid w:val="006264D8"/>
    <w:rsid w:val="00632DDF"/>
    <w:rsid w:val="006340E9"/>
    <w:rsid w:val="00634412"/>
    <w:rsid w:val="00634D0F"/>
    <w:rsid w:val="00634F79"/>
    <w:rsid w:val="006350A9"/>
    <w:rsid w:val="00636CD9"/>
    <w:rsid w:val="00636F44"/>
    <w:rsid w:val="0063713F"/>
    <w:rsid w:val="0063770A"/>
    <w:rsid w:val="00637AA2"/>
    <w:rsid w:val="00641DCE"/>
    <w:rsid w:val="00643A01"/>
    <w:rsid w:val="00646DB4"/>
    <w:rsid w:val="00647186"/>
    <w:rsid w:val="00647A9C"/>
    <w:rsid w:val="00647E93"/>
    <w:rsid w:val="00651144"/>
    <w:rsid w:val="006538F5"/>
    <w:rsid w:val="00653AE9"/>
    <w:rsid w:val="00654252"/>
    <w:rsid w:val="006559FA"/>
    <w:rsid w:val="00655D14"/>
    <w:rsid w:val="00661853"/>
    <w:rsid w:val="0066373F"/>
    <w:rsid w:val="0066454B"/>
    <w:rsid w:val="00664908"/>
    <w:rsid w:val="0066575E"/>
    <w:rsid w:val="00665A2F"/>
    <w:rsid w:val="00665BE7"/>
    <w:rsid w:val="00667BAA"/>
    <w:rsid w:val="006721EF"/>
    <w:rsid w:val="00672E88"/>
    <w:rsid w:val="00673965"/>
    <w:rsid w:val="0067621F"/>
    <w:rsid w:val="00677A83"/>
    <w:rsid w:val="0068056B"/>
    <w:rsid w:val="00680712"/>
    <w:rsid w:val="006809BD"/>
    <w:rsid w:val="0068175E"/>
    <w:rsid w:val="00681AE8"/>
    <w:rsid w:val="006837AE"/>
    <w:rsid w:val="0068644F"/>
    <w:rsid w:val="006914AC"/>
    <w:rsid w:val="00694852"/>
    <w:rsid w:val="00695156"/>
    <w:rsid w:val="0069620F"/>
    <w:rsid w:val="006A1572"/>
    <w:rsid w:val="006A4A1B"/>
    <w:rsid w:val="006A607E"/>
    <w:rsid w:val="006A67B1"/>
    <w:rsid w:val="006A6FD0"/>
    <w:rsid w:val="006A700F"/>
    <w:rsid w:val="006B064F"/>
    <w:rsid w:val="006B0A77"/>
    <w:rsid w:val="006B1DAF"/>
    <w:rsid w:val="006B2137"/>
    <w:rsid w:val="006B21B7"/>
    <w:rsid w:val="006B2903"/>
    <w:rsid w:val="006B7730"/>
    <w:rsid w:val="006C00E5"/>
    <w:rsid w:val="006C0AD7"/>
    <w:rsid w:val="006C1354"/>
    <w:rsid w:val="006C1371"/>
    <w:rsid w:val="006C13F3"/>
    <w:rsid w:val="006C24DF"/>
    <w:rsid w:val="006C2732"/>
    <w:rsid w:val="006C2931"/>
    <w:rsid w:val="006C333E"/>
    <w:rsid w:val="006C3819"/>
    <w:rsid w:val="006C3C66"/>
    <w:rsid w:val="006C4E6B"/>
    <w:rsid w:val="006C67FC"/>
    <w:rsid w:val="006C7077"/>
    <w:rsid w:val="006D17B9"/>
    <w:rsid w:val="006D200B"/>
    <w:rsid w:val="006D2CAA"/>
    <w:rsid w:val="006D2F3E"/>
    <w:rsid w:val="006D75EE"/>
    <w:rsid w:val="006D7F0C"/>
    <w:rsid w:val="006E396A"/>
    <w:rsid w:val="006E3E64"/>
    <w:rsid w:val="006E6384"/>
    <w:rsid w:val="006F0B33"/>
    <w:rsid w:val="006F3D5F"/>
    <w:rsid w:val="006F4E9A"/>
    <w:rsid w:val="006F608E"/>
    <w:rsid w:val="006F6655"/>
    <w:rsid w:val="006F6AFE"/>
    <w:rsid w:val="00700E21"/>
    <w:rsid w:val="00702F66"/>
    <w:rsid w:val="0070360C"/>
    <w:rsid w:val="007040E7"/>
    <w:rsid w:val="00704DEF"/>
    <w:rsid w:val="00704ED6"/>
    <w:rsid w:val="00705250"/>
    <w:rsid w:val="007052F4"/>
    <w:rsid w:val="00705371"/>
    <w:rsid w:val="007055E0"/>
    <w:rsid w:val="0070705C"/>
    <w:rsid w:val="00710A3C"/>
    <w:rsid w:val="00711BBA"/>
    <w:rsid w:val="00712042"/>
    <w:rsid w:val="007125F7"/>
    <w:rsid w:val="0071284F"/>
    <w:rsid w:val="0071292E"/>
    <w:rsid w:val="00714A45"/>
    <w:rsid w:val="00715D98"/>
    <w:rsid w:val="007161F1"/>
    <w:rsid w:val="0071658F"/>
    <w:rsid w:val="00720008"/>
    <w:rsid w:val="00720673"/>
    <w:rsid w:val="007215A0"/>
    <w:rsid w:val="00722DA5"/>
    <w:rsid w:val="007239E9"/>
    <w:rsid w:val="00724DC0"/>
    <w:rsid w:val="0072651D"/>
    <w:rsid w:val="007267F3"/>
    <w:rsid w:val="00726C54"/>
    <w:rsid w:val="00727990"/>
    <w:rsid w:val="0073038D"/>
    <w:rsid w:val="00736638"/>
    <w:rsid w:val="00736874"/>
    <w:rsid w:val="00737621"/>
    <w:rsid w:val="007403EA"/>
    <w:rsid w:val="00741571"/>
    <w:rsid w:val="00742007"/>
    <w:rsid w:val="00742D07"/>
    <w:rsid w:val="00743A50"/>
    <w:rsid w:val="00744328"/>
    <w:rsid w:val="007443F9"/>
    <w:rsid w:val="00745F55"/>
    <w:rsid w:val="00746326"/>
    <w:rsid w:val="00746F8F"/>
    <w:rsid w:val="00747035"/>
    <w:rsid w:val="00747B5B"/>
    <w:rsid w:val="00747EF4"/>
    <w:rsid w:val="00750746"/>
    <w:rsid w:val="00750BFA"/>
    <w:rsid w:val="00750D45"/>
    <w:rsid w:val="00750E3E"/>
    <w:rsid w:val="00751382"/>
    <w:rsid w:val="00752B79"/>
    <w:rsid w:val="007533AE"/>
    <w:rsid w:val="00753833"/>
    <w:rsid w:val="00753A6F"/>
    <w:rsid w:val="00753BA6"/>
    <w:rsid w:val="00754361"/>
    <w:rsid w:val="0075535E"/>
    <w:rsid w:val="00756ADD"/>
    <w:rsid w:val="00757A88"/>
    <w:rsid w:val="0076215E"/>
    <w:rsid w:val="00762B04"/>
    <w:rsid w:val="00763783"/>
    <w:rsid w:val="00764347"/>
    <w:rsid w:val="00765AE1"/>
    <w:rsid w:val="007679D8"/>
    <w:rsid w:val="00770E2B"/>
    <w:rsid w:val="00770E7C"/>
    <w:rsid w:val="007723C6"/>
    <w:rsid w:val="007752DE"/>
    <w:rsid w:val="007806DB"/>
    <w:rsid w:val="007813B2"/>
    <w:rsid w:val="00781E57"/>
    <w:rsid w:val="00782C95"/>
    <w:rsid w:val="00782D24"/>
    <w:rsid w:val="00782FD2"/>
    <w:rsid w:val="00784C71"/>
    <w:rsid w:val="00784F3E"/>
    <w:rsid w:val="00785F57"/>
    <w:rsid w:val="00787707"/>
    <w:rsid w:val="007905E7"/>
    <w:rsid w:val="00791C43"/>
    <w:rsid w:val="007927B4"/>
    <w:rsid w:val="007927B7"/>
    <w:rsid w:val="00792851"/>
    <w:rsid w:val="00792C3F"/>
    <w:rsid w:val="00792C8B"/>
    <w:rsid w:val="00794410"/>
    <w:rsid w:val="00795698"/>
    <w:rsid w:val="0079627C"/>
    <w:rsid w:val="007A124A"/>
    <w:rsid w:val="007A247F"/>
    <w:rsid w:val="007A34DC"/>
    <w:rsid w:val="007A3C12"/>
    <w:rsid w:val="007A3E03"/>
    <w:rsid w:val="007A3F74"/>
    <w:rsid w:val="007A42DE"/>
    <w:rsid w:val="007A4C22"/>
    <w:rsid w:val="007A61F2"/>
    <w:rsid w:val="007A629E"/>
    <w:rsid w:val="007A6F62"/>
    <w:rsid w:val="007A702F"/>
    <w:rsid w:val="007A76EE"/>
    <w:rsid w:val="007A7837"/>
    <w:rsid w:val="007B044D"/>
    <w:rsid w:val="007B1780"/>
    <w:rsid w:val="007B1F8A"/>
    <w:rsid w:val="007B284E"/>
    <w:rsid w:val="007B3049"/>
    <w:rsid w:val="007B3105"/>
    <w:rsid w:val="007B3598"/>
    <w:rsid w:val="007B3FFA"/>
    <w:rsid w:val="007B45D2"/>
    <w:rsid w:val="007B4B49"/>
    <w:rsid w:val="007B5CD4"/>
    <w:rsid w:val="007B7B8D"/>
    <w:rsid w:val="007C181C"/>
    <w:rsid w:val="007C43D6"/>
    <w:rsid w:val="007C677A"/>
    <w:rsid w:val="007C6CD6"/>
    <w:rsid w:val="007C7D77"/>
    <w:rsid w:val="007D0719"/>
    <w:rsid w:val="007D1087"/>
    <w:rsid w:val="007D24C5"/>
    <w:rsid w:val="007D73DA"/>
    <w:rsid w:val="007D7933"/>
    <w:rsid w:val="007D7966"/>
    <w:rsid w:val="007D7FC4"/>
    <w:rsid w:val="007E084F"/>
    <w:rsid w:val="007E256D"/>
    <w:rsid w:val="007E2BCB"/>
    <w:rsid w:val="007E4A24"/>
    <w:rsid w:val="007E501A"/>
    <w:rsid w:val="007E57B8"/>
    <w:rsid w:val="007E5808"/>
    <w:rsid w:val="007E6F80"/>
    <w:rsid w:val="007E72CE"/>
    <w:rsid w:val="007F11B0"/>
    <w:rsid w:val="007F20CB"/>
    <w:rsid w:val="007F514B"/>
    <w:rsid w:val="007F6FD4"/>
    <w:rsid w:val="008006BA"/>
    <w:rsid w:val="00800E1E"/>
    <w:rsid w:val="00801E81"/>
    <w:rsid w:val="00802019"/>
    <w:rsid w:val="00802392"/>
    <w:rsid w:val="00805240"/>
    <w:rsid w:val="008052CC"/>
    <w:rsid w:val="0080724B"/>
    <w:rsid w:val="008073A5"/>
    <w:rsid w:val="00810928"/>
    <w:rsid w:val="00811B39"/>
    <w:rsid w:val="00813050"/>
    <w:rsid w:val="008130DA"/>
    <w:rsid w:val="0081361A"/>
    <w:rsid w:val="00813F82"/>
    <w:rsid w:val="008169C4"/>
    <w:rsid w:val="008177CF"/>
    <w:rsid w:val="00820BA0"/>
    <w:rsid w:val="00823365"/>
    <w:rsid w:val="008235DB"/>
    <w:rsid w:val="00824C5A"/>
    <w:rsid w:val="00826C24"/>
    <w:rsid w:val="008276B8"/>
    <w:rsid w:val="00827B8F"/>
    <w:rsid w:val="00827EB6"/>
    <w:rsid w:val="00830134"/>
    <w:rsid w:val="0083021C"/>
    <w:rsid w:val="008305F8"/>
    <w:rsid w:val="008311E5"/>
    <w:rsid w:val="008318A1"/>
    <w:rsid w:val="00833705"/>
    <w:rsid w:val="00833D17"/>
    <w:rsid w:val="00833DBA"/>
    <w:rsid w:val="00837092"/>
    <w:rsid w:val="0083739A"/>
    <w:rsid w:val="00844882"/>
    <w:rsid w:val="0084507A"/>
    <w:rsid w:val="00845742"/>
    <w:rsid w:val="00845830"/>
    <w:rsid w:val="00846669"/>
    <w:rsid w:val="008475AC"/>
    <w:rsid w:val="008513B8"/>
    <w:rsid w:val="008525F3"/>
    <w:rsid w:val="00853AB4"/>
    <w:rsid w:val="0085407A"/>
    <w:rsid w:val="00854923"/>
    <w:rsid w:val="008551FE"/>
    <w:rsid w:val="008552BE"/>
    <w:rsid w:val="00856083"/>
    <w:rsid w:val="00857667"/>
    <w:rsid w:val="00857B20"/>
    <w:rsid w:val="00857BAE"/>
    <w:rsid w:val="00862133"/>
    <w:rsid w:val="00863482"/>
    <w:rsid w:val="008667B8"/>
    <w:rsid w:val="00867751"/>
    <w:rsid w:val="00867EC8"/>
    <w:rsid w:val="008703E9"/>
    <w:rsid w:val="00874268"/>
    <w:rsid w:val="00875222"/>
    <w:rsid w:val="00880E0E"/>
    <w:rsid w:val="00882BE9"/>
    <w:rsid w:val="0088612F"/>
    <w:rsid w:val="00887173"/>
    <w:rsid w:val="00890E12"/>
    <w:rsid w:val="00891B88"/>
    <w:rsid w:val="008930BB"/>
    <w:rsid w:val="00895C95"/>
    <w:rsid w:val="00896FB6"/>
    <w:rsid w:val="008A063C"/>
    <w:rsid w:val="008A1110"/>
    <w:rsid w:val="008A22E4"/>
    <w:rsid w:val="008A2A83"/>
    <w:rsid w:val="008A2E5C"/>
    <w:rsid w:val="008A2E83"/>
    <w:rsid w:val="008A33F3"/>
    <w:rsid w:val="008A4A5D"/>
    <w:rsid w:val="008A67D7"/>
    <w:rsid w:val="008A7B4D"/>
    <w:rsid w:val="008B08B7"/>
    <w:rsid w:val="008B1376"/>
    <w:rsid w:val="008B16E6"/>
    <w:rsid w:val="008B2397"/>
    <w:rsid w:val="008B2A4D"/>
    <w:rsid w:val="008B34B5"/>
    <w:rsid w:val="008B37B5"/>
    <w:rsid w:val="008B4093"/>
    <w:rsid w:val="008B4884"/>
    <w:rsid w:val="008B5D0A"/>
    <w:rsid w:val="008B72D6"/>
    <w:rsid w:val="008C45F0"/>
    <w:rsid w:val="008C4CAC"/>
    <w:rsid w:val="008C644B"/>
    <w:rsid w:val="008C6C4B"/>
    <w:rsid w:val="008C6EEE"/>
    <w:rsid w:val="008C7644"/>
    <w:rsid w:val="008C7680"/>
    <w:rsid w:val="008D268C"/>
    <w:rsid w:val="008D3A66"/>
    <w:rsid w:val="008D3F39"/>
    <w:rsid w:val="008D4E71"/>
    <w:rsid w:val="008D5668"/>
    <w:rsid w:val="008D5D75"/>
    <w:rsid w:val="008D62DE"/>
    <w:rsid w:val="008D7487"/>
    <w:rsid w:val="008E01CB"/>
    <w:rsid w:val="008E0766"/>
    <w:rsid w:val="008E0DC6"/>
    <w:rsid w:val="008E1973"/>
    <w:rsid w:val="008E1CE0"/>
    <w:rsid w:val="008E2E82"/>
    <w:rsid w:val="008E2F9F"/>
    <w:rsid w:val="008E335E"/>
    <w:rsid w:val="008E4852"/>
    <w:rsid w:val="008E783E"/>
    <w:rsid w:val="008F0A73"/>
    <w:rsid w:val="008F0C40"/>
    <w:rsid w:val="008F43F7"/>
    <w:rsid w:val="008F55A9"/>
    <w:rsid w:val="008F5DE1"/>
    <w:rsid w:val="008F6094"/>
    <w:rsid w:val="008F7382"/>
    <w:rsid w:val="008F771E"/>
    <w:rsid w:val="008F7B5F"/>
    <w:rsid w:val="009009CB"/>
    <w:rsid w:val="009020A1"/>
    <w:rsid w:val="00902BC3"/>
    <w:rsid w:val="00903C9B"/>
    <w:rsid w:val="009057F1"/>
    <w:rsid w:val="00906938"/>
    <w:rsid w:val="00906E05"/>
    <w:rsid w:val="00907B8A"/>
    <w:rsid w:val="00911381"/>
    <w:rsid w:val="00914330"/>
    <w:rsid w:val="00915E85"/>
    <w:rsid w:val="0091665B"/>
    <w:rsid w:val="00916F9A"/>
    <w:rsid w:val="00917426"/>
    <w:rsid w:val="009203A7"/>
    <w:rsid w:val="00926555"/>
    <w:rsid w:val="00926E66"/>
    <w:rsid w:val="00927D90"/>
    <w:rsid w:val="00927F71"/>
    <w:rsid w:val="00927F79"/>
    <w:rsid w:val="0093005A"/>
    <w:rsid w:val="00930953"/>
    <w:rsid w:val="00932A10"/>
    <w:rsid w:val="00933B6A"/>
    <w:rsid w:val="00933BB6"/>
    <w:rsid w:val="00933EC6"/>
    <w:rsid w:val="00936CCE"/>
    <w:rsid w:val="009401F7"/>
    <w:rsid w:val="00940BFB"/>
    <w:rsid w:val="00941EF7"/>
    <w:rsid w:val="00942564"/>
    <w:rsid w:val="00944704"/>
    <w:rsid w:val="00944925"/>
    <w:rsid w:val="009451F2"/>
    <w:rsid w:val="0094714F"/>
    <w:rsid w:val="00947B26"/>
    <w:rsid w:val="00952543"/>
    <w:rsid w:val="009538B9"/>
    <w:rsid w:val="00956128"/>
    <w:rsid w:val="009571B2"/>
    <w:rsid w:val="00957709"/>
    <w:rsid w:val="00957C03"/>
    <w:rsid w:val="00960C8B"/>
    <w:rsid w:val="00962427"/>
    <w:rsid w:val="00962D5D"/>
    <w:rsid w:val="00962EB8"/>
    <w:rsid w:val="0096329E"/>
    <w:rsid w:val="00963B0A"/>
    <w:rsid w:val="00963DAA"/>
    <w:rsid w:val="00963F18"/>
    <w:rsid w:val="0096439F"/>
    <w:rsid w:val="009655EF"/>
    <w:rsid w:val="00965B6E"/>
    <w:rsid w:val="00966A4C"/>
    <w:rsid w:val="00970A9B"/>
    <w:rsid w:val="00970C0A"/>
    <w:rsid w:val="00973771"/>
    <w:rsid w:val="0097422A"/>
    <w:rsid w:val="009745D4"/>
    <w:rsid w:val="009745DA"/>
    <w:rsid w:val="0097494B"/>
    <w:rsid w:val="009755B9"/>
    <w:rsid w:val="00977FB0"/>
    <w:rsid w:val="00980EF4"/>
    <w:rsid w:val="00982B3A"/>
    <w:rsid w:val="00985817"/>
    <w:rsid w:val="00986672"/>
    <w:rsid w:val="00987D47"/>
    <w:rsid w:val="0099215C"/>
    <w:rsid w:val="00992665"/>
    <w:rsid w:val="009A004F"/>
    <w:rsid w:val="009A069B"/>
    <w:rsid w:val="009A1B41"/>
    <w:rsid w:val="009A3345"/>
    <w:rsid w:val="009A33CA"/>
    <w:rsid w:val="009A6ED5"/>
    <w:rsid w:val="009B0A42"/>
    <w:rsid w:val="009B0B07"/>
    <w:rsid w:val="009B1B25"/>
    <w:rsid w:val="009B1FF7"/>
    <w:rsid w:val="009B3A53"/>
    <w:rsid w:val="009B4712"/>
    <w:rsid w:val="009B5658"/>
    <w:rsid w:val="009B656C"/>
    <w:rsid w:val="009B7D9E"/>
    <w:rsid w:val="009B7FAC"/>
    <w:rsid w:val="009C0B67"/>
    <w:rsid w:val="009C112D"/>
    <w:rsid w:val="009C2D93"/>
    <w:rsid w:val="009C362E"/>
    <w:rsid w:val="009C3694"/>
    <w:rsid w:val="009C3F9C"/>
    <w:rsid w:val="009C48E0"/>
    <w:rsid w:val="009C5943"/>
    <w:rsid w:val="009C6290"/>
    <w:rsid w:val="009C78F4"/>
    <w:rsid w:val="009C7B03"/>
    <w:rsid w:val="009C7C83"/>
    <w:rsid w:val="009C7E64"/>
    <w:rsid w:val="009D0AC6"/>
    <w:rsid w:val="009D0C9E"/>
    <w:rsid w:val="009D1C94"/>
    <w:rsid w:val="009D2E1F"/>
    <w:rsid w:val="009D4168"/>
    <w:rsid w:val="009D44FD"/>
    <w:rsid w:val="009D7197"/>
    <w:rsid w:val="009E1080"/>
    <w:rsid w:val="009E14EA"/>
    <w:rsid w:val="009E1CE9"/>
    <w:rsid w:val="009E304F"/>
    <w:rsid w:val="009E45A7"/>
    <w:rsid w:val="009E62DF"/>
    <w:rsid w:val="009F0052"/>
    <w:rsid w:val="009F04D5"/>
    <w:rsid w:val="009F061E"/>
    <w:rsid w:val="009F15D2"/>
    <w:rsid w:val="009F1628"/>
    <w:rsid w:val="009F445A"/>
    <w:rsid w:val="009F5DB2"/>
    <w:rsid w:val="009F6C9E"/>
    <w:rsid w:val="00A007B3"/>
    <w:rsid w:val="00A01609"/>
    <w:rsid w:val="00A01695"/>
    <w:rsid w:val="00A03C3F"/>
    <w:rsid w:val="00A06478"/>
    <w:rsid w:val="00A1057B"/>
    <w:rsid w:val="00A10A25"/>
    <w:rsid w:val="00A117AA"/>
    <w:rsid w:val="00A11F7D"/>
    <w:rsid w:val="00A13097"/>
    <w:rsid w:val="00A14348"/>
    <w:rsid w:val="00A153B5"/>
    <w:rsid w:val="00A16C04"/>
    <w:rsid w:val="00A227CD"/>
    <w:rsid w:val="00A23E3B"/>
    <w:rsid w:val="00A240F6"/>
    <w:rsid w:val="00A2502E"/>
    <w:rsid w:val="00A25E20"/>
    <w:rsid w:val="00A2658A"/>
    <w:rsid w:val="00A26D04"/>
    <w:rsid w:val="00A27AE6"/>
    <w:rsid w:val="00A31D81"/>
    <w:rsid w:val="00A320FD"/>
    <w:rsid w:val="00A325CE"/>
    <w:rsid w:val="00A329E9"/>
    <w:rsid w:val="00A339B4"/>
    <w:rsid w:val="00A34D7E"/>
    <w:rsid w:val="00A361AA"/>
    <w:rsid w:val="00A368D0"/>
    <w:rsid w:val="00A40E6A"/>
    <w:rsid w:val="00A41760"/>
    <w:rsid w:val="00A43C78"/>
    <w:rsid w:val="00A4478E"/>
    <w:rsid w:val="00A45518"/>
    <w:rsid w:val="00A46ACE"/>
    <w:rsid w:val="00A51CDB"/>
    <w:rsid w:val="00A54693"/>
    <w:rsid w:val="00A560CF"/>
    <w:rsid w:val="00A60054"/>
    <w:rsid w:val="00A616BA"/>
    <w:rsid w:val="00A616F4"/>
    <w:rsid w:val="00A621B9"/>
    <w:rsid w:val="00A62951"/>
    <w:rsid w:val="00A63763"/>
    <w:rsid w:val="00A63A09"/>
    <w:rsid w:val="00A63E7D"/>
    <w:rsid w:val="00A66176"/>
    <w:rsid w:val="00A66970"/>
    <w:rsid w:val="00A66C6B"/>
    <w:rsid w:val="00A676B2"/>
    <w:rsid w:val="00A71911"/>
    <w:rsid w:val="00A71C4A"/>
    <w:rsid w:val="00A73182"/>
    <w:rsid w:val="00A73B7B"/>
    <w:rsid w:val="00A73E7A"/>
    <w:rsid w:val="00A741C2"/>
    <w:rsid w:val="00A74239"/>
    <w:rsid w:val="00A74661"/>
    <w:rsid w:val="00A7589A"/>
    <w:rsid w:val="00A7592B"/>
    <w:rsid w:val="00A76F90"/>
    <w:rsid w:val="00A77954"/>
    <w:rsid w:val="00A81B55"/>
    <w:rsid w:val="00A8235B"/>
    <w:rsid w:val="00A82A92"/>
    <w:rsid w:val="00A83A84"/>
    <w:rsid w:val="00A84528"/>
    <w:rsid w:val="00A8551C"/>
    <w:rsid w:val="00A85B61"/>
    <w:rsid w:val="00A85ED9"/>
    <w:rsid w:val="00A867F2"/>
    <w:rsid w:val="00A90553"/>
    <w:rsid w:val="00A91F9B"/>
    <w:rsid w:val="00A927FD"/>
    <w:rsid w:val="00A9322D"/>
    <w:rsid w:val="00A9372C"/>
    <w:rsid w:val="00A9449B"/>
    <w:rsid w:val="00AA0297"/>
    <w:rsid w:val="00AA1058"/>
    <w:rsid w:val="00AA130F"/>
    <w:rsid w:val="00AA44BD"/>
    <w:rsid w:val="00AA526B"/>
    <w:rsid w:val="00AA588D"/>
    <w:rsid w:val="00AA5E1D"/>
    <w:rsid w:val="00AB118A"/>
    <w:rsid w:val="00AB38D4"/>
    <w:rsid w:val="00AB3F19"/>
    <w:rsid w:val="00AB528C"/>
    <w:rsid w:val="00AB681C"/>
    <w:rsid w:val="00AB7D4F"/>
    <w:rsid w:val="00AC1F31"/>
    <w:rsid w:val="00AC24B1"/>
    <w:rsid w:val="00AC4A5F"/>
    <w:rsid w:val="00AD0E7B"/>
    <w:rsid w:val="00AD1353"/>
    <w:rsid w:val="00AD1B08"/>
    <w:rsid w:val="00AD1D40"/>
    <w:rsid w:val="00AD2379"/>
    <w:rsid w:val="00AD298B"/>
    <w:rsid w:val="00AD2F18"/>
    <w:rsid w:val="00AD3FE7"/>
    <w:rsid w:val="00AD44C2"/>
    <w:rsid w:val="00AD53F9"/>
    <w:rsid w:val="00AD6B0D"/>
    <w:rsid w:val="00AD767D"/>
    <w:rsid w:val="00AE0CD4"/>
    <w:rsid w:val="00AE2816"/>
    <w:rsid w:val="00AE2F3A"/>
    <w:rsid w:val="00AE313C"/>
    <w:rsid w:val="00AE333D"/>
    <w:rsid w:val="00AE3392"/>
    <w:rsid w:val="00AE46A6"/>
    <w:rsid w:val="00AE49AE"/>
    <w:rsid w:val="00AE7CC0"/>
    <w:rsid w:val="00AF1925"/>
    <w:rsid w:val="00AF1C5C"/>
    <w:rsid w:val="00AF368C"/>
    <w:rsid w:val="00AF37DA"/>
    <w:rsid w:val="00AF3CD8"/>
    <w:rsid w:val="00AF42CD"/>
    <w:rsid w:val="00AF5160"/>
    <w:rsid w:val="00AF529F"/>
    <w:rsid w:val="00AF6015"/>
    <w:rsid w:val="00B00BE3"/>
    <w:rsid w:val="00B022F6"/>
    <w:rsid w:val="00B027EC"/>
    <w:rsid w:val="00B0284D"/>
    <w:rsid w:val="00B03134"/>
    <w:rsid w:val="00B055B6"/>
    <w:rsid w:val="00B068F1"/>
    <w:rsid w:val="00B105CF"/>
    <w:rsid w:val="00B10680"/>
    <w:rsid w:val="00B10CD9"/>
    <w:rsid w:val="00B10F1E"/>
    <w:rsid w:val="00B11243"/>
    <w:rsid w:val="00B11B70"/>
    <w:rsid w:val="00B128D2"/>
    <w:rsid w:val="00B13A7F"/>
    <w:rsid w:val="00B13F2E"/>
    <w:rsid w:val="00B14668"/>
    <w:rsid w:val="00B148F2"/>
    <w:rsid w:val="00B1605A"/>
    <w:rsid w:val="00B16284"/>
    <w:rsid w:val="00B164C7"/>
    <w:rsid w:val="00B1666A"/>
    <w:rsid w:val="00B21752"/>
    <w:rsid w:val="00B217E0"/>
    <w:rsid w:val="00B21ECD"/>
    <w:rsid w:val="00B22F86"/>
    <w:rsid w:val="00B23335"/>
    <w:rsid w:val="00B30299"/>
    <w:rsid w:val="00B30EE0"/>
    <w:rsid w:val="00B337FA"/>
    <w:rsid w:val="00B3478D"/>
    <w:rsid w:val="00B34B23"/>
    <w:rsid w:val="00B34CB3"/>
    <w:rsid w:val="00B35A47"/>
    <w:rsid w:val="00B35E6F"/>
    <w:rsid w:val="00B36D3A"/>
    <w:rsid w:val="00B373E7"/>
    <w:rsid w:val="00B37BAE"/>
    <w:rsid w:val="00B41042"/>
    <w:rsid w:val="00B432BA"/>
    <w:rsid w:val="00B43705"/>
    <w:rsid w:val="00B43CE4"/>
    <w:rsid w:val="00B44745"/>
    <w:rsid w:val="00B456A9"/>
    <w:rsid w:val="00B45DD1"/>
    <w:rsid w:val="00B45E0F"/>
    <w:rsid w:val="00B46AB9"/>
    <w:rsid w:val="00B50701"/>
    <w:rsid w:val="00B51ADD"/>
    <w:rsid w:val="00B5579D"/>
    <w:rsid w:val="00B561C4"/>
    <w:rsid w:val="00B57D1A"/>
    <w:rsid w:val="00B62398"/>
    <w:rsid w:val="00B63216"/>
    <w:rsid w:val="00B6514A"/>
    <w:rsid w:val="00B67640"/>
    <w:rsid w:val="00B70DA9"/>
    <w:rsid w:val="00B72241"/>
    <w:rsid w:val="00B7360C"/>
    <w:rsid w:val="00B75018"/>
    <w:rsid w:val="00B751CC"/>
    <w:rsid w:val="00B7533E"/>
    <w:rsid w:val="00B7761A"/>
    <w:rsid w:val="00B77F7A"/>
    <w:rsid w:val="00B811E8"/>
    <w:rsid w:val="00B812BC"/>
    <w:rsid w:val="00B84E87"/>
    <w:rsid w:val="00B85D95"/>
    <w:rsid w:val="00B871E3"/>
    <w:rsid w:val="00B87681"/>
    <w:rsid w:val="00B91D31"/>
    <w:rsid w:val="00B920E0"/>
    <w:rsid w:val="00B92C52"/>
    <w:rsid w:val="00B93D00"/>
    <w:rsid w:val="00B95121"/>
    <w:rsid w:val="00B95135"/>
    <w:rsid w:val="00B95536"/>
    <w:rsid w:val="00B95A27"/>
    <w:rsid w:val="00B96E6E"/>
    <w:rsid w:val="00B97153"/>
    <w:rsid w:val="00BA0703"/>
    <w:rsid w:val="00BA107B"/>
    <w:rsid w:val="00BA1F1F"/>
    <w:rsid w:val="00BA2179"/>
    <w:rsid w:val="00BA3572"/>
    <w:rsid w:val="00BA712A"/>
    <w:rsid w:val="00BB1B44"/>
    <w:rsid w:val="00BB2008"/>
    <w:rsid w:val="00BB2862"/>
    <w:rsid w:val="00BB2C9E"/>
    <w:rsid w:val="00BB3660"/>
    <w:rsid w:val="00BB79C4"/>
    <w:rsid w:val="00BC03DB"/>
    <w:rsid w:val="00BC27DC"/>
    <w:rsid w:val="00BC47FF"/>
    <w:rsid w:val="00BC4B2D"/>
    <w:rsid w:val="00BC5564"/>
    <w:rsid w:val="00BC67B8"/>
    <w:rsid w:val="00BC702D"/>
    <w:rsid w:val="00BC7918"/>
    <w:rsid w:val="00BD0620"/>
    <w:rsid w:val="00BD11A4"/>
    <w:rsid w:val="00BD1718"/>
    <w:rsid w:val="00BD1CDD"/>
    <w:rsid w:val="00BD226F"/>
    <w:rsid w:val="00BD2578"/>
    <w:rsid w:val="00BD3A8E"/>
    <w:rsid w:val="00BD7461"/>
    <w:rsid w:val="00BE0772"/>
    <w:rsid w:val="00BE0DC6"/>
    <w:rsid w:val="00BE14DB"/>
    <w:rsid w:val="00BE1A3E"/>
    <w:rsid w:val="00BE2648"/>
    <w:rsid w:val="00BE5DB0"/>
    <w:rsid w:val="00BE5F61"/>
    <w:rsid w:val="00BE632E"/>
    <w:rsid w:val="00BE6D4A"/>
    <w:rsid w:val="00BE7B5C"/>
    <w:rsid w:val="00BF14D9"/>
    <w:rsid w:val="00BF1C0F"/>
    <w:rsid w:val="00BF2C4F"/>
    <w:rsid w:val="00BF2D78"/>
    <w:rsid w:val="00BF4845"/>
    <w:rsid w:val="00BF4EEF"/>
    <w:rsid w:val="00BF7022"/>
    <w:rsid w:val="00BF739B"/>
    <w:rsid w:val="00BF7B4C"/>
    <w:rsid w:val="00C01DC0"/>
    <w:rsid w:val="00C037B4"/>
    <w:rsid w:val="00C03B94"/>
    <w:rsid w:val="00C04999"/>
    <w:rsid w:val="00C05003"/>
    <w:rsid w:val="00C05593"/>
    <w:rsid w:val="00C0609F"/>
    <w:rsid w:val="00C069A8"/>
    <w:rsid w:val="00C070F0"/>
    <w:rsid w:val="00C07960"/>
    <w:rsid w:val="00C104D0"/>
    <w:rsid w:val="00C108DD"/>
    <w:rsid w:val="00C12723"/>
    <w:rsid w:val="00C1279B"/>
    <w:rsid w:val="00C127D8"/>
    <w:rsid w:val="00C13E91"/>
    <w:rsid w:val="00C13E95"/>
    <w:rsid w:val="00C1471E"/>
    <w:rsid w:val="00C16209"/>
    <w:rsid w:val="00C219F0"/>
    <w:rsid w:val="00C23136"/>
    <w:rsid w:val="00C232CA"/>
    <w:rsid w:val="00C235AA"/>
    <w:rsid w:val="00C26E73"/>
    <w:rsid w:val="00C310DD"/>
    <w:rsid w:val="00C31289"/>
    <w:rsid w:val="00C3138F"/>
    <w:rsid w:val="00C323B5"/>
    <w:rsid w:val="00C334E1"/>
    <w:rsid w:val="00C3388D"/>
    <w:rsid w:val="00C3447E"/>
    <w:rsid w:val="00C34707"/>
    <w:rsid w:val="00C35512"/>
    <w:rsid w:val="00C367FD"/>
    <w:rsid w:val="00C36F98"/>
    <w:rsid w:val="00C41763"/>
    <w:rsid w:val="00C44C32"/>
    <w:rsid w:val="00C46466"/>
    <w:rsid w:val="00C51FEF"/>
    <w:rsid w:val="00C52BEA"/>
    <w:rsid w:val="00C54802"/>
    <w:rsid w:val="00C56789"/>
    <w:rsid w:val="00C579AB"/>
    <w:rsid w:val="00C61802"/>
    <w:rsid w:val="00C6268C"/>
    <w:rsid w:val="00C62EA9"/>
    <w:rsid w:val="00C63838"/>
    <w:rsid w:val="00C65C97"/>
    <w:rsid w:val="00C65F88"/>
    <w:rsid w:val="00C66AB3"/>
    <w:rsid w:val="00C70013"/>
    <w:rsid w:val="00C71119"/>
    <w:rsid w:val="00C71532"/>
    <w:rsid w:val="00C71DF4"/>
    <w:rsid w:val="00C7289F"/>
    <w:rsid w:val="00C73BDC"/>
    <w:rsid w:val="00C74612"/>
    <w:rsid w:val="00C751BB"/>
    <w:rsid w:val="00C7600F"/>
    <w:rsid w:val="00C76198"/>
    <w:rsid w:val="00C763B7"/>
    <w:rsid w:val="00C76F9D"/>
    <w:rsid w:val="00C77694"/>
    <w:rsid w:val="00C84320"/>
    <w:rsid w:val="00C84D63"/>
    <w:rsid w:val="00C85DEB"/>
    <w:rsid w:val="00C879A3"/>
    <w:rsid w:val="00C9143A"/>
    <w:rsid w:val="00C9312E"/>
    <w:rsid w:val="00C937D0"/>
    <w:rsid w:val="00C93E83"/>
    <w:rsid w:val="00C944A8"/>
    <w:rsid w:val="00C9470E"/>
    <w:rsid w:val="00C96450"/>
    <w:rsid w:val="00C97E7B"/>
    <w:rsid w:val="00CA11A4"/>
    <w:rsid w:val="00CA1939"/>
    <w:rsid w:val="00CA24D8"/>
    <w:rsid w:val="00CA2B6E"/>
    <w:rsid w:val="00CA303A"/>
    <w:rsid w:val="00CA4F53"/>
    <w:rsid w:val="00CA5549"/>
    <w:rsid w:val="00CB060D"/>
    <w:rsid w:val="00CB2CE0"/>
    <w:rsid w:val="00CB2EBA"/>
    <w:rsid w:val="00CB66E5"/>
    <w:rsid w:val="00CB7227"/>
    <w:rsid w:val="00CB7329"/>
    <w:rsid w:val="00CC09BE"/>
    <w:rsid w:val="00CC100B"/>
    <w:rsid w:val="00CC30F0"/>
    <w:rsid w:val="00CC7855"/>
    <w:rsid w:val="00CC7C82"/>
    <w:rsid w:val="00CD1861"/>
    <w:rsid w:val="00CD2066"/>
    <w:rsid w:val="00CD2AA5"/>
    <w:rsid w:val="00CD3C9D"/>
    <w:rsid w:val="00CD4AC0"/>
    <w:rsid w:val="00CD4AE4"/>
    <w:rsid w:val="00CE03E3"/>
    <w:rsid w:val="00CE05BB"/>
    <w:rsid w:val="00CE3EA3"/>
    <w:rsid w:val="00CE5561"/>
    <w:rsid w:val="00CE63CE"/>
    <w:rsid w:val="00CE797B"/>
    <w:rsid w:val="00CF0566"/>
    <w:rsid w:val="00CF1CA5"/>
    <w:rsid w:val="00CF35DF"/>
    <w:rsid w:val="00CF3CD1"/>
    <w:rsid w:val="00CF43B0"/>
    <w:rsid w:val="00CF64E9"/>
    <w:rsid w:val="00CF79E8"/>
    <w:rsid w:val="00D00400"/>
    <w:rsid w:val="00D01137"/>
    <w:rsid w:val="00D02227"/>
    <w:rsid w:val="00D048FF"/>
    <w:rsid w:val="00D0623F"/>
    <w:rsid w:val="00D06E80"/>
    <w:rsid w:val="00D079A9"/>
    <w:rsid w:val="00D12B51"/>
    <w:rsid w:val="00D13B3D"/>
    <w:rsid w:val="00D14211"/>
    <w:rsid w:val="00D16DFE"/>
    <w:rsid w:val="00D16FBA"/>
    <w:rsid w:val="00D17268"/>
    <w:rsid w:val="00D21420"/>
    <w:rsid w:val="00D22F99"/>
    <w:rsid w:val="00D24963"/>
    <w:rsid w:val="00D24C03"/>
    <w:rsid w:val="00D31C0D"/>
    <w:rsid w:val="00D3250E"/>
    <w:rsid w:val="00D32C4F"/>
    <w:rsid w:val="00D33196"/>
    <w:rsid w:val="00D34079"/>
    <w:rsid w:val="00D34C3E"/>
    <w:rsid w:val="00D34CA1"/>
    <w:rsid w:val="00D3636F"/>
    <w:rsid w:val="00D37AAF"/>
    <w:rsid w:val="00D37B28"/>
    <w:rsid w:val="00D37F9E"/>
    <w:rsid w:val="00D40B40"/>
    <w:rsid w:val="00D40DAC"/>
    <w:rsid w:val="00D40E56"/>
    <w:rsid w:val="00D413CE"/>
    <w:rsid w:val="00D415B0"/>
    <w:rsid w:val="00D41638"/>
    <w:rsid w:val="00D416D9"/>
    <w:rsid w:val="00D42447"/>
    <w:rsid w:val="00D42B1A"/>
    <w:rsid w:val="00D430DB"/>
    <w:rsid w:val="00D4367F"/>
    <w:rsid w:val="00D4487A"/>
    <w:rsid w:val="00D458F5"/>
    <w:rsid w:val="00D519F8"/>
    <w:rsid w:val="00D5388E"/>
    <w:rsid w:val="00D54292"/>
    <w:rsid w:val="00D54895"/>
    <w:rsid w:val="00D554B7"/>
    <w:rsid w:val="00D6082D"/>
    <w:rsid w:val="00D61B49"/>
    <w:rsid w:val="00D61DF1"/>
    <w:rsid w:val="00D646D1"/>
    <w:rsid w:val="00D64B8F"/>
    <w:rsid w:val="00D6506A"/>
    <w:rsid w:val="00D65C10"/>
    <w:rsid w:val="00D66729"/>
    <w:rsid w:val="00D72D82"/>
    <w:rsid w:val="00D750E0"/>
    <w:rsid w:val="00D752FC"/>
    <w:rsid w:val="00D77281"/>
    <w:rsid w:val="00D8009D"/>
    <w:rsid w:val="00D8024C"/>
    <w:rsid w:val="00D80FEC"/>
    <w:rsid w:val="00D82CEF"/>
    <w:rsid w:val="00D832B8"/>
    <w:rsid w:val="00D841CE"/>
    <w:rsid w:val="00D8438E"/>
    <w:rsid w:val="00D84515"/>
    <w:rsid w:val="00D848D2"/>
    <w:rsid w:val="00D85152"/>
    <w:rsid w:val="00D85B74"/>
    <w:rsid w:val="00D860D0"/>
    <w:rsid w:val="00D876A6"/>
    <w:rsid w:val="00D90100"/>
    <w:rsid w:val="00D9474E"/>
    <w:rsid w:val="00D95396"/>
    <w:rsid w:val="00D95A4B"/>
    <w:rsid w:val="00D95C88"/>
    <w:rsid w:val="00D96358"/>
    <w:rsid w:val="00D96411"/>
    <w:rsid w:val="00D969BD"/>
    <w:rsid w:val="00D9762C"/>
    <w:rsid w:val="00DA0153"/>
    <w:rsid w:val="00DA0AF6"/>
    <w:rsid w:val="00DA397A"/>
    <w:rsid w:val="00DA54E9"/>
    <w:rsid w:val="00DA5834"/>
    <w:rsid w:val="00DA6AD1"/>
    <w:rsid w:val="00DA6BAE"/>
    <w:rsid w:val="00DB0A1A"/>
    <w:rsid w:val="00DB1336"/>
    <w:rsid w:val="00DB1C6C"/>
    <w:rsid w:val="00DB1D5F"/>
    <w:rsid w:val="00DB2F4A"/>
    <w:rsid w:val="00DB322E"/>
    <w:rsid w:val="00DB355F"/>
    <w:rsid w:val="00DB44AA"/>
    <w:rsid w:val="00DB50E4"/>
    <w:rsid w:val="00DB5EAA"/>
    <w:rsid w:val="00DB6028"/>
    <w:rsid w:val="00DB6699"/>
    <w:rsid w:val="00DB7BB1"/>
    <w:rsid w:val="00DB7BFB"/>
    <w:rsid w:val="00DC062A"/>
    <w:rsid w:val="00DC0E78"/>
    <w:rsid w:val="00DC0FCD"/>
    <w:rsid w:val="00DC2B27"/>
    <w:rsid w:val="00DC34F9"/>
    <w:rsid w:val="00DC507A"/>
    <w:rsid w:val="00DC6806"/>
    <w:rsid w:val="00DD0744"/>
    <w:rsid w:val="00DD2430"/>
    <w:rsid w:val="00DD3B94"/>
    <w:rsid w:val="00DD3F37"/>
    <w:rsid w:val="00DD48B9"/>
    <w:rsid w:val="00DD4B1C"/>
    <w:rsid w:val="00DD4C91"/>
    <w:rsid w:val="00DD5A19"/>
    <w:rsid w:val="00DD5D8E"/>
    <w:rsid w:val="00DD7AE8"/>
    <w:rsid w:val="00DD7EF8"/>
    <w:rsid w:val="00DE0518"/>
    <w:rsid w:val="00DE15D0"/>
    <w:rsid w:val="00DE4426"/>
    <w:rsid w:val="00DE5289"/>
    <w:rsid w:val="00DE5591"/>
    <w:rsid w:val="00DF05AC"/>
    <w:rsid w:val="00DF098E"/>
    <w:rsid w:val="00DF15F4"/>
    <w:rsid w:val="00DF18B5"/>
    <w:rsid w:val="00DF4CEE"/>
    <w:rsid w:val="00DF6DBE"/>
    <w:rsid w:val="00DF7C37"/>
    <w:rsid w:val="00DF7FB0"/>
    <w:rsid w:val="00E00362"/>
    <w:rsid w:val="00E013AD"/>
    <w:rsid w:val="00E01DA1"/>
    <w:rsid w:val="00E025D4"/>
    <w:rsid w:val="00E02A35"/>
    <w:rsid w:val="00E02A65"/>
    <w:rsid w:val="00E035A9"/>
    <w:rsid w:val="00E03FD8"/>
    <w:rsid w:val="00E04DD1"/>
    <w:rsid w:val="00E05840"/>
    <w:rsid w:val="00E072BC"/>
    <w:rsid w:val="00E10B55"/>
    <w:rsid w:val="00E1384C"/>
    <w:rsid w:val="00E144E8"/>
    <w:rsid w:val="00E15260"/>
    <w:rsid w:val="00E1560C"/>
    <w:rsid w:val="00E158E8"/>
    <w:rsid w:val="00E15999"/>
    <w:rsid w:val="00E16A99"/>
    <w:rsid w:val="00E1765E"/>
    <w:rsid w:val="00E21C97"/>
    <w:rsid w:val="00E22A67"/>
    <w:rsid w:val="00E22B0A"/>
    <w:rsid w:val="00E2465A"/>
    <w:rsid w:val="00E24AFF"/>
    <w:rsid w:val="00E254AE"/>
    <w:rsid w:val="00E310A8"/>
    <w:rsid w:val="00E32E10"/>
    <w:rsid w:val="00E32EB6"/>
    <w:rsid w:val="00E34377"/>
    <w:rsid w:val="00E3657B"/>
    <w:rsid w:val="00E413ED"/>
    <w:rsid w:val="00E423B3"/>
    <w:rsid w:val="00E43D3E"/>
    <w:rsid w:val="00E45D11"/>
    <w:rsid w:val="00E46123"/>
    <w:rsid w:val="00E467E0"/>
    <w:rsid w:val="00E46BE2"/>
    <w:rsid w:val="00E47089"/>
    <w:rsid w:val="00E514AB"/>
    <w:rsid w:val="00E51FC4"/>
    <w:rsid w:val="00E521A5"/>
    <w:rsid w:val="00E53F5C"/>
    <w:rsid w:val="00E5461D"/>
    <w:rsid w:val="00E54FE0"/>
    <w:rsid w:val="00E55CD9"/>
    <w:rsid w:val="00E56DF1"/>
    <w:rsid w:val="00E5729B"/>
    <w:rsid w:val="00E6215D"/>
    <w:rsid w:val="00E637EA"/>
    <w:rsid w:val="00E63BCB"/>
    <w:rsid w:val="00E65DC8"/>
    <w:rsid w:val="00E66680"/>
    <w:rsid w:val="00E6777E"/>
    <w:rsid w:val="00E7511D"/>
    <w:rsid w:val="00E75BA2"/>
    <w:rsid w:val="00E76FF4"/>
    <w:rsid w:val="00E7768E"/>
    <w:rsid w:val="00E80948"/>
    <w:rsid w:val="00E81396"/>
    <w:rsid w:val="00E8299D"/>
    <w:rsid w:val="00E846BA"/>
    <w:rsid w:val="00E87338"/>
    <w:rsid w:val="00E92CF8"/>
    <w:rsid w:val="00E94AB0"/>
    <w:rsid w:val="00E94D75"/>
    <w:rsid w:val="00E95E33"/>
    <w:rsid w:val="00E960FA"/>
    <w:rsid w:val="00E968C3"/>
    <w:rsid w:val="00EA127B"/>
    <w:rsid w:val="00EA4846"/>
    <w:rsid w:val="00EA527C"/>
    <w:rsid w:val="00EA691E"/>
    <w:rsid w:val="00EB0B26"/>
    <w:rsid w:val="00EB312B"/>
    <w:rsid w:val="00EB47B4"/>
    <w:rsid w:val="00EB4F8E"/>
    <w:rsid w:val="00EB5945"/>
    <w:rsid w:val="00EB609B"/>
    <w:rsid w:val="00EB6DC6"/>
    <w:rsid w:val="00EC1063"/>
    <w:rsid w:val="00EC1149"/>
    <w:rsid w:val="00EC114B"/>
    <w:rsid w:val="00EC119F"/>
    <w:rsid w:val="00EC1246"/>
    <w:rsid w:val="00EC19A5"/>
    <w:rsid w:val="00EC1F47"/>
    <w:rsid w:val="00EC237D"/>
    <w:rsid w:val="00EC30A2"/>
    <w:rsid w:val="00EC3157"/>
    <w:rsid w:val="00EC3ED7"/>
    <w:rsid w:val="00EC77AB"/>
    <w:rsid w:val="00EC7EB5"/>
    <w:rsid w:val="00ED0EBF"/>
    <w:rsid w:val="00ED21F7"/>
    <w:rsid w:val="00ED2F32"/>
    <w:rsid w:val="00ED3640"/>
    <w:rsid w:val="00ED5183"/>
    <w:rsid w:val="00ED592A"/>
    <w:rsid w:val="00ED60BE"/>
    <w:rsid w:val="00ED6AA9"/>
    <w:rsid w:val="00ED7C37"/>
    <w:rsid w:val="00EE03EB"/>
    <w:rsid w:val="00EE196C"/>
    <w:rsid w:val="00EE25C1"/>
    <w:rsid w:val="00EE2D89"/>
    <w:rsid w:val="00EE2DF4"/>
    <w:rsid w:val="00EE2E0B"/>
    <w:rsid w:val="00EE3E86"/>
    <w:rsid w:val="00EE4304"/>
    <w:rsid w:val="00EE515E"/>
    <w:rsid w:val="00EE66CC"/>
    <w:rsid w:val="00EE6E27"/>
    <w:rsid w:val="00EF2D49"/>
    <w:rsid w:val="00EF6170"/>
    <w:rsid w:val="00EF6A43"/>
    <w:rsid w:val="00F00AEE"/>
    <w:rsid w:val="00F01897"/>
    <w:rsid w:val="00F01C34"/>
    <w:rsid w:val="00F025E4"/>
    <w:rsid w:val="00F042C4"/>
    <w:rsid w:val="00F064E6"/>
    <w:rsid w:val="00F07F9C"/>
    <w:rsid w:val="00F111C7"/>
    <w:rsid w:val="00F11AA0"/>
    <w:rsid w:val="00F11AD5"/>
    <w:rsid w:val="00F12D5C"/>
    <w:rsid w:val="00F14F71"/>
    <w:rsid w:val="00F158F5"/>
    <w:rsid w:val="00F204C0"/>
    <w:rsid w:val="00F20C2B"/>
    <w:rsid w:val="00F217D7"/>
    <w:rsid w:val="00F22099"/>
    <w:rsid w:val="00F23226"/>
    <w:rsid w:val="00F23251"/>
    <w:rsid w:val="00F31410"/>
    <w:rsid w:val="00F34688"/>
    <w:rsid w:val="00F34D36"/>
    <w:rsid w:val="00F3602A"/>
    <w:rsid w:val="00F37D82"/>
    <w:rsid w:val="00F37E95"/>
    <w:rsid w:val="00F400C2"/>
    <w:rsid w:val="00F40258"/>
    <w:rsid w:val="00F40534"/>
    <w:rsid w:val="00F405EB"/>
    <w:rsid w:val="00F4233F"/>
    <w:rsid w:val="00F44F19"/>
    <w:rsid w:val="00F471C0"/>
    <w:rsid w:val="00F47BE1"/>
    <w:rsid w:val="00F502B5"/>
    <w:rsid w:val="00F50DA0"/>
    <w:rsid w:val="00F53F3A"/>
    <w:rsid w:val="00F54AE3"/>
    <w:rsid w:val="00F54E56"/>
    <w:rsid w:val="00F54EE1"/>
    <w:rsid w:val="00F54FA4"/>
    <w:rsid w:val="00F5545F"/>
    <w:rsid w:val="00F5640E"/>
    <w:rsid w:val="00F5722D"/>
    <w:rsid w:val="00F60065"/>
    <w:rsid w:val="00F603C0"/>
    <w:rsid w:val="00F613C2"/>
    <w:rsid w:val="00F64363"/>
    <w:rsid w:val="00F650C6"/>
    <w:rsid w:val="00F66134"/>
    <w:rsid w:val="00F6619F"/>
    <w:rsid w:val="00F6685F"/>
    <w:rsid w:val="00F668E0"/>
    <w:rsid w:val="00F66EAB"/>
    <w:rsid w:val="00F705E3"/>
    <w:rsid w:val="00F70B71"/>
    <w:rsid w:val="00F70C70"/>
    <w:rsid w:val="00F72B21"/>
    <w:rsid w:val="00F734A1"/>
    <w:rsid w:val="00F75885"/>
    <w:rsid w:val="00F77E98"/>
    <w:rsid w:val="00F81240"/>
    <w:rsid w:val="00F81D4F"/>
    <w:rsid w:val="00F82571"/>
    <w:rsid w:val="00F829B9"/>
    <w:rsid w:val="00F83A4B"/>
    <w:rsid w:val="00F83A65"/>
    <w:rsid w:val="00F83C48"/>
    <w:rsid w:val="00F8455B"/>
    <w:rsid w:val="00F84A87"/>
    <w:rsid w:val="00F86F18"/>
    <w:rsid w:val="00F90E04"/>
    <w:rsid w:val="00F9133F"/>
    <w:rsid w:val="00F91B68"/>
    <w:rsid w:val="00F932D8"/>
    <w:rsid w:val="00F936D6"/>
    <w:rsid w:val="00F96ECE"/>
    <w:rsid w:val="00F971EA"/>
    <w:rsid w:val="00F97D95"/>
    <w:rsid w:val="00FA0D3C"/>
    <w:rsid w:val="00FA108B"/>
    <w:rsid w:val="00FA1BF3"/>
    <w:rsid w:val="00FA40FE"/>
    <w:rsid w:val="00FA6EDA"/>
    <w:rsid w:val="00FA702D"/>
    <w:rsid w:val="00FA7386"/>
    <w:rsid w:val="00FB1776"/>
    <w:rsid w:val="00FB1BEA"/>
    <w:rsid w:val="00FB1DC6"/>
    <w:rsid w:val="00FB296E"/>
    <w:rsid w:val="00FB2F89"/>
    <w:rsid w:val="00FB5077"/>
    <w:rsid w:val="00FB7E3A"/>
    <w:rsid w:val="00FC042B"/>
    <w:rsid w:val="00FC09DD"/>
    <w:rsid w:val="00FC178C"/>
    <w:rsid w:val="00FC2A56"/>
    <w:rsid w:val="00FC4860"/>
    <w:rsid w:val="00FC5A81"/>
    <w:rsid w:val="00FC748A"/>
    <w:rsid w:val="00FC76C2"/>
    <w:rsid w:val="00FD0803"/>
    <w:rsid w:val="00FD1016"/>
    <w:rsid w:val="00FD2D46"/>
    <w:rsid w:val="00FD49F1"/>
    <w:rsid w:val="00FD53E0"/>
    <w:rsid w:val="00FD63D9"/>
    <w:rsid w:val="00FE01D8"/>
    <w:rsid w:val="00FE06BE"/>
    <w:rsid w:val="00FE0F76"/>
    <w:rsid w:val="00FE1132"/>
    <w:rsid w:val="00FE169E"/>
    <w:rsid w:val="00FE19C9"/>
    <w:rsid w:val="00FE2690"/>
    <w:rsid w:val="00FE4B55"/>
    <w:rsid w:val="00FF037A"/>
    <w:rsid w:val="00FF03CF"/>
    <w:rsid w:val="00FF16D5"/>
    <w:rsid w:val="00FF1D1F"/>
    <w:rsid w:val="00FF340A"/>
    <w:rsid w:val="00FF676C"/>
    <w:rsid w:val="01BE3E05"/>
    <w:rsid w:val="028D3AFC"/>
    <w:rsid w:val="02AF69EA"/>
    <w:rsid w:val="02BF0DE7"/>
    <w:rsid w:val="02D037B2"/>
    <w:rsid w:val="03483D1B"/>
    <w:rsid w:val="03587F1C"/>
    <w:rsid w:val="037D13CA"/>
    <w:rsid w:val="04103507"/>
    <w:rsid w:val="046E43E9"/>
    <w:rsid w:val="054441D7"/>
    <w:rsid w:val="05B0498B"/>
    <w:rsid w:val="05C04C9F"/>
    <w:rsid w:val="05D30287"/>
    <w:rsid w:val="0655021E"/>
    <w:rsid w:val="065F7326"/>
    <w:rsid w:val="07035259"/>
    <w:rsid w:val="073777E6"/>
    <w:rsid w:val="07523D4D"/>
    <w:rsid w:val="07C14A94"/>
    <w:rsid w:val="07FA65CC"/>
    <w:rsid w:val="082A3964"/>
    <w:rsid w:val="089304D3"/>
    <w:rsid w:val="093F56FD"/>
    <w:rsid w:val="09FB53F4"/>
    <w:rsid w:val="0B940971"/>
    <w:rsid w:val="0C8309EF"/>
    <w:rsid w:val="0D342C32"/>
    <w:rsid w:val="0D4F5956"/>
    <w:rsid w:val="0D8439D4"/>
    <w:rsid w:val="0DC36C30"/>
    <w:rsid w:val="0E0643E2"/>
    <w:rsid w:val="0E7B2DCB"/>
    <w:rsid w:val="0E915F72"/>
    <w:rsid w:val="0F0A695A"/>
    <w:rsid w:val="0F3F7763"/>
    <w:rsid w:val="0F744124"/>
    <w:rsid w:val="108152FA"/>
    <w:rsid w:val="135410B5"/>
    <w:rsid w:val="136442CB"/>
    <w:rsid w:val="147E354D"/>
    <w:rsid w:val="161563A7"/>
    <w:rsid w:val="16BE3EC3"/>
    <w:rsid w:val="16CD027A"/>
    <w:rsid w:val="1742717E"/>
    <w:rsid w:val="174E26C0"/>
    <w:rsid w:val="180C486B"/>
    <w:rsid w:val="181E7837"/>
    <w:rsid w:val="182761A4"/>
    <w:rsid w:val="18312709"/>
    <w:rsid w:val="19FC1ACA"/>
    <w:rsid w:val="1A183D13"/>
    <w:rsid w:val="1A330456"/>
    <w:rsid w:val="1A903BDB"/>
    <w:rsid w:val="1AA92CF1"/>
    <w:rsid w:val="1B8E71DF"/>
    <w:rsid w:val="1BDE2766"/>
    <w:rsid w:val="1CC47F14"/>
    <w:rsid w:val="1CFC5477"/>
    <w:rsid w:val="1D30688B"/>
    <w:rsid w:val="1DD33597"/>
    <w:rsid w:val="1E4F7829"/>
    <w:rsid w:val="1E573F63"/>
    <w:rsid w:val="1E964850"/>
    <w:rsid w:val="1F3A2287"/>
    <w:rsid w:val="20855CEA"/>
    <w:rsid w:val="212225A7"/>
    <w:rsid w:val="218344DF"/>
    <w:rsid w:val="22C8590B"/>
    <w:rsid w:val="239161EE"/>
    <w:rsid w:val="23D149E9"/>
    <w:rsid w:val="24466B43"/>
    <w:rsid w:val="245101ED"/>
    <w:rsid w:val="24B40B8D"/>
    <w:rsid w:val="24F3297E"/>
    <w:rsid w:val="25DB2BA0"/>
    <w:rsid w:val="263F61FC"/>
    <w:rsid w:val="26514D6E"/>
    <w:rsid w:val="26A157CC"/>
    <w:rsid w:val="27174ECB"/>
    <w:rsid w:val="2732271F"/>
    <w:rsid w:val="27812338"/>
    <w:rsid w:val="28F156D0"/>
    <w:rsid w:val="298C0D86"/>
    <w:rsid w:val="299C31FE"/>
    <w:rsid w:val="29B6075C"/>
    <w:rsid w:val="29E83960"/>
    <w:rsid w:val="2A0C569A"/>
    <w:rsid w:val="2C44739F"/>
    <w:rsid w:val="2CDD50FE"/>
    <w:rsid w:val="2D030405"/>
    <w:rsid w:val="2D607868"/>
    <w:rsid w:val="2DB15CAF"/>
    <w:rsid w:val="2EB9322F"/>
    <w:rsid w:val="2EC804C9"/>
    <w:rsid w:val="2F1516B9"/>
    <w:rsid w:val="2F550879"/>
    <w:rsid w:val="2F985AC9"/>
    <w:rsid w:val="309276B7"/>
    <w:rsid w:val="30BA515A"/>
    <w:rsid w:val="31EC3C9D"/>
    <w:rsid w:val="32C70B03"/>
    <w:rsid w:val="3339773F"/>
    <w:rsid w:val="33B11D70"/>
    <w:rsid w:val="33C30645"/>
    <w:rsid w:val="33E10ACB"/>
    <w:rsid w:val="34674487"/>
    <w:rsid w:val="34937F79"/>
    <w:rsid w:val="355C2A48"/>
    <w:rsid w:val="35665019"/>
    <w:rsid w:val="366D4F82"/>
    <w:rsid w:val="36792473"/>
    <w:rsid w:val="377172E9"/>
    <w:rsid w:val="3775181F"/>
    <w:rsid w:val="37B21EF3"/>
    <w:rsid w:val="39085E61"/>
    <w:rsid w:val="390F63CA"/>
    <w:rsid w:val="39C53D6D"/>
    <w:rsid w:val="3A2557E8"/>
    <w:rsid w:val="3A7044DB"/>
    <w:rsid w:val="3B2A2D0C"/>
    <w:rsid w:val="3B574EE9"/>
    <w:rsid w:val="3B8E080D"/>
    <w:rsid w:val="3BC9468F"/>
    <w:rsid w:val="3BD77EEB"/>
    <w:rsid w:val="3C4C5D32"/>
    <w:rsid w:val="3C680399"/>
    <w:rsid w:val="3C9D39E9"/>
    <w:rsid w:val="3E8F2A25"/>
    <w:rsid w:val="3EF1768B"/>
    <w:rsid w:val="3F162186"/>
    <w:rsid w:val="407C22A8"/>
    <w:rsid w:val="439135BC"/>
    <w:rsid w:val="43A56F13"/>
    <w:rsid w:val="4422473D"/>
    <w:rsid w:val="445350CD"/>
    <w:rsid w:val="447D1B89"/>
    <w:rsid w:val="45B614EA"/>
    <w:rsid w:val="461229C6"/>
    <w:rsid w:val="467523B4"/>
    <w:rsid w:val="476633F6"/>
    <w:rsid w:val="47FA771F"/>
    <w:rsid w:val="488E0DCA"/>
    <w:rsid w:val="48A91F31"/>
    <w:rsid w:val="48AF2985"/>
    <w:rsid w:val="4A240BDF"/>
    <w:rsid w:val="4ABE7B54"/>
    <w:rsid w:val="4B6232EC"/>
    <w:rsid w:val="4B767D66"/>
    <w:rsid w:val="4B874C22"/>
    <w:rsid w:val="4B9A7B9A"/>
    <w:rsid w:val="4C5D1E2B"/>
    <w:rsid w:val="4D9D1B7A"/>
    <w:rsid w:val="4DB16142"/>
    <w:rsid w:val="4E180A56"/>
    <w:rsid w:val="4EC3367F"/>
    <w:rsid w:val="4F0A4F22"/>
    <w:rsid w:val="50612ECD"/>
    <w:rsid w:val="50687B4B"/>
    <w:rsid w:val="51A81687"/>
    <w:rsid w:val="53135B7C"/>
    <w:rsid w:val="53E5628B"/>
    <w:rsid w:val="53F011B1"/>
    <w:rsid w:val="53FC0D26"/>
    <w:rsid w:val="5436724D"/>
    <w:rsid w:val="54DA4757"/>
    <w:rsid w:val="558F7F2F"/>
    <w:rsid w:val="55B232F1"/>
    <w:rsid w:val="55CB540B"/>
    <w:rsid w:val="56266AA3"/>
    <w:rsid w:val="56E30733"/>
    <w:rsid w:val="56E765E9"/>
    <w:rsid w:val="56F2203E"/>
    <w:rsid w:val="573D6C18"/>
    <w:rsid w:val="57D91936"/>
    <w:rsid w:val="58565ABD"/>
    <w:rsid w:val="587D7EA0"/>
    <w:rsid w:val="5980587F"/>
    <w:rsid w:val="599F46B9"/>
    <w:rsid w:val="59A609FF"/>
    <w:rsid w:val="59BF2222"/>
    <w:rsid w:val="59FD155D"/>
    <w:rsid w:val="5A283337"/>
    <w:rsid w:val="5A4963B9"/>
    <w:rsid w:val="5C404ADF"/>
    <w:rsid w:val="5C6851E8"/>
    <w:rsid w:val="5CE40B61"/>
    <w:rsid w:val="5D857FC4"/>
    <w:rsid w:val="60442EB5"/>
    <w:rsid w:val="60594374"/>
    <w:rsid w:val="60CD589F"/>
    <w:rsid w:val="614A135D"/>
    <w:rsid w:val="61632192"/>
    <w:rsid w:val="61972506"/>
    <w:rsid w:val="62031A89"/>
    <w:rsid w:val="62A04A84"/>
    <w:rsid w:val="62CE321A"/>
    <w:rsid w:val="64D20A35"/>
    <w:rsid w:val="64D67929"/>
    <w:rsid w:val="653A1601"/>
    <w:rsid w:val="65853520"/>
    <w:rsid w:val="65C116CE"/>
    <w:rsid w:val="65F30101"/>
    <w:rsid w:val="664926DA"/>
    <w:rsid w:val="673438FC"/>
    <w:rsid w:val="67B652C8"/>
    <w:rsid w:val="68344C0C"/>
    <w:rsid w:val="691C1DCE"/>
    <w:rsid w:val="69313A47"/>
    <w:rsid w:val="695350CA"/>
    <w:rsid w:val="6A74526A"/>
    <w:rsid w:val="6A74619A"/>
    <w:rsid w:val="6B480DE0"/>
    <w:rsid w:val="6BF62A03"/>
    <w:rsid w:val="6C384174"/>
    <w:rsid w:val="6F316C0A"/>
    <w:rsid w:val="71022DB2"/>
    <w:rsid w:val="714257FE"/>
    <w:rsid w:val="7264639E"/>
    <w:rsid w:val="736B45B4"/>
    <w:rsid w:val="73F0360B"/>
    <w:rsid w:val="745032CB"/>
    <w:rsid w:val="74D006FE"/>
    <w:rsid w:val="75341C88"/>
    <w:rsid w:val="75A0672A"/>
    <w:rsid w:val="762468C2"/>
    <w:rsid w:val="765336FE"/>
    <w:rsid w:val="76FC51AB"/>
    <w:rsid w:val="77696B99"/>
    <w:rsid w:val="783139A8"/>
    <w:rsid w:val="786B0945"/>
    <w:rsid w:val="78AE31E0"/>
    <w:rsid w:val="78D13544"/>
    <w:rsid w:val="79CB512B"/>
    <w:rsid w:val="7A7527E8"/>
    <w:rsid w:val="7B0A27F1"/>
    <w:rsid w:val="7B4E6466"/>
    <w:rsid w:val="7B562F1A"/>
    <w:rsid w:val="7BC86DAF"/>
    <w:rsid w:val="7C076C28"/>
    <w:rsid w:val="7C247DD7"/>
    <w:rsid w:val="7C2815AC"/>
    <w:rsid w:val="7C855751"/>
    <w:rsid w:val="7D5B43B1"/>
    <w:rsid w:val="7E37277B"/>
    <w:rsid w:val="7EC37C99"/>
    <w:rsid w:val="7F9573F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qFormat="1" w:unhideWhenUsed="0" w:uiPriority="0" w:semiHidden="0"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qFormat="1" w:uiPriority="99" w:name="FollowedHyperlink" w:locked="1"/>
    <w:lsdException w:qFormat="1" w:unhideWhenUsed="0" w:uiPriority="99" w:semiHidden="0" w:name="Strong"/>
    <w:lsdException w:qFormat="1" w:unhideWhenUsed="0" w:uiPriority="99" w:semiHidden="0" w:name="Emphasis"/>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99"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4">
    <w:name w:val="heading 1"/>
    <w:basedOn w:val="1"/>
    <w:next w:val="1"/>
    <w:link w:val="17"/>
    <w:qFormat/>
    <w:locked/>
    <w:uiPriority w:val="99"/>
    <w:pPr>
      <w:keepNext/>
      <w:keepLines/>
      <w:spacing w:before="340" w:after="330" w:line="578" w:lineRule="auto"/>
      <w:outlineLvl w:val="0"/>
    </w:pPr>
    <w:rPr>
      <w:b/>
      <w:bCs/>
      <w:kern w:val="44"/>
      <w:sz w:val="44"/>
      <w:szCs w:val="44"/>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locked/>
    <w:uiPriority w:val="99"/>
  </w:style>
  <w:style w:type="paragraph" w:styleId="3">
    <w:name w:val="Body Text First Indent"/>
    <w:basedOn w:val="2"/>
    <w:qFormat/>
    <w:locked/>
    <w:uiPriority w:val="0"/>
    <w:pPr>
      <w:widowControl w:val="0"/>
      <w:spacing w:after="120"/>
      <w:ind w:firstLine="420" w:firstLineChars="100"/>
      <w:jc w:val="both"/>
    </w:pPr>
    <w:rPr>
      <w:rFonts w:ascii="Times New Roman" w:hAnsi="Times New Roman" w:eastAsia="宋体" w:cs="Times New Roman"/>
      <w:kern w:val="2"/>
      <w:sz w:val="21"/>
      <w:szCs w:val="24"/>
      <w:lang w:val="en-US" w:eastAsia="zh-CN" w:bidi="ar-SA"/>
    </w:rPr>
  </w:style>
  <w:style w:type="paragraph" w:styleId="5">
    <w:name w:val="Plain Text"/>
    <w:basedOn w:val="1"/>
    <w:link w:val="18"/>
    <w:qFormat/>
    <w:uiPriority w:val="99"/>
    <w:rPr>
      <w:rFonts w:ascii="宋体" w:hAnsi="Courier New" w:cs="宋体"/>
    </w:rPr>
  </w:style>
  <w:style w:type="paragraph" w:styleId="6">
    <w:name w:val="Balloon Text"/>
    <w:basedOn w:val="1"/>
    <w:link w:val="19"/>
    <w:semiHidden/>
    <w:qFormat/>
    <w:uiPriority w:val="99"/>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9">
    <w:name w:val="HTML Preformatted"/>
    <w:basedOn w:val="1"/>
    <w:link w:val="22"/>
    <w:semiHidden/>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3">
    <w:name w:val="Strong"/>
    <w:basedOn w:val="12"/>
    <w:qFormat/>
    <w:uiPriority w:val="99"/>
    <w:rPr>
      <w:b/>
      <w:bCs/>
    </w:rPr>
  </w:style>
  <w:style w:type="character" w:styleId="14">
    <w:name w:val="page number"/>
    <w:basedOn w:val="12"/>
    <w:qFormat/>
    <w:uiPriority w:val="99"/>
  </w:style>
  <w:style w:type="character" w:styleId="15">
    <w:name w:val="FollowedHyperlink"/>
    <w:basedOn w:val="12"/>
    <w:semiHidden/>
    <w:unhideWhenUsed/>
    <w:qFormat/>
    <w:locked/>
    <w:uiPriority w:val="99"/>
    <w:rPr>
      <w:color w:val="333333"/>
      <w:u w:val="none"/>
    </w:rPr>
  </w:style>
  <w:style w:type="character" w:styleId="16">
    <w:name w:val="Emphasis"/>
    <w:basedOn w:val="12"/>
    <w:qFormat/>
    <w:uiPriority w:val="99"/>
    <w:rPr>
      <w:i/>
      <w:iCs/>
    </w:rPr>
  </w:style>
  <w:style w:type="character" w:customStyle="1" w:styleId="17">
    <w:name w:val="标题 1 Char"/>
    <w:basedOn w:val="12"/>
    <w:link w:val="4"/>
    <w:qFormat/>
    <w:locked/>
    <w:uiPriority w:val="99"/>
    <w:rPr>
      <w:b/>
      <w:bCs/>
      <w:kern w:val="44"/>
      <w:sz w:val="44"/>
      <w:szCs w:val="44"/>
    </w:rPr>
  </w:style>
  <w:style w:type="character" w:customStyle="1" w:styleId="18">
    <w:name w:val="纯文本 Char"/>
    <w:basedOn w:val="12"/>
    <w:link w:val="5"/>
    <w:qFormat/>
    <w:locked/>
    <w:uiPriority w:val="99"/>
    <w:rPr>
      <w:rFonts w:ascii="宋体" w:hAnsi="Courier New" w:eastAsia="宋体" w:cs="宋体"/>
      <w:kern w:val="2"/>
      <w:sz w:val="21"/>
      <w:szCs w:val="21"/>
      <w:lang w:val="en-US" w:eastAsia="zh-CN"/>
    </w:rPr>
  </w:style>
  <w:style w:type="character" w:customStyle="1" w:styleId="19">
    <w:name w:val="批注框文本 Char"/>
    <w:basedOn w:val="12"/>
    <w:link w:val="6"/>
    <w:semiHidden/>
    <w:qFormat/>
    <w:locked/>
    <w:uiPriority w:val="99"/>
    <w:rPr>
      <w:sz w:val="2"/>
      <w:szCs w:val="2"/>
    </w:rPr>
  </w:style>
  <w:style w:type="character" w:customStyle="1" w:styleId="20">
    <w:name w:val="页脚 Char"/>
    <w:basedOn w:val="12"/>
    <w:link w:val="7"/>
    <w:semiHidden/>
    <w:qFormat/>
    <w:locked/>
    <w:uiPriority w:val="99"/>
    <w:rPr>
      <w:sz w:val="18"/>
      <w:szCs w:val="18"/>
    </w:rPr>
  </w:style>
  <w:style w:type="character" w:customStyle="1" w:styleId="21">
    <w:name w:val="页眉 Char"/>
    <w:basedOn w:val="12"/>
    <w:link w:val="8"/>
    <w:semiHidden/>
    <w:qFormat/>
    <w:locked/>
    <w:uiPriority w:val="99"/>
    <w:rPr>
      <w:sz w:val="18"/>
      <w:szCs w:val="18"/>
    </w:rPr>
  </w:style>
  <w:style w:type="character" w:customStyle="1" w:styleId="22">
    <w:name w:val="HTML 预设格式 Char"/>
    <w:basedOn w:val="12"/>
    <w:link w:val="9"/>
    <w:semiHidden/>
    <w:qFormat/>
    <w:locked/>
    <w:uiPriority w:val="99"/>
    <w:rPr>
      <w:rFonts w:ascii="宋体" w:eastAsia="宋体" w:cs="宋体"/>
      <w:kern w:val="0"/>
      <w:sz w:val="24"/>
      <w:szCs w:val="24"/>
    </w:rPr>
  </w:style>
  <w:style w:type="paragraph" w:styleId="23">
    <w:name w:val="List Paragraph"/>
    <w:basedOn w:val="1"/>
    <w:qFormat/>
    <w:uiPriority w:val="99"/>
    <w:pPr>
      <w:ind w:firstLine="420" w:firstLineChars="200"/>
    </w:pPr>
  </w:style>
  <w:style w:type="character" w:customStyle="1" w:styleId="24">
    <w:name w:val="apple-converted-space"/>
    <w:basedOn w:val="12"/>
    <w:qFormat/>
    <w:uiPriority w:val="99"/>
  </w:style>
  <w:style w:type="paragraph" w:styleId="25">
    <w:name w:val="No Spacing"/>
    <w:qFormat/>
    <w:uiPriority w:val="99"/>
    <w:pPr>
      <w:widowControl w:val="0"/>
      <w:jc w:val="both"/>
    </w:pPr>
    <w:rPr>
      <w:rFonts w:ascii="Calibri" w:hAnsi="Calibri" w:eastAsia="宋体" w:cs="Calibri"/>
      <w:kern w:val="2"/>
      <w:sz w:val="21"/>
      <w:szCs w:val="21"/>
      <w:lang w:val="en-US" w:eastAsia="zh-CN" w:bidi="ar-SA"/>
    </w:rPr>
  </w:style>
  <w:style w:type="character" w:customStyle="1" w:styleId="26">
    <w:name w:val="Subtle Emphasis1"/>
    <w:qFormat/>
    <w:uiPriority w:val="99"/>
    <w:rPr>
      <w:i/>
      <w:iCs/>
      <w:color w:val="808080"/>
    </w:rPr>
  </w:style>
  <w:style w:type="character" w:customStyle="1" w:styleId="27">
    <w:name w:val="NormalCharacter"/>
    <w:semiHidden/>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8F22A7-3F9C-4116-A6F0-F959BA350ABE}">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7762</Words>
  <Characters>759</Characters>
  <Lines>6</Lines>
  <Paragraphs>17</Paragraphs>
  <TotalTime>91</TotalTime>
  <ScaleCrop>false</ScaleCrop>
  <LinksUpToDate>false</LinksUpToDate>
  <CharactersWithSpaces>8504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2021-02-18T07:24:00Z</dcterms:created>
  <dc:creator>Lenovo</dc:creator>
  <cp:lastModifiedBy>Administrator</cp:lastModifiedBy>
  <cp:lastPrinted>2022-03-10T08:35:19Z</cp:lastPrinted>
  <dcterms:modified xsi:type="dcterms:W3CDTF">2022-03-10T08:51:06Z</dcterms:modified>
  <dc:title>关于道县2014年财政预算执行情况和</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E8CAF1C8D3394DF49DB0BC82AD9CDB28</vt:lpwstr>
  </property>
</Properties>
</file>