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jc w:val="center"/>
        <w:rPr>
          <w:rFonts w:ascii="黑体" w:hAnsi="黑体" w:eastAsia="黑体" w:cs="黑体"/>
          <w:bCs/>
          <w:kern w:val="0"/>
          <w:sz w:val="44"/>
          <w:szCs w:val="44"/>
        </w:rPr>
      </w:pPr>
    </w:p>
    <w:p>
      <w:pPr>
        <w:widowControl/>
        <w:spacing w:line="600" w:lineRule="exact"/>
        <w:jc w:val="center"/>
        <w:rPr>
          <w:rFonts w:ascii="黑体" w:hAnsi="黑体" w:eastAsia="黑体" w:cs="黑体"/>
          <w:bCs/>
          <w:kern w:val="0"/>
          <w:sz w:val="44"/>
          <w:szCs w:val="44"/>
        </w:rPr>
      </w:pPr>
      <w:r>
        <w:rPr>
          <w:rFonts w:hint="eastAsia" w:ascii="黑体" w:hAnsi="黑体" w:eastAsia="黑体" w:cs="黑体"/>
          <w:bCs/>
          <w:kern w:val="0"/>
          <w:sz w:val="44"/>
          <w:szCs w:val="44"/>
        </w:rPr>
        <w:t>2021年道县政府预算公开</w:t>
      </w:r>
    </w:p>
    <w:p>
      <w:pPr>
        <w:widowControl/>
        <w:spacing w:line="600" w:lineRule="exact"/>
        <w:jc w:val="center"/>
        <w:rPr>
          <w:rFonts w:ascii="黑体" w:hAnsi="黑体" w:eastAsia="黑体" w:cs="黑体"/>
          <w:bCs/>
          <w:kern w:val="0"/>
          <w:sz w:val="44"/>
          <w:szCs w:val="44"/>
        </w:rPr>
      </w:pPr>
    </w:p>
    <w:p>
      <w:pPr>
        <w:widowControl/>
        <w:spacing w:line="600" w:lineRule="exact"/>
        <w:jc w:val="center"/>
        <w:rPr>
          <w:rFonts w:ascii="黑体" w:hAnsi="黑体" w:eastAsia="黑体" w:cs="黑体"/>
          <w:bCs/>
          <w:kern w:val="0"/>
          <w:sz w:val="44"/>
          <w:szCs w:val="44"/>
        </w:rPr>
      </w:pPr>
      <w:r>
        <w:rPr>
          <w:rFonts w:hint="eastAsia" w:ascii="黑体" w:hAnsi="黑体" w:eastAsia="黑体" w:cs="黑体"/>
          <w:bCs/>
          <w:kern w:val="0"/>
          <w:sz w:val="44"/>
          <w:szCs w:val="44"/>
        </w:rPr>
        <w:t>目 录</w:t>
      </w:r>
    </w:p>
    <w:p>
      <w:pPr>
        <w:widowControl/>
        <w:spacing w:line="600" w:lineRule="exact"/>
        <w:rPr>
          <w:rFonts w:eastAsia="黑体"/>
          <w:b/>
          <w:kern w:val="0"/>
          <w:sz w:val="32"/>
          <w:szCs w:val="32"/>
        </w:rPr>
      </w:pPr>
    </w:p>
    <w:p>
      <w:pPr>
        <w:widowControl/>
        <w:numPr>
          <w:ilvl w:val="0"/>
          <w:numId w:val="1"/>
        </w:numPr>
        <w:spacing w:line="560" w:lineRule="exact"/>
        <w:ind w:firstLine="643" w:firstLineChars="200"/>
        <w:rPr>
          <w:rFonts w:eastAsia="仿宋_GB2312"/>
          <w:b/>
          <w:bCs/>
          <w:kern w:val="0"/>
          <w:sz w:val="32"/>
          <w:szCs w:val="32"/>
        </w:rPr>
      </w:pPr>
      <w:r>
        <w:rPr>
          <w:rFonts w:hint="eastAsia" w:eastAsia="仿宋_GB2312"/>
          <w:b/>
          <w:bCs/>
          <w:kern w:val="0"/>
          <w:sz w:val="32"/>
          <w:szCs w:val="32"/>
        </w:rPr>
        <w:t>2021年政府预算报告（详情请见附件）</w:t>
      </w:r>
    </w:p>
    <w:p>
      <w:pPr>
        <w:pStyle w:val="2"/>
        <w:spacing w:line="560" w:lineRule="exact"/>
        <w:ind w:firstLine="6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一、2020年财政预算执行情况</w:t>
      </w:r>
    </w:p>
    <w:p>
      <w:pPr>
        <w:pStyle w:val="2"/>
        <w:spacing w:line="560" w:lineRule="exact"/>
        <w:ind w:firstLine="6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二、2020年预算执行主要特点</w:t>
      </w:r>
    </w:p>
    <w:p>
      <w:pPr>
        <w:widowControl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三、2021年财政预算草案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四、需要说明的其他事项</w:t>
      </w:r>
    </w:p>
    <w:p>
      <w:pPr>
        <w:widowControl/>
        <w:spacing w:line="560" w:lineRule="exact"/>
        <w:ind w:firstLine="640" w:firstLineChars="200"/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五、完成2021年财政预算的主要措施</w:t>
      </w:r>
    </w:p>
    <w:p>
      <w:pPr>
        <w:widowControl/>
        <w:spacing w:line="560" w:lineRule="exact"/>
        <w:ind w:firstLine="643" w:firstLineChars="200"/>
        <w:jc w:val="left"/>
        <w:rPr>
          <w:rFonts w:eastAsia="仿宋_GB2312"/>
          <w:b/>
          <w:bCs/>
          <w:kern w:val="0"/>
          <w:sz w:val="32"/>
          <w:szCs w:val="32"/>
        </w:rPr>
      </w:pPr>
      <w:r>
        <w:rPr>
          <w:rFonts w:eastAsia="仿宋_GB2312"/>
          <w:b/>
          <w:bCs/>
          <w:kern w:val="0"/>
          <w:sz w:val="32"/>
          <w:szCs w:val="32"/>
        </w:rPr>
        <w:t>第二部分</w:t>
      </w:r>
      <w:r>
        <w:rPr>
          <w:rFonts w:hint="eastAsia" w:eastAsia="仿宋_GB2312"/>
          <w:b/>
          <w:bCs/>
          <w:kern w:val="0"/>
          <w:sz w:val="32"/>
          <w:szCs w:val="32"/>
        </w:rPr>
        <w:t xml:space="preserve"> 2021年政府预算公开附表（详情请见附件）</w:t>
      </w:r>
    </w:p>
    <w:p>
      <w:pPr>
        <w:widowControl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一、一般公共预算收入预算表</w:t>
      </w:r>
    </w:p>
    <w:p>
      <w:pPr>
        <w:widowControl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二、一般公共预算支出预算表</w:t>
      </w:r>
    </w:p>
    <w:p>
      <w:pPr>
        <w:widowControl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三、一般公共预算本级支出预算表</w:t>
      </w:r>
    </w:p>
    <w:p>
      <w:pPr>
        <w:widowControl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四、一般公共预算基本支出预算表</w:t>
      </w:r>
    </w:p>
    <w:p>
      <w:pPr>
        <w:widowControl/>
        <w:spacing w:line="560" w:lineRule="exact"/>
        <w:ind w:right="-340" w:rightChars="-162"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五、一般公共预算对下税收返还和转移支付预算分项目表</w:t>
      </w:r>
    </w:p>
    <w:p>
      <w:pPr>
        <w:widowControl/>
        <w:spacing w:line="560" w:lineRule="exact"/>
        <w:ind w:right="-340" w:rightChars="-162"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六、一般公共预算对下税收返还和转移支付预算分地区表</w:t>
      </w:r>
    </w:p>
    <w:p>
      <w:pPr>
        <w:widowControl/>
        <w:spacing w:line="560" w:lineRule="exact"/>
        <w:ind w:right="-340" w:rightChars="-162"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七、一般公共预算税收返还和转移支付预算表</w:t>
      </w:r>
    </w:p>
    <w:p>
      <w:pPr>
        <w:widowControl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八、政府性基金收入预算表</w:t>
      </w:r>
    </w:p>
    <w:p>
      <w:pPr>
        <w:widowControl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九、政府性基金支出预算表</w:t>
      </w:r>
    </w:p>
    <w:p>
      <w:pPr>
        <w:widowControl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十、政府性基金本级支出预算表</w:t>
      </w:r>
    </w:p>
    <w:p>
      <w:pPr>
        <w:widowControl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十一、政府性基金转移支付预算分项目表</w:t>
      </w:r>
    </w:p>
    <w:p>
      <w:pPr>
        <w:widowControl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十二、政府性基金转移支付预算分地区表</w:t>
      </w:r>
    </w:p>
    <w:p>
      <w:pPr>
        <w:widowControl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十三、国有资本经营收入预算表</w:t>
      </w:r>
    </w:p>
    <w:p>
      <w:pPr>
        <w:widowControl/>
        <w:spacing w:line="560" w:lineRule="exact"/>
        <w:ind w:firstLine="640" w:firstLineChars="200"/>
        <w:jc w:val="left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十四、国有资本经营支出预算表</w:t>
      </w:r>
    </w:p>
    <w:p>
      <w:pPr>
        <w:widowControl/>
        <w:spacing w:line="560" w:lineRule="exact"/>
        <w:ind w:firstLine="640" w:firstLineChars="200"/>
        <w:jc w:val="left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</w:rPr>
        <w:t>十四、</w:t>
      </w:r>
      <w:r>
        <w:rPr>
          <w:rFonts w:hint="eastAsia" w:eastAsia="仿宋_GB2312"/>
          <w:sz w:val="32"/>
          <w:szCs w:val="32"/>
          <w:lang w:eastAsia="zh-CN"/>
        </w:rPr>
        <w:t>（</w:t>
      </w:r>
      <w:r>
        <w:rPr>
          <w:rFonts w:hint="eastAsia" w:eastAsia="仿宋_GB2312"/>
          <w:sz w:val="32"/>
          <w:szCs w:val="32"/>
          <w:lang w:val="en-US" w:eastAsia="zh-CN"/>
        </w:rPr>
        <w:t>1）</w:t>
      </w:r>
      <w:r>
        <w:rPr>
          <w:rFonts w:hint="eastAsia" w:eastAsia="仿宋_GB2312"/>
          <w:sz w:val="32"/>
          <w:szCs w:val="32"/>
          <w:lang w:eastAsia="zh-CN"/>
        </w:rPr>
        <w:t>本级国有资本经营支出预算表</w:t>
      </w:r>
    </w:p>
    <w:p>
      <w:pPr>
        <w:widowControl/>
        <w:spacing w:line="560" w:lineRule="exact"/>
        <w:ind w:firstLine="640" w:firstLineChars="200"/>
        <w:jc w:val="left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</w:rPr>
        <w:t>十四、</w:t>
      </w:r>
      <w:r>
        <w:rPr>
          <w:rFonts w:hint="eastAsia" w:eastAsia="仿宋_GB2312"/>
          <w:sz w:val="32"/>
          <w:szCs w:val="32"/>
          <w:lang w:eastAsia="zh-CN"/>
        </w:rPr>
        <w:t>（</w:t>
      </w:r>
      <w:r>
        <w:rPr>
          <w:rFonts w:hint="eastAsia" w:eastAsia="仿宋_GB2312"/>
          <w:sz w:val="32"/>
          <w:szCs w:val="32"/>
          <w:lang w:val="en-US" w:eastAsia="zh-CN"/>
        </w:rPr>
        <w:t>2</w:t>
      </w:r>
      <w:r>
        <w:rPr>
          <w:rFonts w:hint="eastAsia" w:eastAsia="仿宋_GB2312"/>
          <w:sz w:val="32"/>
          <w:szCs w:val="32"/>
          <w:lang w:eastAsia="zh-CN"/>
        </w:rPr>
        <w:t>）对下安排国有资本经营预算转移支付表</w:t>
      </w:r>
    </w:p>
    <w:p>
      <w:pPr>
        <w:widowControl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十五、社会保险基金收入预算表</w:t>
      </w:r>
    </w:p>
    <w:p>
      <w:pPr>
        <w:widowControl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十六、社会保险基金支出预算表</w:t>
      </w:r>
    </w:p>
    <w:p>
      <w:pPr>
        <w:widowControl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十七、地方政府一般债务限额和余额情况表</w:t>
      </w:r>
    </w:p>
    <w:p>
      <w:pPr>
        <w:widowControl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十八、地方政府专项债务限额和余额情况表</w:t>
      </w:r>
    </w:p>
    <w:p>
      <w:pPr>
        <w:widowControl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十九、“三公”经费预算表</w:t>
      </w:r>
    </w:p>
    <w:p>
      <w:pPr>
        <w:widowControl/>
        <w:spacing w:line="560" w:lineRule="exact"/>
        <w:ind w:firstLine="643" w:firstLineChars="200"/>
        <w:jc w:val="left"/>
        <w:rPr>
          <w:rFonts w:eastAsia="仿宋_GB2312"/>
          <w:b/>
          <w:bCs/>
          <w:kern w:val="0"/>
          <w:sz w:val="32"/>
          <w:szCs w:val="32"/>
        </w:rPr>
      </w:pPr>
      <w:r>
        <w:rPr>
          <w:rFonts w:hint="eastAsia" w:eastAsia="仿宋_GB2312"/>
          <w:b/>
          <w:bCs/>
          <w:kern w:val="0"/>
          <w:sz w:val="32"/>
          <w:szCs w:val="32"/>
        </w:rPr>
        <w:t>第三部分 其他重要事项说明（详情请见附件）</w:t>
      </w:r>
    </w:p>
    <w:p>
      <w:pPr>
        <w:spacing w:line="560" w:lineRule="exact"/>
        <w:ind w:left="630" w:leftChars="3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一、一般公共预算收支情况</w:t>
      </w:r>
    </w:p>
    <w:p>
      <w:pPr>
        <w:spacing w:line="560" w:lineRule="exact"/>
        <w:ind w:left="630" w:leftChars="3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二、政府性基金预算收支情况</w:t>
      </w:r>
    </w:p>
    <w:p>
      <w:pPr>
        <w:spacing w:line="560" w:lineRule="exact"/>
        <w:ind w:left="630" w:leftChars="3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三、国有资本经营预算收支情况</w:t>
      </w:r>
    </w:p>
    <w:p>
      <w:pPr>
        <w:spacing w:line="560" w:lineRule="exact"/>
        <w:ind w:left="630" w:leftChars="3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四、社保基金预算收支情况</w:t>
      </w:r>
    </w:p>
    <w:p>
      <w:pPr>
        <w:spacing w:line="560" w:lineRule="exact"/>
        <w:ind w:left="630" w:leftChars="3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五、“三公”经费预算安排情况说明</w:t>
      </w:r>
    </w:p>
    <w:p>
      <w:pPr>
        <w:spacing w:line="560" w:lineRule="exact"/>
        <w:ind w:left="630" w:leftChars="3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六、税收返还和转移支付情况说明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七、地方政府债务情况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八、预算绩效管理工作开展情况</w:t>
      </w:r>
    </w:p>
    <w:p>
      <w:pPr>
        <w:spacing w:line="560" w:lineRule="exact"/>
        <w:ind w:left="630" w:leftChars="3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九、名词解释</w:t>
      </w:r>
    </w:p>
    <w:p>
      <w:pPr>
        <w:widowControl/>
        <w:spacing w:line="560" w:lineRule="exact"/>
        <w:ind w:firstLine="643" w:firstLineChars="200"/>
        <w:jc w:val="left"/>
        <w:rPr>
          <w:rFonts w:eastAsia="仿宋_GB2312"/>
          <w:b/>
          <w:bCs/>
          <w:kern w:val="0"/>
          <w:sz w:val="32"/>
          <w:szCs w:val="32"/>
        </w:rPr>
      </w:pPr>
      <w:r>
        <w:rPr>
          <w:rFonts w:hint="eastAsia" w:eastAsia="仿宋_GB2312"/>
          <w:b/>
          <w:bCs/>
          <w:kern w:val="0"/>
          <w:sz w:val="32"/>
          <w:szCs w:val="32"/>
        </w:rPr>
        <w:t>第四部分 财政扶贫资金公开情况（详情请见附件）</w:t>
      </w:r>
    </w:p>
    <w:p>
      <w:pPr>
        <w:widowControl/>
        <w:spacing w:line="560" w:lineRule="exact"/>
        <w:ind w:firstLine="640" w:firstLineChars="200"/>
        <w:jc w:val="lef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一、县级财政扶贫资金预算安排情况及资金分配公示网址和台账</w:t>
      </w:r>
    </w:p>
    <w:p>
      <w:pPr>
        <w:spacing w:line="560" w:lineRule="exact"/>
        <w:ind w:left="630" w:leftChars="3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二、扶贫资金政策</w:t>
      </w:r>
    </w:p>
    <w:p>
      <w:pPr>
        <w:widowControl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1、道县财政扶贫资金使用管理办法</w:t>
      </w:r>
    </w:p>
    <w:p>
      <w:pPr>
        <w:widowControl/>
        <w:ind w:firstLine="64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2、道县扶贫办项目管理办法</w:t>
      </w:r>
    </w:p>
    <w:p>
      <w:pPr>
        <w:widowControl/>
        <w:ind w:firstLine="64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/>
        <w:spacing w:line="560" w:lineRule="exact"/>
        <w:ind w:firstLine="643" w:firstLineChars="200"/>
        <w:jc w:val="left"/>
        <w:rPr>
          <w:rFonts w:hint="eastAsia" w:eastAsia="仿宋_GB2312"/>
          <w:b/>
          <w:bCs/>
          <w:kern w:val="0"/>
          <w:sz w:val="32"/>
          <w:szCs w:val="32"/>
        </w:rPr>
      </w:pPr>
      <w:r>
        <w:rPr>
          <w:rFonts w:hint="eastAsia" w:eastAsia="仿宋_GB2312"/>
          <w:b/>
          <w:bCs/>
          <w:kern w:val="0"/>
          <w:sz w:val="32"/>
          <w:szCs w:val="32"/>
        </w:rPr>
        <w:fldChar w:fldCharType="begin"/>
      </w:r>
      <w:r>
        <w:rPr>
          <w:rFonts w:hint="eastAsia" w:eastAsia="仿宋_GB2312"/>
          <w:b/>
          <w:bCs/>
          <w:kern w:val="0"/>
          <w:sz w:val="32"/>
          <w:szCs w:val="32"/>
        </w:rPr>
        <w:instrText xml:space="preserve"> HYPERLINK "http://www.dx.gov.cn/dx/caizyjs/202105/ece7607f2d624e16a4b3813e79a51cb8/files/e0440e2652d5468cb1d42ec96b05dfa7.doc" \t "http://www.dx.gov.cn/dx/caizyjs/202105/_blank" </w:instrText>
      </w:r>
      <w:r>
        <w:rPr>
          <w:rFonts w:hint="eastAsia" w:eastAsia="仿宋_GB2312"/>
          <w:b/>
          <w:bCs/>
          <w:kern w:val="0"/>
          <w:sz w:val="32"/>
          <w:szCs w:val="32"/>
        </w:rPr>
        <w:fldChar w:fldCharType="separate"/>
      </w:r>
      <w:r>
        <w:rPr>
          <w:rFonts w:hint="eastAsia" w:eastAsia="仿宋_GB2312"/>
          <w:b/>
          <w:bCs/>
          <w:kern w:val="0"/>
          <w:sz w:val="32"/>
          <w:szCs w:val="32"/>
          <w:lang w:eastAsia="zh-CN"/>
        </w:rPr>
        <w:t>第五部分</w:t>
      </w:r>
      <w:r>
        <w:rPr>
          <w:rFonts w:hint="eastAsia" w:eastAsia="仿宋_GB2312"/>
          <w:b/>
          <w:bCs/>
          <w:kern w:val="0"/>
          <w:sz w:val="32"/>
          <w:szCs w:val="32"/>
          <w:lang w:val="en-US" w:eastAsia="zh-CN"/>
        </w:rPr>
        <w:t xml:space="preserve">  2</w:t>
      </w:r>
      <w:r>
        <w:rPr>
          <w:rFonts w:hint="eastAsia" w:eastAsia="仿宋_GB2312"/>
          <w:b/>
          <w:bCs/>
          <w:kern w:val="0"/>
          <w:sz w:val="32"/>
          <w:szCs w:val="32"/>
        </w:rPr>
        <w:t>021年重大政策和重点项目绩效目标情况</w:t>
      </w:r>
      <w:r>
        <w:rPr>
          <w:rFonts w:hint="eastAsia" w:eastAsia="仿宋_GB2312"/>
          <w:b/>
          <w:bCs/>
          <w:kern w:val="0"/>
          <w:sz w:val="32"/>
          <w:szCs w:val="32"/>
        </w:rPr>
        <w:fldChar w:fldCharType="end"/>
      </w:r>
    </w:p>
    <w:p>
      <w:pPr>
        <w:widowControl/>
        <w:numPr>
          <w:ilvl w:val="0"/>
          <w:numId w:val="2"/>
        </w:numPr>
        <w:spacing w:line="560" w:lineRule="exact"/>
        <w:ind w:left="2244" w:leftChars="304" w:hanging="1606" w:hangingChars="500"/>
        <w:jc w:val="left"/>
        <w:rPr>
          <w:rFonts w:hint="default" w:eastAsia="仿宋_GB2312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b/>
          <w:bCs/>
          <w:kern w:val="0"/>
          <w:sz w:val="32"/>
          <w:szCs w:val="32"/>
          <w:lang w:val="en-US" w:eastAsia="zh-CN"/>
        </w:rPr>
        <w:t xml:space="preserve"> 2021年一般公共预算“三公经费”预算安排情况说明</w:t>
      </w:r>
    </w:p>
    <w:p>
      <w:pPr>
        <w:widowControl/>
        <w:numPr>
          <w:ilvl w:val="0"/>
          <w:numId w:val="2"/>
        </w:numPr>
        <w:spacing w:line="560" w:lineRule="exact"/>
        <w:ind w:left="2244" w:leftChars="304" w:hanging="1606" w:hangingChars="500"/>
        <w:jc w:val="left"/>
        <w:rPr>
          <w:rFonts w:hint="default" w:eastAsia="仿宋_GB2312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b/>
          <w:bCs/>
          <w:kern w:val="0"/>
          <w:sz w:val="32"/>
          <w:szCs w:val="32"/>
          <w:lang w:val="en-US" w:eastAsia="zh-CN"/>
        </w:rPr>
        <w:t>2021年转移支付情况说明</w:t>
      </w:r>
    </w:p>
    <w:p>
      <w:pPr>
        <w:widowControl/>
        <w:numPr>
          <w:ilvl w:val="0"/>
          <w:numId w:val="2"/>
        </w:numPr>
        <w:spacing w:line="560" w:lineRule="exact"/>
        <w:ind w:left="2244" w:leftChars="304" w:hanging="1606" w:hangingChars="500"/>
        <w:jc w:val="left"/>
        <w:rPr>
          <w:rFonts w:hint="default" w:eastAsia="仿宋_GB2312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b/>
          <w:bCs/>
          <w:kern w:val="0"/>
          <w:sz w:val="32"/>
          <w:szCs w:val="32"/>
          <w:lang w:val="en-US" w:eastAsia="zh-CN"/>
        </w:rPr>
        <w:t>2021限额下达表</w:t>
      </w:r>
    </w:p>
    <w:p>
      <w:pPr>
        <w:widowControl/>
        <w:numPr>
          <w:ilvl w:val="0"/>
          <w:numId w:val="2"/>
        </w:numPr>
        <w:spacing w:line="560" w:lineRule="exact"/>
        <w:ind w:left="2244" w:leftChars="304" w:hanging="1606" w:hangingChars="500"/>
        <w:jc w:val="left"/>
        <w:rPr>
          <w:rFonts w:hint="default" w:eastAsia="仿宋_GB2312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b/>
          <w:bCs/>
          <w:kern w:val="0"/>
          <w:sz w:val="32"/>
          <w:szCs w:val="32"/>
          <w:lang w:val="en-US" w:eastAsia="zh-CN"/>
        </w:rPr>
        <w:t>道县债券存续期间公开（2020-2021）</w:t>
      </w:r>
    </w:p>
    <w:p>
      <w:pPr>
        <w:widowControl/>
        <w:numPr>
          <w:ilvl w:val="0"/>
          <w:numId w:val="2"/>
        </w:numPr>
        <w:spacing w:line="560" w:lineRule="exact"/>
        <w:ind w:left="2244" w:leftChars="304" w:hanging="1606" w:hangingChars="500"/>
        <w:jc w:val="left"/>
        <w:rPr>
          <w:rFonts w:hint="default" w:eastAsia="仿宋_GB2312"/>
          <w:b/>
          <w:bCs/>
          <w:kern w:val="0"/>
          <w:sz w:val="32"/>
          <w:szCs w:val="32"/>
          <w:lang w:val="en-US" w:eastAsia="zh-CN"/>
        </w:rPr>
      </w:pPr>
      <w:r>
        <w:rPr>
          <w:rFonts w:hint="default" w:eastAsia="仿宋_GB2312"/>
          <w:b/>
          <w:bCs/>
          <w:kern w:val="0"/>
          <w:sz w:val="32"/>
          <w:szCs w:val="32"/>
          <w:lang w:val="en-US" w:eastAsia="zh-CN"/>
        </w:rPr>
        <w:t>2021年专项转移支付（分地区）情况表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7002811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98E3580"/>
    <w:multiLevelType w:val="singleLevel"/>
    <w:tmpl w:val="C98E3580"/>
    <w:lvl w:ilvl="0" w:tentative="0">
      <w:start w:val="6"/>
      <w:numFmt w:val="chineseCounting"/>
      <w:suff w:val="space"/>
      <w:lvlText w:val="第%1部分"/>
      <w:lvlJc w:val="left"/>
      <w:rPr>
        <w:rFonts w:hint="eastAsia"/>
      </w:rPr>
    </w:lvl>
  </w:abstractNum>
  <w:abstractNum w:abstractNumId="1">
    <w:nsid w:val="5F053555"/>
    <w:multiLevelType w:val="singleLevel"/>
    <w:tmpl w:val="5F053555"/>
    <w:lvl w:ilvl="0" w:tentative="0">
      <w:start w:val="1"/>
      <w:numFmt w:val="chineseCounting"/>
      <w:suff w:val="space"/>
      <w:lvlText w:val="第%1部分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3BFD4FAF"/>
    <w:rsid w:val="001D2DB4"/>
    <w:rsid w:val="00286D36"/>
    <w:rsid w:val="003C7819"/>
    <w:rsid w:val="004631AD"/>
    <w:rsid w:val="00542E8A"/>
    <w:rsid w:val="00615EEE"/>
    <w:rsid w:val="006E58FC"/>
    <w:rsid w:val="00805049"/>
    <w:rsid w:val="00B50F09"/>
    <w:rsid w:val="00D01549"/>
    <w:rsid w:val="00D15966"/>
    <w:rsid w:val="00E56455"/>
    <w:rsid w:val="00E92448"/>
    <w:rsid w:val="03F02465"/>
    <w:rsid w:val="06805996"/>
    <w:rsid w:val="086266FE"/>
    <w:rsid w:val="09052864"/>
    <w:rsid w:val="10EF4952"/>
    <w:rsid w:val="137604B5"/>
    <w:rsid w:val="18E8183E"/>
    <w:rsid w:val="19E70D02"/>
    <w:rsid w:val="1A7750BD"/>
    <w:rsid w:val="200E3155"/>
    <w:rsid w:val="209D28AE"/>
    <w:rsid w:val="22D208BA"/>
    <w:rsid w:val="231412F4"/>
    <w:rsid w:val="256732D6"/>
    <w:rsid w:val="2622779B"/>
    <w:rsid w:val="26345C4D"/>
    <w:rsid w:val="27B034A4"/>
    <w:rsid w:val="28B11C4C"/>
    <w:rsid w:val="2B5008B0"/>
    <w:rsid w:val="35D629A3"/>
    <w:rsid w:val="3BFD4FAF"/>
    <w:rsid w:val="3D422146"/>
    <w:rsid w:val="3E2F6BC2"/>
    <w:rsid w:val="3EFA0730"/>
    <w:rsid w:val="45A231D8"/>
    <w:rsid w:val="46A06ED5"/>
    <w:rsid w:val="49515383"/>
    <w:rsid w:val="4BB173B7"/>
    <w:rsid w:val="4DDA19FE"/>
    <w:rsid w:val="515F18F3"/>
    <w:rsid w:val="518E63FA"/>
    <w:rsid w:val="52636E1A"/>
    <w:rsid w:val="53D74F37"/>
    <w:rsid w:val="53D923F4"/>
    <w:rsid w:val="54FB26E4"/>
    <w:rsid w:val="55BC52F1"/>
    <w:rsid w:val="56682E19"/>
    <w:rsid w:val="573805F2"/>
    <w:rsid w:val="59820429"/>
    <w:rsid w:val="5B6E768A"/>
    <w:rsid w:val="62622836"/>
    <w:rsid w:val="62661164"/>
    <w:rsid w:val="63247728"/>
    <w:rsid w:val="656E25F8"/>
    <w:rsid w:val="68233DBC"/>
    <w:rsid w:val="6B157670"/>
    <w:rsid w:val="72F03241"/>
    <w:rsid w:val="76214D93"/>
    <w:rsid w:val="7661361D"/>
    <w:rsid w:val="774D18A2"/>
    <w:rsid w:val="7AE944D9"/>
    <w:rsid w:val="7D09071F"/>
    <w:rsid w:val="7E806C9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99"/>
    <w:rPr>
      <w:rFonts w:ascii="宋体" w:hAnsi="Courier New" w:cs="宋体"/>
    </w:rPr>
  </w:style>
  <w:style w:type="paragraph" w:styleId="3">
    <w:name w:val="Balloon Text"/>
    <w:basedOn w:val="1"/>
    <w:link w:val="13"/>
    <w:qFormat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Hyperlink"/>
    <w:basedOn w:val="8"/>
    <w:uiPriority w:val="0"/>
    <w:rPr>
      <w:color w:val="0000FF"/>
      <w:u w:val="single"/>
    </w:rPr>
  </w:style>
  <w:style w:type="paragraph" w:styleId="10">
    <w:name w:val="No Spacing"/>
    <w:qFormat/>
    <w:uiPriority w:val="99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customStyle="1" w:styleId="11">
    <w:name w:val="页眉 Char"/>
    <w:basedOn w:val="8"/>
    <w:link w:val="5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批注框文本 Char"/>
    <w:basedOn w:val="8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639</Words>
  <Characters>76</Characters>
  <Lines>1</Lines>
  <Paragraphs>1</Paragraphs>
  <TotalTime>23</TotalTime>
  <ScaleCrop>false</ScaleCrop>
  <LinksUpToDate>false</LinksUpToDate>
  <CharactersWithSpaces>714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2021-06-04T12:24:00Z</dcterms:created>
  <dc:creator>周维</dc:creator>
  <cp:lastModifiedBy>Administrator</cp:lastModifiedBy>
  <dcterms:modified xsi:type="dcterms:W3CDTF">2022-09-05T08:30:18Z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9867823B68A1474FBE65B6D6F9750340</vt:lpwstr>
  </property>
</Properties>
</file>