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EA1EF">
      <w:pPr>
        <w:widowControl/>
        <w:ind w:left="2882" w:leftChars="344" w:hanging="2160" w:hangingChars="600"/>
        <w:jc w:val="left"/>
        <w:rPr>
          <w:rFonts w:ascii="黑体" w:eastAsia="黑体" w:cs="Times New Roman"/>
          <w:color w:val="000000"/>
          <w:kern w:val="0"/>
          <w:sz w:val="70"/>
          <w:szCs w:val="70"/>
        </w:rPr>
      </w:pPr>
      <w:r>
        <w:rPr>
          <w:rFonts w:hint="eastAsia" w:ascii="黑体" w:eastAsia="黑体" w:cs="黑体"/>
          <w:sz w:val="36"/>
          <w:szCs w:val="36"/>
          <w:lang w:eastAsia="zh-CN"/>
        </w:rPr>
        <w:t>工业改制中心</w:t>
      </w:r>
      <w:r>
        <w:rPr>
          <w:rFonts w:hint="eastAsia" w:ascii="黑体" w:eastAsia="黑体" w:cs="黑体"/>
          <w:sz w:val="36"/>
          <w:szCs w:val="36"/>
        </w:rPr>
        <w:t>2024年度整体支出绩效评价报告</w:t>
      </w:r>
    </w:p>
    <w:p w14:paraId="53F713E2">
      <w:pPr>
        <w:jc w:val="center"/>
        <w:rPr>
          <w:rFonts w:ascii="黑体" w:eastAsia="黑体" w:cs="Times New Roman"/>
          <w:sz w:val="36"/>
          <w:szCs w:val="36"/>
        </w:rPr>
      </w:pPr>
    </w:p>
    <w:p w14:paraId="48C29892">
      <w:pPr>
        <w:spacing w:line="520" w:lineRule="exact"/>
        <w:ind w:firstLine="646"/>
        <w:rPr>
          <w:rFonts w:hint="eastAsia" w:cs="Times New Roman" w:asciiTheme="minorEastAsia" w:hAnsiTheme="minorEastAsia" w:eastAsiaTheme="minorEastAsia"/>
          <w:b/>
          <w:bCs/>
          <w:sz w:val="32"/>
          <w:szCs w:val="32"/>
        </w:rPr>
      </w:pPr>
      <w:r>
        <w:rPr>
          <w:rFonts w:hint="eastAsia" w:cs="仿宋" w:asciiTheme="minorEastAsia" w:hAnsiTheme="minorEastAsia" w:eastAsiaTheme="minorEastAsia"/>
          <w:b/>
          <w:bCs/>
          <w:sz w:val="32"/>
          <w:szCs w:val="32"/>
        </w:rPr>
        <w:t>一、部门基本情况</w:t>
      </w:r>
    </w:p>
    <w:p w14:paraId="6C640037">
      <w:pPr>
        <w:ind w:firstLine="660"/>
        <w:rPr>
          <w:rFonts w:hint="eastAsia" w:cs="仿宋" w:asciiTheme="minorEastAsia" w:hAnsiTheme="minorEastAsia" w:eastAsiaTheme="minorEastAsia"/>
          <w:b/>
          <w:bCs/>
          <w:sz w:val="32"/>
          <w:szCs w:val="32"/>
        </w:rPr>
      </w:pPr>
      <w:r>
        <w:rPr>
          <w:rFonts w:hint="eastAsia" w:cs="仿宋" w:asciiTheme="minorEastAsia" w:hAnsiTheme="minorEastAsia" w:eastAsiaTheme="minorEastAsia"/>
          <w:b/>
          <w:bCs/>
          <w:sz w:val="32"/>
          <w:szCs w:val="32"/>
        </w:rPr>
        <w:t>（1）部门基本情况:</w:t>
      </w:r>
    </w:p>
    <w:p w14:paraId="53691C64">
      <w:pPr>
        <w:spacing w:line="600" w:lineRule="exact"/>
        <w:ind w:firstLine="640" w:firstLineChars="200"/>
        <w:rPr>
          <w:rFonts w:hint="eastAsia" w:cs="仿宋" w:asciiTheme="minorEastAsia" w:hAnsiTheme="minorEastAsia" w:eastAsiaTheme="minorEastAsia"/>
          <w:sz w:val="32"/>
          <w:szCs w:val="32"/>
        </w:rPr>
      </w:pPr>
      <w:r>
        <w:rPr>
          <w:rFonts w:hint="eastAsia" w:asciiTheme="minorEastAsia" w:hAnsiTheme="minorEastAsia" w:eastAsiaTheme="minorEastAsia"/>
          <w:bCs/>
          <w:sz w:val="32"/>
          <w:szCs w:val="32"/>
        </w:rPr>
        <w:t>1、职能职责：</w:t>
      </w:r>
      <w:r>
        <w:rPr>
          <w:rFonts w:hint="eastAsia" w:cs="仿宋" w:asciiTheme="minorEastAsia" w:hAnsiTheme="minorEastAsia" w:eastAsiaTheme="minorEastAsia"/>
          <w:sz w:val="32"/>
          <w:szCs w:val="32"/>
        </w:rPr>
        <w:t>(一)参与拟订城市环境卫生和园林绿化工作的中长期规划、城市绿地系统规划并组织实施；参与县城新建、改建、扩建项目的环卫绿化规划论证。</w:t>
      </w:r>
    </w:p>
    <w:p w14:paraId="0272FD13">
      <w:pPr>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(二)负责拟定县城环境卫生和园林绿化建设、管理年度经费预案。</w:t>
      </w:r>
    </w:p>
    <w:p w14:paraId="10638617">
      <w:pPr>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(三)根据授权，参与县城新建、改建、扩建工程建设项目附属环卫、绿化工程设计方案和占用城市绿地的初审；负责对县城环境卫生和园林绿化工程项目开展技术指导。</w:t>
      </w:r>
    </w:p>
    <w:p w14:paraId="551BDF12">
      <w:pPr>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(四)承担县城管辖范围内公园、游园、广场等公共绿地及配套设施的管理与维护工作；负责县城园林绿化信息系统的数据采集和维护工作。</w:t>
      </w:r>
    </w:p>
    <w:p w14:paraId="2949A7A8">
      <w:pPr>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(五)承担国家和省级园林县城创建、大型花卉展览、园林绿化科普活动的相关事务性工作。</w:t>
      </w:r>
    </w:p>
    <w:p w14:paraId="09B1A403">
      <w:pPr>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(六)承担环卫园林科研、花卉生产、苗木培育、园林设计等技术指导工作。</w:t>
      </w:r>
    </w:p>
    <w:p w14:paraId="7EEDC19B">
      <w:pPr>
        <w:spacing w:line="600" w:lineRule="exact"/>
        <w:ind w:firstLine="640" w:firstLineChars="200"/>
        <w:rPr>
          <w:rFonts w:hint="eastAsia" w:cs="仿宋" w:asciiTheme="minorEastAsia" w:hAnsiTheme="minorEastAsia" w:eastAsiaTheme="minorEastAsia"/>
          <w:color w:val="FF0000"/>
          <w:sz w:val="32"/>
          <w:szCs w:val="32"/>
          <w:u w:val="single"/>
        </w:rPr>
      </w:pPr>
      <w:r>
        <w:rPr>
          <w:rFonts w:hint="eastAsia" w:cs="仿宋" w:asciiTheme="minorEastAsia" w:hAnsiTheme="minorEastAsia" w:eastAsiaTheme="minorEastAsia"/>
          <w:sz w:val="32"/>
          <w:szCs w:val="32"/>
        </w:rPr>
        <w:t>(</w:t>
      </w:r>
      <w:r>
        <w:rPr>
          <w:rFonts w:hint="eastAsia" w:cs="仿宋" w:asciiTheme="minorEastAsia" w:hAnsiTheme="minorEastAsia" w:eastAsiaTheme="minorEastAsia"/>
          <w:color w:val="000000"/>
          <w:sz w:val="32"/>
          <w:szCs w:val="32"/>
        </w:rPr>
        <w:t>七)</w:t>
      </w:r>
      <w:r>
        <w:rPr>
          <w:rFonts w:hint="eastAsia" w:cs="仿宋" w:asciiTheme="minorEastAsia" w:hAnsiTheme="minorEastAsia" w:eastAsiaTheme="minorEastAsia"/>
          <w:sz w:val="32"/>
          <w:szCs w:val="32"/>
        </w:rPr>
        <w:t>参与拟订县城环境卫生工作的中长期规划并组织实施；负责组织、指导、监督环卫专业服务机构开展城区清扫保洁、垃圾清运、道路清洗、公厕管理、河道卫生、城区“牛皮癣”清理等工作；负责环卫作业质量考核、垃圾处理营运监管等品质管理工作。</w:t>
      </w:r>
    </w:p>
    <w:p w14:paraId="02295232">
      <w:pPr>
        <w:pStyle w:val="3"/>
        <w:spacing w:line="600" w:lineRule="exact"/>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(八)参与拟订县城环境卫生作业和绿地养护管理技术标准、规范并具体实施；负责县城名木古树保护的技术指导工作；指导环境卫生和园林绿化行业协会开展学术、技术交流活动。</w:t>
      </w:r>
    </w:p>
    <w:p w14:paraId="0642F773">
      <w:pPr>
        <w:widowControl/>
        <w:spacing w:line="600" w:lineRule="exact"/>
        <w:ind w:firstLine="627" w:firstLineChars="196"/>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2、机构设置</w:t>
      </w:r>
    </w:p>
    <w:p w14:paraId="521B9B7E">
      <w:pPr>
        <w:widowControl/>
        <w:ind w:firstLine="640" w:firstLineChars="200"/>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道县城市环境卫生和园林绿化服务中心内设机构包括办公室、政工财务室、环卫事务室、绿化建设事务室、绿化管护事务室、公园管理事务室。</w:t>
      </w:r>
    </w:p>
    <w:p w14:paraId="082921C2">
      <w:pPr>
        <w:numPr>
          <w:ilvl w:val="0"/>
          <w:numId w:val="1"/>
        </w:numPr>
        <w:ind w:firstLine="645"/>
        <w:rPr>
          <w:rFonts w:hint="eastAsia" w:cs="Times New Roman" w:asciiTheme="minorEastAsia" w:hAnsiTheme="minorEastAsia" w:eastAsiaTheme="minorEastAsia"/>
          <w:b/>
          <w:bCs/>
          <w:sz w:val="32"/>
          <w:szCs w:val="32"/>
        </w:rPr>
      </w:pPr>
      <w:r>
        <w:rPr>
          <w:rFonts w:hint="eastAsia" w:cs="Times New Roman" w:asciiTheme="minorEastAsia" w:hAnsiTheme="minorEastAsia" w:eastAsiaTheme="minorEastAsia"/>
          <w:b/>
          <w:bCs/>
          <w:sz w:val="32"/>
          <w:szCs w:val="32"/>
        </w:rPr>
        <w:t>部门2024年度整体支出绩效目标：</w:t>
      </w:r>
    </w:p>
    <w:p w14:paraId="2D00D6BC">
      <w:pPr>
        <w:widowControl/>
        <w:ind w:firstLine="800" w:firstLineChars="250"/>
        <w:jc w:val="left"/>
        <w:rPr>
          <w:rFonts w:hint="eastAsia" w:asciiTheme="minorEastAsia" w:hAnsiTheme="minorEastAsia" w:eastAsiaTheme="minorEastAsia"/>
          <w:kern w:val="0"/>
          <w:sz w:val="32"/>
          <w:szCs w:val="32"/>
        </w:rPr>
      </w:pPr>
      <w:r>
        <w:rPr>
          <w:rFonts w:hint="eastAsia" w:asciiTheme="minorEastAsia" w:hAnsiTheme="minorEastAsia" w:eastAsiaTheme="minorEastAsia"/>
          <w:kern w:val="0"/>
          <w:sz w:val="32"/>
          <w:szCs w:val="32"/>
        </w:rPr>
        <w:t>1、对城区绿地进行日常养护管理。</w:t>
      </w:r>
    </w:p>
    <w:p w14:paraId="143ABA2C">
      <w:pPr>
        <w:widowControl/>
        <w:ind w:firstLine="800" w:firstLineChars="250"/>
        <w:jc w:val="left"/>
        <w:rPr>
          <w:rFonts w:hint="eastAsia" w:asciiTheme="minorEastAsia" w:hAnsiTheme="minorEastAsia" w:eastAsiaTheme="minorEastAsia"/>
          <w:kern w:val="0"/>
          <w:sz w:val="32"/>
          <w:szCs w:val="32"/>
        </w:rPr>
      </w:pPr>
      <w:r>
        <w:rPr>
          <w:rFonts w:hint="eastAsia" w:asciiTheme="minorEastAsia" w:hAnsiTheme="minorEastAsia" w:eastAsiaTheme="minorEastAsia"/>
          <w:kern w:val="0"/>
          <w:sz w:val="32"/>
          <w:szCs w:val="32"/>
        </w:rPr>
        <w:t>2、完成城区公园、游园及其他绿化项目实施、验收</w:t>
      </w:r>
    </w:p>
    <w:p w14:paraId="2C04F597">
      <w:pPr>
        <w:widowControl/>
        <w:ind w:firstLine="800" w:firstLineChars="250"/>
        <w:jc w:val="left"/>
        <w:rPr>
          <w:rFonts w:hint="eastAsia" w:asciiTheme="minorEastAsia" w:hAnsiTheme="minorEastAsia" w:eastAsiaTheme="minorEastAsia"/>
          <w:kern w:val="0"/>
          <w:sz w:val="32"/>
          <w:szCs w:val="32"/>
        </w:rPr>
      </w:pPr>
      <w:r>
        <w:rPr>
          <w:rFonts w:hint="eastAsia" w:asciiTheme="minorEastAsia" w:hAnsiTheme="minorEastAsia" w:eastAsiaTheme="minorEastAsia"/>
          <w:kern w:val="0"/>
          <w:sz w:val="32"/>
          <w:szCs w:val="32"/>
        </w:rPr>
        <w:t>3、城区新增接管卫生保洁面积日常卫生保洁</w:t>
      </w:r>
    </w:p>
    <w:p w14:paraId="554E5FE5">
      <w:pPr>
        <w:widowControl/>
        <w:ind w:firstLine="800" w:firstLineChars="250"/>
        <w:jc w:val="left"/>
        <w:rPr>
          <w:rFonts w:hint="eastAsia" w:asciiTheme="minorEastAsia" w:hAnsiTheme="minorEastAsia" w:eastAsiaTheme="minorEastAsia"/>
          <w:kern w:val="0"/>
          <w:sz w:val="32"/>
          <w:szCs w:val="32"/>
        </w:rPr>
      </w:pPr>
      <w:r>
        <w:rPr>
          <w:rFonts w:hint="eastAsia" w:asciiTheme="minorEastAsia" w:hAnsiTheme="minorEastAsia" w:eastAsiaTheme="minorEastAsia"/>
          <w:kern w:val="0"/>
          <w:sz w:val="32"/>
          <w:szCs w:val="32"/>
        </w:rPr>
        <w:t>4、组织、指导、监督环卫专业服务机构开展城区清扫保洁、垃圾清运、道路清洗、公厕管理、河道卫生、城区“牛皮癣”清理等工作；完成环卫作业质量考核、垃圾处理营运监管等品质管理工作。</w:t>
      </w:r>
    </w:p>
    <w:p w14:paraId="3AC1BD51">
      <w:pPr>
        <w:widowControl/>
        <w:ind w:firstLine="800" w:firstLineChars="250"/>
        <w:jc w:val="left"/>
        <w:rPr>
          <w:rFonts w:hint="eastAsia" w:asciiTheme="minorEastAsia" w:hAnsiTheme="minorEastAsia" w:eastAsiaTheme="minorEastAsia"/>
          <w:kern w:val="0"/>
          <w:sz w:val="32"/>
          <w:szCs w:val="32"/>
        </w:rPr>
      </w:pPr>
    </w:p>
    <w:p w14:paraId="3588A032">
      <w:pPr>
        <w:widowControl/>
        <w:ind w:firstLine="643" w:firstLineChars="200"/>
        <w:jc w:val="left"/>
        <w:rPr>
          <w:rFonts w:hint="eastAsia" w:asciiTheme="minorEastAsia" w:hAnsiTheme="minorEastAsia" w:eastAsiaTheme="minorEastAsia"/>
          <w:b/>
          <w:sz w:val="32"/>
          <w:szCs w:val="32"/>
        </w:rPr>
      </w:pPr>
      <w:r>
        <w:rPr>
          <w:rFonts w:hint="eastAsia" w:cs="STXihei" w:asciiTheme="minorEastAsia" w:hAnsiTheme="minorEastAsia" w:eastAsiaTheme="minorEastAsia"/>
          <w:b/>
          <w:bCs/>
          <w:sz w:val="32"/>
          <w:szCs w:val="32"/>
        </w:rPr>
        <w:t>二、</w:t>
      </w:r>
      <w:r>
        <w:rPr>
          <w:rFonts w:hint="eastAsia" w:asciiTheme="minorEastAsia" w:hAnsiTheme="minorEastAsia" w:eastAsiaTheme="minorEastAsia"/>
          <w:b/>
          <w:sz w:val="32"/>
          <w:szCs w:val="32"/>
        </w:rPr>
        <w:t>一般公共预算支出情况：</w:t>
      </w:r>
    </w:p>
    <w:p w14:paraId="55767AD9">
      <w:pPr>
        <w:widowControl/>
        <w:ind w:firstLine="640" w:firstLineChars="200"/>
        <w:jc w:val="left"/>
        <w:rPr>
          <w:rFonts w:hint="eastAsia" w:cs="仿宋" w:asciiTheme="minorEastAsia" w:hAnsiTheme="minorEastAsia" w:eastAsiaTheme="minorEastAsia"/>
          <w:color w:val="000000" w:themeColor="text1"/>
          <w:sz w:val="32"/>
          <w:szCs w:val="32"/>
        </w:rPr>
      </w:pPr>
      <w:r>
        <w:rPr>
          <w:rFonts w:hint="eastAsia" w:cs="仿宋" w:asciiTheme="minorEastAsia" w:hAnsiTheme="minorEastAsia" w:eastAsiaTheme="minorEastAsia"/>
          <w:sz w:val="32"/>
          <w:szCs w:val="32"/>
        </w:rPr>
        <w:t>1、</w:t>
      </w:r>
      <w:r>
        <w:rPr>
          <w:rFonts w:hint="eastAsia" w:cs="仿宋" w:asciiTheme="minorEastAsia" w:hAnsiTheme="minorEastAsia" w:eastAsiaTheme="minorEastAsia"/>
          <w:color w:val="000000" w:themeColor="text1"/>
          <w:sz w:val="32"/>
          <w:szCs w:val="32"/>
        </w:rPr>
        <w:t>基本支出情况：</w:t>
      </w:r>
    </w:p>
    <w:p w14:paraId="3D53CB1F">
      <w:pPr>
        <w:pStyle w:val="16"/>
        <w:spacing w:after="0" w:line="360" w:lineRule="auto"/>
        <w:ind w:firstLine="658"/>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（一）基本支出情况：本单位2024年总支出821.99</w:t>
      </w:r>
      <w:r>
        <w:rPr>
          <w:rFonts w:hint="eastAsia" w:asciiTheme="minorEastAsia" w:hAnsiTheme="minorEastAsia" w:eastAsiaTheme="minorEastAsia"/>
          <w:sz w:val="32"/>
          <w:szCs w:val="32"/>
        </w:rPr>
        <w:t>万元，其中工资福利支出734.43</w:t>
      </w:r>
      <w:r>
        <w:rPr>
          <w:rFonts w:hint="eastAsia" w:asciiTheme="minorEastAsia" w:hAnsiTheme="minorEastAsia" w:eastAsiaTheme="minorEastAsia"/>
          <w:sz w:val="32"/>
          <w:szCs w:val="32"/>
        </w:rPr>
        <w:t>万元，基本工资299.97</w:t>
      </w:r>
      <w:r>
        <w:rPr>
          <w:rFonts w:hint="eastAsia" w:asciiTheme="minorEastAsia" w:hAnsiTheme="minorEastAsia" w:eastAsiaTheme="minorEastAsia"/>
          <w:sz w:val="32"/>
          <w:szCs w:val="32"/>
        </w:rPr>
        <w:t>万元，津贴补贴123.61</w:t>
      </w:r>
      <w:r>
        <w:rPr>
          <w:rFonts w:hint="eastAsia" w:asciiTheme="minorEastAsia" w:hAnsiTheme="minorEastAsia" w:eastAsiaTheme="minorEastAsia"/>
          <w:sz w:val="32"/>
          <w:szCs w:val="32"/>
        </w:rPr>
        <w:t>万元，奖金144.77万元、绩效工资51.41万元、机关事业单位基本养老保险费74.39万元、职工基本医疗保险缴费40.29万元；对个人和家庭的补助：抚恤金1.58万元，其他对个人和家庭的补助12.25万元；公用经费73.73万元，主要包括办公费7.万元、印刷费3万元、水费0.61万元、电费0.6万元、邮电费0.50万元、差旅费2万元、会议费0.31万元、培训费0.38万元、公务接待费2.29万元、专用材料费18万元、专用燃料费3.00万元、劳务费5.00万元、工会经费11.00万元、福利费10.00万元、其他交通费用2.00万元、其他商品和服务支出7.41万元。</w:t>
      </w:r>
    </w:p>
    <w:p w14:paraId="52A43A81">
      <w:pPr>
        <w:pStyle w:val="16"/>
        <w:spacing w:after="0" w:line="360" w:lineRule="auto"/>
        <w:ind w:firstLine="658"/>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2024年“三公”经费决算数为2.29万元，其中，公务接待费2.29万元，公务用车购置及运行费 0.00万元，因公出国（境）费0.00万元。2024年“三公”经费决算较20</w:t>
      </w:r>
      <w:r>
        <w:rPr>
          <w:rFonts w:asciiTheme="minorEastAsia" w:hAnsiTheme="minorEastAsia" w:eastAsiaTheme="minorEastAsia"/>
          <w:sz w:val="32"/>
          <w:szCs w:val="32"/>
        </w:rPr>
        <w:t>2</w:t>
      </w:r>
      <w:r>
        <w:rPr>
          <w:rFonts w:hint="eastAsia" w:asciiTheme="minorEastAsia" w:hAnsiTheme="minorEastAsia" w:eastAsiaTheme="minorEastAsia"/>
          <w:sz w:val="32"/>
          <w:szCs w:val="32"/>
        </w:rPr>
        <w:t>3年增加了0.31万元，主要原因是：创省园工作增加了开支。</w:t>
      </w:r>
    </w:p>
    <w:p w14:paraId="01654354">
      <w:pPr>
        <w:pStyle w:val="16"/>
        <w:spacing w:after="0" w:line="360" w:lineRule="auto"/>
        <w:ind w:firstLine="60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（二）项目支出情况</w:t>
      </w:r>
    </w:p>
    <w:p w14:paraId="0D05B861">
      <w:pPr>
        <w:spacing w:line="600" w:lineRule="exact"/>
        <w:ind w:firstLine="600" w:firstLineChars="200"/>
        <w:rPr>
          <w:rFonts w:hint="eastAsia" w:cs="仿宋" w:asciiTheme="minorEastAsia" w:hAnsiTheme="minorEastAsia" w:eastAsiaTheme="minorEastAsia"/>
          <w:b/>
          <w:sz w:val="32"/>
          <w:szCs w:val="32"/>
        </w:rPr>
      </w:pPr>
      <w:r>
        <w:rPr>
          <w:rFonts w:hint="eastAsia" w:ascii="仿宋_GB2312" w:hAnsi="宋体"/>
          <w:sz w:val="30"/>
          <w:szCs w:val="30"/>
        </w:rPr>
        <w:t>项目支出1759.59万元：1、餐厨垃圾车运行经费28.03万元；2、城区新增面积环卫作业费725.62万元；3、拨道县长兴路和兴隆路绿化工程款7.70</w:t>
      </w:r>
      <w:r>
        <w:rPr>
          <w:rFonts w:hint="eastAsia" w:cs="仿宋" w:asciiTheme="minorEastAsia" w:hAnsiTheme="minorEastAsia" w:eastAsiaTheme="minorEastAsia"/>
          <w:sz w:val="32"/>
          <w:szCs w:val="32"/>
        </w:rPr>
        <w:t>万元</w:t>
      </w:r>
      <w:r>
        <w:rPr>
          <w:rFonts w:hint="eastAsia" w:ascii="仿宋_GB2312" w:hAnsi="宋体"/>
          <w:sz w:val="30"/>
          <w:szCs w:val="30"/>
        </w:rPr>
        <w:t>；4、拨付2024年城区主次干道断点缺株行道树补植补种工程款80%10</w:t>
      </w:r>
      <w:r>
        <w:rPr>
          <w:rFonts w:hint="eastAsia" w:cs="仿宋" w:asciiTheme="minorEastAsia" w:hAnsiTheme="minorEastAsia" w:eastAsiaTheme="minorEastAsia"/>
          <w:sz w:val="32"/>
          <w:szCs w:val="32"/>
        </w:rPr>
        <w:t>万元；5、拨付2022</w:t>
      </w:r>
      <w:r>
        <w:rPr>
          <w:rFonts w:hint="eastAsia" w:ascii="仿宋_GB2312" w:hAnsi="宋体"/>
          <w:sz w:val="30"/>
          <w:szCs w:val="30"/>
        </w:rPr>
        <w:t>年</w:t>
      </w:r>
      <w:r>
        <w:rPr>
          <w:rFonts w:hint="eastAsia" w:ascii="仿宋_GB2312" w:hAnsi="宋体"/>
          <w:sz w:val="30"/>
          <w:szCs w:val="30"/>
        </w:rPr>
        <w:t>道县城区7-12月花卉种植项目款10万元；6.拨付道县2022年立体绿化项目款5.60万元；7.拨付道县工业园智能制造小镇、广隆科技园绿化项目工程款2.03万元；8.“创省园”迎检工作经费9.22万元；9.拨付2021年道县仙子脚镇黄田岗村文明创建工程款21.74万元；10.拨付道县西洲公园水毁设施重建工程款25.49万元；11.拨付城区主次干道缺株行道树补植补种款10万元；12.拨付道县工业园振兴路、富民五路、轻纺产业园牌楼旁绿化工程款5.95万元；13.拨付道县陈树湘烈士纪念园植物景观工程款10万元；14.拨付道县高速公路连接线与营阳大道连通段隔离绿化项目20万元；15.拨付2024年城区老旧小区、公园、游园、道路公共绿化补植补种工程款80% 10万元；16.拨付宝珍街、长征路口等绿化项目工程款2万元；17.拨付湘源西路口拆挡建绿绿化工程款15万元；18.拨付2023年6月份道县城区花卉种植项目工程款16.79万元；19.拨付2023年道县春节城区绿雕和花卉摆放工程款19.66万元；20.拨付高速公路连接线中间绿化带、金都广场提质改造款20万元；21.拨付城区及老旧小区绿地补植补树项目工程款38万元；22.拨付2024年县环卫园林中心城区绿化养护预算经费277.16万元；23.拨付道县城区公厕建设项目工程款120万元。24、拨付道县工业园富园四路道路绿化项目15万元；</w:t>
      </w:r>
    </w:p>
    <w:p w14:paraId="2F7F21B7">
      <w:pPr>
        <w:spacing w:line="360" w:lineRule="auto"/>
        <w:rPr>
          <w:rFonts w:hint="eastAsia" w:cs="仿宋" w:asciiTheme="minorEastAsia" w:hAnsiTheme="minorEastAsia" w:eastAsiaTheme="minorEastAsia"/>
          <w:b/>
          <w:sz w:val="32"/>
          <w:szCs w:val="32"/>
        </w:rPr>
      </w:pPr>
      <w:r>
        <w:rPr>
          <w:rFonts w:hint="eastAsia" w:cs="仿宋" w:asciiTheme="minorEastAsia" w:hAnsiTheme="minorEastAsia" w:eastAsiaTheme="minorEastAsia"/>
          <w:b/>
          <w:sz w:val="32"/>
          <w:szCs w:val="32"/>
        </w:rPr>
        <w:t>三、政府性基金预算支出情况</w:t>
      </w:r>
      <w:bookmarkStart w:id="1" w:name="_GoBack"/>
      <w:bookmarkEnd w:id="1"/>
    </w:p>
    <w:p w14:paraId="3B3D3BB7">
      <w:pPr>
        <w:spacing w:line="360" w:lineRule="auto"/>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2024年度本部门政府性基金预算支出</w:t>
      </w:r>
      <w:bookmarkStart w:id="0" w:name="_Hlk107304347"/>
      <w:r>
        <w:rPr>
          <w:rFonts w:hint="eastAsia" w:cs="仿宋" w:asciiTheme="minorEastAsia" w:hAnsiTheme="minorEastAsia" w:eastAsiaTheme="minorEastAsia"/>
          <w:sz w:val="32"/>
          <w:szCs w:val="32"/>
        </w:rPr>
        <w:t>334.60万元</w:t>
      </w:r>
      <w:bookmarkEnd w:id="0"/>
      <w:r>
        <w:rPr>
          <w:rFonts w:hint="eastAsia" w:cs="仿宋" w:asciiTheme="minorEastAsia" w:hAnsiTheme="minorEastAsia" w:eastAsiaTheme="minorEastAsia"/>
          <w:sz w:val="32"/>
          <w:szCs w:val="32"/>
        </w:rPr>
        <w:t>：1、拨付高速公路口、潇水北路中间隔离花箱绿化项目款40万元；2、白马公园建设项目工程款4.6万元；3、拨付白马公园（二期）建设项目拆迁、迁坟等费用200万元；4、拨付道县绍基公园建设项目工程款90万元。</w:t>
      </w:r>
    </w:p>
    <w:p w14:paraId="3728AF97">
      <w:pPr>
        <w:spacing w:line="360" w:lineRule="auto"/>
        <w:rPr>
          <w:rFonts w:hint="eastAsia" w:cs="仿宋" w:asciiTheme="minorEastAsia" w:hAnsiTheme="minorEastAsia" w:eastAsiaTheme="minorEastAsia"/>
          <w:b/>
          <w:sz w:val="32"/>
          <w:szCs w:val="32"/>
        </w:rPr>
      </w:pPr>
      <w:r>
        <w:rPr>
          <w:rFonts w:hint="eastAsia" w:cs="仿宋" w:asciiTheme="minorEastAsia" w:hAnsiTheme="minorEastAsia" w:eastAsiaTheme="minorEastAsia"/>
          <w:b/>
          <w:sz w:val="32"/>
          <w:szCs w:val="32"/>
        </w:rPr>
        <w:t>四、国有资本经营预算支出情况</w:t>
      </w:r>
    </w:p>
    <w:p w14:paraId="2EE4F665">
      <w:pPr>
        <w:spacing w:line="360" w:lineRule="auto"/>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2024年度本部门无国有资本经营预算支出。</w:t>
      </w:r>
    </w:p>
    <w:p w14:paraId="20CD3F8F">
      <w:pPr>
        <w:spacing w:line="360" w:lineRule="auto"/>
        <w:ind w:firstLine="643" w:firstLineChars="200"/>
        <w:rPr>
          <w:rFonts w:hint="eastAsia" w:cs="仿宋" w:asciiTheme="minorEastAsia" w:hAnsiTheme="minorEastAsia" w:eastAsiaTheme="minorEastAsia"/>
          <w:b/>
          <w:sz w:val="32"/>
          <w:szCs w:val="32"/>
        </w:rPr>
      </w:pPr>
      <w:r>
        <w:rPr>
          <w:rFonts w:hint="eastAsia" w:cs="仿宋" w:asciiTheme="minorEastAsia" w:hAnsiTheme="minorEastAsia" w:eastAsiaTheme="minorEastAsia"/>
          <w:b/>
          <w:sz w:val="32"/>
          <w:szCs w:val="32"/>
        </w:rPr>
        <w:t>五、社会保障基金预算支出情况</w:t>
      </w:r>
    </w:p>
    <w:p w14:paraId="7D0C13A2">
      <w:pPr>
        <w:spacing w:line="360" w:lineRule="auto"/>
        <w:ind w:firstLine="640" w:firstLineChars="20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2024年度本部门无社会保障基金预算支出。</w:t>
      </w:r>
    </w:p>
    <w:p w14:paraId="535A2104">
      <w:pPr>
        <w:spacing w:line="360" w:lineRule="auto"/>
        <w:ind w:firstLine="643" w:firstLineChars="200"/>
        <w:rPr>
          <w:rFonts w:hint="eastAsia"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六、部门整体支出绩效情况</w:t>
      </w:r>
    </w:p>
    <w:p w14:paraId="43B17756">
      <w:pPr>
        <w:spacing w:line="560" w:lineRule="exact"/>
        <w:ind w:firstLine="643" w:firstLineChars="200"/>
        <w:rPr>
          <w:rFonts w:hint="eastAsia" w:ascii="楷体" w:hAnsi="楷体" w:eastAsia="楷体" w:cs="楷体"/>
          <w:b/>
          <w:bCs/>
          <w:sz w:val="32"/>
          <w:szCs w:val="32"/>
        </w:rPr>
      </w:pPr>
      <w:r>
        <w:rPr>
          <w:rFonts w:hint="eastAsia" w:ascii="黑体" w:hAnsi="黑体" w:eastAsia="黑体" w:cs="黑体"/>
          <w:b/>
          <w:bCs/>
          <w:sz w:val="32"/>
          <w:szCs w:val="32"/>
        </w:rPr>
        <w:t>2024年工作亮点</w:t>
      </w:r>
      <w:r>
        <w:rPr>
          <w:rFonts w:hint="eastAsia" w:ascii="仿宋" w:hAnsi="仿宋" w:eastAsia="仿宋" w:cs="仿宋"/>
          <w:b/>
          <w:bCs/>
          <w:color w:val="000000"/>
          <w:sz w:val="32"/>
          <w:szCs w:val="32"/>
        </w:rPr>
        <w:t>：</w:t>
      </w:r>
      <w:r>
        <w:rPr>
          <w:rFonts w:hint="eastAsia" w:ascii="楷体" w:hAnsi="楷体" w:eastAsia="楷体" w:cs="楷体"/>
          <w:b/>
          <w:bCs/>
          <w:sz w:val="32"/>
          <w:szCs w:val="32"/>
        </w:rPr>
        <w:t>（一）环卫提质紧锣密鼓</w:t>
      </w:r>
    </w:p>
    <w:p w14:paraId="0A3BF2C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立足工作实际，集中“四力”（人力、物力、财力、精力），深推“四大”（大清扫、大清洗、大清运、大清理），落细“四加”（加人、加班、加频、加钱），严执“四治”（治漂浮垃圾、治垃圾满溢、治道路污渍、治牛皮癣），打响“四战”（突击战、攻坚战、歼灭战、持久战），</w:t>
      </w:r>
      <w:r>
        <w:rPr>
          <w:rFonts w:hint="eastAsia" w:ascii="仿宋" w:hAnsi="仿宋" w:eastAsia="仿宋" w:cs="仿宋"/>
          <w:sz w:val="32"/>
          <w:szCs w:val="32"/>
        </w:rPr>
        <w:t>环卫提质紧锣密鼓</w:t>
      </w:r>
      <w:r>
        <w:rPr>
          <w:rFonts w:hint="eastAsia" w:ascii="仿宋" w:hAnsi="仿宋" w:eastAsia="仿宋" w:cs="仿宋"/>
          <w:bCs/>
          <w:sz w:val="32"/>
          <w:szCs w:val="32"/>
        </w:rPr>
        <w:t>，扎实推进、成效显著，</w:t>
      </w:r>
      <w:r>
        <w:rPr>
          <w:rFonts w:hint="eastAsia" w:ascii="仿宋" w:hAnsi="仿宋" w:eastAsia="仿宋" w:cs="仿宋"/>
          <w:sz w:val="32"/>
          <w:szCs w:val="32"/>
        </w:rPr>
        <w:t>为“创国文”实地测评、“巩国卫”复审少扣分、得高分贡献了环卫园林力量。</w:t>
      </w:r>
    </w:p>
    <w:p w14:paraId="38DCF87C">
      <w:pPr>
        <w:spacing w:line="560" w:lineRule="exact"/>
        <w:ind w:firstLine="643"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1.春节期间</w:t>
      </w:r>
      <w:r>
        <w:rPr>
          <w:rFonts w:hint="eastAsia" w:ascii="仿宋" w:hAnsi="仿宋" w:eastAsia="仿宋" w:cs="仿宋"/>
          <w:b/>
          <w:bCs/>
          <w:sz w:val="32"/>
          <w:szCs w:val="32"/>
        </w:rPr>
        <w:t>“干干净净过大年”环卫保洁工作：</w:t>
      </w:r>
      <w:r>
        <w:rPr>
          <w:rFonts w:hint="eastAsia" w:ascii="仿宋" w:hAnsi="仿宋" w:eastAsia="仿宋" w:cs="仿宋"/>
          <w:color w:val="000000"/>
          <w:sz w:val="32"/>
          <w:szCs w:val="32"/>
          <w:shd w:val="clear" w:color="auto" w:fill="FFFFFF"/>
        </w:rPr>
        <w:t>组织对才子苑小区入口道路，种子公司小区、农机公司小区、道州宾馆院内、老氮肥厂周边道路等城区近50万</w:t>
      </w:r>
      <w:r>
        <w:rPr>
          <w:rFonts w:hint="eastAsia" w:ascii="宋体" w:hAnsi="宋体" w:cs="宋体"/>
          <w:color w:val="000000"/>
          <w:sz w:val="32"/>
          <w:szCs w:val="32"/>
          <w:shd w:val="clear" w:color="auto" w:fill="FFFFFF"/>
        </w:rPr>
        <w:t>㎡</w:t>
      </w:r>
      <w:r>
        <w:rPr>
          <w:rFonts w:hint="eastAsia" w:ascii="仿宋" w:hAnsi="仿宋" w:eastAsia="仿宋" w:cs="仿宋"/>
          <w:color w:val="000000"/>
          <w:sz w:val="32"/>
          <w:szCs w:val="32"/>
          <w:shd w:val="clear" w:color="auto" w:fill="FFFFFF"/>
        </w:rPr>
        <w:t>“三不管”卫生死角死面进行卫生突击，共清理清运积存垃圾900余吨；抽调30余人，连续3天晚上加班到凌晨，安排大小清洗车辆8台，对道州南路约3公里中间隔离带护栏进行精细化手工擦洗，面貌焕然一新；组织对城区重点公厕新装或更换红色防滑垫、免费取纸机，检修设施设备，加强卫生保洁，让市民群众入厕更“如意”；落实落细加班、加点、加次、加钱，城区每天垃圾</w:t>
      </w:r>
      <w:r>
        <w:rPr>
          <w:rFonts w:hint="eastAsia" w:ascii="仿宋" w:hAnsi="仿宋" w:eastAsia="仿宋" w:cs="仿宋"/>
          <w:bCs/>
          <w:color w:val="000000"/>
          <w:sz w:val="32"/>
          <w:szCs w:val="32"/>
          <w:shd w:val="clear" w:color="auto" w:fill="FFFFFF"/>
        </w:rPr>
        <w:t>收运量由平时约200吨提升到约400吨；每天调剂不少于洒水车6台，工作时长不低于10小时，错时作业对主次街道、广场、农贸市场等地进行人工抱管精细化冲洗</w:t>
      </w:r>
      <w:r>
        <w:rPr>
          <w:rFonts w:hint="eastAsia" w:ascii="仿宋" w:hAnsi="仿宋" w:eastAsia="仿宋" w:cs="仿宋"/>
          <w:color w:val="000000"/>
          <w:sz w:val="32"/>
          <w:szCs w:val="32"/>
          <w:shd w:val="clear" w:color="auto" w:fill="FFFFFF"/>
        </w:rPr>
        <w:t>；大年三十除夕夜，300余名单位干部职工和环卫工人加班加点到凌晨，清扫、清理、转运烟花爆竹残留物和各类生活垃圾超过450吨。</w:t>
      </w:r>
    </w:p>
    <w:p w14:paraId="10357821">
      <w:pPr>
        <w:spacing w:line="560" w:lineRule="exact"/>
        <w:ind w:firstLine="643"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sz w:val="32"/>
          <w:szCs w:val="32"/>
        </w:rPr>
        <w:t>2.</w:t>
      </w:r>
      <w:r>
        <w:rPr>
          <w:rFonts w:hint="eastAsia" w:ascii="仿宋" w:hAnsi="仿宋" w:eastAsia="仿宋" w:cs="仿宋"/>
          <w:b/>
          <w:bCs/>
          <w:color w:val="000000"/>
          <w:sz w:val="32"/>
          <w:szCs w:val="32"/>
          <w:shd w:val="clear" w:color="auto" w:fill="FFFFFF"/>
        </w:rPr>
        <w:t>追光</w:t>
      </w:r>
      <w:r>
        <w:rPr>
          <w:rFonts w:hint="eastAsia" w:ascii="仿宋" w:hAnsi="仿宋" w:eastAsia="仿宋" w:cs="仿宋"/>
          <w:b/>
          <w:bCs/>
          <w:sz w:val="32"/>
          <w:szCs w:val="32"/>
        </w:rPr>
        <w:t>群星演唱会文体公园环卫保洁工作：</w:t>
      </w:r>
      <w:r>
        <w:rPr>
          <w:rFonts w:hint="eastAsia" w:ascii="仿宋" w:hAnsi="仿宋" w:eastAsia="仿宋" w:cs="仿宋"/>
          <w:color w:val="000000"/>
          <w:sz w:val="32"/>
          <w:szCs w:val="32"/>
          <w:shd w:val="clear" w:color="auto" w:fill="FFFFFF"/>
        </w:rPr>
        <w:t>3月27日-3月30日，连续4天组织环卫工人60余名，各型环卫作业车辆12台，对文体公园体育场内、外及周边道路、场内10座公厕进行全面</w:t>
      </w:r>
      <w:r>
        <w:rPr>
          <w:rFonts w:hint="eastAsia" w:ascii="仿宋" w:hAnsi="仿宋" w:eastAsia="仿宋" w:cs="仿宋"/>
          <w:sz w:val="32"/>
          <w:szCs w:val="32"/>
        </w:rPr>
        <w:t>环卫突击作业，</w:t>
      </w:r>
      <w:r>
        <w:rPr>
          <w:rFonts w:hint="eastAsia" w:ascii="仿宋" w:hAnsi="仿宋" w:eastAsia="仿宋" w:cs="仿宋"/>
          <w:color w:val="000000"/>
          <w:sz w:val="32"/>
          <w:szCs w:val="32"/>
          <w:shd w:val="clear" w:color="auto" w:fill="FFFFFF"/>
        </w:rPr>
        <w:t>共清理清运积存垃圾200余吨，多年未使用的体育场内、外干净整洁，特别是近2万名观演群众离场后，卫生清理迅速及时，卫生面貌焕然一新。</w:t>
      </w:r>
    </w:p>
    <w:p w14:paraId="6E4E3D9D">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3.端午节龙舟赛期间环卫保洁工作：</w:t>
      </w:r>
      <w:r>
        <w:rPr>
          <w:rFonts w:hint="eastAsia" w:ascii="仿宋" w:hAnsi="仿宋" w:eastAsia="仿宋" w:cs="仿宋"/>
          <w:sz w:val="32"/>
          <w:szCs w:val="32"/>
        </w:rPr>
        <w:t>集中“四力”。</w:t>
      </w:r>
      <w:r>
        <w:rPr>
          <w:rFonts w:hint="eastAsia" w:ascii="楷体" w:hAnsi="楷体" w:eastAsia="楷体" w:cs="楷体"/>
          <w:b/>
          <w:sz w:val="32"/>
          <w:szCs w:val="32"/>
        </w:rPr>
        <w:t>一是人力。</w:t>
      </w:r>
      <w:r>
        <w:rPr>
          <w:rFonts w:hint="eastAsia" w:ascii="仿宋" w:hAnsi="仿宋" w:eastAsia="仿宋" w:cs="仿宋"/>
          <w:bCs/>
          <w:sz w:val="32"/>
          <w:szCs w:val="32"/>
        </w:rPr>
        <w:t>直接投入</w:t>
      </w:r>
      <w:r>
        <w:rPr>
          <w:rFonts w:hint="eastAsia" w:ascii="仿宋" w:hAnsi="仿宋" w:eastAsia="仿宋" w:cs="仿宋"/>
          <w:sz w:val="32"/>
          <w:szCs w:val="32"/>
        </w:rPr>
        <w:t>赛事服务（下同）</w:t>
      </w:r>
      <w:r>
        <w:rPr>
          <w:rFonts w:hint="eastAsia" w:ascii="仿宋" w:hAnsi="仿宋" w:eastAsia="仿宋" w:cs="仿宋"/>
          <w:bCs/>
          <w:sz w:val="32"/>
          <w:szCs w:val="32"/>
        </w:rPr>
        <w:t>不少于200人，其中调剂和</w:t>
      </w:r>
      <w:r>
        <w:rPr>
          <w:rFonts w:hint="eastAsia" w:ascii="仿宋" w:hAnsi="仿宋" w:eastAsia="仿宋" w:cs="仿宋"/>
          <w:sz w:val="32"/>
          <w:szCs w:val="32"/>
        </w:rPr>
        <w:t>抽调环卫工人150余人、园林工人20余人、单位干部职工志愿者30余人</w:t>
      </w:r>
      <w:r>
        <w:rPr>
          <w:rFonts w:hint="eastAsia" w:ascii="仿宋" w:hAnsi="仿宋" w:eastAsia="仿宋" w:cs="仿宋"/>
          <w:bCs/>
          <w:sz w:val="32"/>
          <w:szCs w:val="32"/>
        </w:rPr>
        <w:t>。</w:t>
      </w:r>
      <w:r>
        <w:rPr>
          <w:rFonts w:hint="eastAsia" w:ascii="楷体" w:hAnsi="楷体" w:eastAsia="楷体" w:cs="楷体"/>
          <w:b/>
          <w:sz w:val="32"/>
          <w:szCs w:val="32"/>
        </w:rPr>
        <w:t>二是物力。</w:t>
      </w:r>
      <w:r>
        <w:rPr>
          <w:rFonts w:hint="eastAsia" w:ascii="仿宋" w:hAnsi="仿宋" w:eastAsia="仿宋" w:cs="仿宋"/>
          <w:bCs/>
          <w:sz w:val="32"/>
          <w:szCs w:val="32"/>
        </w:rPr>
        <w:t>调剂洒水车（含</w:t>
      </w:r>
      <w:r>
        <w:rPr>
          <w:rFonts w:hint="eastAsia" w:ascii="仿宋" w:hAnsi="仿宋" w:eastAsia="仿宋" w:cs="仿宋"/>
          <w:sz w:val="32"/>
          <w:szCs w:val="32"/>
        </w:rPr>
        <w:t>人工抱管清洗车</w:t>
      </w:r>
      <w:r>
        <w:rPr>
          <w:rFonts w:hint="eastAsia" w:ascii="仿宋" w:hAnsi="仿宋" w:eastAsia="仿宋" w:cs="仿宋"/>
          <w:bCs/>
          <w:sz w:val="32"/>
          <w:szCs w:val="32"/>
        </w:rPr>
        <w:t>）6台、垃圾清运车4台、</w:t>
      </w:r>
      <w:r>
        <w:rPr>
          <w:rFonts w:hint="eastAsia" w:ascii="仿宋" w:hAnsi="仿宋" w:eastAsia="仿宋" w:cs="仿宋"/>
          <w:sz w:val="32"/>
          <w:szCs w:val="32"/>
        </w:rPr>
        <w:t>配备240L垃圾桶200余个、采购大包装编织袋或食品袋1000个、各类环卫工具300余套。</w:t>
      </w:r>
      <w:r>
        <w:rPr>
          <w:rFonts w:hint="eastAsia" w:ascii="楷体" w:hAnsi="楷体" w:eastAsia="楷体" w:cs="楷体"/>
          <w:b/>
          <w:bCs/>
          <w:sz w:val="32"/>
          <w:szCs w:val="32"/>
        </w:rPr>
        <w:t>三是财力。</w:t>
      </w:r>
      <w:r>
        <w:rPr>
          <w:rFonts w:hint="eastAsia" w:ascii="仿宋" w:hAnsi="仿宋" w:eastAsia="仿宋" w:cs="仿宋"/>
          <w:color w:val="000000"/>
          <w:sz w:val="32"/>
          <w:szCs w:val="32"/>
          <w:shd w:val="clear" w:color="auto" w:fill="FFFFFF"/>
        </w:rPr>
        <w:t>安排工作经费不少于20万元，用于公厕维修改造、添置设施设备、工人加班工资、中餐晚餐盒饭供应等。</w:t>
      </w:r>
      <w:r>
        <w:rPr>
          <w:rFonts w:hint="eastAsia" w:ascii="楷体" w:hAnsi="楷体" w:eastAsia="楷体" w:cs="楷体"/>
          <w:b/>
          <w:bCs/>
          <w:color w:val="000000"/>
          <w:sz w:val="32"/>
          <w:szCs w:val="32"/>
          <w:shd w:val="clear" w:color="auto" w:fill="FFFFFF"/>
        </w:rPr>
        <w:t>四是精力。</w:t>
      </w:r>
      <w:r>
        <w:rPr>
          <w:rFonts w:hint="eastAsia" w:ascii="仿宋" w:hAnsi="仿宋" w:eastAsia="仿宋" w:cs="仿宋"/>
          <w:color w:val="000000"/>
          <w:sz w:val="32"/>
          <w:szCs w:val="32"/>
          <w:shd w:val="clear" w:color="auto" w:fill="FFFFFF"/>
        </w:rPr>
        <w:t>单位主要领导、分管领导、相关工作人员全天候深入一线，分工负责开展各项工作。</w:t>
      </w:r>
      <w:r>
        <w:rPr>
          <w:rFonts w:hint="eastAsia" w:ascii="仿宋" w:hAnsi="仿宋" w:eastAsia="仿宋" w:cs="仿宋"/>
          <w:bCs/>
          <w:sz w:val="32"/>
          <w:szCs w:val="32"/>
        </w:rPr>
        <w:t>深推“四大”。</w:t>
      </w:r>
      <w:r>
        <w:rPr>
          <w:rFonts w:hint="eastAsia" w:ascii="楷体" w:hAnsi="楷体" w:eastAsia="楷体" w:cs="楷体"/>
          <w:b/>
          <w:bCs/>
          <w:sz w:val="32"/>
          <w:szCs w:val="32"/>
        </w:rPr>
        <w:t>一是大修剪。</w:t>
      </w:r>
      <w:r>
        <w:rPr>
          <w:rFonts w:hint="eastAsia" w:ascii="仿宋" w:hAnsi="仿宋" w:eastAsia="仿宋" w:cs="仿宋"/>
          <w:color w:val="000000"/>
          <w:kern w:val="0"/>
          <w:sz w:val="32"/>
          <w:szCs w:val="32"/>
        </w:rPr>
        <w:t>对</w:t>
      </w:r>
      <w:r>
        <w:rPr>
          <w:rFonts w:hint="eastAsia" w:ascii="仿宋" w:hAnsi="仿宋" w:eastAsia="仿宋" w:cs="仿宋"/>
          <w:sz w:val="32"/>
          <w:szCs w:val="32"/>
        </w:rPr>
        <w:t>赛事周边所有沿路、沿河的</w:t>
      </w:r>
      <w:r>
        <w:rPr>
          <w:rFonts w:hint="eastAsia" w:ascii="仿宋" w:hAnsi="仿宋" w:eastAsia="仿宋" w:cs="仿宋"/>
          <w:color w:val="000000"/>
          <w:kern w:val="0"/>
          <w:sz w:val="32"/>
          <w:szCs w:val="32"/>
        </w:rPr>
        <w:t>大树下垂枝、小乔木、小杂木、病枝枯枝和绿篱小苗进行标准化修剪。</w:t>
      </w:r>
      <w:r>
        <w:rPr>
          <w:rFonts w:hint="eastAsia" w:ascii="楷体" w:hAnsi="楷体" w:eastAsia="楷体" w:cs="楷体"/>
          <w:b/>
          <w:bCs/>
          <w:color w:val="000000"/>
          <w:kern w:val="0"/>
          <w:sz w:val="32"/>
          <w:szCs w:val="32"/>
        </w:rPr>
        <w:t>二是</w:t>
      </w:r>
      <w:r>
        <w:rPr>
          <w:rFonts w:hint="eastAsia" w:ascii="楷体" w:hAnsi="楷体" w:eastAsia="楷体" w:cs="楷体"/>
          <w:b/>
          <w:bCs/>
          <w:sz w:val="32"/>
          <w:szCs w:val="32"/>
        </w:rPr>
        <w:t>大清扫。</w:t>
      </w:r>
      <w:r>
        <w:rPr>
          <w:rFonts w:hint="eastAsia" w:ascii="仿宋" w:hAnsi="仿宋" w:eastAsia="仿宋" w:cs="仿宋"/>
          <w:sz w:val="32"/>
          <w:szCs w:val="32"/>
        </w:rPr>
        <w:t>每日上午6时至晚上9时共计16小时不间断普扫保洁、巡回保洁、快速保洁、错时保洁，全力清理白色垃圾、漂浮垃圾和各类杂物。</w:t>
      </w:r>
      <w:r>
        <w:rPr>
          <w:rFonts w:hint="eastAsia" w:ascii="楷体" w:hAnsi="楷体" w:eastAsia="楷体" w:cs="楷体"/>
          <w:b/>
          <w:bCs/>
          <w:sz w:val="32"/>
          <w:szCs w:val="32"/>
        </w:rPr>
        <w:t>三是大清洗。</w:t>
      </w:r>
      <w:r>
        <w:rPr>
          <w:rFonts w:hint="eastAsia" w:ascii="仿宋" w:hAnsi="仿宋" w:eastAsia="仿宋" w:cs="仿宋"/>
          <w:sz w:val="32"/>
          <w:szCs w:val="32"/>
        </w:rPr>
        <w:t>每天晚上7时开始，对赛事周边道路、人行道、步行道、垃圾容器、公厕及周边地段进行精细化人工抱管清洗，力争洗尽当日泥土、洗尽各类污渍。</w:t>
      </w:r>
      <w:r>
        <w:rPr>
          <w:rFonts w:hint="eastAsia" w:ascii="楷体" w:hAnsi="楷体" w:eastAsia="楷体" w:cs="楷体"/>
          <w:b/>
          <w:bCs/>
          <w:sz w:val="32"/>
          <w:szCs w:val="32"/>
        </w:rPr>
        <w:t>四是大清运。</w:t>
      </w:r>
      <w:r>
        <w:rPr>
          <w:rFonts w:hint="eastAsia" w:ascii="仿宋" w:hAnsi="仿宋" w:eastAsia="仿宋" w:cs="仿宋"/>
          <w:sz w:val="32"/>
          <w:szCs w:val="32"/>
        </w:rPr>
        <w:t>每天垃圾清运不少于4次，确保实现垃圾当日产当日清。落细“四加”。</w:t>
      </w:r>
      <w:r>
        <w:rPr>
          <w:rFonts w:hint="eastAsia" w:ascii="楷体" w:hAnsi="楷体" w:eastAsia="楷体" w:cs="楷体"/>
          <w:b/>
          <w:bCs/>
          <w:sz w:val="32"/>
          <w:szCs w:val="32"/>
        </w:rPr>
        <w:t>一是清扫加人。</w:t>
      </w:r>
      <w:r>
        <w:rPr>
          <w:rFonts w:hint="eastAsia" w:ascii="仿宋" w:hAnsi="仿宋" w:eastAsia="仿宋" w:cs="仿宋"/>
          <w:sz w:val="32"/>
          <w:szCs w:val="32"/>
        </w:rPr>
        <w:t>清扫保洁人员在常规数量的基础上要按双倍安排，同时抽调和调剂安排快速保洁、错时保洁、河道保洁、垃圾清运、抱管冲洗人员不少于150人。</w:t>
      </w:r>
      <w:r>
        <w:rPr>
          <w:rFonts w:hint="eastAsia" w:ascii="楷体" w:hAnsi="楷体" w:eastAsia="楷体" w:cs="楷体"/>
          <w:b/>
          <w:bCs/>
          <w:sz w:val="32"/>
          <w:szCs w:val="32"/>
        </w:rPr>
        <w:t>二是清运加次。</w:t>
      </w:r>
      <w:r>
        <w:rPr>
          <w:rFonts w:hint="eastAsia" w:ascii="仿宋" w:hAnsi="仿宋" w:eastAsia="仿宋" w:cs="仿宋"/>
          <w:sz w:val="32"/>
          <w:szCs w:val="32"/>
        </w:rPr>
        <w:t>在常规数量每天2次的基础上增加到不少于4次，同时安排1台应急用车，垃圾量大时随喊随到。</w:t>
      </w:r>
      <w:r>
        <w:rPr>
          <w:rFonts w:hint="eastAsia" w:ascii="楷体" w:hAnsi="楷体" w:eastAsia="楷体" w:cs="楷体"/>
          <w:b/>
          <w:bCs/>
          <w:sz w:val="32"/>
          <w:szCs w:val="32"/>
        </w:rPr>
        <w:t>三是清洗加频。</w:t>
      </w:r>
      <w:r>
        <w:rPr>
          <w:rFonts w:hint="eastAsia" w:ascii="仿宋" w:hAnsi="仿宋" w:eastAsia="仿宋" w:cs="仿宋"/>
          <w:sz w:val="32"/>
          <w:szCs w:val="32"/>
        </w:rPr>
        <w:t>在常规数量每3—5天清洗1次的基础上增加到每天晚上清洗1次。</w:t>
      </w:r>
      <w:r>
        <w:rPr>
          <w:rFonts w:hint="eastAsia" w:ascii="楷体" w:hAnsi="楷体" w:eastAsia="楷体" w:cs="楷体"/>
          <w:b/>
          <w:bCs/>
          <w:sz w:val="32"/>
          <w:szCs w:val="32"/>
        </w:rPr>
        <w:t>四是工作加班。</w:t>
      </w:r>
      <w:r>
        <w:rPr>
          <w:rFonts w:hint="eastAsia" w:ascii="仿宋" w:hAnsi="仿宋" w:eastAsia="仿宋" w:cs="仿宋"/>
          <w:sz w:val="32"/>
          <w:szCs w:val="32"/>
        </w:rPr>
        <w:t>一切以赛事期间干净、整洁为主，环卫、园林工人超过往日工作时长全部算加班，按规定发放加班工资，充分调动工作积极性。端午节龙舟赛期间环卫保洁，被县委、县政府主要领导赞誉为多年来最干净的一年，</w:t>
      </w:r>
      <w:r>
        <w:rPr>
          <w:rFonts w:hint="eastAsia" w:ascii="仿宋" w:hAnsi="仿宋" w:eastAsia="仿宋" w:cs="仿宋"/>
          <w:color w:val="000000"/>
          <w:sz w:val="32"/>
          <w:szCs w:val="32"/>
          <w:shd w:val="clear" w:color="auto" w:fill="FFFFFF"/>
        </w:rPr>
        <w:t>社会各界充分肯定，反响非常好。</w:t>
      </w:r>
    </w:p>
    <w:p w14:paraId="4A9E8FA5">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（二）绿化建管风声水起</w:t>
      </w:r>
    </w:p>
    <w:p w14:paraId="3FF97E1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巩固“创省园”成果，谋划“创国园”指标工作为总抓手，科学谋划并精细实施进一步增绿、扩绿、补绿、植绿、护绿系列工程，绿化建管成效显著，县城建成区绿地率被省住建厅认定为34.37％，比撤县设市指标≥33％高出1.37个百分点。</w:t>
      </w:r>
    </w:p>
    <w:p w14:paraId="61670754">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1.九井塘公园建设加速推进。</w:t>
      </w:r>
      <w:r>
        <w:rPr>
          <w:rFonts w:hint="eastAsia" w:ascii="仿宋" w:hAnsi="仿宋" w:eastAsia="仿宋" w:cs="仿宋"/>
          <w:sz w:val="32"/>
          <w:szCs w:val="32"/>
        </w:rPr>
        <w:t>九井塘公园位于东洲大道路以西，北门社区以北，包含园路、栈道和观景廊架等园建、公园绿化景观营造、配套管理用房、公厕等建筑以及给排水配套项目等建设内容。项目总投资约1500万元，总用地3.144万平方米（约47.2亩），截止目前，项目一期已完成总工程量的约80%，争取2024年底全部完成一期工程建设。</w:t>
      </w:r>
    </w:p>
    <w:p w14:paraId="48910C97">
      <w:pPr>
        <w:spacing w:line="560" w:lineRule="exact"/>
        <w:ind w:firstLine="643" w:firstLineChars="200"/>
        <w:rPr>
          <w:rFonts w:hint="eastAsia" w:ascii="仿宋" w:hAnsi="仿宋" w:eastAsia="仿宋"/>
          <w:sz w:val="32"/>
          <w:szCs w:val="32"/>
        </w:rPr>
      </w:pPr>
      <w:r>
        <w:rPr>
          <w:rFonts w:hint="eastAsia" w:ascii="仿宋" w:hAnsi="仿宋" w:eastAsia="仿宋" w:cs="仿宋"/>
          <w:b/>
          <w:bCs/>
          <w:sz w:val="32"/>
          <w:szCs w:val="32"/>
        </w:rPr>
        <w:t>2.白马公园建设进展顺利。</w:t>
      </w:r>
      <w:r>
        <w:rPr>
          <w:rFonts w:hint="eastAsia" w:ascii="仿宋" w:hAnsi="仿宋" w:eastAsia="仿宋"/>
          <w:color w:val="000000"/>
          <w:sz w:val="32"/>
          <w:szCs w:val="32"/>
          <w:shd w:val="clear" w:color="auto" w:fill="FFFFFF"/>
        </w:rPr>
        <w:t>白马公园位于城南中心片区，总占地面积</w:t>
      </w:r>
      <w:r>
        <w:rPr>
          <w:rFonts w:hint="eastAsia" w:ascii="仿宋" w:hAnsi="仿宋" w:eastAsia="仿宋"/>
          <w:sz w:val="32"/>
          <w:szCs w:val="32"/>
        </w:rPr>
        <w:t>约450亩（其中公园主体景观占地面积361.86.69亩），主要建设内容有商住综合体（海湘·九樾府）、万家庄路、</w:t>
      </w:r>
      <w:r>
        <w:rPr>
          <w:rFonts w:hint="eastAsia" w:ascii="仿宋" w:hAnsi="仿宋" w:eastAsia="仿宋"/>
          <w:color w:val="000000"/>
          <w:sz w:val="32"/>
          <w:szCs w:val="32"/>
          <w:shd w:val="clear" w:color="auto" w:fill="FFFFFF"/>
        </w:rPr>
        <w:t>公园主体景观</w:t>
      </w:r>
      <w:r>
        <w:rPr>
          <w:rFonts w:hint="eastAsia" w:ascii="仿宋" w:hAnsi="仿宋" w:eastAsia="仿宋"/>
          <w:sz w:val="32"/>
          <w:szCs w:val="32"/>
        </w:rPr>
        <w:t>等，着力</w:t>
      </w:r>
      <w:r>
        <w:rPr>
          <w:rFonts w:hint="eastAsia" w:ascii="仿宋" w:hAnsi="仿宋" w:eastAsia="仿宋"/>
          <w:color w:val="000000"/>
          <w:sz w:val="32"/>
          <w:szCs w:val="32"/>
          <w:shd w:val="clear" w:color="auto" w:fill="FFFFFF"/>
        </w:rPr>
        <w:t>打造以“莲文化”为主题，集休闲、健身、运动、娱乐等为一体的多功能城市综合性公园。截至目前，</w:t>
      </w:r>
      <w:r>
        <w:rPr>
          <w:rFonts w:hint="eastAsia" w:ascii="楷体" w:hAnsi="楷体" w:eastAsia="楷体" w:cs="楷体"/>
          <w:b/>
          <w:bCs/>
          <w:sz w:val="32"/>
          <w:szCs w:val="32"/>
        </w:rPr>
        <w:t>手续报批方面，</w:t>
      </w:r>
      <w:r>
        <w:rPr>
          <w:rFonts w:hint="eastAsia" w:ascii="仿宋" w:hAnsi="仿宋" w:eastAsia="仿宋" w:cs="仿宋"/>
          <w:sz w:val="32"/>
          <w:szCs w:val="32"/>
        </w:rPr>
        <w:t>已完成项目选址论证报告、可行性研究报告、办理选址意见书、稳评、立项、土地预审、林地报批、国土报批等前期相关手续。</w:t>
      </w:r>
      <w:r>
        <w:rPr>
          <w:rFonts w:hint="eastAsia" w:ascii="楷体" w:hAnsi="楷体" w:eastAsia="楷体" w:cs="楷体"/>
          <w:b/>
          <w:bCs/>
          <w:sz w:val="32"/>
          <w:szCs w:val="32"/>
        </w:rPr>
        <w:t>征地拆迁方面，</w:t>
      </w:r>
      <w:r>
        <w:rPr>
          <w:rFonts w:hint="eastAsia" w:ascii="仿宋" w:hAnsi="仿宋" w:eastAsia="仿宋"/>
          <w:kern w:val="0"/>
          <w:sz w:val="32"/>
          <w:szCs w:val="32"/>
        </w:rPr>
        <w:t>361.86亩</w:t>
      </w:r>
      <w:r>
        <w:rPr>
          <w:rFonts w:hint="eastAsia" w:ascii="仿宋" w:hAnsi="仿宋" w:eastAsia="仿宋"/>
          <w:sz w:val="32"/>
          <w:szCs w:val="32"/>
        </w:rPr>
        <w:t>公园用地已</w:t>
      </w:r>
      <w:r>
        <w:rPr>
          <w:rFonts w:hint="eastAsia" w:ascii="仿宋" w:hAnsi="仿宋" w:eastAsia="仿宋"/>
          <w:kern w:val="0"/>
          <w:sz w:val="32"/>
          <w:szCs w:val="32"/>
        </w:rPr>
        <w:t>于2021年7月1日经省人民政府批准（[2021]政国土字第689号），已完成土地权</w:t>
      </w:r>
      <w:r>
        <w:rPr>
          <w:rStyle w:val="19"/>
          <w:rFonts w:hint="eastAsia" w:ascii="仿宋" w:hAnsi="仿宋" w:eastAsia="仿宋"/>
          <w:sz w:val="32"/>
          <w:szCs w:val="32"/>
        </w:rPr>
        <w:t>属到组踏界、面积测量、</w:t>
      </w:r>
      <w:r>
        <w:rPr>
          <w:rFonts w:hint="eastAsia" w:ascii="仿宋" w:hAnsi="仿宋" w:eastAsia="仿宋"/>
          <w:sz w:val="32"/>
          <w:szCs w:val="32"/>
        </w:rPr>
        <w:t>发布征收公告、征收协议签订和费用补偿工作；公园用地红线范围内拟征收的两座房屋，</w:t>
      </w:r>
      <w:r>
        <w:rPr>
          <w:rFonts w:hint="eastAsia" w:ascii="仿宋" w:hAnsi="仿宋" w:eastAsia="仿宋" w:cs="Times New Roman"/>
          <w:sz w:val="32"/>
          <w:szCs w:val="32"/>
        </w:rPr>
        <w:t>已完成</w:t>
      </w:r>
      <w:r>
        <w:rPr>
          <w:rFonts w:hint="eastAsia" w:ascii="仿宋" w:hAnsi="仿宋" w:eastAsia="仿宋"/>
          <w:sz w:val="32"/>
          <w:szCs w:val="32"/>
        </w:rPr>
        <w:t>房屋性质认定及安置补偿建议意见。</w:t>
      </w:r>
      <w:r>
        <w:rPr>
          <w:rFonts w:hint="eastAsia" w:ascii="楷体" w:hAnsi="楷体" w:eastAsia="楷体" w:cs="楷体"/>
          <w:b/>
          <w:bCs/>
          <w:sz w:val="32"/>
          <w:szCs w:val="32"/>
        </w:rPr>
        <w:t>迁坟方面，</w:t>
      </w:r>
      <w:r>
        <w:rPr>
          <w:rFonts w:hint="eastAsia" w:ascii="仿宋" w:hAnsi="仿宋" w:eastAsia="仿宋"/>
          <w:sz w:val="32"/>
          <w:szCs w:val="32"/>
        </w:rPr>
        <w:t>公园用地红线范围内共有</w:t>
      </w:r>
      <w:r>
        <w:rPr>
          <w:rFonts w:hint="eastAsia" w:ascii="仿宋" w:hAnsi="仿宋" w:eastAsia="仿宋" w:cs="仿宋"/>
          <w:sz w:val="32"/>
          <w:szCs w:val="32"/>
        </w:rPr>
        <w:t>约630</w:t>
      </w:r>
      <w:r>
        <w:rPr>
          <w:rFonts w:hint="eastAsia" w:ascii="仿宋" w:hAnsi="仿宋" w:eastAsia="仿宋"/>
          <w:kern w:val="0"/>
          <w:sz w:val="32"/>
          <w:szCs w:val="32"/>
        </w:rPr>
        <w:t>余座</w:t>
      </w:r>
      <w:r>
        <w:rPr>
          <w:rFonts w:hint="eastAsia" w:ascii="仿宋" w:hAnsi="仿宋" w:eastAsia="仿宋" w:cs="Times New Roman"/>
          <w:sz w:val="32"/>
          <w:szCs w:val="32"/>
        </w:rPr>
        <w:t>坟墓，</w:t>
      </w:r>
      <w:r>
        <w:rPr>
          <w:rFonts w:hint="eastAsia" w:ascii="仿宋" w:hAnsi="仿宋" w:eastAsia="仿宋"/>
          <w:sz w:val="32"/>
          <w:szCs w:val="32"/>
        </w:rPr>
        <w:t>目前</w:t>
      </w:r>
      <w:r>
        <w:rPr>
          <w:rFonts w:hint="eastAsia" w:ascii="仿宋" w:hAnsi="仿宋" w:eastAsia="仿宋" w:cs="Times New Roman"/>
          <w:sz w:val="32"/>
          <w:szCs w:val="32"/>
        </w:rPr>
        <w:t>已完成迁移600</w:t>
      </w:r>
      <w:r>
        <w:rPr>
          <w:rFonts w:hint="eastAsia" w:ascii="仿宋" w:hAnsi="仿宋" w:eastAsia="仿宋"/>
          <w:kern w:val="0"/>
          <w:sz w:val="32"/>
          <w:szCs w:val="32"/>
        </w:rPr>
        <w:t>余座。</w:t>
      </w:r>
      <w:r>
        <w:rPr>
          <w:rFonts w:hint="eastAsia" w:ascii="楷体" w:hAnsi="楷体" w:eastAsia="楷体" w:cs="楷体"/>
          <w:b/>
          <w:bCs/>
          <w:sz w:val="32"/>
          <w:szCs w:val="32"/>
        </w:rPr>
        <w:t>规划设计方面，</w:t>
      </w:r>
      <w:r>
        <w:rPr>
          <w:rFonts w:hint="eastAsia" w:ascii="仿宋" w:hAnsi="仿宋" w:eastAsia="仿宋" w:cs="仿宋"/>
          <w:sz w:val="32"/>
          <w:szCs w:val="32"/>
        </w:rPr>
        <w:t>2016年9月委托华诚博远(北京)建筑规划设计有限公司进行规划设计，2020年7月重新委托湖南省建筑科学研究院有限责任公司对规划设计方案进行优化完善，2021年4月，《白马公园景观方案设计》（湖南省建科院版）已通过县规管委会议审定</w:t>
      </w:r>
      <w:r>
        <w:rPr>
          <w:rFonts w:hint="eastAsia" w:ascii="仿宋" w:hAnsi="仿宋" w:eastAsia="仿宋"/>
          <w:sz w:val="32"/>
          <w:szCs w:val="32"/>
        </w:rPr>
        <w:t>。为多方筹措公园建设资金，2024年</w:t>
      </w:r>
      <w:r>
        <w:rPr>
          <w:rFonts w:hint="eastAsia" w:ascii="仿宋" w:hAnsi="仿宋" w:eastAsia="仿宋" w:cs="仿宋"/>
          <w:sz w:val="32"/>
          <w:szCs w:val="32"/>
        </w:rPr>
        <w:t>12月，县委主要领导调研，公园规划拟增加商业元素，留出商业用地，招商引资，减轻财政压力；公园建设资金列入2025年财政预算，建设规模2000万元。目前，正在调整规划设计方案，调整好设计方案后，按程序组织公开招标。</w:t>
      </w:r>
    </w:p>
    <w:p w14:paraId="7F9CC5FB">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3.绿化新建成效显著</w:t>
      </w:r>
      <w:r>
        <w:rPr>
          <w:rFonts w:hint="eastAsia" w:ascii="仿宋" w:hAnsi="仿宋" w:eastAsia="仿宋" w:cs="仿宋"/>
          <w:sz w:val="32"/>
          <w:szCs w:val="32"/>
        </w:rPr>
        <w:t>。</w:t>
      </w:r>
      <w:r>
        <w:rPr>
          <w:rFonts w:hint="eastAsia" w:ascii="仿宋" w:hAnsi="仿宋" w:eastAsia="仿宋" w:cs="仿宋"/>
          <w:color w:val="000000"/>
          <w:sz w:val="32"/>
          <w:szCs w:val="32"/>
        </w:rPr>
        <w:t>结合“城市绿化周”活动，组织开展“万株花乔进城，助力园城创建”大型植树活动，共新植紫薇、木芙蓉、高杆月季、夹竹桃等开花乔木6000余株，城市不仅有绿色，更是有颜色。抢抓适宜季节，对</w:t>
      </w:r>
      <w:r>
        <w:rPr>
          <w:rFonts w:hint="eastAsia" w:ascii="仿宋" w:hAnsi="仿宋" w:eastAsia="仿宋" w:cs="仿宋"/>
          <w:sz w:val="32"/>
          <w:szCs w:val="32"/>
        </w:rPr>
        <w:t>城区重点路段（营阳大道、湘源中路、潇水北路御泽园段、月岩西路、老旧小区等）补植补种樟树、红果冬青230余株；对公共绿地和绿篱补植补种红叶石楠、红继木、金森女贞、茶梅共计15万余株；在绍基公园打造约1000㎡的小型花海，并补植补种常绿树种40余株；对高速公路出口、潇水北路中间隔离带花箱更换郁金香时花为三角梅，一年四季花开不断。</w:t>
      </w:r>
      <w:r>
        <w:rPr>
          <w:rFonts w:hint="eastAsia" w:ascii="仿宋" w:hAnsi="仿宋" w:eastAsia="仿宋" w:cs="仿宋"/>
          <w:color w:val="000000"/>
          <w:sz w:val="32"/>
          <w:szCs w:val="32"/>
        </w:rPr>
        <w:t>目前，城市“春赏花、夏有荫、秋观景、冬透绿”的园林绿化景观效果已经初步显现</w:t>
      </w:r>
      <w:r>
        <w:rPr>
          <w:rFonts w:hint="eastAsia" w:ascii="仿宋" w:hAnsi="仿宋" w:eastAsia="仿宋" w:cs="仿宋"/>
          <w:sz w:val="32"/>
          <w:szCs w:val="32"/>
        </w:rPr>
        <w:t>。</w:t>
      </w:r>
    </w:p>
    <w:p w14:paraId="3C64392D">
      <w:pPr>
        <w:spacing w:line="560" w:lineRule="exact"/>
        <w:ind w:firstLine="643" w:firstLineChars="200"/>
        <w:rPr>
          <w:rFonts w:hint="eastAsia" w:ascii="楷体" w:hAnsi="楷体" w:eastAsia="楷体" w:cs="楷体"/>
          <w:b/>
          <w:bCs/>
          <w:sz w:val="32"/>
          <w:szCs w:val="32"/>
        </w:rPr>
      </w:pPr>
      <w:r>
        <w:rPr>
          <w:rFonts w:hint="eastAsia" w:ascii="仿宋" w:hAnsi="仿宋" w:eastAsia="仿宋" w:cs="仿宋"/>
          <w:b/>
          <w:bCs/>
          <w:sz w:val="32"/>
          <w:szCs w:val="32"/>
        </w:rPr>
        <w:t>4、大树修剪广受好评。</w:t>
      </w:r>
      <w:r>
        <w:rPr>
          <w:rFonts w:hint="eastAsia" w:ascii="仿宋" w:hAnsi="仿宋" w:eastAsia="仿宋" w:cs="仿宋"/>
          <w:sz w:val="32"/>
          <w:szCs w:val="32"/>
        </w:rPr>
        <w:t>中心城区行道树种植时间久、树龄长、胸径大，由于行道树只能一边向阳的特性，导致了部分行道树出现了偏冠现象，有的因为重心偏移，已经严重倾斜，存在倒伏的安全隐患，热心市民多次反映安全隐患问题。有的树枝繁叶茂，旁边商铺因为下垂枝遮挡招牌和窗户，请求帮助修剪树枝。本着体民情、察民意、为民办实事的原则，10月份以来，我单位挤出资金22万余元，精心组织专业修剪施工队伍，分批、分路段实施城区行道树大树修剪，截止目前，已完成潇水中路、潇水南路、潇水北路、红星路、文化路、小江口路、道州中路、道州南路、道州北路、翔和路等主次干道及西洲公园等地大树修剪6000余株，得到了社会各界的一致好评，市民群众纷纷点赞。</w:t>
      </w:r>
    </w:p>
    <w:p w14:paraId="6BF24B16">
      <w:pPr>
        <w:pStyle w:val="2"/>
        <w:spacing w:after="0" w:line="560" w:lineRule="exact"/>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（三）成功创建省级园林县城</w:t>
      </w:r>
    </w:p>
    <w:p w14:paraId="49377FBB">
      <w:pPr>
        <w:pStyle w:val="2"/>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对标对表《湖南省园林县城标准》，细抓指标任务分解，狠抓工作推动落实，完善验收台账资料，打造精品迎检线路</w:t>
      </w:r>
      <w:r>
        <w:rPr>
          <w:rFonts w:hint="eastAsia" w:ascii="仿宋" w:hAnsi="仿宋" w:eastAsia="仿宋" w:cs="仿宋"/>
          <w:kern w:val="0"/>
          <w:sz w:val="32"/>
          <w:szCs w:val="32"/>
        </w:rPr>
        <w:t>，制作技术报告视频，</w:t>
      </w:r>
      <w:r>
        <w:rPr>
          <w:rFonts w:hint="eastAsia" w:ascii="仿宋" w:hAnsi="仿宋" w:eastAsia="仿宋" w:cs="仿宋"/>
          <w:sz w:val="32"/>
          <w:szCs w:val="32"/>
        </w:rPr>
        <w:t>“创省园”</w:t>
      </w:r>
      <w:r>
        <w:rPr>
          <w:rFonts w:hint="eastAsia" w:ascii="仿宋" w:hAnsi="仿宋" w:eastAsia="仿宋" w:cs="仿宋"/>
          <w:kern w:val="0"/>
          <w:sz w:val="32"/>
          <w:szCs w:val="32"/>
        </w:rPr>
        <w:t>申请</w:t>
      </w:r>
      <w:r>
        <w:rPr>
          <w:rFonts w:hint="eastAsia" w:ascii="仿宋" w:hAnsi="仿宋" w:eastAsia="仿宋" w:cs="仿宋"/>
          <w:sz w:val="32"/>
          <w:szCs w:val="32"/>
        </w:rPr>
        <w:t>已于2023年4月获永州市园林绿化主管部门初审通过;2023年6月获湖南省住建厅初评通过，申报成功;2023年11月获湖南省住建厅组织的专家组实地考评通过；2024年2月6日获湖南省住建厅党组会议全面核查通过，挂网公示；2024年2月23日顺利通过公示，由省人民政府命名。8年创建，美好愿景终成美丽现实。</w:t>
      </w:r>
    </w:p>
    <w:p w14:paraId="712C02C5">
      <w:pPr>
        <w:spacing w:line="560"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rPr>
        <w:t>（四）环园项目</w:t>
      </w:r>
      <w:r>
        <w:rPr>
          <w:rFonts w:hint="eastAsia" w:ascii="楷体" w:hAnsi="楷体" w:eastAsia="楷体" w:cs="楷体"/>
          <w:b/>
          <w:bCs/>
          <w:sz w:val="32"/>
          <w:szCs w:val="32"/>
          <w:shd w:val="clear" w:color="auto" w:fill="FFFFFF"/>
        </w:rPr>
        <w:t>广受好评</w:t>
      </w:r>
    </w:p>
    <w:p w14:paraId="4073379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敦颐广场、道月绿岛、湘源中路、希望路4座</w:t>
      </w:r>
      <w:r>
        <w:rPr>
          <w:rFonts w:hint="eastAsia" w:ascii="仿宋" w:hAnsi="仿宋" w:eastAsia="仿宋" w:cs="仿宋"/>
          <w:sz w:val="32"/>
          <w:szCs w:val="32"/>
          <w:shd w:val="clear" w:color="auto" w:fill="FFFFFF"/>
        </w:rPr>
        <w:t>营阳驿站采取“厕所+”模式，</w:t>
      </w:r>
      <w:r>
        <w:rPr>
          <w:rFonts w:hint="eastAsia" w:ascii="仿宋" w:hAnsi="仿宋" w:eastAsia="仿宋" w:cs="仿宋"/>
          <w:kern w:val="0"/>
          <w:sz w:val="32"/>
          <w:szCs w:val="32"/>
          <w:shd w:val="clear" w:color="auto" w:fill="FFFFFF"/>
          <w:lang w:bidi="ar"/>
        </w:rPr>
        <w:t>功能完善，干净整洁</w:t>
      </w:r>
      <w:r>
        <w:rPr>
          <w:rFonts w:hint="eastAsia" w:ascii="仿宋" w:hAnsi="仿宋" w:eastAsia="仿宋" w:cs="仿宋"/>
          <w:sz w:val="32"/>
          <w:szCs w:val="32"/>
          <w:shd w:val="clear" w:color="auto" w:fill="FFFFFF"/>
        </w:rPr>
        <w:t>，打造成道县最好、永州一流、湖南领先的城市综合便民服务窗口，</w:t>
      </w:r>
      <w:r>
        <w:rPr>
          <w:rFonts w:hint="eastAsia" w:ascii="仿宋" w:hAnsi="仿宋" w:eastAsia="仿宋" w:cs="仿宋"/>
          <w:kern w:val="0"/>
          <w:sz w:val="32"/>
          <w:szCs w:val="32"/>
          <w:shd w:val="clear" w:color="auto" w:fill="FFFFFF"/>
          <w:lang w:bidi="ar"/>
        </w:rPr>
        <w:t>让</w:t>
      </w:r>
      <w:r>
        <w:rPr>
          <w:rFonts w:hint="eastAsia" w:ascii="仿宋" w:hAnsi="仿宋" w:eastAsia="仿宋" w:cs="仿宋"/>
          <w:sz w:val="32"/>
          <w:szCs w:val="32"/>
          <w:shd w:val="clear" w:color="auto" w:fill="FFFFFF"/>
        </w:rPr>
        <w:t>厕所</w:t>
      </w:r>
      <w:r>
        <w:rPr>
          <w:rFonts w:hint="eastAsia" w:ascii="仿宋" w:hAnsi="仿宋" w:eastAsia="仿宋" w:cs="仿宋"/>
          <w:kern w:val="0"/>
          <w:sz w:val="32"/>
          <w:szCs w:val="32"/>
          <w:shd w:val="clear" w:color="auto" w:fill="FFFFFF"/>
          <w:lang w:bidi="ar"/>
        </w:rPr>
        <w:t>登上“大雅之堂”</w:t>
      </w:r>
      <w:r>
        <w:rPr>
          <w:rFonts w:hint="eastAsia" w:ascii="仿宋" w:hAnsi="仿宋" w:eastAsia="仿宋" w:cs="仿宋"/>
          <w:sz w:val="32"/>
          <w:szCs w:val="32"/>
          <w:shd w:val="clear" w:color="auto" w:fill="FFFFFF"/>
        </w:rPr>
        <w:t>；潇水北路中间隔离带花箱绿化，花箱设计体现道县元素，4段绿植品种配置各异，四季有花，一步一景；宝珍街绿化选用红果冬青树种，营造“红色忠城”街景；“大美道县”绿岛，花团锦簇，夜景宜人，已成城区一景</w:t>
      </w:r>
      <w:r>
        <w:rPr>
          <w:rFonts w:hint="eastAsia" w:ascii="仿宋" w:hAnsi="仿宋" w:eastAsia="仿宋" w:cs="仿宋"/>
          <w:sz w:val="32"/>
          <w:szCs w:val="32"/>
        </w:rPr>
        <w:t>。</w:t>
      </w:r>
    </w:p>
    <w:p w14:paraId="1F28E87D">
      <w:pPr>
        <w:spacing w:line="580" w:lineRule="exact"/>
        <w:ind w:firstLine="643" w:firstLineChars="200"/>
        <w:rPr>
          <w:rFonts w:hint="eastAsia" w:ascii="楷体" w:hAnsi="楷体" w:eastAsia="楷体" w:cs="楷体"/>
          <w:b/>
          <w:bCs/>
          <w:sz w:val="32"/>
          <w:szCs w:val="32"/>
        </w:rPr>
      </w:pPr>
      <w:r>
        <w:rPr>
          <w:rFonts w:hint="eastAsia" w:ascii="仿宋" w:hAnsi="仿宋" w:eastAsia="仿宋" w:cs="仿宋"/>
          <w:b/>
          <w:bCs/>
          <w:sz w:val="32"/>
          <w:szCs w:val="32"/>
        </w:rPr>
        <w:t>（五）“经营城市”积极践行。</w:t>
      </w:r>
    </w:p>
    <w:p w14:paraId="7F6BB935">
      <w:pPr>
        <w:rPr>
          <w:rFonts w:hint="eastAsia" w:ascii="仿宋_GB2312" w:hAnsi="宋体"/>
          <w:sz w:val="30"/>
          <w:szCs w:val="30"/>
        </w:rPr>
      </w:pPr>
    </w:p>
    <w:p w14:paraId="62AD1020">
      <w:pPr>
        <w:spacing w:line="360" w:lineRule="auto"/>
        <w:ind w:firstLine="643" w:firstLineChars="200"/>
        <w:rPr>
          <w:rFonts w:hint="eastAsia" w:cs="Times New Roman" w:asciiTheme="minorEastAsia" w:hAnsiTheme="minorEastAsia" w:eastAsiaTheme="minorEastAsia"/>
          <w:b/>
          <w:sz w:val="32"/>
          <w:szCs w:val="32"/>
        </w:rPr>
      </w:pPr>
      <w:r>
        <w:rPr>
          <w:rFonts w:hint="eastAsia" w:cs="Times New Roman" w:asciiTheme="minorEastAsia" w:hAnsiTheme="minorEastAsia" w:eastAsiaTheme="minorEastAsia"/>
          <w:b/>
          <w:sz w:val="32"/>
          <w:szCs w:val="32"/>
        </w:rPr>
        <w:t>七、存在的问题及原因分析</w:t>
      </w:r>
    </w:p>
    <w:p w14:paraId="24508ECB">
      <w:pPr>
        <w:pStyle w:val="16"/>
        <w:spacing w:after="0" w:line="360" w:lineRule="auto"/>
        <w:ind w:firstLine="6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存在的问题：</w:t>
      </w:r>
    </w:p>
    <w:p w14:paraId="4182BC31">
      <w:pPr>
        <w:pStyle w:val="16"/>
        <w:spacing w:after="0" w:line="360" w:lineRule="auto"/>
        <w:ind w:firstLine="600"/>
        <w:rPr>
          <w:rFonts w:hint="eastAsia" w:cs="楷体" w:asciiTheme="minorEastAsia" w:hAnsiTheme="minorEastAsia" w:eastAsiaTheme="minorEastAsia"/>
          <w:sz w:val="28"/>
          <w:szCs w:val="28"/>
        </w:rPr>
      </w:pPr>
      <w:r>
        <w:rPr>
          <w:rFonts w:hint="eastAsia" w:cs="楷体" w:asciiTheme="minorEastAsia" w:hAnsiTheme="minorEastAsia" w:eastAsiaTheme="minorEastAsia"/>
          <w:sz w:val="28"/>
          <w:szCs w:val="28"/>
        </w:rPr>
        <w:t>1、专业技术力量薄弱。</w:t>
      </w:r>
    </w:p>
    <w:p w14:paraId="4F7A715A">
      <w:pPr>
        <w:pStyle w:val="16"/>
        <w:spacing w:after="0" w:line="360" w:lineRule="auto"/>
        <w:ind w:firstLine="600"/>
        <w:rPr>
          <w:rFonts w:hint="eastAsia" w:cs="楷体" w:asciiTheme="minorEastAsia" w:hAnsiTheme="minorEastAsia" w:eastAsiaTheme="minorEastAsia"/>
          <w:sz w:val="28"/>
          <w:szCs w:val="28"/>
        </w:rPr>
      </w:pPr>
      <w:r>
        <w:rPr>
          <w:rFonts w:cs="楷体" w:asciiTheme="minorEastAsia" w:hAnsiTheme="minorEastAsia" w:eastAsiaTheme="minorEastAsia"/>
          <w:sz w:val="28"/>
          <w:szCs w:val="28"/>
        </w:rPr>
        <w:t>2</w:t>
      </w:r>
      <w:r>
        <w:rPr>
          <w:rFonts w:hint="eastAsia" w:cs="楷体" w:asciiTheme="minorEastAsia" w:hAnsiTheme="minorEastAsia" w:eastAsiaTheme="minorEastAsia"/>
          <w:sz w:val="28"/>
          <w:szCs w:val="28"/>
        </w:rPr>
        <w:t>、绿化监管有待加强。</w:t>
      </w:r>
    </w:p>
    <w:p w14:paraId="275B6376">
      <w:pPr>
        <w:pStyle w:val="16"/>
        <w:spacing w:after="0" w:line="360" w:lineRule="auto"/>
        <w:ind w:firstLine="600"/>
        <w:rPr>
          <w:rFonts w:hint="eastAsia" w:asciiTheme="minorEastAsia" w:hAnsiTheme="minorEastAsia" w:eastAsiaTheme="minorEastAsia"/>
          <w:sz w:val="32"/>
          <w:szCs w:val="32"/>
        </w:rPr>
      </w:pPr>
      <w:r>
        <w:rPr>
          <w:rFonts w:ascii="楷体" w:hAnsi="楷体" w:eastAsia="楷体" w:cs="楷体"/>
          <w:sz w:val="32"/>
          <w:szCs w:val="32"/>
        </w:rPr>
        <w:t>3</w:t>
      </w:r>
      <w:r>
        <w:rPr>
          <w:rFonts w:hint="eastAsia" w:ascii="楷体" w:hAnsi="楷体" w:eastAsia="楷体" w:cs="楷体"/>
          <w:sz w:val="32"/>
          <w:szCs w:val="32"/>
        </w:rPr>
        <w:t>、环卫管理需要进一步精细化</w:t>
      </w:r>
    </w:p>
    <w:p w14:paraId="78037091">
      <w:pPr>
        <w:spacing w:line="520" w:lineRule="exact"/>
        <w:ind w:firstLine="640" w:firstLineChars="200"/>
        <w:rPr>
          <w:rFonts w:hint="eastAsia" w:cs="Times New Roman" w:asciiTheme="minorEastAsia" w:hAnsiTheme="minorEastAsia" w:eastAsiaTheme="minorEastAsia"/>
          <w:sz w:val="32"/>
          <w:szCs w:val="32"/>
        </w:rPr>
      </w:pPr>
    </w:p>
    <w:p w14:paraId="37026E8D">
      <w:pPr>
        <w:spacing w:line="360" w:lineRule="auto"/>
        <w:ind w:firstLine="643" w:firstLineChars="200"/>
        <w:rPr>
          <w:rFonts w:hint="eastAsia" w:cs="Times New Roman" w:asciiTheme="minorEastAsia" w:hAnsiTheme="minorEastAsia" w:eastAsiaTheme="minorEastAsia"/>
          <w:b/>
          <w:sz w:val="32"/>
          <w:szCs w:val="32"/>
        </w:rPr>
      </w:pPr>
      <w:r>
        <w:rPr>
          <w:rFonts w:hint="eastAsia" w:cs="Times New Roman" w:asciiTheme="minorEastAsia" w:hAnsiTheme="minorEastAsia" w:eastAsiaTheme="minorEastAsia"/>
          <w:b/>
          <w:sz w:val="32"/>
          <w:szCs w:val="32"/>
        </w:rPr>
        <w:t>八、下一步改进措施</w:t>
      </w:r>
    </w:p>
    <w:p w14:paraId="7357E512">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1、全力实施增绿扩绿项目建设。</w:t>
      </w:r>
    </w:p>
    <w:p w14:paraId="0DFBD92E">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2、严格落实“绿色图章”监管机制。</w:t>
      </w:r>
    </w:p>
    <w:p w14:paraId="11C77415">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3、着力加强环卫作业精细化管理。</w:t>
      </w:r>
    </w:p>
    <w:p w14:paraId="2BBD1037">
      <w:pPr>
        <w:spacing w:line="360" w:lineRule="auto"/>
        <w:ind w:firstLine="643" w:firstLineChars="200"/>
        <w:rPr>
          <w:rFonts w:hint="eastAsia" w:cs="Times New Roman" w:asciiTheme="minorEastAsia" w:hAnsiTheme="minorEastAsia" w:eastAsiaTheme="minorEastAsia"/>
          <w:b/>
          <w:sz w:val="32"/>
          <w:szCs w:val="32"/>
        </w:rPr>
      </w:pPr>
      <w:r>
        <w:rPr>
          <w:rFonts w:hint="eastAsia" w:cs="Times New Roman" w:asciiTheme="minorEastAsia" w:hAnsiTheme="minorEastAsia" w:eastAsiaTheme="minorEastAsia"/>
          <w:b/>
          <w:sz w:val="32"/>
          <w:szCs w:val="32"/>
        </w:rPr>
        <w:t>九、绩效自评结果拟就用和公开情况</w:t>
      </w:r>
    </w:p>
    <w:p w14:paraId="0F23C581">
      <w:pPr>
        <w:spacing w:line="360" w:lineRule="auto"/>
        <w:ind w:firstLine="640" w:firstLineChars="200"/>
        <w:rPr>
          <w:rFonts w:hint="eastAsia" w:cs="Times New Roman" w:asciiTheme="minorEastAsia" w:hAnsiTheme="minorEastAsia" w:eastAsiaTheme="minorEastAsia"/>
          <w:b/>
          <w:sz w:val="32"/>
          <w:szCs w:val="32"/>
        </w:rPr>
      </w:pPr>
      <w:r>
        <w:rPr>
          <w:rFonts w:hint="eastAsia" w:cs="Times New Roman" w:asciiTheme="minorEastAsia" w:hAnsiTheme="minorEastAsia" w:eastAsiaTheme="minorEastAsia"/>
          <w:sz w:val="32"/>
          <w:szCs w:val="32"/>
        </w:rPr>
        <w:t>根据财政部门要求及时在门户网站公开预决算及整体支出绩效自评报告</w:t>
      </w:r>
      <w:r>
        <w:rPr>
          <w:rFonts w:hint="eastAsia" w:cs="Times New Roman" w:asciiTheme="minorEastAsia" w:hAnsiTheme="minorEastAsia" w:eastAsiaTheme="minorEastAsia"/>
          <w:b/>
          <w:sz w:val="32"/>
          <w:szCs w:val="32"/>
        </w:rPr>
        <w:t>。</w:t>
      </w:r>
    </w:p>
    <w:p w14:paraId="6A5CB031">
      <w:pPr>
        <w:spacing w:line="360" w:lineRule="auto"/>
        <w:ind w:firstLine="643" w:firstLineChars="200"/>
        <w:rPr>
          <w:rFonts w:hint="eastAsia" w:cs="Times New Roman" w:asciiTheme="minorEastAsia" w:hAnsiTheme="minorEastAsia" w:eastAsiaTheme="minorEastAsia"/>
          <w:b/>
          <w:sz w:val="32"/>
          <w:szCs w:val="32"/>
        </w:rPr>
      </w:pPr>
      <w:r>
        <w:rPr>
          <w:rFonts w:hint="eastAsia" w:cs="Times New Roman" w:asciiTheme="minorEastAsia" w:hAnsiTheme="minorEastAsia" w:eastAsiaTheme="minorEastAsia"/>
          <w:b/>
          <w:sz w:val="32"/>
          <w:szCs w:val="32"/>
        </w:rPr>
        <w:t>十、其他需要说明的情况</w:t>
      </w:r>
    </w:p>
    <w:p w14:paraId="00E028D6">
      <w:pPr>
        <w:adjustRightInd w:val="0"/>
        <w:snapToGrid w:val="0"/>
        <w:spacing w:line="600" w:lineRule="exact"/>
        <w:ind w:firstLine="640" w:firstLineChars="200"/>
        <w:rPr>
          <w:rFonts w:hint="eastAsia"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无其他需要说明的情况。</w:t>
      </w:r>
    </w:p>
    <w:p w14:paraId="328B55D6">
      <w:pPr>
        <w:adjustRightInd w:val="0"/>
        <w:snapToGrid w:val="0"/>
        <w:spacing w:line="600" w:lineRule="exact"/>
        <w:ind w:firstLine="640" w:firstLineChars="200"/>
        <w:rPr>
          <w:rFonts w:hint="eastAsia" w:cs="Times New Roman" w:asciiTheme="minorEastAsia" w:hAnsiTheme="minorEastAsia" w:eastAsiaTheme="minorEastAsia"/>
          <w:sz w:val="32"/>
          <w:szCs w:val="32"/>
        </w:rPr>
      </w:pPr>
    </w:p>
    <w:p w14:paraId="2668C025">
      <w:pPr>
        <w:rPr>
          <w:rFonts w:hint="eastAsia"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TXihei">
    <w:altName w:val="宋体"/>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F5559"/>
    <w:multiLevelType w:val="singleLevel"/>
    <w:tmpl w:val="0A8F555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3390A"/>
    <w:rsid w:val="000606AD"/>
    <w:rsid w:val="0007083C"/>
    <w:rsid w:val="000A7993"/>
    <w:rsid w:val="000A7AAD"/>
    <w:rsid w:val="000E68A6"/>
    <w:rsid w:val="001264BD"/>
    <w:rsid w:val="001457C0"/>
    <w:rsid w:val="00177E44"/>
    <w:rsid w:val="00187B8F"/>
    <w:rsid w:val="001A0008"/>
    <w:rsid w:val="001A3E68"/>
    <w:rsid w:val="001B46DD"/>
    <w:rsid w:val="002030F4"/>
    <w:rsid w:val="00204D26"/>
    <w:rsid w:val="002179D8"/>
    <w:rsid w:val="00236BC3"/>
    <w:rsid w:val="002554D7"/>
    <w:rsid w:val="002758B8"/>
    <w:rsid w:val="00282B83"/>
    <w:rsid w:val="002A08EE"/>
    <w:rsid w:val="002A2E86"/>
    <w:rsid w:val="002D4EC4"/>
    <w:rsid w:val="002E3C24"/>
    <w:rsid w:val="002F0AA8"/>
    <w:rsid w:val="00386F8A"/>
    <w:rsid w:val="00397986"/>
    <w:rsid w:val="003A6F88"/>
    <w:rsid w:val="00410023"/>
    <w:rsid w:val="004120D0"/>
    <w:rsid w:val="004262E2"/>
    <w:rsid w:val="00435A8B"/>
    <w:rsid w:val="004626A3"/>
    <w:rsid w:val="0046497A"/>
    <w:rsid w:val="00467CDE"/>
    <w:rsid w:val="00470D4D"/>
    <w:rsid w:val="00490A27"/>
    <w:rsid w:val="004A5777"/>
    <w:rsid w:val="004B1B18"/>
    <w:rsid w:val="004B1D86"/>
    <w:rsid w:val="004E322B"/>
    <w:rsid w:val="004F3CAD"/>
    <w:rsid w:val="00507109"/>
    <w:rsid w:val="0056528F"/>
    <w:rsid w:val="00584242"/>
    <w:rsid w:val="00584A92"/>
    <w:rsid w:val="00592564"/>
    <w:rsid w:val="00597F71"/>
    <w:rsid w:val="005C3CAF"/>
    <w:rsid w:val="005E10DD"/>
    <w:rsid w:val="005E5496"/>
    <w:rsid w:val="00607B24"/>
    <w:rsid w:val="00630EFD"/>
    <w:rsid w:val="0065415E"/>
    <w:rsid w:val="00683108"/>
    <w:rsid w:val="006C0513"/>
    <w:rsid w:val="006D0A5A"/>
    <w:rsid w:val="006F3CE0"/>
    <w:rsid w:val="0070468A"/>
    <w:rsid w:val="00713230"/>
    <w:rsid w:val="00724BD3"/>
    <w:rsid w:val="0073390A"/>
    <w:rsid w:val="00751A1C"/>
    <w:rsid w:val="007724FF"/>
    <w:rsid w:val="00785698"/>
    <w:rsid w:val="007A0C95"/>
    <w:rsid w:val="007B0185"/>
    <w:rsid w:val="007E3FCF"/>
    <w:rsid w:val="007F6256"/>
    <w:rsid w:val="00830279"/>
    <w:rsid w:val="00842E23"/>
    <w:rsid w:val="008570B5"/>
    <w:rsid w:val="00861842"/>
    <w:rsid w:val="008713EE"/>
    <w:rsid w:val="0087335F"/>
    <w:rsid w:val="008741DA"/>
    <w:rsid w:val="008A06A8"/>
    <w:rsid w:val="008A5AEB"/>
    <w:rsid w:val="008C1F2C"/>
    <w:rsid w:val="008C5F23"/>
    <w:rsid w:val="008E1846"/>
    <w:rsid w:val="008E4A60"/>
    <w:rsid w:val="009351EC"/>
    <w:rsid w:val="00967D9B"/>
    <w:rsid w:val="009B0DDE"/>
    <w:rsid w:val="009C37AB"/>
    <w:rsid w:val="009C7229"/>
    <w:rsid w:val="009E5A34"/>
    <w:rsid w:val="00A22059"/>
    <w:rsid w:val="00A267B7"/>
    <w:rsid w:val="00A33EE3"/>
    <w:rsid w:val="00A61E8D"/>
    <w:rsid w:val="00A90661"/>
    <w:rsid w:val="00A96C98"/>
    <w:rsid w:val="00AB6B37"/>
    <w:rsid w:val="00AE4650"/>
    <w:rsid w:val="00AF5CC9"/>
    <w:rsid w:val="00B041C6"/>
    <w:rsid w:val="00B10187"/>
    <w:rsid w:val="00B4029F"/>
    <w:rsid w:val="00B60306"/>
    <w:rsid w:val="00B722E5"/>
    <w:rsid w:val="00B84851"/>
    <w:rsid w:val="00B86D83"/>
    <w:rsid w:val="00BB7E7B"/>
    <w:rsid w:val="00BD2967"/>
    <w:rsid w:val="00BD40DA"/>
    <w:rsid w:val="00BD7B93"/>
    <w:rsid w:val="00BE61CA"/>
    <w:rsid w:val="00C45286"/>
    <w:rsid w:val="00C479E3"/>
    <w:rsid w:val="00C47A44"/>
    <w:rsid w:val="00C6129D"/>
    <w:rsid w:val="00C75C37"/>
    <w:rsid w:val="00C77000"/>
    <w:rsid w:val="00CF09A4"/>
    <w:rsid w:val="00CF25D5"/>
    <w:rsid w:val="00D10826"/>
    <w:rsid w:val="00D120CD"/>
    <w:rsid w:val="00DE4759"/>
    <w:rsid w:val="00DF7AD2"/>
    <w:rsid w:val="00E013A5"/>
    <w:rsid w:val="00E03289"/>
    <w:rsid w:val="00E0698B"/>
    <w:rsid w:val="00E31400"/>
    <w:rsid w:val="00E705F1"/>
    <w:rsid w:val="00E74B72"/>
    <w:rsid w:val="00ED3000"/>
    <w:rsid w:val="00EF42F5"/>
    <w:rsid w:val="00F86908"/>
    <w:rsid w:val="00FA2F26"/>
    <w:rsid w:val="00FA3728"/>
    <w:rsid w:val="00FA69C3"/>
    <w:rsid w:val="00FC203E"/>
    <w:rsid w:val="00FF28F4"/>
    <w:rsid w:val="08787EF5"/>
    <w:rsid w:val="16CE5A82"/>
    <w:rsid w:val="1A3D7527"/>
    <w:rsid w:val="2A8F2CD1"/>
    <w:rsid w:val="31DB3455"/>
    <w:rsid w:val="3E1E571F"/>
    <w:rsid w:val="40B57E26"/>
    <w:rsid w:val="4A1275FB"/>
    <w:rsid w:val="4B330E91"/>
    <w:rsid w:val="4F1700DC"/>
    <w:rsid w:val="56941399"/>
    <w:rsid w:val="5DE05966"/>
    <w:rsid w:val="7A770E0E"/>
    <w:rsid w:val="7D8A3593"/>
    <w:rsid w:val="7FF8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annotation text"/>
    <w:basedOn w:val="1"/>
    <w:link w:val="17"/>
    <w:unhideWhenUsed/>
    <w:qFormat/>
    <w:uiPriority w:val="99"/>
    <w:pPr>
      <w:jc w:val="left"/>
    </w:pPr>
    <w:rPr>
      <w:rFonts w:ascii="Times New Roman" w:hAnsi="Times New Roman" w:cs="Times New Roman"/>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szCs w:val="24"/>
    </w:rPr>
  </w:style>
  <w:style w:type="paragraph" w:styleId="8">
    <w:name w:val="annotation subject"/>
    <w:basedOn w:val="3"/>
    <w:next w:val="3"/>
    <w:link w:val="18"/>
    <w:semiHidden/>
    <w:unhideWhenUsed/>
    <w:qFormat/>
    <w:uiPriority w:val="99"/>
    <w:rPr>
      <w:rFonts w:ascii="Calibri" w:hAnsi="Calibri" w:cs="Calibri"/>
      <w:b/>
      <w:bCs/>
      <w:szCs w:val="21"/>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rFonts w:ascii="Calibri" w:hAnsi="Calibri" w:eastAsia="宋体" w:cs="Calibri"/>
      <w:sz w:val="18"/>
      <w:szCs w:val="18"/>
    </w:rPr>
  </w:style>
  <w:style w:type="character" w:customStyle="1" w:styleId="14">
    <w:name w:val="页脚 字符"/>
    <w:basedOn w:val="10"/>
    <w:link w:val="5"/>
    <w:qFormat/>
    <w:uiPriority w:val="99"/>
    <w:rPr>
      <w:rFonts w:ascii="Calibri" w:hAnsi="Calibri" w:eastAsia="宋体" w:cs="Calibri"/>
      <w:sz w:val="18"/>
      <w:szCs w:val="18"/>
    </w:rPr>
  </w:style>
  <w:style w:type="character" w:customStyle="1" w:styleId="15">
    <w:name w:val="批注框文本 字符"/>
    <w:basedOn w:val="10"/>
    <w:link w:val="4"/>
    <w:semiHidden/>
    <w:qFormat/>
    <w:uiPriority w:val="99"/>
    <w:rPr>
      <w:rFonts w:ascii="Calibri" w:hAnsi="Calibri" w:eastAsia="宋体" w:cs="Calibri"/>
      <w:sz w:val="18"/>
      <w:szCs w:val="18"/>
    </w:rPr>
  </w:style>
  <w:style w:type="paragraph" w:customStyle="1" w:styleId="16">
    <w:name w:val="cjk"/>
    <w:basedOn w:val="1"/>
    <w:qFormat/>
    <w:uiPriority w:val="0"/>
    <w:pPr>
      <w:widowControl/>
      <w:spacing w:before="100" w:beforeAutospacing="1" w:after="119"/>
    </w:pPr>
    <w:rPr>
      <w:rFonts w:ascii="宋体" w:hAnsi="宋体" w:cs="宋体"/>
      <w:color w:val="000000"/>
      <w:kern w:val="0"/>
      <w:sz w:val="20"/>
      <w:szCs w:val="20"/>
    </w:rPr>
  </w:style>
  <w:style w:type="character" w:customStyle="1" w:styleId="17">
    <w:name w:val="批注文字 字符"/>
    <w:basedOn w:val="10"/>
    <w:link w:val="3"/>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Calibri" w:hAnsi="Calibri" w:eastAsia="宋体" w:cs="Calibri"/>
      <w:b/>
      <w:bCs/>
      <w:szCs w:val="21"/>
    </w:rPr>
  </w:style>
  <w:style w:type="character" w:customStyle="1" w:styleId="19">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5444</Words>
  <Characters>5867</Characters>
  <Lines>42</Lines>
  <Paragraphs>11</Paragraphs>
  <TotalTime>8</TotalTime>
  <ScaleCrop>false</ScaleCrop>
  <LinksUpToDate>false</LinksUpToDate>
  <CharactersWithSpaces>5869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2021-06-25T01:27:00Z</dcterms:created>
  <dc:creator>微软用户</dc:creator>
  <cp:lastModifiedBy>四夕</cp:lastModifiedBy>
  <cp:lastPrinted>2022-06-28T02:00:00Z</cp:lastPrinted>
  <dcterms:modified xsi:type="dcterms:W3CDTF">2025-08-26T01:41:36Z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eyJoZGlkIjoiOTAwNWJiOTllOWZmYTkxMThhNjgxNjQwZDI3YTg4MDciLCJ1c2VySWQiOiI1NTE0MzE4NTgifQ==</vt:lpwstr>
  </property>
  <property fmtid="{D5CDD505-2E9C-101B-9397-08002B2CF9AE}" pid="4" name="ICV">
    <vt:lpwstr>5B35F43673274390AA2A8A1F6E8B9BAD_12</vt:lpwstr>
  </property>
</Properties>
</file>