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21"/>
        <w:jc w:val="center"/>
        <w:rPr>
          <w:sz w:val="56"/>
          <w:szCs w:val="56"/>
        </w:rPr>
      </w:pPr>
    </w:p>
    <w:p>
      <w:pPr>
        <w:pStyle w:val="21"/>
        <w:jc w:val="center"/>
        <w:rPr>
          <w:sz w:val="84"/>
          <w:szCs w:val="84"/>
        </w:rPr>
      </w:pPr>
    </w:p>
    <w:p>
      <w:pPr>
        <w:pStyle w:val="21"/>
        <w:jc w:val="center"/>
        <w:rPr>
          <w:sz w:val="84"/>
          <w:szCs w:val="84"/>
        </w:rPr>
      </w:pPr>
    </w:p>
    <w:p>
      <w:pPr>
        <w:pStyle w:val="2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21"/>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道县社会科学界联合会</w:t>
      </w:r>
    </w:p>
    <w:p>
      <w:pPr>
        <w:pStyle w:val="2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21"/>
        <w:jc w:val="center"/>
        <w:rPr>
          <w:rFonts w:hint="eastAsia" w:ascii="方正小标宋_GBK" w:hAnsi="方正小标宋_GBK" w:eastAsia="方正小标宋_GBK" w:cs="方正小标宋_GBK"/>
          <w:sz w:val="56"/>
          <w:szCs w:val="56"/>
        </w:rPr>
      </w:pPr>
    </w:p>
    <w:p>
      <w:pPr>
        <w:pStyle w:val="21"/>
        <w:jc w:val="center"/>
        <w:rPr>
          <w:sz w:val="56"/>
          <w:szCs w:val="56"/>
        </w:rPr>
      </w:pPr>
    </w:p>
    <w:p>
      <w:pPr>
        <w:pStyle w:val="21"/>
        <w:jc w:val="center"/>
        <w:rPr>
          <w:sz w:val="56"/>
          <w:szCs w:val="56"/>
        </w:rPr>
      </w:pPr>
    </w:p>
    <w:p>
      <w:pPr>
        <w:pStyle w:val="21"/>
        <w:jc w:val="center"/>
        <w:rPr>
          <w:sz w:val="56"/>
          <w:szCs w:val="56"/>
        </w:rPr>
      </w:pPr>
    </w:p>
    <w:p>
      <w:pPr>
        <w:pStyle w:val="21"/>
        <w:jc w:val="center"/>
        <w:rPr>
          <w:sz w:val="32"/>
          <w:szCs w:val="32"/>
        </w:rPr>
      </w:pPr>
    </w:p>
    <w:p>
      <w:pPr>
        <w:pStyle w:val="21"/>
        <w:jc w:val="center"/>
        <w:rPr>
          <w:sz w:val="32"/>
          <w:szCs w:val="32"/>
        </w:rPr>
      </w:pPr>
    </w:p>
    <w:p>
      <w:pPr>
        <w:pStyle w:val="21"/>
        <w:jc w:val="center"/>
        <w:rPr>
          <w:sz w:val="32"/>
          <w:szCs w:val="32"/>
        </w:rPr>
      </w:pPr>
    </w:p>
    <w:p>
      <w:pPr>
        <w:pStyle w:val="21"/>
        <w:jc w:val="center"/>
        <w:rPr>
          <w:sz w:val="32"/>
          <w:szCs w:val="32"/>
        </w:rPr>
        <w:sectPr>
          <w:pgSz w:w="11906" w:h="16838"/>
          <w:pgMar w:top="720" w:right="720" w:bottom="720" w:left="720" w:header="851" w:footer="992" w:gutter="0"/>
          <w:cols w:space="425" w:num="1"/>
          <w:docGrid w:type="lines" w:linePitch="312" w:charSpace="0"/>
        </w:sectPr>
      </w:pPr>
    </w:p>
    <w:p>
      <w:pPr>
        <w:pStyle w:val="21"/>
        <w:spacing w:line="500" w:lineRule="exact"/>
        <w:jc w:val="center"/>
        <w:rPr>
          <w:b/>
          <w:sz w:val="36"/>
          <w:szCs w:val="28"/>
        </w:rPr>
      </w:pPr>
      <w:r>
        <w:rPr>
          <w:rFonts w:hint="eastAsia"/>
          <w:b/>
          <w:sz w:val="36"/>
          <w:szCs w:val="28"/>
        </w:rPr>
        <w:t>目录</w:t>
      </w:r>
    </w:p>
    <w:p>
      <w:pPr>
        <w:pStyle w:val="2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道县社会科学界联合会</w:t>
      </w:r>
      <w:r>
        <w:rPr>
          <w:rFonts w:hint="eastAsia" w:ascii="黑体" w:hAnsi="黑体" w:eastAsia="黑体" w:cs="黑体"/>
          <w:b w:val="0"/>
          <w:bCs/>
          <w:sz w:val="28"/>
          <w:szCs w:val="28"/>
        </w:rPr>
        <w:t>概况</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2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2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2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2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21"/>
        <w:spacing w:line="500" w:lineRule="exact"/>
        <w:rPr>
          <w:rFonts w:hint="eastAsia" w:hAnsi="黑体" w:cs="黑体"/>
          <w:b w:val="0"/>
          <w:bCs/>
          <w:sz w:val="28"/>
          <w:szCs w:val="28"/>
          <w:lang w:eastAsia="zh-CN"/>
        </w:rPr>
        <w:sectPr>
          <w:pgSz w:w="11906" w:h="16838"/>
          <w:pgMar w:top="720" w:right="720" w:bottom="720" w:left="720" w:header="851" w:footer="992" w:gutter="0"/>
          <w:cols w:space="425" w:num="1"/>
          <w:docGrid w:type="lines" w:linePitch="312" w:charSpace="0"/>
        </w:sect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2"/>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21"/>
        <w:jc w:val="center"/>
        <w:rPr>
          <w:rFonts w:hint="eastAsia" w:ascii="方正小标宋_GBK" w:hAnsi="方正小标宋_GBK" w:eastAsia="方正小标宋_GBK" w:cs="方正小标宋_GBK"/>
          <w:sz w:val="84"/>
          <w:szCs w:val="84"/>
        </w:rPr>
      </w:pPr>
    </w:p>
    <w:p>
      <w:pPr>
        <w:pStyle w:val="2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道县社会科学界联合会概况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sectPr>
          <w:pgSz w:w="11906" w:h="16838"/>
          <w:pgMar w:top="720" w:right="720" w:bottom="720" w:left="720" w:header="851" w:footer="992" w:gutter="0"/>
          <w:cols w:space="425" w:num="1"/>
          <w:docGrid w:type="lines" w:linePitch="312" w:charSpace="0"/>
        </w:sectPr>
      </w:pPr>
    </w:p>
    <w:p>
      <w:pPr>
        <w:pStyle w:val="22"/>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贯彻落实中央、省市繁荣发展哲学社会科学方针、政策。</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rPr>
        <w:t>制定全县中长期社会科学发展规划和年度工作计划并组织实施。</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承担全县社科课题规划，组织开展社会科学重点课题研究。</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rPr>
        <w:t>负责宣传、推广、应用优秀社会科学成果。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负责中央、省委、市委和县委重大工作部署贯彻落实情况的督促检查工作，负责中央、省委、市委和县委领导同志指示的传达和催办落实，组织办理人大代表、政协委员需要党委机关回复的有关建议、提案，及时向领导机关和领导同志报告督办情况。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en-US"/>
        </w:rPr>
        <w:t>指导、组织、协调、监督全县社会科学各类学会、协会、研究会和民间社会科学研究机构的工作。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val="en-US"/>
        </w:rPr>
        <w:t>对社会类社会团体的成立、变更、注销向社团登记机构提出审查意见。</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val="en-US"/>
        </w:rPr>
        <w:t>负责社科类社会团体制定章程、组织学术研讨活动的指导和审核。</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val="en-US"/>
        </w:rPr>
        <w:t>负责社科类学会吸收境外人士为会员或担任名誉性职务的核准。</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rPr>
        <w:t>协助有关部门抓好人文科学类讲坛、论坛和刊物、网站的管理工作。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val="en-US"/>
        </w:rPr>
        <w:t>组织和推动所属团体会员及社会科学工作者开展社科研究和学术活动。</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val="en-US"/>
        </w:rPr>
        <w:t>参与改革开放和现代化建设重大课题攻关，为县委、县政府决策提供咨询。</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val="en-US"/>
        </w:rPr>
        <w:t>组织和管理全县社科课题立项评选、优秀社科成果的出版资助工作。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val="en-US"/>
        </w:rPr>
        <w:t>组织全县社会科学优秀成果评奖和优秀社会科学专家的推荐评选。</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lang w:val="en-US"/>
        </w:rPr>
        <w:t>鼓励、资助社科基地开展社会成果应用对策研究，发挥基地服务经济社会发展作用。</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lang w:val="en-US"/>
        </w:rPr>
        <w:t>组织和推动社会科学知识宣传、普及、培训活动，提供社科咨询服务。</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lang w:val="en-US"/>
        </w:rPr>
        <w:t>组织开展重大政治理论、意识形态重大问题和中华民族优秀文化传统的宣传、推广和普及活动。</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lang w:val="en-US"/>
        </w:rPr>
        <w:t>组织开展反对邪教、愚昧迷信、渗透、西化等宣传教育和学术活动。</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lang w:val="en-US"/>
        </w:rPr>
        <w:t>组织开展与高校、党校、社科研究院及自然科学界的联系协作和学术交流。</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lang w:val="en-US"/>
        </w:rPr>
        <w:t>协助相关部门加强社科队伍建设、关心社科工作人才的成长，维护社科工作者的合法权益。</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（二十一）、</w:t>
      </w:r>
      <w:r>
        <w:rPr>
          <w:rFonts w:hint="eastAsia" w:ascii="仿宋_GB2312" w:hAnsi="仿宋_GB2312" w:eastAsia="仿宋_GB2312" w:cs="仿宋_GB2312"/>
          <w:sz w:val="32"/>
          <w:szCs w:val="32"/>
          <w:lang w:val="en-US"/>
        </w:rPr>
        <w:t>承担县委、县政府交办的其他任务和中心工作。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bCs/>
          <w:kern w:val="0"/>
          <w:sz w:val="32"/>
          <w:szCs w:val="32"/>
          <w:lang w:eastAsia="zh-CN"/>
        </w:rPr>
        <w:t>道县社会科学界联合会</w:t>
      </w:r>
      <w:r>
        <w:rPr>
          <w:rFonts w:hint="eastAsia" w:ascii="仿宋_GB2312" w:hAnsi="仿宋_GB2312" w:eastAsia="仿宋_GB2312" w:cs="仿宋_GB2312"/>
          <w:bCs/>
          <w:kern w:val="0"/>
          <w:sz w:val="32"/>
          <w:szCs w:val="32"/>
        </w:rPr>
        <w:t>内设机构包括：综合室、业务室共有2个内设机构。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bCs/>
          <w:kern w:val="0"/>
          <w:sz w:val="32"/>
          <w:szCs w:val="32"/>
          <w:lang w:eastAsia="zh-CN"/>
        </w:rPr>
        <w:t>道县社会科学界联合会</w:t>
      </w:r>
      <w:r>
        <w:rPr>
          <w:rFonts w:hint="eastAsia" w:ascii="仿宋_GB2312" w:hAnsi="仿宋_GB2312" w:eastAsia="仿宋_GB2312" w:cs="仿宋_GB2312"/>
          <w:bCs/>
          <w:color w:val="auto"/>
          <w:kern w:val="0"/>
          <w:sz w:val="32"/>
          <w:szCs w:val="32"/>
        </w:rPr>
        <w:t>202</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lang w:eastAsia="zh-CN"/>
        </w:rPr>
        <w:t>道县社会科学界联合会</w:t>
      </w:r>
      <w:r>
        <w:rPr>
          <w:rFonts w:hint="eastAsia" w:ascii="仿宋_GB2312" w:hAnsi="仿宋_GB2312" w:eastAsia="仿宋_GB2312" w:cs="仿宋_GB2312"/>
          <w:bCs/>
          <w:kern w:val="0"/>
          <w:sz w:val="32"/>
          <w:szCs w:val="32"/>
        </w:rPr>
        <w:t>本级</w:t>
      </w:r>
      <w:r>
        <w:rPr>
          <w:rFonts w:hint="eastAsia" w:ascii="仿宋_GB2312" w:hAnsi="仿宋_GB2312" w:eastAsia="仿宋_GB2312" w:cs="仿宋_GB2312"/>
          <w:bCs/>
          <w:kern w:val="0"/>
          <w:sz w:val="32"/>
          <w:szCs w:val="32"/>
          <w:lang w:eastAsia="zh-CN"/>
        </w:rPr>
        <w:t>。</w:t>
      </w:r>
    </w:p>
    <w:p>
      <w:pPr>
        <w:jc w:val="center"/>
        <w:rPr>
          <w:sz w:val="72"/>
          <w:szCs w:val="72"/>
        </w:rPr>
        <w:sectPr>
          <w:pgSz w:w="11906" w:h="16838"/>
          <w:pgMar w:top="720" w:right="720" w:bottom="720" w:left="720" w:header="851" w:footer="992" w:gutter="0"/>
          <w:cols w:space="425" w:num="1"/>
          <w:docGrid w:type="lines" w:linePitch="312" w:charSpace="0"/>
        </w:sectPr>
      </w:pPr>
    </w:p>
    <w:p>
      <w:pPr>
        <w:pStyle w:val="15"/>
      </w:pPr>
    </w:p>
    <w:p>
      <w:pPr>
        <w:jc w:val="center"/>
        <w:rPr>
          <w:sz w:val="72"/>
          <w:szCs w:val="72"/>
        </w:rPr>
      </w:pPr>
    </w:p>
    <w:p>
      <w:pPr>
        <w:jc w:val="center"/>
        <w:rPr>
          <w:sz w:val="72"/>
          <w:szCs w:val="72"/>
        </w:rPr>
      </w:pPr>
    </w:p>
    <w:p>
      <w:pPr>
        <w:pStyle w:val="21"/>
        <w:jc w:val="center"/>
        <w:rPr>
          <w:rFonts w:hint="eastAsia" w:ascii="方正小标宋_GBK" w:hAnsi="方正小标宋_GBK" w:eastAsia="方正小标宋_GBK" w:cs="方正小标宋_GBK"/>
          <w:sz w:val="84"/>
          <w:szCs w:val="84"/>
        </w:rPr>
      </w:pPr>
    </w:p>
    <w:p>
      <w:pPr>
        <w:pStyle w:val="2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21"/>
        <w:jc w:val="center"/>
        <w:rPr>
          <w:rFonts w:hint="eastAsia" w:ascii="方正小标宋_GBK" w:hAnsi="方正小标宋_GBK" w:eastAsia="方正小标宋_GBK" w:cs="方正小标宋_GBK"/>
          <w:sz w:val="84"/>
          <w:szCs w:val="84"/>
        </w:rPr>
      </w:pPr>
    </w:p>
    <w:p>
      <w:pPr>
        <w:pStyle w:val="2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7"/>
        <w:tblW w:w="13900" w:type="dxa"/>
        <w:tblInd w:w="0" w:type="dxa"/>
        <w:tblLayout w:type="autofit"/>
        <w:tblCellMar>
          <w:top w:w="0" w:type="dxa"/>
          <w:left w:w="0" w:type="dxa"/>
          <w:bottom w:w="0" w:type="dxa"/>
          <w:right w:w="0" w:type="dxa"/>
        </w:tblCellMar>
      </w:tblPr>
      <w:tblGrid>
        <w:gridCol w:w="394"/>
        <w:gridCol w:w="355"/>
        <w:gridCol w:w="2264"/>
        <w:gridCol w:w="1687"/>
        <w:gridCol w:w="2897"/>
        <w:gridCol w:w="1445"/>
        <w:gridCol w:w="1445"/>
        <w:gridCol w:w="1445"/>
        <w:gridCol w:w="1445"/>
        <w:gridCol w:w="2051"/>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7"/>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41.65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41.65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41.65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2012999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其他群众团体事务支出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4.1</w:t>
            </w:r>
            <w:r>
              <w:rPr>
                <w:rFonts w:hint="eastAsia"/>
              </w:rPr>
              <w:t>　</w:t>
            </w:r>
          </w:p>
        </w:tc>
        <w:tc>
          <w:tcPr>
            <w:tcW w:w="1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2060199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其他科学技术管理事务支出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16.39</w:t>
            </w:r>
            <w:r>
              <w:rPr>
                <w:rFonts w:hint="eastAsia" w:ascii="华文中宋" w:hAnsi="华文中宋" w:eastAsia="华文中宋"/>
              </w:rPr>
              <w:t>　</w:t>
            </w:r>
          </w:p>
        </w:tc>
        <w:tc>
          <w:tcPr>
            <w:tcW w:w="1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华文中宋" w:hAnsi="华文中宋" w:eastAsia="华文中宋"/>
                <w:lang w:val="en-US" w:eastAsia="zh-CN"/>
              </w:rPr>
              <w:t>16.39</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2060699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其他社会科学支出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9.44</w:t>
            </w:r>
            <w:r>
              <w:rPr>
                <w:rFonts w:hint="eastAsia"/>
              </w:rPr>
              <w:t>　</w:t>
            </w:r>
          </w:p>
        </w:tc>
        <w:tc>
          <w:tcPr>
            <w:tcW w:w="1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2060702</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科普活动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w:t>
            </w:r>
            <w:r>
              <w:rPr>
                <w:rFonts w:hint="eastAsia"/>
              </w:rPr>
              <w:t>　</w:t>
            </w:r>
          </w:p>
        </w:tc>
        <w:tc>
          <w:tcPr>
            <w:tcW w:w="1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2070199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其他文化和旅游支出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2.16</w:t>
            </w:r>
            <w:r>
              <w:rPr>
                <w:rFonts w:hint="eastAsia"/>
              </w:rPr>
              <w:t>　</w:t>
            </w:r>
          </w:p>
        </w:tc>
        <w:tc>
          <w:tcPr>
            <w:tcW w:w="1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2070899</w:t>
            </w:r>
          </w:p>
        </w:tc>
        <w:tc>
          <w:tcPr>
            <w:tcW w:w="14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其他广播电视支出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7.46</w:t>
            </w:r>
            <w:r>
              <w:rPr>
                <w:rFonts w:hint="eastAsia"/>
              </w:rPr>
              <w:t>　</w:t>
            </w:r>
          </w:p>
        </w:tc>
        <w:tc>
          <w:tcPr>
            <w:tcW w:w="1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7.46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7"/>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41.65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30.65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2012999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4.1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4.1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2060199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其他科学技术管理事务支出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16.39</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16.39</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2060699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其他社会科学支出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9.44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0.54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2060702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科普活动</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2.1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lang w:val="en-US" w:eastAsia="zh-CN"/>
              </w:rPr>
              <w:t>2.1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2070199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其他文化和旅游支出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2.16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2.16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2070899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其他广播电视支出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7.46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7.46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7"/>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41.65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4.1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27.93</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27.93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9.62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9.62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41.65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41.65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41.65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41.65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41.56</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41.65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30.65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2012999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4.1</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4.1</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其他科学技术管理事务支出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rPr>
            </w:pPr>
            <w:r>
              <w:rPr>
                <w:rFonts w:hint="eastAsia" w:ascii="华文中宋" w:hAnsi="华文中宋" w:eastAsia="华文中宋"/>
                <w:lang w:val="en-US" w:eastAsia="zh-CN"/>
              </w:rPr>
              <w:t>16.39</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rPr>
            </w:pPr>
            <w:r>
              <w:rPr>
                <w:rFonts w:hint="eastAsia" w:ascii="华文中宋" w:hAnsi="华文中宋" w:eastAsia="华文中宋"/>
                <w:lang w:val="en-US" w:eastAsia="zh-CN"/>
              </w:rPr>
              <w:t>16.39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2060699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其他社会科学支出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9.44</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0.54</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8.9</w:t>
            </w:r>
            <w:r>
              <w:rPr>
                <w:rFonts w:hint="eastAsia" w:ascii="宋体" w:hAnsi="宋体" w:eastAsia="宋体" w:cs="宋体"/>
                <w:kern w:val="0"/>
                <w:sz w:val="24"/>
                <w:szCs w:val="24"/>
              </w:rPr>
              <w:t>　</w:t>
            </w:r>
          </w:p>
        </w:tc>
      </w:tr>
      <w:tr>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2060702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科普活动</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2.1</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lang w:val="en-US" w:eastAsia="zh-CN"/>
              </w:rPr>
              <w:t>2.1</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2.16</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2.16</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2070899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其他广播电视支出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7.46</w:t>
            </w:r>
            <w:r>
              <w:rPr>
                <w:rFonts w:hint="eastAsia"/>
              </w:rPr>
              <w:t>　</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7.46</w:t>
            </w:r>
            <w:r>
              <w:rPr>
                <w:rFonts w:hint="eastAsia"/>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7"/>
        <w:tblW w:w="0" w:type="auto"/>
        <w:tblInd w:w="0" w:type="dxa"/>
        <w:tblLayout w:type="autofit"/>
        <w:tblCellMar>
          <w:top w:w="0" w:type="dxa"/>
          <w:left w:w="108" w:type="dxa"/>
          <w:bottom w:w="0" w:type="dxa"/>
          <w:right w:w="108" w:type="dxa"/>
        </w:tblCellMar>
      </w:tblPr>
      <w:tblGrid>
        <w:gridCol w:w="991"/>
        <w:gridCol w:w="240"/>
        <w:gridCol w:w="94"/>
        <w:gridCol w:w="1291"/>
        <w:gridCol w:w="2031"/>
        <w:gridCol w:w="77"/>
        <w:gridCol w:w="759"/>
        <w:gridCol w:w="1207"/>
        <w:gridCol w:w="306"/>
        <w:gridCol w:w="1979"/>
        <w:gridCol w:w="112"/>
        <w:gridCol w:w="530"/>
        <w:gridCol w:w="1208"/>
        <w:gridCol w:w="356"/>
        <w:gridCol w:w="2091"/>
        <w:gridCol w:w="1701"/>
        <w:gridCol w:w="390"/>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26.544</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4.11</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16.39</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0.56</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7"/>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7"/>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4"/>
                <w:lang w:val="en-US" w:eastAsia="zh-CN" w:bidi="ar"/>
              </w:rPr>
              <w:t xml:space="preserve">   </w:t>
            </w:r>
            <w:r>
              <w:rPr>
                <w:rStyle w:val="25"/>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7"/>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7"/>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n-US" w:eastAsia="zh-CN"/>
              </w:rPr>
            </w:pPr>
            <w:r>
              <w:rPr>
                <w:rFonts w:hint="eastAsia"/>
                <w:lang w:val="en-US" w:eastAsia="zh-CN"/>
              </w:rPr>
              <w:t>0.56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21"/>
        <w:rPr>
          <w:sz w:val="72"/>
          <w:szCs w:val="72"/>
        </w:rPr>
      </w:pPr>
    </w:p>
    <w:p>
      <w:pPr>
        <w:pStyle w:val="21"/>
        <w:rPr>
          <w:sz w:val="72"/>
          <w:szCs w:val="72"/>
        </w:rPr>
      </w:pPr>
    </w:p>
    <w:p>
      <w:pPr>
        <w:pStyle w:val="21"/>
        <w:rPr>
          <w:sz w:val="72"/>
          <w:szCs w:val="72"/>
        </w:rPr>
      </w:pPr>
    </w:p>
    <w:p>
      <w:pPr>
        <w:pStyle w:val="21"/>
        <w:rPr>
          <w:sz w:val="72"/>
          <w:szCs w:val="72"/>
        </w:rPr>
      </w:pPr>
    </w:p>
    <w:p>
      <w:pPr>
        <w:pStyle w:val="21"/>
        <w:jc w:val="center"/>
        <w:rPr>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21"/>
        <w:jc w:val="center"/>
        <w:rPr>
          <w:rFonts w:hint="eastAsia" w:ascii="方正小标宋_GBK" w:hAnsi="方正小标宋_GBK" w:eastAsia="方正小标宋_GBK" w:cs="方正小标宋_GBK"/>
          <w:sz w:val="70"/>
          <w:szCs w:val="70"/>
        </w:rPr>
      </w:pPr>
    </w:p>
    <w:p>
      <w:pPr>
        <w:pStyle w:val="2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万元。与上年相比，减少</w:t>
      </w:r>
      <w:r>
        <w:rPr>
          <w:rFonts w:hint="eastAsia" w:ascii="Times New Roman" w:hAnsi="Times New Roman" w:eastAsia="仿宋_GB2312"/>
          <w:color w:val="auto"/>
          <w:sz w:val="32"/>
          <w:szCs w:val="32"/>
          <w:lang w:val="en-US" w:eastAsia="zh-CN"/>
        </w:rPr>
        <w:t>21.95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压减预算，过紧日子。</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30.65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21"/>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万元，与上年相比，减少</w:t>
      </w:r>
      <w:r>
        <w:rPr>
          <w:rFonts w:hint="eastAsia" w:ascii="Times New Roman" w:hAnsi="Times New Roman" w:eastAsia="仿宋_GB2312"/>
          <w:color w:val="auto"/>
          <w:sz w:val="32"/>
          <w:szCs w:val="32"/>
          <w:lang w:val="en-US" w:eastAsia="zh-CN"/>
        </w:rPr>
        <w:t>21.95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压减预算，过紧日子。</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21.95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压减预算，过紧日子。</w:t>
      </w:r>
    </w:p>
    <w:p>
      <w:pPr>
        <w:pStyle w:val="2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%；科学技术</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27.93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w:t>
      </w:r>
      <w:r>
        <w:rPr>
          <w:rFonts w:hint="eastAsia" w:ascii="Times New Roman" w:hAnsi="Times New Roman" w:eastAsia="仿宋_GB2312"/>
          <w:sz w:val="32"/>
          <w:szCs w:val="32"/>
        </w:rPr>
        <w:t>%;文化旅游体育与传媒支出</w:t>
      </w:r>
      <w:r>
        <w:rPr>
          <w:rFonts w:hint="eastAsia" w:ascii="Times New Roman" w:hAnsi="Times New Roman" w:eastAsia="仿宋_GB2312"/>
          <w:sz w:val="32"/>
          <w:szCs w:val="32"/>
          <w:lang w:val="en-US" w:eastAsia="zh-CN"/>
        </w:rPr>
        <w:t>（类）支出9.62万元，占23.1%</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bookmarkStart w:id="4" w:name="_GoBack"/>
      <w:bookmarkEnd w:id="4"/>
      <w:r>
        <w:rPr>
          <w:rFonts w:hint="eastAsia" w:ascii="楷体" w:hAnsi="楷体" w:eastAsia="楷体" w:cs="楷体"/>
          <w:b w:val="0"/>
          <w:bCs/>
          <w:sz w:val="32"/>
          <w:szCs w:val="32"/>
        </w:rPr>
        <w:t>（三）一般公共预算财政拨款支出决算具体情况</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41.65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1、一般公共服务（类）一般公共预算财政拨款（款）其他群众团体事务支出（项）。</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2、一般公共服务（类）一般公共预算财政拨款（款）其他科学技术管理事务支出（项）。</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、一般公共服务（类）一般公共预算财政拨款（款）其他社会科学支出（项）。</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、一般公共服务（类）一般公共预算财政拨款（款）科普活动（项）。</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、一般公共服务（类）一般公共预算财政拨款（款）其他文化和旅游支出（项）。</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、一般公共服务（类）一般公共预算财政拨款（款）其他广播电视支出（项）。</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30.65</w:t>
      </w:r>
      <w:r>
        <w:rPr>
          <w:rFonts w:hint="eastAsia" w:ascii="Times New Roman" w:hAnsi="Times New Roman" w:eastAsia="仿宋_GB2312"/>
          <w:sz w:val="32"/>
          <w:szCs w:val="32"/>
        </w:rPr>
        <w:t>万元，其中：</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26.54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86.59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、绩效工资、机关事业单位基本养老保险缴费、职业年金缴费、职工基本医疗保险缴费、住房公积金。</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13.41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印刷费、水费、电费、公务接待费</w:t>
      </w:r>
      <w:r>
        <w:rPr>
          <w:rFonts w:hint="eastAsia" w:ascii="Times New Roman" w:hAnsi="Times New Roman" w:eastAsia="仿宋_GB2312"/>
          <w:sz w:val="32"/>
          <w:szCs w:val="32"/>
        </w:rPr>
        <w:t>、差旅费</w:t>
      </w:r>
      <w:r>
        <w:rPr>
          <w:rFonts w:hint="eastAsia" w:ascii="Times New Roman" w:hAnsi="Times New Roman" w:eastAsia="仿宋_GB2312"/>
          <w:sz w:val="32"/>
          <w:szCs w:val="32"/>
          <w:lang w:eastAsia="zh-CN"/>
        </w:rPr>
        <w:t>、工会经费、其他交通费用</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响应非必要不接待，减少三公经费支出，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0.94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62.67</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响应非必要不接待，减少三公经费支出</w:t>
      </w:r>
      <w:r>
        <w:rPr>
          <w:rFonts w:hint="eastAsia" w:ascii="Times New Roman" w:hAnsi="Times New Roman" w:eastAsia="仿宋_GB2312"/>
          <w:sz w:val="32"/>
          <w:szCs w:val="32"/>
        </w:rPr>
        <w:t>。其中：</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响应非必要不接待，减少三公经费支出，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0.94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62.67</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响应非必要不接待，减少三公经费支出</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2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eastAsia="zh-CN"/>
        </w:rPr>
        <w:t>无</w:t>
      </w:r>
    </w:p>
    <w:p>
      <w:pPr>
        <w:pStyle w:val="2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上级调研、上级参加科普活动</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21"/>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本单位无政府性基金收支。</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万元，比年初预算数（或者上年决算数）增加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本单位无机关运行经费</w:t>
      </w:r>
      <w:r>
        <w:rPr>
          <w:rFonts w:hint="eastAsia" w:ascii="Times New Roman" w:hAnsi="Times New Roman" w:eastAsia="仿宋_GB2312"/>
          <w:sz w:val="32"/>
          <w:szCs w:val="32"/>
        </w:rPr>
        <w:t>。</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万元，用于开展培训，人数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p>
    <w:p>
      <w:pPr>
        <w:pStyle w:val="2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21"/>
        <w:jc w:val="both"/>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sectPr>
          <w:pgSz w:w="11906" w:h="16838"/>
          <w:pgMar w:top="720" w:right="720" w:bottom="720" w:left="720" w:header="851" w:footer="992" w:gutter="0"/>
          <w:cols w:space="425" w:num="1"/>
          <w:docGrid w:type="linesAndChars" w:linePitch="312" w:charSpace="0"/>
        </w:sect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一、财政拨款收入：指单位本年度从同级财政部门取得的各类财政拨款。</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三、事业收入：指事业单位开展专业业务活动及其辅助活动取得的收入，事业单位收到的财政专户实际核拨的教育收费等资金在此反映。</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四、经营收入：指事业单位在专业业务活动及其辅助活动之外开展非独立核算经营活动取得的收入。</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五、附属单位上缴收入：指事业单位附属独立核算单位按照有关规定上缴的收入。</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六、其他收入：指单位取得的除上述“财政拨款收入”、“事业收入”、“经营收入”等以外的各项收入。</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七、使用非财政拨款结余：指事业单位使用非财政拨款结余（原事业基金）弥补当年收支差额的数额。</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八、年初结转和结余：指单位上年结转本年使用的基本支出结转、项目支出结转和结余和经营结余。</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九、结余分配：指事业单位按规定对非财政拨款结余资金提取的专用基金、缴纳的所得税和转入非财政拨款结余等。</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十、年末结转和结余资金：指本年度或以前年度预算安排、因客观条件发生变化无法按原计划实施，需要延迟到以后年度按有关规定继续使用的资金。</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十一、基本支出：指为保障机构正常运转、完成日常工作任务而发生的支出，包括人员经费和公用经费。</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十二、项目支出：指在为完成特定的工作任务和事业发展目标所发生的支出。</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十三、上缴上级支出：指事业单位按照财政部门和主管部门的规定上缴上级单位的支出。</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十四、经营支出：指事业单位在专业业务活动及其辅助活动之外开展非独立核算经营活动发生的支出。</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十五、对附属单位补助支出：指事业单位用财政拨款收入之外的收入对附属单位补助发生的支出。</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六、“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十七、上级补助收入：指事业单位从主管部门和上级单位取得的非财政补助收入。</w:t>
      </w:r>
    </w:p>
    <w:p>
      <w:pPr>
        <w:ind w:firstLine="1440" w:firstLineChars="200"/>
        <w:rPr>
          <w:sz w:val="72"/>
          <w:szCs w:val="72"/>
        </w:rPr>
      </w:pPr>
      <w:r>
        <w:rPr>
          <w:sz w:val="72"/>
          <w:szCs w:val="72"/>
        </w:rPr>
        <w:br w:type="page"/>
      </w: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p>
    <w:p>
      <w:pPr>
        <w:pStyle w:val="2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21"/>
        <w:jc w:val="center"/>
        <w:rPr>
          <w:rFonts w:hint="eastAsia" w:ascii="方正小标宋_GBK" w:hAnsi="方正小标宋_GBK" w:eastAsia="方正小标宋_GBK" w:cs="方正小标宋_GBK"/>
          <w:sz w:val="70"/>
          <w:szCs w:val="70"/>
        </w:rPr>
      </w:pPr>
    </w:p>
    <w:p>
      <w:pPr>
        <w:pStyle w:val="21"/>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2024年道县社会科学界联合会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整体支出绩效自评报告</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部门（单位）基本情况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1．机构和人员情况：</w:t>
      </w:r>
      <w:r>
        <w:rPr>
          <w:rFonts w:hint="eastAsia" w:ascii="仿宋_GB2312" w:hAnsi="仿宋_GB2312" w:eastAsia="仿宋_GB2312" w:cs="仿宋_GB2312"/>
          <w:sz w:val="32"/>
          <w:szCs w:val="32"/>
          <w:lang w:eastAsia="zh-CN"/>
        </w:rPr>
        <w:t>综合室、业务室</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个职能部室。事业编制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人。现实有在职人数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人，退休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2．根据道</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号《道县社会科学联合会职能配置、内设机构和人员编制规定》文件规定，本单位主要工作职责是：</w:t>
      </w:r>
      <w:r>
        <w:rPr>
          <w:rFonts w:hint="eastAsia" w:ascii="仿宋_GB2312" w:eastAsia="仿宋_GB2312" w:cs="仿宋_GB2312"/>
          <w:color w:val="auto"/>
          <w:sz w:val="32"/>
          <w:szCs w:val="32"/>
          <w:lang w:val="en-US" w:eastAsia="zh-CN" w:bidi="ar-SA"/>
        </w:rPr>
        <w:t>贯彻落实中央、省、市繁荣发展哲学社会科学的方针、政策；制定</w:t>
      </w:r>
      <w:r>
        <w:rPr>
          <w:rFonts w:hint="eastAsia" w:ascii="仿宋_GB2312" w:eastAsia="仿宋_GB2312" w:cs="仿宋_GB2312"/>
          <w:color w:val="auto"/>
          <w:sz w:val="32"/>
          <w:szCs w:val="32"/>
          <w:lang w:eastAsia="zh-CN" w:bidi="ar-SA"/>
        </w:rPr>
        <w:t>全县</w:t>
      </w:r>
      <w:r>
        <w:rPr>
          <w:rFonts w:hint="eastAsia" w:ascii="仿宋_GB2312" w:eastAsia="仿宋_GB2312" w:cs="仿宋_GB2312"/>
          <w:color w:val="auto"/>
          <w:sz w:val="32"/>
          <w:szCs w:val="32"/>
          <w:lang w:bidi="ar-SA"/>
        </w:rPr>
        <w:t>社会科学中长期发展规划和年度计划并组织实施</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承担</w:t>
      </w:r>
      <w:r>
        <w:rPr>
          <w:rFonts w:hint="eastAsia" w:ascii="仿宋_GB2312" w:eastAsia="仿宋_GB2312" w:cs="仿宋_GB2312"/>
          <w:color w:val="auto"/>
          <w:sz w:val="32"/>
          <w:szCs w:val="32"/>
          <w:lang w:eastAsia="zh-CN" w:bidi="ar-SA"/>
        </w:rPr>
        <w:t>全县</w:t>
      </w:r>
      <w:r>
        <w:rPr>
          <w:rFonts w:hint="eastAsia" w:ascii="仿宋_GB2312" w:eastAsia="仿宋_GB2312" w:cs="仿宋_GB2312"/>
          <w:color w:val="auto"/>
          <w:sz w:val="32"/>
          <w:szCs w:val="32"/>
          <w:lang w:bidi="ar-SA"/>
        </w:rPr>
        <w:t>社科课题规划，</w:t>
      </w:r>
      <w:r>
        <w:rPr>
          <w:rFonts w:hint="eastAsia" w:ascii="仿宋_GB2312" w:eastAsia="仿宋_GB2312" w:cs="仿宋_GB2312"/>
          <w:color w:val="auto"/>
          <w:sz w:val="32"/>
          <w:szCs w:val="32"/>
          <w:lang w:val="en-US" w:eastAsia="zh-CN" w:bidi="ar-SA"/>
        </w:rPr>
        <w:t>组织</w:t>
      </w:r>
      <w:r>
        <w:rPr>
          <w:rFonts w:hint="eastAsia" w:ascii="仿宋_GB2312" w:eastAsia="仿宋_GB2312" w:cs="仿宋_GB2312"/>
          <w:color w:val="auto"/>
          <w:sz w:val="32"/>
          <w:szCs w:val="32"/>
          <w:lang w:bidi="ar-SA"/>
        </w:rPr>
        <w:t>开展社会科学重点课题研究;负责宣传、推广、应用优秀社会科学成果</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指导、组织、协调、监督全县社会科学各</w:t>
      </w:r>
      <w:r>
        <w:rPr>
          <w:rFonts w:hint="eastAsia" w:ascii="仿宋_GB2312" w:eastAsia="仿宋_GB2312" w:cs="仿宋_GB2312"/>
          <w:color w:val="auto"/>
          <w:sz w:val="32"/>
          <w:szCs w:val="32"/>
          <w:lang w:bidi="ar-SA"/>
        </w:rPr>
        <w:t>类学会、协会、研究会</w:t>
      </w:r>
      <w:r>
        <w:rPr>
          <w:rFonts w:hint="eastAsia" w:ascii="仿宋_GB2312" w:eastAsia="仿宋_GB2312" w:cs="仿宋_GB2312"/>
          <w:color w:val="auto"/>
          <w:sz w:val="32"/>
          <w:szCs w:val="32"/>
          <w:lang w:val="en-US" w:eastAsia="zh-CN" w:bidi="ar-SA"/>
        </w:rPr>
        <w:t>及民间社会科学研究机构</w:t>
      </w:r>
      <w:r>
        <w:rPr>
          <w:rFonts w:hint="eastAsia" w:ascii="仿宋_GB2312" w:eastAsia="仿宋_GB2312" w:cs="仿宋_GB2312"/>
          <w:color w:val="auto"/>
          <w:sz w:val="32"/>
          <w:szCs w:val="32"/>
          <w:lang w:bidi="ar-SA"/>
        </w:rPr>
        <w:t>的工作;对社科类社会团体成立、</w:t>
      </w:r>
      <w:r>
        <w:rPr>
          <w:rFonts w:hint="eastAsia" w:ascii="仿宋_GB2312" w:eastAsia="仿宋_GB2312" w:cs="仿宋_GB2312"/>
          <w:color w:val="auto"/>
          <w:sz w:val="32"/>
          <w:szCs w:val="32"/>
          <w:lang w:val="en-US" w:eastAsia="zh-CN" w:bidi="ar-SA"/>
        </w:rPr>
        <w:t>变</w:t>
      </w:r>
      <w:r>
        <w:rPr>
          <w:rFonts w:hint="eastAsia" w:ascii="仿宋_GB2312" w:eastAsia="仿宋_GB2312" w:cs="仿宋_GB2312"/>
          <w:color w:val="auto"/>
          <w:sz w:val="32"/>
          <w:szCs w:val="32"/>
          <w:lang w:bidi="ar-SA"/>
        </w:rPr>
        <w:t>更、注销，向社团登记机关提出审查意见;负责社科类社会团体制定章程、组织学术研讨活动的指导和审核;负责社科类学会吸收境外人士为会员或担任名誉性职务的核准;协助有关部门抓好人文社科类讲坛、论坛和刊物、网站的管理工作</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组织和推动所属团体会员及社科工作者开展社科研究和学术活动;</w:t>
      </w:r>
      <w:r>
        <w:rPr>
          <w:rFonts w:hint="eastAsia" w:ascii="仿宋_GB2312" w:eastAsia="仿宋_GB2312" w:cs="仿宋_GB2312"/>
          <w:color w:val="auto"/>
          <w:sz w:val="32"/>
          <w:szCs w:val="32"/>
          <w:lang w:val="en-US" w:eastAsia="zh-CN" w:bidi="ar-SA"/>
        </w:rPr>
        <w:t>参与改革开放和现代化建设重大课题攻关，为县委、县政府决策提供咨询；组织和管理全县社科课题立项评选、优秀社科成果出版资助工作；</w:t>
      </w:r>
      <w:r>
        <w:rPr>
          <w:rFonts w:hint="eastAsia" w:ascii="仿宋_GB2312" w:eastAsia="仿宋_GB2312" w:cs="仿宋_GB2312"/>
          <w:color w:val="auto"/>
          <w:sz w:val="32"/>
          <w:szCs w:val="32"/>
          <w:lang w:bidi="ar-SA"/>
        </w:rPr>
        <w:t>组织</w:t>
      </w:r>
      <w:r>
        <w:rPr>
          <w:rFonts w:hint="eastAsia" w:ascii="仿宋_GB2312" w:eastAsia="仿宋_GB2312" w:cs="仿宋_GB2312"/>
          <w:color w:val="auto"/>
          <w:sz w:val="32"/>
          <w:szCs w:val="32"/>
          <w:lang w:eastAsia="zh-CN" w:bidi="ar-SA"/>
        </w:rPr>
        <w:t>全县</w:t>
      </w:r>
      <w:r>
        <w:rPr>
          <w:rFonts w:hint="eastAsia" w:ascii="仿宋_GB2312" w:eastAsia="仿宋_GB2312" w:cs="仿宋_GB2312"/>
          <w:color w:val="auto"/>
          <w:sz w:val="32"/>
          <w:szCs w:val="32"/>
          <w:lang w:bidi="ar-SA"/>
        </w:rPr>
        <w:t>社会科学优秀成果评奖及优秀社会科学专家</w:t>
      </w:r>
      <w:r>
        <w:rPr>
          <w:rFonts w:hint="eastAsia" w:ascii="仿宋_GB2312" w:eastAsia="仿宋_GB2312" w:cs="仿宋_GB2312"/>
          <w:color w:val="auto"/>
          <w:sz w:val="32"/>
          <w:szCs w:val="32"/>
          <w:lang w:val="en-US" w:eastAsia="zh-CN" w:bidi="ar-SA"/>
        </w:rPr>
        <w:t>的推送</w:t>
      </w:r>
      <w:r>
        <w:rPr>
          <w:rFonts w:hint="eastAsia" w:ascii="仿宋_GB2312" w:eastAsia="仿宋_GB2312" w:cs="仿宋_GB2312"/>
          <w:color w:val="auto"/>
          <w:sz w:val="32"/>
          <w:szCs w:val="32"/>
          <w:lang w:bidi="ar-SA"/>
        </w:rPr>
        <w:t>评选;鼓励、资助社科基地开展社会成果应用对策研究，发挥基地服务经济社会发展作用</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组织和推动</w:t>
      </w:r>
      <w:r>
        <w:rPr>
          <w:rFonts w:hint="eastAsia" w:ascii="仿宋_GB2312" w:eastAsia="仿宋_GB2312" w:cs="仿宋_GB2312"/>
          <w:color w:val="auto"/>
          <w:sz w:val="32"/>
          <w:szCs w:val="32"/>
          <w:lang w:bidi="ar-SA"/>
        </w:rPr>
        <w:t>社会科学知识</w:t>
      </w:r>
      <w:r>
        <w:rPr>
          <w:rFonts w:hint="eastAsia" w:ascii="仿宋_GB2312" w:eastAsia="仿宋_GB2312" w:cs="仿宋_GB2312"/>
          <w:color w:val="auto"/>
          <w:sz w:val="32"/>
          <w:szCs w:val="32"/>
          <w:lang w:val="en-US" w:eastAsia="zh-CN" w:bidi="ar-SA"/>
        </w:rPr>
        <w:t>的</w:t>
      </w:r>
      <w:r>
        <w:rPr>
          <w:rFonts w:hint="eastAsia" w:ascii="仿宋_GB2312" w:eastAsia="仿宋_GB2312" w:cs="仿宋_GB2312"/>
          <w:color w:val="auto"/>
          <w:sz w:val="32"/>
          <w:szCs w:val="32"/>
          <w:lang w:bidi="ar-SA"/>
        </w:rPr>
        <w:t>宣传</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普及</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培训活动，</w:t>
      </w:r>
      <w:r>
        <w:rPr>
          <w:rFonts w:hint="eastAsia" w:ascii="仿宋_GB2312" w:eastAsia="仿宋_GB2312" w:cs="仿宋_GB2312"/>
          <w:color w:val="auto"/>
          <w:sz w:val="32"/>
          <w:szCs w:val="32"/>
          <w:lang w:bidi="ar-SA"/>
        </w:rPr>
        <w:t>提供社科咨询服务;组织开展重大政治理论、意识形态领域重大问题和中华民族优秀传统文化的宣传、推广和普及活动;组织开展反对邪教、愚昧迷信、渗透、西化等宣传教育和学术活动</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组织开展与高校、党校、社科研究院所及自然科学界的联系协作与学术交流</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协助有关部门加强社科队伍建设，关心社科人才的成长，维护社科工作者的合法权益。</w:t>
      </w:r>
    </w:p>
    <w:p>
      <w:pPr>
        <w:keepNext w:val="0"/>
        <w:keepLines w:val="0"/>
        <w:pageBreakBefore w:val="0"/>
        <w:widowControl w:val="0"/>
        <w:numPr>
          <w:ilvl w:val="0"/>
          <w:numId w:val="2"/>
        </w:numPr>
        <w:kinsoku/>
        <w:wordWrap/>
        <w:overflowPunct/>
        <w:topLinePunct w:val="0"/>
        <w:autoSpaceDE/>
        <w:autoSpaceDN/>
        <w:bidi w:val="0"/>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部门（单位）年度整体支出绩效目标</w:t>
      </w:r>
    </w:p>
    <w:p>
      <w:pPr>
        <w:keepNext/>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sz w:val="32"/>
          <w:szCs w:val="32"/>
          <w:lang w:val="en-US" w:eastAsia="zh-CN" w:bidi="ar-SA"/>
        </w:rPr>
        <w:t>紧紧围绕县委、县政府的决策部署和工作安排，团结和带领全县社科工作组织和机构，充分发挥“五个优势”，大力弘扬“五种精神”，深入实施“1251”行动计划，着力推进“四个十大”，全面擦亮“五张名片”，永葆“闯”的精神、“创”的劲头、“干”的作风，</w:t>
      </w:r>
      <w:r>
        <w:rPr>
          <w:rFonts w:hint="eastAsia" w:ascii="仿宋_GB2312" w:hAnsi="仿宋_GB2312" w:eastAsia="仿宋_GB2312" w:cs="仿宋_GB2312"/>
          <w:color w:val="auto"/>
          <w:sz w:val="32"/>
          <w:szCs w:val="32"/>
          <w:lang w:val="en-US" w:eastAsia="zh-CN" w:bidi="ar-SA"/>
        </w:rPr>
        <w:t>确保在政治理论宣讲、重点课题调研、社科宣传普及、人才培养储备、社科学术交流、机构规范管理中心工作等各个领域、各块工作、各个方面取得新的突破，为推动高质量发展和建设现代化新道县展现社科作为、体现社科担当、作出社科贡献。</w:t>
      </w:r>
    </w:p>
    <w:p>
      <w:pPr>
        <w:pStyle w:val="4"/>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引导社科组织挖掘本土社科资源，每年组织讲座、报告会或者展览会等开展学术研讨2次以上，打造本土社科品牌，扩大本土社科工作影响力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每年5月第二周为社科普及主题活动周，开展社科知识普及、宣传、培训活动。</w:t>
      </w:r>
    </w:p>
    <w:p>
      <w:pPr>
        <w:keepNext w:val="0"/>
        <w:keepLines w:val="0"/>
        <w:pageBreakBefore w:val="0"/>
        <w:widowControl w:val="0"/>
        <w:numPr>
          <w:ilvl w:val="0"/>
          <w:numId w:val="3"/>
        </w:numPr>
        <w:kinsoku/>
        <w:wordWrap/>
        <w:overflowPunct/>
        <w:topLinePunct w:val="0"/>
        <w:autoSpaceDE/>
        <w:autoSpaceDN/>
        <w:bidi w:val="0"/>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一般公共预算支出情况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rPr>
      </w:pPr>
      <w:r>
        <w:rPr>
          <w:rFonts w:hint="eastAsia" w:ascii="仿宋_GB2312" w:hAnsi="仿宋_GB2312" w:eastAsia="仿宋_GB2312" w:cs="仿宋_GB2312"/>
          <w:sz w:val="28"/>
          <w:szCs w:val="28"/>
        </w:rPr>
        <w:t>本单位202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年总支出41.65万元，具体使用情况如下：</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（一）基本支出情况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rPr>
      </w:pPr>
      <w:r>
        <w:rPr>
          <w:rFonts w:hint="eastAsia" w:ascii="仿宋_GB2312" w:hAnsi="仿宋_GB2312" w:eastAsia="仿宋_GB2312" w:cs="仿宋_GB2312"/>
          <w:sz w:val="28"/>
          <w:szCs w:val="28"/>
        </w:rPr>
        <w:t>基本支出：</w:t>
      </w:r>
      <w:r>
        <w:rPr>
          <w:rFonts w:hint="eastAsia" w:ascii="仿宋_GB2312" w:hAnsi="仿宋_GB2312" w:eastAsia="仿宋_GB2312" w:cs="仿宋_GB2312"/>
          <w:sz w:val="28"/>
          <w:szCs w:val="28"/>
          <w:lang w:val="en-US" w:eastAsia="zh-CN"/>
        </w:rPr>
        <w:t>30.6</w:t>
      </w:r>
      <w:r>
        <w:rPr>
          <w:rFonts w:hint="eastAsia" w:ascii="仿宋_GB2312" w:hAnsi="仿宋_GB2312" w:eastAsia="仿宋_GB2312" w:cs="仿宋_GB2312"/>
          <w:sz w:val="28"/>
          <w:szCs w:val="28"/>
        </w:rPr>
        <w:t>万元，其中包括人员经费</w:t>
      </w:r>
      <w:r>
        <w:rPr>
          <w:rFonts w:hint="eastAsia" w:ascii="仿宋_GB2312" w:hAnsi="仿宋_GB2312" w:eastAsia="仿宋_GB2312" w:cs="仿宋_GB2312"/>
          <w:sz w:val="28"/>
          <w:szCs w:val="28"/>
          <w:lang w:val="en-US" w:eastAsia="zh-CN"/>
        </w:rPr>
        <w:t>26.5</w:t>
      </w:r>
      <w:r>
        <w:rPr>
          <w:rFonts w:hint="eastAsia" w:ascii="仿宋_GB2312" w:hAnsi="仿宋_GB2312" w:eastAsia="仿宋_GB2312" w:cs="仿宋_GB2312"/>
          <w:sz w:val="28"/>
          <w:szCs w:val="28"/>
        </w:rPr>
        <w:t>万元，日常公用经费</w:t>
      </w: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rPr>
        <w:t>万元。</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项目支出情况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项目支出：11万元，其中社科普及活动周2.1万元，重大课题调研3万元，其他项目5.9万元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bookmarkStart w:id="3" w:name="DIS_MARK_PAY_ZFXJJZC"/>
      <w:r>
        <w:rPr>
          <w:rFonts w:hint="eastAsia" w:ascii="仿宋_GB2312" w:hAnsi="仿宋_GB2312" w:eastAsia="仿宋_GB2312" w:cs="仿宋_GB2312"/>
          <w:color w:val="000000"/>
          <w:sz w:val="32"/>
          <w:szCs w:val="32"/>
          <w:shd w:val="clear" w:color="auto" w:fill="FFFFFF"/>
        </w:rPr>
        <w:t>无政府性基金安排的支出</w:t>
      </w:r>
      <w:bookmarkEnd w:id="3"/>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无国有资本经营安排的支出。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无社会保险基金安排的支出。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部门整体支出绩效情况</w:t>
      </w:r>
    </w:p>
    <w:p>
      <w:pPr>
        <w:pStyle w:val="5"/>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after="0" w:line="560" w:lineRule="exact"/>
        <w:ind w:left="0" w:firstLine="640" w:firstLineChars="200"/>
        <w:textAlignment w:val="auto"/>
        <w:rPr>
          <w:rFonts w:hint="default" w:ascii="仿宋_GB2312" w:hAnsi="仿宋_GB2312" w:eastAsia="仿宋_GB2312" w:cs="仿宋_GB2312"/>
          <w:kern w:val="2"/>
          <w:sz w:val="28"/>
          <w:szCs w:val="28"/>
          <w:lang w:val="en-US" w:eastAsia="zh-CN" w:bidi="ar-SA"/>
        </w:rPr>
      </w:pPr>
      <w:r>
        <w:rPr>
          <w:rFonts w:hint="eastAsia" w:ascii="楷体" w:hAnsi="楷体" w:eastAsia="楷体" w:cs="楷体"/>
          <w:b/>
          <w:bCs/>
          <w:kern w:val="0"/>
          <w:sz w:val="32"/>
          <w:szCs w:val="32"/>
          <w:lang w:val="en-US" w:eastAsia="zh-CN" w:bidi="ar-SA"/>
        </w:rPr>
        <w:t>1.着力提升社科履职力。</w:t>
      </w:r>
      <w:r>
        <w:rPr>
          <w:rFonts w:hint="eastAsia" w:ascii="仿宋_GB2312" w:hAnsi="仿宋_GB2312" w:eastAsia="仿宋_GB2312" w:cs="仿宋_GB2312"/>
          <w:kern w:val="2"/>
          <w:sz w:val="32"/>
          <w:szCs w:val="32"/>
          <w:lang w:val="en-US" w:eastAsia="zh-CN" w:bidi="ar-SA"/>
        </w:rPr>
        <w:t>坚持</w:t>
      </w:r>
      <w:r>
        <w:rPr>
          <w:rFonts w:hint="default" w:ascii="仿宋_GB2312" w:hAnsi="仿宋_GB2312" w:eastAsia="仿宋_GB2312" w:cs="仿宋_GB2312"/>
          <w:kern w:val="2"/>
          <w:sz w:val="32"/>
          <w:szCs w:val="32"/>
          <w:lang w:val="en-US" w:eastAsia="zh-CN" w:bidi="ar-SA"/>
        </w:rPr>
        <w:t>以</w:t>
      </w:r>
      <w:r>
        <w:rPr>
          <w:rFonts w:hint="eastAsia" w:ascii="仿宋_GB2312" w:hAnsi="仿宋_GB2312" w:eastAsia="仿宋_GB2312" w:cs="仿宋_GB2312"/>
          <w:kern w:val="2"/>
          <w:sz w:val="32"/>
          <w:szCs w:val="32"/>
          <w:lang w:val="en-US" w:eastAsia="zh-CN" w:bidi="ar-SA"/>
        </w:rPr>
        <w:t>文辅政工作理念，以</w:t>
      </w:r>
      <w:r>
        <w:rPr>
          <w:rFonts w:hint="default" w:ascii="仿宋_GB2312" w:hAnsi="仿宋_GB2312" w:eastAsia="仿宋_GB2312" w:cs="仿宋_GB2312"/>
          <w:kern w:val="2"/>
          <w:sz w:val="32"/>
          <w:szCs w:val="32"/>
          <w:lang w:val="en-US" w:eastAsia="zh-CN" w:bidi="ar-SA"/>
        </w:rPr>
        <w:t>社会科学的繁荣发展推动经济社会高质量发展</w:t>
      </w:r>
      <w:r>
        <w:rPr>
          <w:rFonts w:hint="eastAsia" w:ascii="仿宋_GB2312" w:hAnsi="仿宋_GB2312" w:eastAsia="仿宋_GB2312" w:cs="仿宋_GB2312"/>
          <w:kern w:val="2"/>
          <w:sz w:val="32"/>
          <w:szCs w:val="32"/>
          <w:lang w:val="en-US" w:eastAsia="zh-CN" w:bidi="ar-SA"/>
        </w:rPr>
        <w:t>。撰写调研报告16篇，在中央省市重要媒体发表稿件20余篇，累计刊发《文明创建工作周报》100期、《新时代廉洁文化建设周报》60期。</w:t>
      </w:r>
      <w:r>
        <w:rPr>
          <w:rFonts w:hint="eastAsia" w:ascii="仿宋_GB2312" w:hAnsi="仿宋_GB2312" w:eastAsia="仿宋_GB2312" w:cs="仿宋_GB2312"/>
          <w:kern w:val="2"/>
          <w:sz w:val="32"/>
          <w:szCs w:val="32"/>
          <w:lang w:val="zh-CN" w:eastAsia="zh-CN" w:bidi="ar-SA"/>
        </w:rPr>
        <w:t>“献策湖南（永州）”金点子征集</w:t>
      </w:r>
      <w:r>
        <w:rPr>
          <w:rFonts w:hint="eastAsia" w:ascii="仿宋_GB2312" w:hAnsi="仿宋_GB2312" w:eastAsia="仿宋_GB2312" w:cs="仿宋_GB2312"/>
          <w:kern w:val="2"/>
          <w:sz w:val="32"/>
          <w:szCs w:val="32"/>
          <w:lang w:val="en-US" w:eastAsia="zh-CN" w:bidi="ar-SA"/>
        </w:rPr>
        <w:t>质量全市第一。承办</w:t>
      </w:r>
      <w:r>
        <w:rPr>
          <w:rFonts w:hint="eastAsia" w:ascii="仿宋_GB2312" w:hAnsi="仿宋_GB2312" w:eastAsia="仿宋_GB2312" w:cs="仿宋_GB2312"/>
          <w:kern w:val="2"/>
          <w:sz w:val="32"/>
          <w:szCs w:val="32"/>
          <w:lang w:val="zh-CN" w:eastAsia="zh-CN" w:bidi="ar-SA"/>
        </w:rPr>
        <w:t>“相约论语 文化中国”全国大型公益活动主会场活动</w:t>
      </w:r>
      <w:r>
        <w:rPr>
          <w:rFonts w:hint="eastAsia" w:ascii="仿宋_GB2312" w:hAnsi="仿宋_GB2312" w:eastAsia="仿宋_GB2312" w:cs="仿宋_GB2312"/>
          <w:kern w:val="2"/>
          <w:sz w:val="32"/>
          <w:szCs w:val="32"/>
          <w:lang w:val="en-US" w:eastAsia="zh-CN" w:bidi="ar-SA"/>
        </w:rPr>
        <w:t>受到广泛好评，参与和受益人数超过20万人。</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b/>
          <w:bCs/>
          <w:sz w:val="32"/>
          <w:szCs w:val="32"/>
          <w:lang w:val="en-US" w:eastAsia="zh-CN"/>
        </w:rPr>
        <w:t>2.着力提升社科影响力。</w:t>
      </w:r>
      <w:r>
        <w:rPr>
          <w:rFonts w:hint="eastAsia" w:ascii="仿宋_GB2312" w:hAnsi="仿宋_GB2312" w:eastAsia="仿宋_GB2312" w:cs="仿宋_GB2312"/>
          <w:sz w:val="32"/>
          <w:szCs w:val="32"/>
          <w:lang w:val="en-US" w:eastAsia="zh-CN"/>
        </w:rPr>
        <w:t>广泛开展社科知识</w:t>
      </w:r>
      <w:r>
        <w:rPr>
          <w:rFonts w:hint="eastAsia" w:ascii="仿宋_GB2312" w:hAnsi="仿宋_GB2312" w:eastAsia="仿宋_GB2312" w:cs="仿宋_GB2312"/>
          <w:color w:val="auto"/>
          <w:sz w:val="32"/>
          <w:szCs w:val="32"/>
          <w:lang w:val="en-US" w:eastAsia="zh-CN"/>
        </w:rPr>
        <w:t>“五进”</w:t>
      </w:r>
      <w:r>
        <w:rPr>
          <w:rFonts w:hint="eastAsia" w:ascii="仿宋_GB2312" w:hAnsi="仿宋_GB2312" w:eastAsia="仿宋_GB2312" w:cs="仿宋_GB2312"/>
          <w:sz w:val="32"/>
          <w:szCs w:val="32"/>
          <w:lang w:val="en-US" w:eastAsia="zh-CN"/>
        </w:rPr>
        <w:t>宣讲活动，</w:t>
      </w:r>
      <w:r>
        <w:rPr>
          <w:rFonts w:hint="eastAsia" w:ascii="仿宋_GB2312" w:hAnsi="仿宋_GB2312" w:eastAsia="仿宋_GB2312" w:cs="仿宋_GB2312"/>
          <w:color w:val="auto"/>
          <w:sz w:val="32"/>
          <w:szCs w:val="32"/>
          <w:lang w:val="en-US" w:eastAsia="zh-CN"/>
        </w:rPr>
        <w:t>推动社科知识飞入寻常家庭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创造性的开通，扩大影响力。</w:t>
      </w:r>
      <w:r>
        <w:rPr>
          <w:rFonts w:hint="eastAsia" w:ascii="仿宋_GB2312" w:hAnsi="仿宋_GB2312" w:eastAsia="仿宋_GB2312" w:cs="仿宋_GB2312"/>
          <w:sz w:val="32"/>
          <w:szCs w:val="32"/>
          <w:lang w:val="en-US" w:eastAsia="zh-CN" w:bidi="zh-CN"/>
        </w:rPr>
        <w:t>累计开展社科宣讲100余场次、</w:t>
      </w:r>
      <w:r>
        <w:rPr>
          <w:rFonts w:hint="eastAsia" w:ascii="仿宋_GB2312" w:hAnsi="仿宋_GB2312" w:eastAsia="仿宋_GB2312" w:cs="仿宋_GB2312"/>
          <w:color w:val="auto"/>
          <w:sz w:val="32"/>
          <w:szCs w:val="32"/>
          <w:lang w:val="en-US" w:eastAsia="zh-CN"/>
        </w:rPr>
        <w:t>系列社科活动50余场</w:t>
      </w:r>
      <w:r>
        <w:rPr>
          <w:rFonts w:hint="eastAsia" w:ascii="仿宋_GB2312" w:hAnsi="仿宋_GB2312" w:eastAsia="仿宋_GB2312" w:cs="仿宋_GB2312"/>
          <w:kern w:val="2"/>
          <w:sz w:val="32"/>
          <w:szCs w:val="32"/>
          <w:lang w:val="en-US" w:eastAsia="zh-CN" w:bidi="ar-SA"/>
        </w:rPr>
        <w:t>次、</w:t>
      </w:r>
      <w:r>
        <w:rPr>
          <w:rFonts w:hint="eastAsia" w:ascii="仿宋_GB2312" w:hAnsi="仿宋_GB2312" w:eastAsia="仿宋_GB2312" w:cs="仿宋_GB2312"/>
          <w:sz w:val="32"/>
          <w:szCs w:val="32"/>
          <w:lang w:val="en-US" w:eastAsia="zh-CN" w:bidi="zh-CN"/>
        </w:rPr>
        <w:t>红色文化宣讲30余场次，</w:t>
      </w:r>
      <w:r>
        <w:rPr>
          <w:rFonts w:hint="eastAsia" w:ascii="仿宋_GB2312" w:hAnsi="仿宋_GB2312" w:eastAsia="仿宋_GB2312" w:cs="仿宋_GB2312"/>
          <w:kern w:val="2"/>
          <w:sz w:val="32"/>
          <w:szCs w:val="32"/>
          <w:lang w:val="en-US" w:eastAsia="zh-CN" w:bidi="ar-SA"/>
        </w:rPr>
        <w:t>展出展板20余块，发放宣传资料6万份，发送微信短信2余万条</w:t>
      </w:r>
      <w:r>
        <w:rPr>
          <w:rFonts w:hint="eastAsia" w:ascii="仿宋_GB2312" w:hAnsi="仿宋_GB2312" w:eastAsia="仿宋_GB2312" w:cs="仿宋_GB2312"/>
          <w:sz w:val="32"/>
          <w:szCs w:val="32"/>
          <w:lang w:val="en-US" w:eastAsia="zh-CN" w:bidi="zh-CN"/>
        </w:rPr>
        <w:t>，新建社科宣传阵地30余个</w:t>
      </w:r>
      <w:r>
        <w:rPr>
          <w:rFonts w:hint="eastAsia" w:ascii="仿宋_GB2312" w:hAnsi="仿宋_GB2312" w:eastAsia="仿宋_GB2312" w:cs="仿宋_GB2312"/>
          <w:color w:val="auto"/>
          <w:sz w:val="32"/>
          <w:szCs w:val="32"/>
          <w:lang w:val="en-US" w:eastAsia="zh-CN"/>
        </w:rPr>
        <w:t>，创造性的</w:t>
      </w:r>
      <w:r>
        <w:rPr>
          <w:rFonts w:hint="eastAsia" w:ascii="仿宋_GB2312" w:hAnsi="仿宋_GB2312" w:eastAsia="仿宋_GB2312" w:cs="仿宋_GB2312"/>
          <w:sz w:val="32"/>
          <w:szCs w:val="32"/>
          <w:lang w:val="en-US" w:eastAsia="zh-CN"/>
        </w:rPr>
        <w:t>刊发</w:t>
      </w:r>
      <w:r>
        <w:rPr>
          <w:rFonts w:hint="eastAsia" w:ascii="仿宋_GB2312" w:hAnsi="仿宋_GB2312" w:eastAsia="仿宋_GB2312" w:cs="仿宋_GB2312"/>
          <w:sz w:val="32"/>
          <w:szCs w:val="32"/>
          <w:lang w:eastAsia="zh-CN"/>
        </w:rPr>
        <w:t>“道县社科”微信公众号</w:t>
      </w:r>
      <w:r>
        <w:rPr>
          <w:rFonts w:hint="eastAsia" w:ascii="仿宋_GB2312" w:hAnsi="仿宋_GB2312" w:eastAsia="仿宋_GB2312" w:cs="仿宋_GB2312"/>
          <w:sz w:val="32"/>
          <w:szCs w:val="32"/>
          <w:lang w:val="en-US" w:eastAsia="zh-CN"/>
        </w:rPr>
        <w:t>40期。</w:t>
      </w:r>
    </w:p>
    <w:p>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仿宋_GB2312" w:hAnsi="仿宋_GB2312" w:eastAsia="仿宋_GB2312" w:cs="仿宋_GB2312"/>
          <w:kern w:val="0"/>
          <w:sz w:val="32"/>
          <w:szCs w:val="32"/>
          <w:lang w:val="en-US" w:eastAsia="zh-CN" w:bidi="zh-CN"/>
        </w:rPr>
      </w:pPr>
      <w:r>
        <w:rPr>
          <w:rFonts w:hint="eastAsia" w:ascii="楷体" w:hAnsi="楷体" w:eastAsia="楷体" w:cs="楷体"/>
          <w:b/>
          <w:bCs/>
          <w:kern w:val="0"/>
          <w:sz w:val="32"/>
          <w:szCs w:val="32"/>
          <w:lang w:val="en-US" w:eastAsia="zh-CN" w:bidi="ar-SA"/>
        </w:rPr>
        <w:t>3.着力提升社科创新力。</w:t>
      </w:r>
      <w:r>
        <w:rPr>
          <w:rFonts w:hint="eastAsia" w:ascii="仿宋_GB2312" w:hAnsi="仿宋_GB2312" w:eastAsia="仿宋_GB2312" w:cs="仿宋_GB2312"/>
          <w:kern w:val="0"/>
          <w:sz w:val="32"/>
          <w:szCs w:val="32"/>
          <w:lang w:val="en-US" w:eastAsia="zh-CN" w:bidi="zh-CN"/>
        </w:rPr>
        <w:t>坚持将学术研究作为社科工作的重要内容，举办座谈会、研讨会、年会等活动。举行党的二十大三中全会精神</w:t>
      </w:r>
      <w:r>
        <w:rPr>
          <w:rFonts w:hint="eastAsia" w:ascii="仿宋_GB2312" w:eastAsia="仿宋_GB2312"/>
          <w:sz w:val="32"/>
          <w:szCs w:val="32"/>
          <w:lang w:val="en-US" w:eastAsia="zh-CN"/>
        </w:rPr>
        <w:t>、理学文化、红色文化研讨会，收集优秀社科作品10余篇</w:t>
      </w:r>
      <w:r>
        <w:rPr>
          <w:rFonts w:hint="eastAsia" w:ascii="仿宋_GB2312" w:hAnsi="仿宋_GB2312" w:eastAsia="仿宋_GB2312" w:cs="仿宋_GB2312"/>
          <w:kern w:val="0"/>
          <w:sz w:val="32"/>
          <w:szCs w:val="32"/>
          <w:lang w:val="en-US" w:eastAsia="zh-CN" w:bidi="zh-CN"/>
        </w:rPr>
        <w:t>，省市党报党刊发表学术论文2篇，实施重点课题10个，申报省市级课题9个，被列为市级重点课题2个，县重点课题三岩三源受到广泛关注和充分肯定。</w:t>
      </w:r>
    </w:p>
    <w:p>
      <w:pPr>
        <w:keepNext/>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left="0" w:firstLine="640" w:firstLineChars="200"/>
        <w:jc w:val="left"/>
        <w:textAlignment w:val="auto"/>
        <w:outlineLvl w:val="9"/>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SA"/>
        </w:rPr>
        <w:t>4.着力提升队伍组织力。</w:t>
      </w:r>
      <w:r>
        <w:rPr>
          <w:rFonts w:hint="eastAsia" w:ascii="仿宋_GB2312" w:hAnsi="仿宋_GB2312" w:eastAsia="仿宋_GB2312" w:cs="仿宋_GB2312"/>
          <w:kern w:val="0"/>
          <w:sz w:val="32"/>
          <w:szCs w:val="32"/>
          <w:lang w:val="en-US" w:eastAsia="zh-CN" w:bidi="zh-CN"/>
        </w:rPr>
        <w:t>坚持</w:t>
      </w:r>
      <w:r>
        <w:rPr>
          <w:rFonts w:hint="eastAsia" w:ascii="仿宋_GB2312" w:hAnsi="仿宋_GB2312" w:eastAsia="仿宋_GB2312" w:cs="仿宋_GB2312"/>
          <w:spacing w:val="0"/>
          <w:kern w:val="2"/>
          <w:sz w:val="32"/>
          <w:szCs w:val="32"/>
          <w:lang w:val="en-US" w:eastAsia="zh-CN" w:bidi="ar-SA"/>
        </w:rPr>
        <w:t>内提素质、外树形象、创先争优工作目标和工作标准，深</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化</w:t>
      </w:r>
      <w:r>
        <w:rPr>
          <w:rFonts w:hint="eastAsia" w:ascii="仿宋_GB2312" w:hAnsi="仿宋_GB2312" w:eastAsia="仿宋_GB2312" w:cs="仿宋_GB2312"/>
          <w:i w:val="0"/>
          <w:iCs w:val="0"/>
          <w:caps w:val="0"/>
          <w:color w:val="000000"/>
          <w:spacing w:val="0"/>
          <w:sz w:val="32"/>
          <w:szCs w:val="32"/>
          <w:shd w:val="clear" w:color="auto" w:fill="FFFFFF"/>
          <w:lang w:val="zh-CN" w:eastAsia="zh-CN"/>
        </w:rPr>
        <w:t>党纪学习教育，</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实现制定化、规范化、常态化社科队伍管理。建立道县人才专家智库，</w:t>
      </w:r>
      <w:r>
        <w:rPr>
          <w:rFonts w:hint="eastAsia" w:ascii="仿宋_GB2312" w:hAnsi="仿宋_GB2312" w:eastAsia="仿宋_GB2312" w:cs="仿宋_GB2312"/>
          <w:kern w:val="0"/>
          <w:sz w:val="32"/>
          <w:szCs w:val="32"/>
          <w:lang w:val="en-US" w:eastAsia="zh-CN" w:bidi="zh-CN"/>
        </w:rPr>
        <w:t>新聘请专家学者12名</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，新成立社科组织1家，参加各类培训4批19人次，培育省市县三级社科基地各2个</w:t>
      </w:r>
      <w:r>
        <w:rPr>
          <w:rFonts w:hint="eastAsia" w:ascii="仿宋_GB2312" w:hAnsi="仿宋_GB2312" w:eastAsia="仿宋_GB2312" w:cs="仿宋_GB2312"/>
          <w:kern w:val="2"/>
          <w:sz w:val="32"/>
          <w:szCs w:val="32"/>
          <w:lang w:val="en-US" w:eastAsia="zh-CN" w:bidi="ar-SA"/>
        </w:rPr>
        <w:t>，评选优秀社科工作者27名</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kern w:val="2"/>
          <w:sz w:val="32"/>
          <w:szCs w:val="32"/>
          <w:lang w:val="en-US" w:eastAsia="zh-CN" w:bidi="ar-SA"/>
        </w:rPr>
        <w:t>培育社科讲解员30名，其中1名获“社科逐梦”省三等奖。</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存在的问题及原因分析</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预算绩效管理机制有待进一步完善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需进一步结合工作实际完善资金管理文件办法等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绩效目标设定不够细化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绩效目标的科学性、合理性以及量化可考核性有待进一步加强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内控制度执行有待进一步规范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4、存在预算资金不够细，支出与预算不够专的问题。</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下一步改进措施</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（一）规范账务处理，提高财务信息质量 。</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严格按照《会计法》、《行政单位会计制度》、《行政单位财务规则》等规定执行财务核算，并结合实际情况，完整、准确地披露相关信息，做到决算与预算相衔接。</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（二）落实管理制度，进一步加强接待管理。</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按照《道县党政机关公务接待管理实施细则》的加强接待管理工作，对被接待单位人员要及时索取接待函对存在的问题。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（三）加强会计机构队伍建设</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010101"/>
          <w:kern w:val="0"/>
          <w:sz w:val="32"/>
          <w:szCs w:val="32"/>
        </w:rPr>
        <w:t>按照《中华人民共和国会计法》要求建立会计机关，配备齐会计人员，做到不相容岗位分设，加强会计监督。</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010101"/>
          <w:kern w:val="0"/>
          <w:sz w:val="32"/>
          <w:szCs w:val="32"/>
        </w:rPr>
        <w:t>按照要求将部门整体支出自评结果在部门门户网站进行公开，优化支出结构、完善相关办法、改进预算管理。强化结果应用，建立完善评价结果与预算调整、改进管理、完善政策挂钩机制。</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Lines w:val="0"/>
        <w:pageBreakBefore w:val="0"/>
        <w:widowControl w:val="0"/>
        <w:numPr>
          <w:ilvl w:val="0"/>
          <w:numId w:val="0"/>
        </w:numPr>
        <w:kinsoku/>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p>
    <w:p>
      <w:pPr>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道县社会科学界联合会</w:t>
      </w:r>
    </w:p>
    <w:p>
      <w:pPr>
        <w:keepLines w:val="0"/>
        <w:pageBreakBefore w:val="0"/>
        <w:widowControl w:val="0"/>
        <w:numPr>
          <w:ilvl w:val="0"/>
          <w:numId w:val="0"/>
        </w:numPr>
        <w:kinsoku/>
        <w:wordWrap w:val="0"/>
        <w:overflowPunct/>
        <w:topLinePunct w:val="0"/>
        <w:autoSpaceDE/>
        <w:autoSpaceDN/>
        <w:bidi w:val="0"/>
        <w:spacing w:line="56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2025年6月13日  </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FD86D"/>
    <w:multiLevelType w:val="singleLevel"/>
    <w:tmpl w:val="CE7FD86D"/>
    <w:lvl w:ilvl="0" w:tentative="0">
      <w:start w:val="2"/>
      <w:numFmt w:val="chineseCounting"/>
      <w:suff w:val="nothing"/>
      <w:lvlText w:val="%1、"/>
      <w:lvlJc w:val="left"/>
      <w:rPr>
        <w:rFonts w:hint="eastAsia"/>
      </w:rPr>
    </w:lvl>
  </w:abstractNum>
  <w:abstractNum w:abstractNumId="1">
    <w:nsid w:val="DDBD1782"/>
    <w:multiLevelType w:val="singleLevel"/>
    <w:tmpl w:val="DDBD1782"/>
    <w:lvl w:ilvl="0" w:tentative="0">
      <w:start w:val="7"/>
      <w:numFmt w:val="chineseCounting"/>
      <w:suff w:val="nothing"/>
      <w:lvlText w:val="%1、"/>
      <w:lvlJc w:val="left"/>
      <w:rPr>
        <w:rFonts w:hint="eastAsia"/>
      </w:rPr>
    </w:lvl>
  </w:abstractNum>
  <w:abstractNum w:abstractNumId="2">
    <w:nsid w:val="F7625CEF"/>
    <w:multiLevelType w:val="singleLevel"/>
    <w:tmpl w:val="F7625CEF"/>
    <w:lvl w:ilvl="0" w:tentative="0">
      <w:start w:val="3"/>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BF95FF"/>
    <w:multiLevelType w:val="singleLevel"/>
    <w:tmpl w:val="7ABF95FF"/>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794F3"/>
    <w:rsid w:val="2FFFEE04"/>
    <w:rsid w:val="34DF85B0"/>
    <w:rsid w:val="35F7F57A"/>
    <w:rsid w:val="3B8F36BC"/>
    <w:rsid w:val="3BFF3A75"/>
    <w:rsid w:val="46621AC4"/>
    <w:rsid w:val="491FF225"/>
    <w:rsid w:val="4FC4743C"/>
    <w:rsid w:val="4FFD214C"/>
    <w:rsid w:val="52C75AA0"/>
    <w:rsid w:val="5777D4F5"/>
    <w:rsid w:val="59DD8326"/>
    <w:rsid w:val="5DEF592A"/>
    <w:rsid w:val="5E6129EC"/>
    <w:rsid w:val="5FC6BB1E"/>
    <w:rsid w:val="5FF720F1"/>
    <w:rsid w:val="67FF5C0B"/>
    <w:rsid w:val="6BCF0983"/>
    <w:rsid w:val="6EFC0924"/>
    <w:rsid w:val="6F141950"/>
    <w:rsid w:val="6FB74722"/>
    <w:rsid w:val="6FEF8B7E"/>
    <w:rsid w:val="71A6591B"/>
    <w:rsid w:val="737D59BA"/>
    <w:rsid w:val="77C37683"/>
    <w:rsid w:val="79FF515B"/>
    <w:rsid w:val="7BEDB32E"/>
    <w:rsid w:val="7BFF143D"/>
    <w:rsid w:val="7E9E1962"/>
    <w:rsid w:val="7E9F11B4"/>
    <w:rsid w:val="7F37EC1E"/>
    <w:rsid w:val="7F7DCD9D"/>
    <w:rsid w:val="7F970A6F"/>
    <w:rsid w:val="7FBD904B"/>
    <w:rsid w:val="7FC1FFF3"/>
    <w:rsid w:val="7FC69637"/>
    <w:rsid w:val="7FDF8620"/>
    <w:rsid w:val="7FFB242F"/>
    <w:rsid w:val="7FFDB408"/>
    <w:rsid w:val="7FFE4EEB"/>
    <w:rsid w:val="8CDF760D"/>
    <w:rsid w:val="95FB2B98"/>
    <w:rsid w:val="9A639BC2"/>
    <w:rsid w:val="9FF39E87"/>
    <w:rsid w:val="9FF7D786"/>
    <w:rsid w:val="ABBFB23D"/>
    <w:rsid w:val="C3B4DA5A"/>
    <w:rsid w:val="CBFF70E0"/>
    <w:rsid w:val="CFF50B82"/>
    <w:rsid w:val="CFFFAD89"/>
    <w:rsid w:val="D37FE576"/>
    <w:rsid w:val="DFFE359E"/>
    <w:rsid w:val="DFFE4FFD"/>
    <w:rsid w:val="E7F7F053"/>
    <w:rsid w:val="EDBFD170"/>
    <w:rsid w:val="EEABED75"/>
    <w:rsid w:val="F56FDF51"/>
    <w:rsid w:val="F6B69F17"/>
    <w:rsid w:val="F77F1D61"/>
    <w:rsid w:val="F7FED3A9"/>
    <w:rsid w:val="F8C9DB26"/>
    <w:rsid w:val="F97E8EAE"/>
    <w:rsid w:val="FB36E1A6"/>
    <w:rsid w:val="FB3BE134"/>
    <w:rsid w:val="FC3217F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line="700" w:lineRule="exact"/>
      <w:jc w:val="center"/>
      <w:outlineLvl w:val="0"/>
    </w:pPr>
    <w:rPr>
      <w:rFonts w:ascii="Calibri" w:hAnsi="Calibri" w:eastAsia="方正小标宋简体"/>
      <w:kern w:val="44"/>
      <w:sz w:val="4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before="43"/>
      <w:ind w:left="120"/>
      <w:jc w:val="both"/>
      <w:textAlignment w:val="baseline"/>
    </w:pPr>
    <w:rPr>
      <w:rFonts w:ascii="仿宋" w:hAnsi="仿宋" w:eastAsia="仿宋"/>
      <w:kern w:val="2"/>
      <w:sz w:val="32"/>
      <w:szCs w:val="32"/>
      <w:lang w:val="zh-CN" w:eastAsia="zh-CN" w:bidi="ar-SA"/>
    </w:rPr>
  </w:style>
  <w:style w:type="paragraph" w:customStyle="1" w:styleId="3">
    <w:name w:val="BodyText1I"/>
    <w:basedOn w:val="2"/>
    <w:qFormat/>
    <w:uiPriority w:val="0"/>
    <w:pPr>
      <w:spacing w:before="43"/>
      <w:ind w:left="120" w:firstLine="420" w:firstLineChars="100"/>
      <w:jc w:val="both"/>
      <w:textAlignment w:val="baseline"/>
    </w:pPr>
    <w:rPr>
      <w:rFonts w:ascii="Calibri" w:hAnsi="Calibri" w:eastAsia="微软雅黑"/>
      <w:kern w:val="2"/>
      <w:sz w:val="32"/>
      <w:szCs w:val="32"/>
      <w:lang w:val="zh-CN" w:eastAsia="zh-CN" w:bidi="ar-SA"/>
    </w:rPr>
  </w:style>
  <w:style w:type="paragraph" w:styleId="5">
    <w:name w:val="Body Text"/>
    <w:basedOn w:val="1"/>
    <w:next w:val="6"/>
    <w:qFormat/>
    <w:uiPriority w:val="1"/>
    <w:pPr>
      <w:spacing w:before="48"/>
      <w:ind w:left="120"/>
    </w:pPr>
    <w:rPr>
      <w:rFonts w:ascii="仿宋_GB2312" w:hAnsi="仿宋_GB2312" w:eastAsia="仿宋_GB2312"/>
      <w:sz w:val="32"/>
      <w:szCs w:val="32"/>
    </w:rPr>
  </w:style>
  <w:style w:type="paragraph" w:styleId="6">
    <w:name w:val="Body Text First Indent"/>
    <w:basedOn w:val="5"/>
    <w:next w:val="7"/>
    <w:qFormat/>
    <w:uiPriority w:val="0"/>
    <w:pPr>
      <w:tabs>
        <w:tab w:val="left" w:pos="0"/>
      </w:tabs>
      <w:adjustRightInd w:val="0"/>
      <w:snapToGrid w:val="0"/>
      <w:spacing w:line="579" w:lineRule="atLeast"/>
      <w:ind w:firstLine="420" w:firstLineChars="100"/>
    </w:pPr>
    <w:rPr>
      <w:sz w:val="32"/>
    </w:rPr>
  </w:style>
  <w:style w:type="paragraph" w:customStyle="1" w:styleId="7">
    <w:name w:val="Normal"/>
    <w:next w:val="8"/>
    <w:qFormat/>
    <w:uiPriority w:val="0"/>
    <w:pPr>
      <w:widowControl/>
      <w:jc w:val="both"/>
    </w:pPr>
    <w:rPr>
      <w:rFonts w:ascii="Times New Roman" w:hAnsi="Times New Roman" w:eastAsia="宋体" w:cs="Times New Roman"/>
      <w:kern w:val="2"/>
      <w:sz w:val="21"/>
      <w:szCs w:val="21"/>
      <w:lang w:val="en-US" w:eastAsia="zh-CN" w:bidi="ar-SA"/>
    </w:rPr>
  </w:style>
  <w:style w:type="paragraph" w:styleId="8">
    <w:name w:val="toc 1"/>
    <w:basedOn w:val="1"/>
    <w:next w:val="1"/>
    <w:qFormat/>
    <w:uiPriority w:val="0"/>
  </w:style>
  <w:style w:type="paragraph" w:styleId="9">
    <w:name w:val="Body Text Indent"/>
    <w:basedOn w:val="1"/>
    <w:next w:val="10"/>
    <w:unhideWhenUsed/>
    <w:qFormat/>
    <w:uiPriority w:val="99"/>
    <w:pPr>
      <w:widowControl/>
      <w:spacing w:after="120"/>
      <w:ind w:left="420" w:leftChars="200"/>
      <w:jc w:val="left"/>
    </w:pPr>
    <w:rPr>
      <w:rFonts w:ascii="宋体" w:hAnsi="宋体" w:eastAsia="宋体" w:cs="宋体"/>
      <w:kern w:val="0"/>
      <w:sz w:val="24"/>
    </w:rPr>
  </w:style>
  <w:style w:type="paragraph" w:styleId="10">
    <w:name w:val="Body Text First Indent 2"/>
    <w:basedOn w:val="9"/>
    <w:next w:val="1"/>
    <w:unhideWhenUsed/>
    <w:qFormat/>
    <w:uiPriority w:val="99"/>
    <w:pPr>
      <w:ind w:firstLine="420" w:firstLineChars="2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3"/>
    <w:semiHidden/>
    <w:unhideWhenUsed/>
    <w:qFormat/>
    <w:uiPriority w:val="99"/>
    <w:rPr>
      <w:sz w:val="18"/>
      <w:szCs w:val="18"/>
    </w:rPr>
  </w:style>
  <w:style w:type="paragraph" w:styleId="13">
    <w:name w:val="footer"/>
    <w:basedOn w:val="1"/>
    <w:next w:val="1"/>
    <w:link w:val="20"/>
    <w:unhideWhenUsed/>
    <w:qFormat/>
    <w:uiPriority w:val="99"/>
    <w:pPr>
      <w:tabs>
        <w:tab w:val="center" w:pos="4153"/>
        <w:tab w:val="right" w:pos="8306"/>
      </w:tabs>
      <w:snapToGrid w:val="0"/>
      <w:jc w:val="left"/>
    </w:pPr>
    <w:rPr>
      <w:sz w:val="18"/>
      <w:szCs w:val="18"/>
    </w:rPr>
  </w:style>
  <w:style w:type="paragraph" w:styleId="1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10"/>
    <w:semiHidden/>
    <w:qFormat/>
    <w:uiPriority w:val="0"/>
    <w:pPr>
      <w:snapToGrid w:val="0"/>
      <w:jc w:val="left"/>
    </w:pPr>
    <w:rPr>
      <w:sz w:val="18"/>
      <w:szCs w:val="18"/>
    </w:rPr>
  </w:style>
  <w:style w:type="paragraph" w:styleId="16">
    <w:name w:val="Normal (Web)"/>
    <w:basedOn w:val="1"/>
    <w:next w:val="13"/>
    <w:qFormat/>
    <w:uiPriority w:val="0"/>
    <w:pPr>
      <w:spacing w:before="100" w:beforeAutospacing="1" w:after="100" w:afterAutospacing="1"/>
      <w:ind w:left="0" w:right="0"/>
      <w:jc w:val="left"/>
    </w:pPr>
    <w:rPr>
      <w:kern w:val="0"/>
      <w:sz w:val="24"/>
      <w:lang w:val="en-US" w:eastAsia="zh-CN" w:bidi="ar"/>
    </w:rPr>
  </w:style>
  <w:style w:type="character" w:customStyle="1" w:styleId="19">
    <w:name w:val="页眉 Char"/>
    <w:basedOn w:val="18"/>
    <w:link w:val="14"/>
    <w:qFormat/>
    <w:uiPriority w:val="99"/>
    <w:rPr>
      <w:sz w:val="18"/>
      <w:szCs w:val="18"/>
    </w:rPr>
  </w:style>
  <w:style w:type="character" w:customStyle="1" w:styleId="20">
    <w:name w:val="页脚 Char"/>
    <w:basedOn w:val="18"/>
    <w:link w:val="13"/>
    <w:qFormat/>
    <w:uiPriority w:val="99"/>
    <w:rPr>
      <w:sz w:val="18"/>
      <w:szCs w:val="18"/>
    </w:rPr>
  </w:style>
  <w:style w:type="paragraph" w:customStyle="1" w:styleId="2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2">
    <w:name w:val="List Paragraph"/>
    <w:basedOn w:val="1"/>
    <w:qFormat/>
    <w:uiPriority w:val="34"/>
    <w:pPr>
      <w:ind w:firstLine="420" w:firstLineChars="200"/>
    </w:pPr>
  </w:style>
  <w:style w:type="character" w:customStyle="1" w:styleId="23">
    <w:name w:val="批注框文本 Char"/>
    <w:basedOn w:val="18"/>
    <w:link w:val="12"/>
    <w:semiHidden/>
    <w:qFormat/>
    <w:uiPriority w:val="99"/>
    <w:rPr>
      <w:sz w:val="18"/>
      <w:szCs w:val="18"/>
    </w:rPr>
  </w:style>
  <w:style w:type="character" w:customStyle="1" w:styleId="24">
    <w:name w:val="font01"/>
    <w:basedOn w:val="18"/>
    <w:qFormat/>
    <w:uiPriority w:val="0"/>
    <w:rPr>
      <w:rFonts w:hint="eastAsia" w:ascii="宋体" w:hAnsi="宋体" w:eastAsia="宋体" w:cs="宋体"/>
      <w:color w:val="000000"/>
      <w:sz w:val="22"/>
      <w:szCs w:val="22"/>
      <w:u w:val="none"/>
    </w:rPr>
  </w:style>
  <w:style w:type="character" w:customStyle="1" w:styleId="25">
    <w:name w:val="font21"/>
    <w:basedOn w:val="18"/>
    <w:qFormat/>
    <w:uiPriority w:val="0"/>
    <w:rPr>
      <w:rFonts w:hint="eastAsia" w:ascii="宋体" w:hAnsi="宋体" w:eastAsia="宋体" w:cs="宋体"/>
      <w:color w:val="000000"/>
      <w:sz w:val="24"/>
      <w:szCs w:val="24"/>
      <w:u w:val="none"/>
    </w:rPr>
  </w:style>
  <w:style w:type="character" w:customStyle="1" w:styleId="26">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6</TotalTime>
  <ScaleCrop>false</ScaleCrop>
  <LinksUpToDate>false</LinksUpToDate>
  <CharactersWithSpaces>9008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2020-07-09T02:32:00Z</dcterms:created>
  <dc:creator>李航 null</dc:creator>
  <cp:lastModifiedBy>MR</cp:lastModifiedBy>
  <cp:lastPrinted>2024-08-09T10:20:00Z</cp:lastPrinted>
  <dcterms:modified xsi:type="dcterms:W3CDTF">2025-08-28T01:18:20Z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E25A3290B84B41E887C1D028C180F9B8</vt:lpwstr>
  </property>
</Properties>
</file>