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firstLine="880" w:firstLineChars="20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何宝珍故里管理所</w:t>
      </w:r>
    </w:p>
    <w:p>
      <w:pPr>
        <w:keepNext w:val="0"/>
        <w:keepLines w:val="0"/>
        <w:pageBreakBefore w:val="0"/>
        <w:kinsoku/>
        <w:wordWrap/>
        <w:overflowPunct/>
        <w:topLinePunct w:val="0"/>
        <w:autoSpaceDE/>
        <w:autoSpaceDN/>
        <w:bidi w:val="0"/>
        <w:spacing w:line="560" w:lineRule="exact"/>
        <w:ind w:firstLine="880" w:firstLineChars="20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整体支出绩效评价报告</w:t>
      </w:r>
    </w:p>
    <w:p>
      <w:pPr>
        <w:pStyle w:val="9"/>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bookmarkStart w:id="1" w:name="_GoBack"/>
      <w:r>
        <w:rPr>
          <w:rFonts w:hint="eastAsia" w:ascii="仿宋_GB2312" w:hAnsi="仿宋_GB2312" w:eastAsia="仿宋_GB2312" w:cs="仿宋_GB2312"/>
          <w:b/>
          <w:bCs/>
          <w:sz w:val="32"/>
          <w:szCs w:val="32"/>
        </w:rPr>
        <w:t>一、  部门概况</w:t>
      </w:r>
    </w:p>
    <w:p>
      <w:pPr>
        <w:pStyle w:val="9"/>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（一）部门基本情况</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1．机构和人员情况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何宝珍故里管理所共有内设机构</w:t>
      </w:r>
      <w:r>
        <w:rPr>
          <w:rFonts w:hint="eastAsia" w:ascii="仿宋_GB2312" w:hAnsi="仿宋_GB2312" w:eastAsia="仿宋_GB2312" w:cs="仿宋_GB2312"/>
          <w:sz w:val="32"/>
          <w:szCs w:val="32"/>
          <w:lang w:val="en-US" w:eastAsia="zh-CN"/>
        </w:rPr>
        <w:t>3个，分别为：</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财务室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政工室</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个职能部室。事业编制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现实有在职人数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2．工作职责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加强对何宝珍故居的管理；加强对何宝珍纪念馆、铜像广场和文物的管理。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（二）部门资金来源情况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年本单位县级财政拨款</w:t>
      </w:r>
      <w:r>
        <w:rPr>
          <w:rFonts w:hint="eastAsia" w:ascii="仿宋_GB2312" w:hAnsi="仿宋_GB2312" w:eastAsia="仿宋_GB2312" w:cs="仿宋_GB2312"/>
          <w:sz w:val="32"/>
          <w:szCs w:val="32"/>
          <w:lang w:val="en-US" w:eastAsia="zh-CN"/>
        </w:rPr>
        <w:t>74.33</w:t>
      </w:r>
      <w:r>
        <w:rPr>
          <w:rFonts w:hint="eastAsia" w:ascii="仿宋_GB2312" w:hAnsi="仿宋_GB2312" w:eastAsia="仿宋_GB2312" w:cs="仿宋_GB2312"/>
          <w:sz w:val="32"/>
          <w:szCs w:val="32"/>
        </w:rPr>
        <w:t>万元，</w:t>
      </w:r>
      <w:bookmarkStart w:id="0" w:name="OLE_LINK1"/>
      <w:r>
        <w:rPr>
          <w:rFonts w:hint="eastAsia" w:ascii="仿宋_GB2312" w:hAnsi="仿宋_GB2312" w:eastAsia="仿宋_GB2312" w:cs="仿宋_GB2312"/>
          <w:sz w:val="32"/>
          <w:szCs w:val="32"/>
          <w:lang w:val="en-US" w:eastAsia="zh-CN"/>
        </w:rPr>
        <w:t>湖南省委宣传部拨款30万元何宝珍故里标准化建设</w:t>
      </w:r>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具体内容如下: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县级财政拨款</w:t>
      </w:r>
      <w:r>
        <w:rPr>
          <w:rFonts w:hint="eastAsia" w:ascii="仿宋_GB2312" w:hAnsi="仿宋_GB2312" w:eastAsia="仿宋_GB2312" w:cs="仿宋_GB2312"/>
          <w:sz w:val="32"/>
          <w:szCs w:val="32"/>
          <w:lang w:val="en-US" w:eastAsia="zh-CN"/>
        </w:rPr>
        <w:t>74.33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湖南省委宣传部拨款30万元何宝珍故里标准化建设，</w:t>
      </w:r>
      <w:r>
        <w:rPr>
          <w:rFonts w:hint="eastAsia" w:ascii="仿宋_GB2312" w:hAnsi="仿宋_GB2312" w:eastAsia="仿宋_GB2312" w:cs="仿宋_GB2312"/>
          <w:sz w:val="32"/>
          <w:szCs w:val="32"/>
        </w:rPr>
        <w:t>占本年全部收入，主要用于发放干部职工工资及机关运转、专项经费等。</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二、部门整体支出使用情况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99.68</w:t>
      </w:r>
      <w:r>
        <w:rPr>
          <w:rFonts w:hint="eastAsia" w:ascii="仿宋_GB2312" w:hAnsi="仿宋_GB2312" w:eastAsia="仿宋_GB2312" w:cs="仿宋_GB2312"/>
          <w:sz w:val="32"/>
          <w:szCs w:val="32"/>
        </w:rPr>
        <w:t>万元，具体使用情况如下：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val="en-US" w:eastAsia="zh-CN"/>
        </w:rPr>
        <w:t>53.43</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工资和福利费用</w:t>
      </w:r>
      <w:r>
        <w:rPr>
          <w:rFonts w:hint="eastAsia" w:ascii="仿宋_GB2312" w:hAnsi="仿宋_GB2312" w:eastAsia="仿宋_GB2312" w:cs="仿宋_GB2312"/>
          <w:sz w:val="32"/>
          <w:szCs w:val="32"/>
          <w:lang w:val="en-US" w:eastAsia="zh-CN"/>
        </w:rPr>
        <w:t>47.43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商品和服务费用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资本性支出0万元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w:t>
      </w:r>
      <w:r>
        <w:rPr>
          <w:rFonts w:hint="eastAsia" w:ascii="仿宋_GB2312" w:hAnsi="仿宋_GB2312" w:eastAsia="仿宋_GB2312" w:cs="仿宋_GB2312"/>
          <w:sz w:val="32"/>
          <w:szCs w:val="32"/>
          <w:lang w:val="en-US" w:eastAsia="zh-CN"/>
        </w:rPr>
        <w:t>46.25</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3、机关运行经费情况：202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年决算安排机关运行经费</w:t>
      </w:r>
      <w:r>
        <w:rPr>
          <w:rFonts w:hint="eastAsia" w:ascii="仿宋_GB2312" w:hAnsi="仿宋_GB2312" w:eastAsia="仿宋_GB2312" w:cs="仿宋_GB2312"/>
          <w:sz w:val="32"/>
          <w:szCs w:val="32"/>
          <w:lang w:val="en-US" w:eastAsia="zh-CN"/>
        </w:rPr>
        <w:t>54.65万</w:t>
      </w:r>
      <w:r>
        <w:rPr>
          <w:rFonts w:hint="eastAsia" w:ascii="仿宋_GB2312" w:hAnsi="仿宋_GB2312" w:eastAsia="仿宋_GB2312" w:cs="仿宋_GB2312"/>
          <w:sz w:val="32"/>
          <w:szCs w:val="32"/>
        </w:rPr>
        <w:t>元，主要包括办公费</w:t>
      </w:r>
      <w:r>
        <w:rPr>
          <w:rFonts w:hint="eastAsia" w:ascii="仿宋_GB2312" w:hAnsi="仿宋_GB2312" w:eastAsia="仿宋_GB2312" w:cs="仿宋_GB2312"/>
          <w:sz w:val="32"/>
          <w:szCs w:val="32"/>
          <w:lang w:val="en-US" w:eastAsia="zh-CN"/>
        </w:rPr>
        <w:t>36.99</w:t>
      </w:r>
      <w:r>
        <w:rPr>
          <w:rFonts w:hint="eastAsia" w:ascii="仿宋_GB2312" w:hAnsi="仿宋_GB2312" w:eastAsia="仿宋_GB2312" w:cs="仿宋_GB2312"/>
          <w:sz w:val="32"/>
          <w:szCs w:val="32"/>
        </w:rPr>
        <w:t>万元 、印刷费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万元、水电费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邮电费0.6万元、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万元，工会经费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福利费0.59万元、</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商品和服务1.5</w:t>
      </w:r>
      <w:r>
        <w:rPr>
          <w:rFonts w:hint="eastAsia" w:ascii="仿宋_GB2312" w:hAnsi="仿宋_GB2312" w:eastAsia="仿宋_GB2312" w:cs="仿宋_GB2312"/>
          <w:sz w:val="32"/>
          <w:szCs w:val="32"/>
        </w:rPr>
        <w:t>万元等日常公用经费。</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年“三公”经费决算</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万元、无公务用车经费、无因公出国（境）费用；比202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减少0.3</w:t>
      </w:r>
      <w:r>
        <w:rPr>
          <w:rFonts w:hint="eastAsia" w:ascii="仿宋_GB2312" w:hAnsi="仿宋_GB2312" w:eastAsia="仿宋_GB2312" w:cs="仿宋_GB2312"/>
          <w:sz w:val="32"/>
          <w:szCs w:val="32"/>
        </w:rPr>
        <w:t>万元，原因主要是</w:t>
      </w:r>
      <w:r>
        <w:rPr>
          <w:rFonts w:hint="eastAsia" w:ascii="仿宋_GB2312" w:hAnsi="仿宋_GB2312" w:eastAsia="仿宋_GB2312" w:cs="仿宋_GB2312"/>
          <w:sz w:val="32"/>
          <w:szCs w:val="32"/>
          <w:lang w:val="en-US" w:eastAsia="zh-CN"/>
        </w:rPr>
        <w:t>经费紧张厉行节约</w:t>
      </w:r>
      <w:r>
        <w:rPr>
          <w:rFonts w:hint="eastAsia" w:ascii="仿宋_GB2312" w:hAnsi="仿宋_GB2312" w:eastAsia="仿宋_GB2312" w:cs="仿宋_GB2312"/>
          <w:sz w:val="32"/>
          <w:szCs w:val="32"/>
        </w:rPr>
        <w:t>。</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三、政府性基金预算支出情况</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年度本单位无政府性基金收支</w:t>
      </w:r>
      <w:r>
        <w:rPr>
          <w:rFonts w:hint="eastAsia" w:ascii="仿宋_GB2312" w:hAnsi="仿宋_GB2312" w:eastAsia="仿宋_GB2312" w:cs="仿宋_GB2312"/>
          <w:sz w:val="32"/>
          <w:szCs w:val="32"/>
        </w:rPr>
        <w:t>。</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四、国有资本经营预算支出情况</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国有资本经营预算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五、社会保险基金预算支出情况</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社会保险基金预算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“主阵地”成色大提升</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故里管理。道县财政拨付专项资金，使何宝珍故里管理正常化、日常化，各项管理工作步入正轨。为故里添置了消防设施，补齐了绿化带中的花草。环境卫生保持一个比较高的水准。强化“防控结合，预防为主”安全措施，添置巡更系统，严格落实24小时巡逻制度和节假日以及特护期的安保轮值工作。以学雷锋志愿服务站为平台，打造“红色志愿服务队”，推动了文明劝导、文明礼让参观常态化。深耕红色文化，开展党性教育微党课活动，申报永州市党员党性教育基地。</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提升讲解服务。讲解员薪酬待遇与讲解绩效直接挂钩；发放讲解评价卡，由观众实时评价，纳入绩效考核；主动对接学校，提升宣讲服务的主动性与积极性。</w:t>
      </w:r>
      <w:r>
        <w:rPr>
          <w:rFonts w:hint="eastAsia" w:ascii="仿宋_GB2312" w:hAnsi="仿宋_GB2312" w:eastAsia="仿宋_GB2312" w:cs="仿宋_GB2312"/>
          <w:sz w:val="32"/>
          <w:szCs w:val="32"/>
          <w:lang w:val="en-US" w:eastAsia="zh-CN"/>
        </w:rPr>
        <w:t>本年</w:t>
      </w:r>
      <w:r>
        <w:rPr>
          <w:rFonts w:hint="eastAsia" w:ascii="仿宋_GB2312" w:hAnsi="仿宋_GB2312" w:eastAsia="仿宋_GB2312" w:cs="仿宋_GB2312"/>
          <w:sz w:val="32"/>
          <w:szCs w:val="32"/>
        </w:rPr>
        <w:t>共完成讲解接待</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批次，讲解率达</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%，满意度达100%。</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“目的地”影响大彰显</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故里知名度、美誉度大幅提升。</w:t>
      </w:r>
      <w:r>
        <w:rPr>
          <w:rFonts w:hint="eastAsia" w:ascii="仿宋_GB2312" w:hAnsi="仿宋_GB2312" w:eastAsia="仿宋_GB2312" w:cs="仿宋_GB2312"/>
          <w:sz w:val="32"/>
          <w:szCs w:val="32"/>
          <w:lang w:val="en-US" w:eastAsia="zh-CN"/>
        </w:rPr>
        <w:t>本年</w:t>
      </w:r>
      <w:r>
        <w:rPr>
          <w:rFonts w:hint="eastAsia" w:ascii="仿宋_GB2312" w:hAnsi="仿宋_GB2312" w:eastAsia="仿宋_GB2312" w:cs="仿宋_GB2312"/>
          <w:sz w:val="32"/>
          <w:szCs w:val="32"/>
        </w:rPr>
        <w:t>接待游客达</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万人次，参观游客覆盖到周边省市县，成为红色文化、爱国主义教育的重要目的地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梅花镇中学、宁远县水市完全小学、永州一中等中小学生前来何宝珍故里参观接受红色教育。去年</w:t>
      </w:r>
      <w:r>
        <w:rPr>
          <w:rFonts w:hint="eastAsia" w:ascii="仿宋_GB2312" w:hAnsi="仿宋_GB2312" w:eastAsia="仿宋_GB2312" w:cs="仿宋_GB2312"/>
          <w:sz w:val="32"/>
          <w:szCs w:val="32"/>
        </w:rPr>
        <w:t>同刘少奇纪念馆达成结对联盟，实现资源共享、游客互达；获得永州市社会科学普及基地称号。</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配套设施不断完善</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强力推进何宝珍故里红色旅游景区“美化、亮化、绿化、净化”工程，1100平米的村级活动中心兼游客中心建成，建设了汀步叠水坝，目前，成为网红坝。</w:t>
      </w:r>
      <w:r>
        <w:rPr>
          <w:rFonts w:hint="eastAsia" w:ascii="仿宋_GB2312" w:hAnsi="仿宋_GB2312" w:eastAsia="仿宋_GB2312" w:cs="仿宋_GB2312"/>
          <w:sz w:val="32"/>
          <w:szCs w:val="32"/>
          <w:lang w:val="en-US" w:eastAsia="zh-CN"/>
        </w:rPr>
        <w:t>建好了</w:t>
      </w:r>
      <w:r>
        <w:rPr>
          <w:rFonts w:hint="eastAsia" w:ascii="仿宋_GB2312" w:hAnsi="仿宋_GB2312" w:eastAsia="仿宋_GB2312" w:cs="仿宋_GB2312"/>
          <w:sz w:val="32"/>
          <w:szCs w:val="32"/>
        </w:rPr>
        <w:t>二期沿河护堤工程</w:t>
      </w:r>
      <w:r>
        <w:rPr>
          <w:rFonts w:hint="eastAsia" w:ascii="仿宋_GB2312" w:hAnsi="仿宋_GB2312" w:eastAsia="仿宋_GB2312" w:cs="仿宋_GB2312"/>
          <w:sz w:val="32"/>
          <w:szCs w:val="32"/>
          <w:lang w:val="en-US" w:eastAsia="zh-CN"/>
        </w:rPr>
        <w:t>和荷塘游步道</w:t>
      </w:r>
      <w:r>
        <w:rPr>
          <w:rFonts w:hint="eastAsia" w:ascii="仿宋_GB2312" w:hAnsi="仿宋_GB2312" w:eastAsia="仿宋_GB2312" w:cs="仿宋_GB2312"/>
          <w:sz w:val="32"/>
          <w:szCs w:val="32"/>
        </w:rPr>
        <w:t>。在核心景区安装垃圾箱20个；请专业公司制作了景区内的标识标牌并按装。积极推进景区绿化，完成故里入口大道两侧花草种植。进行宝珍公园的规划和建设工作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长征微缩电影步道也在快速推进中。何宝珍生平陈列室扩馆也做好了设计和财政评审工作。</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加大宣传力度，提高故里知名度</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我所以多种形式开展教育宣传活动，不断拓展扩大教育市场，让更多人走进何宝珍故里，了解何宝珍烈士的事迹，学习红色文化。</w:t>
      </w:r>
      <w:r>
        <w:rPr>
          <w:rFonts w:hint="eastAsia" w:ascii="仿宋_GB2312" w:hAnsi="仿宋_GB2312" w:eastAsia="仿宋_GB2312" w:cs="仿宋_GB2312"/>
          <w:sz w:val="32"/>
          <w:szCs w:val="32"/>
          <w:lang w:val="en-US" w:eastAsia="zh-CN"/>
        </w:rPr>
        <w:t>清明节期间，开展网上祭英烈活动。</w:t>
      </w:r>
      <w:r>
        <w:rPr>
          <w:rFonts w:hint="eastAsia" w:ascii="仿宋_GB2312" w:hAnsi="仿宋_GB2312" w:eastAsia="仿宋_GB2312" w:cs="仿宋_GB2312"/>
          <w:sz w:val="32"/>
          <w:szCs w:val="32"/>
        </w:rPr>
        <w:t>在新华社、湖南日报、永州日报、红网发表何宝珍故里新闻</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多篇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宁远县水市完全小学</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多名学生到何宝珍故里学习红色文化，缅怀革命先烈，弘扬先烈的革命精神，加强青少年思想道德建设。</w:t>
      </w:r>
    </w:p>
    <w:p>
      <w:pPr>
        <w:keepNext w:val="0"/>
        <w:keepLines w:val="0"/>
        <w:pageBreakBefore w:val="0"/>
        <w:widowControl w:val="0"/>
        <w:kinsoku/>
        <w:wordWrap/>
        <w:overflowPunct/>
        <w:topLinePunct w:val="0"/>
        <w:autoSpaceDE/>
        <w:autoSpaceDN/>
        <w:bidi w:val="0"/>
        <w:adjustRightInd/>
        <w:spacing w:before="0" w:after="240" w:line="560" w:lineRule="exact"/>
        <w:ind w:left="0" w:right="0"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w:t>
      </w:r>
      <w:r>
        <w:rPr>
          <w:rFonts w:ascii="仿宋_GB2312" w:hAnsi="仿宋_GB2312" w:eastAsia="仿宋_GB2312" w:cs="仿宋_GB2312"/>
          <w:b/>
          <w:bCs/>
          <w:sz w:val="32"/>
          <w:szCs w:val="32"/>
        </w:rPr>
        <w:t>存在的问题及原因分析</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预算绩效管理机制有待进一步完善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需进一步结合工作实际完善资金管理文件办法等</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绩效目标设定不够细化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绩效目标的科学性、合理性以及量化可考核性有待进一步加强</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内控制度执行有待进一步规范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4、存在预算资金不够细，支出与预算不够专的问题。</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八、下一步改进措施</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（一）规范账务处理，提高财务信息质量 。</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严格按照《会计法》、《行政单位会计制度》、《行政单位财务规则》等规定执行财务核算，并结合实际情况，完整、准确地披露相关信息，做到决算与预算相衔接。</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（二）落实管理制度，进一步加强接待管理。</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按照《道县党政机关公务接待管理实施细则》的加强接待管理工作，对被接待单位人员要及时索取接待函对存在的问题。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（三）加强会计机构队伍建设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按照《中华人民共和国会计法》要求建立会计机关，配备齐会计人员，做到不相容岗位分设，加强会计监督。</w:t>
      </w:r>
    </w:p>
    <w:p>
      <w:pPr>
        <w:pStyle w:val="9"/>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九、绩效自评结果拟应用和公开情况</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按照要求将部门整体支出自评结果在部门门户网站进行公开，优化支出结构、完善相关办法、改进预算管理。强化结果应用，建立完善评价结果与预算调整、改进管理、完善政策挂钩机制。</w:t>
      </w:r>
    </w:p>
    <w:p>
      <w:pPr>
        <w:keepNext w:val="0"/>
        <w:keepLines w:val="0"/>
        <w:pageBreakBefore w:val="0"/>
        <w:kinsoku/>
        <w:wordWrap/>
        <w:overflowPunct/>
        <w:topLinePunct w:val="0"/>
        <w:autoSpaceDE/>
        <w:autoSpaceDN/>
        <w:bidi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十、其他需要说明的情况</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无。</w:t>
      </w:r>
    </w:p>
    <w:p>
      <w:pPr>
        <w:keepNext w:val="0"/>
        <w:keepLines w:val="0"/>
        <w:pageBreakBefore w:val="0"/>
        <w:kinsoku/>
        <w:wordWrap/>
        <w:overflowPunct/>
        <w:topLinePunct w:val="0"/>
        <w:autoSpaceDE/>
        <w:autoSpaceDN/>
        <w:bidi w:val="0"/>
        <w:spacing w:line="560" w:lineRule="exact"/>
        <w:ind w:firstLine="640" w:firstLineChars="200"/>
        <w:jc w:val="right"/>
        <w:rPr>
          <w:rFonts w:hint="eastAsia" w:ascii="仿宋_GB2312" w:hAnsi="仿宋_GB2312" w:eastAsia="仿宋_GB2312" w:cs="仿宋_GB2312"/>
          <w:color w:val="010101"/>
          <w:kern w:val="0"/>
          <w:sz w:val="32"/>
          <w:szCs w:val="32"/>
          <w:lang w:eastAsia="zh-CN"/>
        </w:rPr>
      </w:pPr>
      <w:r>
        <w:rPr>
          <w:rFonts w:hint="eastAsia" w:ascii="仿宋_GB2312" w:hAnsi="仿宋_GB2312" w:eastAsia="仿宋_GB2312" w:cs="仿宋_GB2312"/>
          <w:color w:val="010101"/>
          <w:kern w:val="0"/>
          <w:sz w:val="32"/>
          <w:szCs w:val="32"/>
          <w:lang w:eastAsia="zh-CN"/>
        </w:rPr>
        <w:t>何宝珍故里管理所</w:t>
      </w:r>
    </w:p>
    <w:p>
      <w:pPr>
        <w:pStyle w:val="5"/>
        <w:keepNext w:val="0"/>
        <w:keepLines w:val="0"/>
        <w:pageBreakBefore w:val="0"/>
        <w:kinsoku/>
        <w:wordWrap/>
        <w:overflowPunct/>
        <w:topLinePunct w:val="0"/>
        <w:autoSpaceDE/>
        <w:autoSpaceDN/>
        <w:bidi w:val="0"/>
        <w:spacing w:line="560" w:lineRule="exact"/>
        <w:ind w:firstLine="640" w:firstLineChars="200"/>
        <w:jc w:val="right"/>
        <w:rPr>
          <w:sz w:val="32"/>
          <w:szCs w:val="32"/>
        </w:rPr>
      </w:pPr>
      <w:r>
        <w:rPr>
          <w:rFonts w:hint="eastAsia" w:ascii="仿宋_GB2312" w:hAnsi="仿宋_GB2312" w:eastAsia="仿宋_GB2312" w:cs="仿宋_GB2312"/>
          <w:color w:val="010101"/>
          <w:kern w:val="0"/>
          <w:sz w:val="32"/>
          <w:szCs w:val="32"/>
        </w:rPr>
        <w:t>202</w:t>
      </w:r>
      <w:r>
        <w:rPr>
          <w:rFonts w:hint="eastAsia" w:ascii="仿宋_GB2312" w:hAnsi="仿宋_GB2312" w:eastAsia="仿宋_GB2312" w:cs="仿宋_GB2312"/>
          <w:color w:val="010101"/>
          <w:kern w:val="0"/>
          <w:sz w:val="32"/>
          <w:szCs w:val="32"/>
          <w:lang w:val="en-US" w:eastAsia="zh-CN"/>
        </w:rPr>
        <w:t>5</w:t>
      </w:r>
      <w:r>
        <w:rPr>
          <w:rFonts w:hint="eastAsia" w:ascii="仿宋_GB2312" w:hAnsi="仿宋_GB2312" w:eastAsia="仿宋_GB2312" w:cs="仿宋_GB2312"/>
          <w:color w:val="010101"/>
          <w:kern w:val="0"/>
          <w:sz w:val="32"/>
          <w:szCs w:val="32"/>
        </w:rPr>
        <w:t>年</w:t>
      </w:r>
      <w:r>
        <w:rPr>
          <w:rFonts w:hint="eastAsia" w:ascii="仿宋_GB2312" w:hAnsi="仿宋_GB2312" w:eastAsia="仿宋_GB2312" w:cs="仿宋_GB2312"/>
          <w:color w:val="010101"/>
          <w:kern w:val="0"/>
          <w:sz w:val="32"/>
          <w:szCs w:val="32"/>
          <w:lang w:val="en-US" w:eastAsia="zh-CN"/>
        </w:rPr>
        <w:t>6</w:t>
      </w:r>
      <w:r>
        <w:rPr>
          <w:rFonts w:hint="eastAsia" w:ascii="仿宋_GB2312" w:hAnsi="仿宋_GB2312" w:eastAsia="仿宋_GB2312" w:cs="仿宋_GB2312"/>
          <w:color w:val="010101"/>
          <w:kern w:val="0"/>
          <w:sz w:val="32"/>
          <w:szCs w:val="32"/>
        </w:rPr>
        <w:t>月</w:t>
      </w:r>
      <w:r>
        <w:rPr>
          <w:rFonts w:hint="eastAsia" w:ascii="仿宋_GB2312" w:hAnsi="仿宋_GB2312" w:eastAsia="仿宋_GB2312" w:cs="仿宋_GB2312"/>
          <w:color w:val="010101"/>
          <w:kern w:val="0"/>
          <w:sz w:val="32"/>
          <w:szCs w:val="32"/>
          <w:lang w:val="en-US" w:eastAsia="zh-CN"/>
        </w:rPr>
        <w:t>20</w:t>
      </w:r>
      <w:r>
        <w:rPr>
          <w:rFonts w:hint="eastAsia" w:ascii="仿宋_GB2312" w:hAnsi="仿宋_GB2312" w:eastAsia="仿宋_GB2312" w:cs="仿宋_GB2312"/>
          <w:color w:val="010101"/>
          <w:kern w:val="0"/>
          <w:sz w:val="32"/>
          <w:szCs w:val="32"/>
        </w:rPr>
        <w:t>日</w:t>
      </w:r>
    </w:p>
    <w:bookmarkEnd w:id="1"/>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2I1ZmZjYTU2MzUzNTU2MjhkMGVjYTcxNGI2MWEifQ=="/>
  </w:docVars>
  <w:rsids>
    <w:rsidRoot w:val="00000000"/>
    <w:rsid w:val="07B26B8E"/>
    <w:rsid w:val="298B5F35"/>
    <w:rsid w:val="3F30723E"/>
    <w:rsid w:val="4FAD7C34"/>
    <w:rsid w:val="4FD4733F"/>
    <w:rsid w:val="6171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unhideWhenUsed/>
    <w:qFormat/>
    <w:uiPriority w:val="99"/>
    <w:pPr>
      <w:spacing w:after="120" w:afterLines="0"/>
    </w:pPr>
  </w:style>
  <w:style w:type="paragraph" w:styleId="5">
    <w:name w:val="endnote text"/>
    <w:basedOn w:val="1"/>
    <w:semiHidden/>
    <w:qFormat/>
    <w:uiPriority w:val="99"/>
  </w:style>
  <w:style w:type="paragraph" w:styleId="6">
    <w:name w:val="Body Text First Indent"/>
    <w:basedOn w:val="4"/>
    <w:qFormat/>
    <w:uiPriority w:val="0"/>
    <w:pPr>
      <w:spacing w:line="630" w:lineRule="exact"/>
      <w:ind w:firstLine="420" w:firstLineChars="100"/>
      <w:textAlignment w:val="bottom"/>
    </w:pPr>
    <w:rPr>
      <w:rFonts w:eastAsia="方正仿宋简体"/>
      <w:spacing w:val="6"/>
      <w:sz w:val="32"/>
      <w:szCs w:val="32"/>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1952</Words>
  <Characters>2061</Characters>
  <Lines>0</Lines>
  <Paragraphs>0</Paragraphs>
  <TotalTime>11</TotalTime>
  <ScaleCrop>false</ScaleCrop>
  <LinksUpToDate>false</LinksUpToDate>
  <CharactersWithSpaces>2150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2022-10-13T03:04:00Z</dcterms:created>
  <dc:creator>Administrator</dc:creator>
  <cp:lastModifiedBy>MR</cp:lastModifiedBy>
  <dcterms:modified xsi:type="dcterms:W3CDTF">2025-08-28T00:21:46Z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85F010F7D5ED47ECBF357BF6C594B472</vt:lpwstr>
  </property>
</Properties>
</file>