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道县人民代表大会常务委员会</w:t>
      </w: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部门概</w:t>
      </w:r>
      <w:r>
        <w:rPr>
          <w:rFonts w:hint="eastAsia" w:ascii="黑体" w:hAnsi="黑体" w:eastAsia="黑体" w:cs="黑体"/>
          <w:b w:val="0"/>
          <w:bCs/>
          <w:sz w:val="28"/>
          <w:szCs w:val="28"/>
        </w:rPr>
        <w:t>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3"/>
        <w:rPr>
          <w:rFonts w:hint="eastAsia" w:ascii="方正小标宋_GBK" w:hAnsi="方正小标宋_GBK" w:eastAsia="方正小标宋_GBK" w:cs="方正小标宋_GBK"/>
          <w:sz w:val="72"/>
          <w:szCs w:val="72"/>
        </w:rPr>
      </w:pPr>
    </w:p>
    <w:p>
      <w:pPr>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3"/>
        <w:rPr>
          <w:rFonts w:hint="eastAsia" w:ascii="方正小标宋_GBK" w:hAnsi="方正小标宋_GBK" w:eastAsia="方正小标宋_GBK" w:cs="方正小标宋_GBK"/>
          <w:sz w:val="72"/>
          <w:szCs w:val="72"/>
        </w:rPr>
      </w:pPr>
    </w:p>
    <w:p>
      <w:pPr>
        <w:rPr>
          <w:rFonts w:hint="eastAsia"/>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道县人民代表大会常务委员会部门概况</w:t>
      </w:r>
    </w:p>
    <w:p>
      <w:pPr>
        <w:pStyle w:val="13"/>
        <w:jc w:val="center"/>
        <w:rPr>
          <w:rFonts w:hint="eastAsia" w:ascii="方正小标宋_GBK" w:hAnsi="方正小标宋_GBK" w:eastAsia="方正小标宋_GBK" w:cs="方正小标宋_GBK"/>
          <w:sz w:val="84"/>
          <w:szCs w:val="84"/>
          <w:lang w:val="en-US" w:eastAsia="zh-CN"/>
        </w:rPr>
      </w:pPr>
    </w:p>
    <w:p>
      <w:pPr>
        <w:pStyle w:val="14"/>
        <w:numPr>
          <w:ilvl w:val="0"/>
          <w:numId w:val="0"/>
        </w:numPr>
        <w:ind w:leftChars="0" w:firstLine="320" w:firstLineChars="1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pPr>
        <w:spacing w:line="360" w:lineRule="auto"/>
        <w:ind w:firstLine="960" w:firstLineChars="300"/>
        <w:rPr>
          <w:rFonts w:hint="eastAsia" w:ascii="仿宋" w:hAnsi="仿宋" w:eastAsia="仿宋" w:cs="仿宋"/>
          <w:color w:val="000000"/>
          <w:sz w:val="32"/>
          <w:szCs w:val="32"/>
          <w:shd w:val="clear" w:color="auto" w:fill="FFFFFF"/>
        </w:rPr>
      </w:pPr>
      <w:bookmarkStart w:id="0" w:name="AGENCY_NAME_TITLE3"/>
      <w:r>
        <w:rPr>
          <w:rFonts w:hint="eastAsia" w:ascii="仿宋" w:hAnsi="仿宋" w:eastAsia="仿宋" w:cs="仿宋"/>
          <w:color w:val="000000"/>
          <w:sz w:val="32"/>
          <w:szCs w:val="32"/>
          <w:shd w:val="clear" w:color="auto" w:fill="FFFFFF"/>
        </w:rPr>
        <w:t>道县人民代表大会常务委员会</w:t>
      </w:r>
      <w:bookmarkEnd w:id="0"/>
      <w:r>
        <w:rPr>
          <w:rFonts w:hint="eastAsia" w:ascii="仿宋" w:hAnsi="仿宋" w:eastAsia="仿宋" w:cs="仿宋"/>
          <w:color w:val="000000"/>
          <w:sz w:val="32"/>
          <w:szCs w:val="32"/>
          <w:shd w:val="clear" w:color="auto" w:fill="FFFFFF"/>
        </w:rPr>
        <w:t>的主要职责是：</w:t>
      </w:r>
    </w:p>
    <w:p>
      <w:pPr>
        <w:spacing w:line="360" w:lineRule="auto"/>
        <w:ind w:firstLine="960" w:firstLineChars="300"/>
        <w:rPr>
          <w:rFonts w:hint="eastAsia" w:ascii="仿宋" w:hAnsi="仿宋" w:eastAsia="仿宋" w:cs="仿宋"/>
          <w:color w:val="000000"/>
          <w:sz w:val="32"/>
          <w:szCs w:val="32"/>
          <w:shd w:val="clear" w:color="auto" w:fill="FFFFFF"/>
        </w:rPr>
      </w:pPr>
      <w:bookmarkStart w:id="1" w:name="FUNCRESP"/>
      <w:r>
        <w:rPr>
          <w:rFonts w:hint="eastAsia" w:ascii="仿宋" w:hAnsi="仿宋" w:eastAsia="仿宋" w:cs="仿宋"/>
          <w:color w:val="000000"/>
          <w:sz w:val="32"/>
          <w:szCs w:val="32"/>
          <w:shd w:val="clear" w:color="auto" w:fill="FFFFFF"/>
        </w:rPr>
        <w:t>1．主要职能。</w:t>
      </w:r>
    </w:p>
    <w:p>
      <w:pPr>
        <w:spacing w:line="360" w:lineRule="auto"/>
        <w:ind w:left="319" w:leftChars="152"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①在本行政区域内，保证宪法、法律、行政法规和上级人民代表大会及其常务委员会决议、决定的遵守和执行。</w:t>
      </w:r>
    </w:p>
    <w:p>
      <w:pPr>
        <w:spacing w:line="360" w:lineRule="auto"/>
        <w:ind w:left="319" w:leftChars="152"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②领导或者主持本级人民代表大会代表的选举。召集本级人民代表大会及讨论、决定本级人民代表大会法定事宜。</w:t>
      </w:r>
    </w:p>
    <w:p>
      <w:pPr>
        <w:spacing w:line="360" w:lineRule="auto"/>
        <w:ind w:left="319" w:leftChars="152"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③讨论、决定本行政区域内的政治、经济、教育、科学、文化、卫生、城市建设和环境资源保护、民政等工作的重大事项。</w:t>
      </w:r>
    </w:p>
    <w:p>
      <w:pPr>
        <w:spacing w:line="360" w:lineRule="auto"/>
        <w:ind w:left="319" w:leftChars="152"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④根据本级人民政府的建议，决定对本行政区域内的国民经济和社会发展计划、财政预算的部分变更。</w:t>
      </w:r>
    </w:p>
    <w:p>
      <w:pPr>
        <w:spacing w:line="360" w:lineRule="auto"/>
        <w:ind w:left="319" w:leftChars="152"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⑤监督本级人民政府、人民法院和人民检察院的工作，联系本级人民代表大会代表，受理人民群众对上述机关和国家工作人员的申诉意见。</w:t>
      </w:r>
    </w:p>
    <w:p>
      <w:pPr>
        <w:spacing w:line="360" w:lineRule="auto"/>
        <w:ind w:left="319" w:leftChars="152"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⑥撤销下一级人民代表大会不适当的决议及本级人民政府不适当的决定和命令。</w:t>
      </w:r>
    </w:p>
    <w:p>
      <w:pPr>
        <w:spacing w:line="360" w:lineRule="auto"/>
        <w:ind w:left="319" w:leftChars="152"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⑦在本级人民代表大会闭会期间，履行人大常委会法定人事任免、补选上一级人民代表大会出缺的代表和罢免个别代表等职责。</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⑧其它法定职责。</w:t>
      </w:r>
      <w:bookmarkEnd w:id="1"/>
    </w:p>
    <w:p>
      <w:pPr>
        <w:widowControl/>
        <w:spacing w:line="600" w:lineRule="exact"/>
        <w:ind w:firstLine="320" w:firstLineChars="1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pStyle w:val="5"/>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（一）内设机构设置</w:t>
      </w:r>
    </w:p>
    <w:p>
      <w:pPr>
        <w:spacing w:line="360" w:lineRule="auto"/>
        <w:ind w:left="319" w:leftChars="152" w:firstLine="640" w:firstLineChars="200"/>
        <w:rPr>
          <w:rFonts w:hint="eastAsia" w:ascii="仿宋" w:hAnsi="仿宋" w:eastAsia="仿宋" w:cs="仿宋"/>
          <w:kern w:val="0"/>
          <w:lang w:bidi="zh-CN"/>
        </w:rPr>
      </w:pPr>
      <w:bookmarkStart w:id="2" w:name="ORG_SET"/>
      <w:r>
        <w:rPr>
          <w:rFonts w:hint="eastAsia" w:ascii="仿宋" w:hAnsi="仿宋" w:eastAsia="仿宋" w:cs="仿宋"/>
          <w:color w:val="000000"/>
          <w:sz w:val="32"/>
          <w:szCs w:val="32"/>
          <w:shd w:val="clear" w:color="auto" w:fill="FFFFFF"/>
        </w:rPr>
        <w:t>根据机构改革的要求，道县人民代表大会设监察和司法委员会、财政经济委员会、教育科学文化卫生委员会、社会建设委员会、农业农村委员会、环境和资源保护委员会、民族宗教外事委员会等7个专门委员会，常委会设办公室、</w:t>
      </w:r>
      <w:r>
        <w:rPr>
          <w:rFonts w:hint="eastAsia" w:ascii="仿宋" w:hAnsi="仿宋" w:eastAsia="仿宋" w:cs="仿宋"/>
          <w:color w:val="000000"/>
          <w:sz w:val="32"/>
          <w:szCs w:val="32"/>
          <w:shd w:val="clear" w:color="auto" w:fill="FFFFFF"/>
          <w:lang w:eastAsia="zh-CN"/>
        </w:rPr>
        <w:t>代表</w:t>
      </w:r>
      <w:r>
        <w:rPr>
          <w:rFonts w:hint="eastAsia" w:ascii="仿宋" w:hAnsi="仿宋" w:eastAsia="仿宋" w:cs="仿宋"/>
          <w:color w:val="000000"/>
          <w:sz w:val="32"/>
          <w:szCs w:val="32"/>
          <w:shd w:val="clear" w:color="auto" w:fill="FFFFFF"/>
        </w:rPr>
        <w:t>工作委员会、法律工作委员会、预算工作委员会等4个常设机构和一个事业单位（信息中心）。</w:t>
      </w:r>
      <w:bookmarkEnd w:id="2"/>
    </w:p>
    <w:p>
      <w:pPr>
        <w:pStyle w:val="5"/>
        <w:numPr>
          <w:ilvl w:val="0"/>
          <w:numId w:val="1"/>
        </w:numPr>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决算单位构成</w:t>
      </w:r>
    </w:p>
    <w:p>
      <w:pPr>
        <w:spacing w:line="360" w:lineRule="auto"/>
        <w:ind w:left="420" w:leftChars="200" w:right="384" w:rightChars="183"/>
        <w:rPr>
          <w:rFonts w:hint="eastAsia" w:ascii="仿宋" w:hAnsi="仿宋" w:eastAsia="仿宋" w:cs="仿宋"/>
          <w:sz w:val="32"/>
          <w:szCs w:val="32"/>
          <w:lang w:eastAsia="zh-CN"/>
        </w:rPr>
        <w:sectPr>
          <w:pgSz w:w="11906" w:h="16838"/>
          <w:pgMar w:top="720" w:right="720" w:bottom="720" w:left="720" w:header="851" w:footer="992" w:gutter="0"/>
          <w:pgNumType w:fmt="numberInDash"/>
          <w:cols w:space="720" w:num="1"/>
          <w:docGrid w:type="lines" w:linePitch="319" w:charSpace="0"/>
        </w:sectPr>
      </w:pPr>
      <w:r>
        <w:rPr>
          <w:rFonts w:hint="eastAsia" w:ascii="仿宋" w:hAnsi="仿宋" w:eastAsia="仿宋" w:cs="仿宋"/>
          <w:sz w:val="32"/>
          <w:szCs w:val="32"/>
        </w:rPr>
        <w:t xml:space="preserve">   </w:t>
      </w:r>
      <w:bookmarkStart w:id="3" w:name="DEPT_COMPOSE"/>
      <w:r>
        <w:rPr>
          <w:rFonts w:hint="eastAsia" w:ascii="仿宋" w:hAnsi="仿宋" w:eastAsia="仿宋" w:cs="仿宋"/>
          <w:sz w:val="32"/>
          <w:szCs w:val="32"/>
        </w:rPr>
        <w:t>道县人民代表大会常务委员会202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年部门决算汇总公开单位构成包括：道县人民代表大会常务委员会本级</w:t>
      </w:r>
      <w:bookmarkEnd w:id="3"/>
      <w:r>
        <w:rPr>
          <w:rFonts w:hint="eastAsia" w:ascii="仿宋" w:hAnsi="仿宋" w:eastAsia="仿宋" w:cs="仿宋"/>
          <w:sz w:val="32"/>
          <w:szCs w:val="32"/>
          <w:lang w:eastAsia="zh-CN"/>
        </w:rPr>
        <w:t>。</w:t>
      </w:r>
    </w:p>
    <w:p>
      <w:pPr>
        <w:pStyle w:val="13"/>
        <w:jc w:val="both"/>
        <w:rPr>
          <w:rFonts w:hint="eastAsia" w:ascii="方正小标宋_GBK" w:hAnsi="方正小标宋_GBK" w:eastAsia="方正小标宋_GBK" w:cs="方正小标宋_GBK"/>
          <w:sz w:val="84"/>
          <w:szCs w:val="84"/>
        </w:rPr>
      </w:pPr>
    </w:p>
    <w:p>
      <w:pPr>
        <w:pStyle w:val="13"/>
        <w:jc w:val="both"/>
        <w:rPr>
          <w:rFonts w:hint="eastAsia" w:ascii="方正小标宋_GBK" w:hAnsi="方正小标宋_GBK" w:eastAsia="方正小标宋_GBK" w:cs="方正小标宋_GBK"/>
          <w:sz w:val="84"/>
          <w:szCs w:val="84"/>
        </w:rPr>
      </w:pPr>
    </w:p>
    <w:p>
      <w:pPr>
        <w:pStyle w:val="13"/>
        <w:jc w:val="both"/>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78"/>
        <w:gridCol w:w="530"/>
        <w:gridCol w:w="1740"/>
        <w:gridCol w:w="1665"/>
        <w:gridCol w:w="1695"/>
        <w:gridCol w:w="1541"/>
        <w:gridCol w:w="1805"/>
        <w:gridCol w:w="1805"/>
        <w:gridCol w:w="1805"/>
        <w:gridCol w:w="2564"/>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3"/>
              <w:gridCol w:w="582"/>
              <w:gridCol w:w="1335"/>
              <w:gridCol w:w="4773"/>
              <w:gridCol w:w="1546"/>
              <w:gridCol w:w="479"/>
              <w:gridCol w:w="575"/>
              <w:gridCol w:w="1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7" w:type="dxa"/>
                  <w:tcBorders>
                    <w:top w:val="single" w:color="E9AD1D" w:sz="0" w:space="0"/>
                    <w:left w:val="single" w:color="FFFFFF" w:sz="0" w:space="0"/>
                    <w:bottom w:val="single" w:color="E9AD1D" w:sz="0" w:space="0"/>
                    <w:right w:val="single" w:color="FFFFFF" w:sz="0" w:space="0"/>
                  </w:tcBorders>
                  <w:shd w:val="clear" w:color="auto" w:fill="FFFFFF"/>
                  <w:noWrap/>
                  <w:vAlign w:val="center"/>
                </w:tcPr>
                <w:p>
                  <w:pPr>
                    <w:jc w:val="left"/>
                    <w:rPr>
                      <w:rFonts w:hint="eastAsia" w:ascii="黑体" w:hAnsi="宋体" w:eastAsia="黑体" w:cs="黑体"/>
                      <w:i w:val="0"/>
                      <w:color w:val="000000"/>
                      <w:sz w:val="24"/>
                      <w:szCs w:val="24"/>
                      <w:u w:val="none"/>
                    </w:rPr>
                  </w:pPr>
                </w:p>
              </w:tc>
              <w:tc>
                <w:tcPr>
                  <w:tcW w:w="602" w:type="dxa"/>
                  <w:tcBorders>
                    <w:top w:val="single" w:color="E9AD1D" w:sz="0" w:space="0"/>
                    <w:left w:val="single" w:color="FFFFFF" w:sz="0" w:space="0"/>
                    <w:bottom w:val="single" w:color="E9AD1D" w:sz="0" w:space="0"/>
                    <w:right w:val="single" w:color="FBF1D7" w:sz="0" w:space="0"/>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95" w:type="dxa"/>
                  <w:tcBorders>
                    <w:top w:val="single" w:color="E9AD1D" w:sz="0" w:space="0"/>
                    <w:left w:val="single" w:color="FBF1D7" w:sz="0" w:space="0"/>
                    <w:bottom w:val="single" w:color="E9AD1D" w:sz="0" w:space="0"/>
                    <w:right w:val="single" w:color="FBF1D7" w:sz="0" w:space="0"/>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17" w:type="dxa"/>
                  <w:tcBorders>
                    <w:top w:val="single" w:color="E9AD1D" w:sz="0" w:space="0"/>
                    <w:left w:val="single" w:color="FBF1D7" w:sz="0" w:space="0"/>
                    <w:bottom w:val="single" w:color="E9AD1D" w:sz="0" w:space="0"/>
                    <w:right w:val="single" w:color="FBF1D7" w:sz="0" w:space="0"/>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40" w:type="dxa"/>
                  <w:gridSpan w:val="2"/>
                  <w:tcBorders>
                    <w:top w:val="single" w:color="E9AD1D" w:sz="0" w:space="0"/>
                    <w:left w:val="single" w:color="FBF1D7" w:sz="0" w:space="0"/>
                    <w:bottom w:val="single" w:color="E9AD1D" w:sz="0" w:space="0"/>
                    <w:right w:val="single" w:color="FBF1D7" w:sz="0" w:space="0"/>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317" w:type="dxa"/>
                  <w:gridSpan w:val="2"/>
                  <w:tcBorders>
                    <w:top w:val="single" w:color="E9AD1D" w:sz="0" w:space="0"/>
                    <w:left w:val="single" w:color="FBF1D7" w:sz="0" w:space="0"/>
                    <w:bottom w:val="single" w:color="E9AD1D" w:sz="0" w:space="0"/>
                    <w:right w:val="single" w:color="FBF1D7" w:sz="0" w:space="0"/>
                  </w:tcBorders>
                  <w:shd w:val="clear" w:color="auto" w:fill="FFFFFF"/>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single" w:color="E9AD1D" w:sz="0" w:space="0"/>
                    <w:left w:val="single" w:color="FFFFFF" w:sz="0" w:space="0"/>
                    <w:bottom w:val="single" w:color="FBF1D7" w:sz="0" w:space="0"/>
                    <w:right w:val="single" w:color="FFFFFF" w:sz="0" w:space="0"/>
                  </w:tcBorders>
                  <w:shd w:val="clear" w:color="auto" w:fill="FFFDFA"/>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60" w:type="dxa"/>
                  <w:tcBorders>
                    <w:top w:val="single" w:color="FBF1D7" w:sz="0" w:space="0"/>
                    <w:left w:val="single" w:color="FFFFFF" w:sz="0" w:space="0"/>
                    <w:bottom w:val="single" w:color="FBF1D7" w:sz="0" w:space="0"/>
                    <w:right w:val="single" w:color="FFFFFF" w:sz="0" w:space="0"/>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72" w:type="dxa"/>
                  <w:tcBorders>
                    <w:top w:val="single" w:color="FBF1D7" w:sz="0" w:space="0"/>
                    <w:left w:val="single" w:color="FFFFFF" w:sz="0" w:space="0"/>
                    <w:bottom w:val="single" w:color="FBF1D7" w:sz="0" w:space="0"/>
                    <w:right w:val="single" w:color="FBF1D7" w:sz="0" w:space="0"/>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264" w:type="dxa"/>
                  <w:tcBorders>
                    <w:top w:val="single" w:color="FBF1D7" w:sz="0" w:space="0"/>
                    <w:left w:val="single" w:color="FBF1D7" w:sz="0" w:space="0"/>
                    <w:bottom w:val="single" w:color="FBF1D7" w:sz="0" w:space="0"/>
                    <w:right w:val="single" w:color="FBF1D7" w:sz="0" w:space="0"/>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900" w:type="dxa"/>
                  <w:tcBorders>
                    <w:top w:val="single" w:color="FBF1D7" w:sz="0" w:space="0"/>
                    <w:left w:val="single" w:color="FBF1D7" w:sz="0" w:space="0"/>
                    <w:bottom w:val="single" w:color="FBF1D7" w:sz="0" w:space="0"/>
                    <w:right w:val="single" w:color="FBF1D7" w:sz="0" w:space="0"/>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117" w:type="dxa"/>
                  <w:gridSpan w:val="2"/>
                  <w:tcBorders>
                    <w:top w:val="single" w:color="FBF1D7" w:sz="0" w:space="0"/>
                    <w:left w:val="single" w:color="FBF1D7" w:sz="0" w:space="0"/>
                    <w:bottom w:val="single" w:color="FBF1D7" w:sz="0" w:space="0"/>
                    <w:right w:val="single" w:color="FBF1D7" w:sz="0" w:space="0"/>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85" w:type="dxa"/>
                  <w:gridSpan w:val="2"/>
                  <w:tcBorders>
                    <w:top w:val="single" w:color="FBF1D7" w:sz="0" w:space="0"/>
                    <w:left w:val="single" w:color="FBF1D7" w:sz="0" w:space="0"/>
                    <w:bottom w:val="single" w:color="FBF1D7" w:sz="0" w:space="0"/>
                    <w:right w:val="single" w:color="FBF1D7" w:sz="0"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60" w:type="dxa"/>
                  <w:tcBorders>
                    <w:top w:val="single" w:color="FBF1D7" w:sz="0" w:space="0"/>
                    <w:left w:val="single" w:color="FFFFFF" w:sz="0" w:space="0"/>
                    <w:bottom w:val="single" w:color="FBF1D7" w:sz="0" w:space="0"/>
                    <w:right w:val="single" w:color="FFFFFF" w:sz="0" w:space="0"/>
                  </w:tcBorders>
                  <w:shd w:val="clear" w:color="auto" w:fill="FFFDFA"/>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部门：道县人民代表大会常务委员会</w:t>
                  </w:r>
                </w:p>
              </w:tc>
              <w:tc>
                <w:tcPr>
                  <w:tcW w:w="572" w:type="dxa"/>
                  <w:tcBorders>
                    <w:top w:val="single" w:color="FBF1D7" w:sz="0" w:space="0"/>
                    <w:left w:val="single" w:color="FFFFFF" w:sz="0" w:space="0"/>
                    <w:bottom w:val="single" w:color="FBF1D7" w:sz="0" w:space="0"/>
                    <w:right w:val="single" w:color="FBF1D7" w:sz="0" w:space="0"/>
                  </w:tcBorders>
                  <w:shd w:val="clear" w:color="auto" w:fill="FFFDFA"/>
                  <w:noWrap/>
                  <w:vAlign w:val="center"/>
                </w:tcPr>
                <w:p>
                  <w:pPr>
                    <w:jc w:val="right"/>
                    <w:rPr>
                      <w:rFonts w:hint="eastAsia" w:ascii="宋体" w:hAnsi="宋体" w:eastAsia="宋体" w:cs="宋体"/>
                      <w:i w:val="0"/>
                      <w:color w:val="000000"/>
                      <w:sz w:val="24"/>
                      <w:szCs w:val="24"/>
                      <w:u w:val="none"/>
                    </w:rPr>
                  </w:pPr>
                </w:p>
              </w:tc>
              <w:tc>
                <w:tcPr>
                  <w:tcW w:w="1264" w:type="dxa"/>
                  <w:tcBorders>
                    <w:top w:val="single" w:color="FBF1D7" w:sz="0" w:space="0"/>
                    <w:left w:val="single" w:color="FBF1D7" w:sz="0" w:space="0"/>
                    <w:bottom w:val="single" w:color="FBF1D7" w:sz="0" w:space="0"/>
                    <w:right w:val="single" w:color="FBF1D7" w:sz="0" w:space="0"/>
                  </w:tcBorders>
                  <w:shd w:val="clear" w:color="auto" w:fill="FFFDFA"/>
                  <w:noWrap/>
                  <w:vAlign w:val="center"/>
                </w:tcPr>
                <w:p>
                  <w:pPr>
                    <w:jc w:val="right"/>
                    <w:rPr>
                      <w:rFonts w:hint="eastAsia" w:ascii="宋体" w:hAnsi="宋体" w:eastAsia="宋体" w:cs="宋体"/>
                      <w:i w:val="0"/>
                      <w:color w:val="000000"/>
                      <w:sz w:val="24"/>
                      <w:szCs w:val="24"/>
                      <w:u w:val="none"/>
                    </w:rPr>
                  </w:pPr>
                </w:p>
              </w:tc>
              <w:tc>
                <w:tcPr>
                  <w:tcW w:w="4900" w:type="dxa"/>
                  <w:tcBorders>
                    <w:top w:val="single" w:color="FBF1D7" w:sz="0" w:space="0"/>
                    <w:left w:val="single" w:color="FBF1D7" w:sz="0" w:space="0"/>
                    <w:bottom w:val="single" w:color="FBF1D7" w:sz="0" w:space="0"/>
                    <w:right w:val="single" w:color="FBF1D7" w:sz="0" w:space="0"/>
                  </w:tcBorders>
                  <w:shd w:val="clear" w:color="auto" w:fill="FFFDFA"/>
                  <w:noWrap/>
                  <w:vAlign w:val="center"/>
                </w:tcPr>
                <w:p>
                  <w:pPr>
                    <w:jc w:val="right"/>
                    <w:rPr>
                      <w:rFonts w:hint="eastAsia" w:ascii="宋体" w:hAnsi="宋体" w:eastAsia="宋体" w:cs="宋体"/>
                      <w:i w:val="0"/>
                      <w:color w:val="000000"/>
                      <w:sz w:val="24"/>
                      <w:szCs w:val="24"/>
                      <w:u w:val="none"/>
                    </w:rPr>
                  </w:pPr>
                </w:p>
              </w:tc>
              <w:tc>
                <w:tcPr>
                  <w:tcW w:w="2117" w:type="dxa"/>
                  <w:gridSpan w:val="2"/>
                  <w:tcBorders>
                    <w:top w:val="single" w:color="FBF1D7" w:sz="0" w:space="0"/>
                    <w:left w:val="single" w:color="FBF1D7" w:sz="0" w:space="0"/>
                    <w:bottom w:val="single" w:color="FBF1D7" w:sz="0" w:space="0"/>
                    <w:right w:val="single" w:color="FBF1D7" w:sz="0" w:space="0"/>
                  </w:tcBorders>
                  <w:shd w:val="clear" w:color="auto" w:fill="FFFDFA"/>
                  <w:noWrap/>
                  <w:vAlign w:val="center"/>
                </w:tcPr>
                <w:p>
                  <w:pPr>
                    <w:jc w:val="right"/>
                    <w:rPr>
                      <w:rFonts w:hint="eastAsia" w:ascii="宋体" w:hAnsi="宋体" w:eastAsia="宋体" w:cs="宋体"/>
                      <w:i w:val="0"/>
                      <w:color w:val="000000"/>
                      <w:sz w:val="24"/>
                      <w:szCs w:val="24"/>
                      <w:u w:val="none"/>
                    </w:rPr>
                  </w:pPr>
                </w:p>
              </w:tc>
              <w:tc>
                <w:tcPr>
                  <w:tcW w:w="2585" w:type="dxa"/>
                  <w:gridSpan w:val="2"/>
                  <w:tcBorders>
                    <w:top w:val="single" w:color="FBF1D7" w:sz="0" w:space="0"/>
                    <w:left w:val="single" w:color="FBF1D7" w:sz="0" w:space="0"/>
                    <w:bottom w:val="single" w:color="FBF1D7" w:sz="0" w:space="0"/>
                    <w:right w:val="single" w:color="FBF1D7" w:sz="0" w:space="0"/>
                  </w:tcBorders>
                  <w:shd w:val="clear" w:color="auto" w:fill="FFFDFA"/>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8" w:type="dxa"/>
                <w:trHeight w:val="448" w:hRule="atLeast"/>
              </w:trPr>
              <w:tc>
                <w:tcPr>
                  <w:tcW w:w="5796" w:type="dxa"/>
                  <w:gridSpan w:val="3"/>
                  <w:tcBorders>
                    <w:top w:val="single" w:color="FBF1D7" w:sz="4" w:space="0"/>
                    <w:left w:val="single" w:color="FFFFFF" w:sz="4" w:space="0"/>
                    <w:bottom w:val="single" w:color="FBF1D7" w:sz="4" w:space="0"/>
                    <w:right w:val="single" w:color="FFFFFF"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276" w:type="dxa"/>
                  <w:gridSpan w:val="4"/>
                  <w:tcBorders>
                    <w:top w:val="single" w:color="FBF1D7" w:sz="4" w:space="0"/>
                    <w:left w:val="single" w:color="FFFFFF"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8" w:type="dxa"/>
                <w:trHeight w:val="62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2" w:type="dxa"/>
                  <w:tcBorders>
                    <w:top w:val="single" w:color="FBF1D7" w:sz="4" w:space="0"/>
                    <w:left w:val="single" w:color="FFFFFF"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64"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900"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17"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8" w:type="dxa"/>
                <w:trHeight w:val="44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2" w:type="dxa"/>
                  <w:tcBorders>
                    <w:top w:val="single" w:color="FBF1D7" w:sz="4" w:space="0"/>
                    <w:left w:val="single" w:color="FFFFFF" w:sz="4" w:space="0"/>
                    <w:bottom w:val="single" w:color="FBF1D7" w:sz="4" w:space="0"/>
                    <w:right w:val="single" w:color="FBF1D7"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264"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00"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17"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8" w:type="dxa"/>
                <w:trHeight w:val="44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DFA"/>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2" w:type="dxa"/>
                  <w:tcBorders>
                    <w:top w:val="single" w:color="FBF1D7" w:sz="4" w:space="0"/>
                    <w:left w:val="single" w:color="FFFFFF"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4"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1026.85</w:t>
                  </w:r>
                </w:p>
              </w:tc>
              <w:tc>
                <w:tcPr>
                  <w:tcW w:w="4900"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17"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DFA"/>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981.86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8" w:type="dxa"/>
                <w:trHeight w:val="44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2" w:type="dxa"/>
                  <w:tcBorders>
                    <w:top w:val="single" w:color="FBF1D7" w:sz="4" w:space="0"/>
                    <w:left w:val="single" w:color="FFFFFF"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4"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4900"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17"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FFF"/>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8" w:type="dxa"/>
                <w:trHeight w:val="44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DFA"/>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2" w:type="dxa"/>
                  <w:tcBorders>
                    <w:top w:val="single" w:color="FBF1D7" w:sz="4" w:space="0"/>
                    <w:left w:val="single" w:color="FFFFFF"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4"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jc w:val="right"/>
                    <w:rPr>
                      <w:rFonts w:hint="eastAsia" w:ascii="宋体" w:hAnsi="宋体" w:eastAsia="宋体" w:cs="宋体"/>
                      <w:i w:val="0"/>
                      <w:color w:val="000000"/>
                      <w:sz w:val="22"/>
                      <w:szCs w:val="22"/>
                      <w:u w:val="none"/>
                    </w:rPr>
                  </w:pPr>
                </w:p>
              </w:tc>
              <w:tc>
                <w:tcPr>
                  <w:tcW w:w="4900"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17"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DFA"/>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8" w:type="dxa"/>
                <w:trHeight w:val="44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2" w:type="dxa"/>
                  <w:tcBorders>
                    <w:top w:val="single" w:color="FBF1D7" w:sz="4" w:space="0"/>
                    <w:left w:val="single" w:color="FFFFFF"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4"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4900"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17"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FFF"/>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8" w:type="dxa"/>
                <w:trHeight w:val="44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DFA"/>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2" w:type="dxa"/>
                  <w:tcBorders>
                    <w:top w:val="single" w:color="FBF1D7" w:sz="4" w:space="0"/>
                    <w:left w:val="single" w:color="FFFFFF"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4"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jc w:val="right"/>
                    <w:rPr>
                      <w:rFonts w:hint="eastAsia" w:ascii="宋体" w:hAnsi="宋体" w:eastAsia="宋体" w:cs="宋体"/>
                      <w:i w:val="0"/>
                      <w:color w:val="000000"/>
                      <w:sz w:val="22"/>
                      <w:szCs w:val="22"/>
                      <w:u w:val="none"/>
                    </w:rPr>
                  </w:pPr>
                </w:p>
              </w:tc>
              <w:tc>
                <w:tcPr>
                  <w:tcW w:w="4900"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17"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DFA"/>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8" w:type="dxa"/>
                <w:trHeight w:val="44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2" w:type="dxa"/>
                  <w:tcBorders>
                    <w:top w:val="single" w:color="FBF1D7" w:sz="4" w:space="0"/>
                    <w:left w:val="single" w:color="FFFFFF"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4"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4900"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17"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FFF"/>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8" w:type="dxa"/>
                <w:trHeight w:val="44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DFA"/>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72" w:type="dxa"/>
                  <w:tcBorders>
                    <w:top w:val="single" w:color="FBF1D7" w:sz="4" w:space="0"/>
                    <w:left w:val="single" w:color="FFFFFF"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4"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jc w:val="right"/>
                    <w:rPr>
                      <w:rFonts w:hint="eastAsia" w:ascii="宋体" w:hAnsi="宋体" w:eastAsia="宋体" w:cs="宋体"/>
                      <w:i w:val="0"/>
                      <w:color w:val="000000"/>
                      <w:sz w:val="22"/>
                      <w:szCs w:val="22"/>
                      <w:u w:val="none"/>
                    </w:rPr>
                  </w:pPr>
                </w:p>
              </w:tc>
              <w:tc>
                <w:tcPr>
                  <w:tcW w:w="4900"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七、文化旅游体育与传媒支出</w:t>
                  </w:r>
                </w:p>
              </w:tc>
              <w:tc>
                <w:tcPr>
                  <w:tcW w:w="1617"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DFA"/>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8" w:type="dxa"/>
                <w:trHeight w:val="44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2" w:type="dxa"/>
                  <w:tcBorders>
                    <w:top w:val="single" w:color="FBF1D7" w:sz="4" w:space="0"/>
                    <w:left w:val="single" w:color="FFFFFF"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4"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jc w:val="left"/>
                    <w:rPr>
                      <w:rFonts w:hint="eastAsia" w:ascii="宋体" w:hAnsi="宋体" w:eastAsia="宋体" w:cs="宋体"/>
                      <w:i w:val="0"/>
                      <w:color w:val="000000"/>
                      <w:sz w:val="22"/>
                      <w:szCs w:val="22"/>
                      <w:u w:val="none"/>
                    </w:rPr>
                  </w:pPr>
                </w:p>
              </w:tc>
              <w:tc>
                <w:tcPr>
                  <w:tcW w:w="4900"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1617"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FFF"/>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8" w:type="dxa"/>
                <w:trHeight w:val="44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DFA"/>
                  <w:noWrap/>
                  <w:vAlign w:val="center"/>
                </w:tcPr>
                <w:p>
                  <w:pPr>
                    <w:jc w:val="right"/>
                    <w:rPr>
                      <w:rFonts w:hint="eastAsia" w:ascii="宋体" w:hAnsi="宋体" w:eastAsia="宋体" w:cs="宋体"/>
                      <w:i w:val="0"/>
                      <w:color w:val="000000"/>
                      <w:sz w:val="20"/>
                      <w:szCs w:val="20"/>
                      <w:u w:val="none"/>
                    </w:rPr>
                  </w:pPr>
                </w:p>
              </w:tc>
              <w:tc>
                <w:tcPr>
                  <w:tcW w:w="572" w:type="dxa"/>
                  <w:tcBorders>
                    <w:top w:val="single" w:color="FBF1D7" w:sz="4" w:space="0"/>
                    <w:left w:val="single" w:color="FFFFFF"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4"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jc w:val="right"/>
                    <w:rPr>
                      <w:rFonts w:hint="eastAsia" w:ascii="宋体" w:hAnsi="宋体" w:eastAsia="宋体" w:cs="宋体"/>
                      <w:i w:val="0"/>
                      <w:color w:val="000000"/>
                      <w:sz w:val="22"/>
                      <w:szCs w:val="22"/>
                      <w:u w:val="none"/>
                    </w:rPr>
                  </w:pPr>
                </w:p>
              </w:tc>
              <w:tc>
                <w:tcPr>
                  <w:tcW w:w="4900"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2"/>
                      <w:szCs w:val="22"/>
                      <w:u w:val="none"/>
                    </w:rPr>
                    <w:t>九、卫生健康支出</w:t>
                  </w:r>
                </w:p>
              </w:tc>
              <w:tc>
                <w:tcPr>
                  <w:tcW w:w="1617"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DFA"/>
                  <w:noWrap/>
                  <w:vAlign w:val="center"/>
                </w:tcPr>
                <w:p>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8" w:type="dxa"/>
                <w:trHeight w:val="44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2" w:type="dxa"/>
                  <w:tcBorders>
                    <w:top w:val="single" w:color="FBF1D7" w:sz="4" w:space="0"/>
                    <w:left w:val="single" w:color="FFFFFF"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4"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4900"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17"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FFF"/>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8" w:type="dxa"/>
                <w:trHeight w:val="44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DFA"/>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72" w:type="dxa"/>
                  <w:tcBorders>
                    <w:top w:val="single" w:color="FBF1D7" w:sz="4" w:space="0"/>
                    <w:left w:val="single" w:color="FFFFFF"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64"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jc w:val="right"/>
                    <w:rPr>
                      <w:rFonts w:hint="eastAsia" w:ascii="宋体" w:hAnsi="宋体" w:eastAsia="宋体" w:cs="宋体"/>
                      <w:i w:val="0"/>
                      <w:color w:val="000000"/>
                      <w:sz w:val="22"/>
                      <w:szCs w:val="22"/>
                      <w:u w:val="none"/>
                    </w:rPr>
                  </w:pPr>
                </w:p>
              </w:tc>
              <w:tc>
                <w:tcPr>
                  <w:tcW w:w="4900"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17"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DFA"/>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8" w:type="dxa"/>
                <w:trHeight w:val="62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72" w:type="dxa"/>
                  <w:tcBorders>
                    <w:top w:val="single" w:color="FBF1D7" w:sz="4" w:space="0"/>
                    <w:left w:val="single" w:color="FFFFFF"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64"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4900"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17" w:type="dxa"/>
                  <w:tcBorders>
                    <w:top w:val="single" w:color="FBF1D7" w:sz="4" w:space="0"/>
                    <w:left w:val="single" w:color="FBF1D7" w:sz="4" w:space="0"/>
                    <w:bottom w:val="single" w:color="FBF1D7" w:sz="4" w:space="0"/>
                    <w:right w:val="single" w:color="FBF1D7"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FFF"/>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8" w:type="dxa"/>
                <w:trHeight w:val="448" w:hRule="atLeast"/>
              </w:trPr>
              <w:tc>
                <w:tcPr>
                  <w:tcW w:w="3960" w:type="dxa"/>
                  <w:tcBorders>
                    <w:top w:val="single" w:color="FBF1D7" w:sz="4" w:space="0"/>
                    <w:left w:val="single" w:color="FFFFFF" w:sz="4" w:space="0"/>
                    <w:bottom w:val="single" w:color="FBF1D7" w:sz="4" w:space="0"/>
                    <w:right w:val="single" w:color="FFFFFF"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2" w:type="dxa"/>
                  <w:tcBorders>
                    <w:top w:val="single" w:color="FBF1D7" w:sz="4" w:space="0"/>
                    <w:left w:val="single" w:color="FFFFFF"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64"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1026.85</w:t>
                  </w:r>
                </w:p>
              </w:tc>
              <w:tc>
                <w:tcPr>
                  <w:tcW w:w="4900"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17" w:type="dxa"/>
                  <w:tcBorders>
                    <w:top w:val="single" w:color="FBF1D7" w:sz="4" w:space="0"/>
                    <w:left w:val="single" w:color="FBF1D7" w:sz="4" w:space="0"/>
                    <w:bottom w:val="single" w:color="FBF1D7" w:sz="4" w:space="0"/>
                    <w:right w:val="single" w:color="FBF1D7" w:sz="4" w:space="0"/>
                  </w:tcBorders>
                  <w:shd w:val="clear" w:color="auto" w:fill="FFFDFA"/>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98" w:type="dxa"/>
                  <w:gridSpan w:val="2"/>
                  <w:tcBorders>
                    <w:top w:val="single" w:color="FBF1D7" w:sz="4" w:space="0"/>
                    <w:left w:val="single" w:color="FBF1D7" w:sz="4" w:space="0"/>
                    <w:bottom w:val="single" w:color="FBF1D7" w:sz="4" w:space="0"/>
                    <w:right w:val="single" w:color="FBF1D7" w:sz="4" w:space="0"/>
                  </w:tcBorders>
                  <w:shd w:val="clear" w:color="auto" w:fill="FFFDFA"/>
                  <w:noWrap/>
                  <w:vAlign w:val="center"/>
                </w:tcPr>
                <w:p>
                  <w:pPr>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1026.85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single" w:color="FBF1D7" w:sz="0" w:space="0"/>
                    <w:left w:val="single" w:color="FFFFFF" w:sz="0" w:space="0"/>
                    <w:bottom w:val="single" w:color="E9AD1D" w:sz="0" w:space="0"/>
                    <w:right w:val="single" w:color="FFFFFF" w:sz="0" w:space="0"/>
                  </w:tcBorders>
                  <w:shd w:val="clear" w:color="auto" w:fill="FBF1D7"/>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pPr>
                    <w:pStyle w:val="2"/>
                    <w:rPr>
                      <w:rFonts w:hint="eastAsia"/>
                      <w:color w:val="000000"/>
                      <w:lang w:val="en-US" w:eastAsia="zh-CN"/>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0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7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道县人民代表大</w:t>
            </w:r>
            <w:r>
              <w:rPr>
                <w:rFonts w:hint="eastAsia"/>
              </w:rPr>
              <w:t>　</w:t>
            </w:r>
          </w:p>
        </w:tc>
        <w:tc>
          <w:tcPr>
            <w:tcW w:w="1665"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会常务委员会</w:t>
            </w:r>
            <w:r>
              <w:rPr>
                <w:rFonts w:hint="eastAsia"/>
              </w:rPr>
              <w:t>　</w:t>
            </w:r>
          </w:p>
        </w:tc>
        <w:tc>
          <w:tcPr>
            <w:tcW w:w="16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54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0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74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4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54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6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54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1026.85</w:t>
            </w:r>
            <w:r>
              <w:rPr>
                <w:rFonts w:hint="eastAsia"/>
              </w:rPr>
              <w:t>　</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1026.85</w:t>
            </w: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2101101</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行政单位医疗</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5.15</w:t>
            </w:r>
            <w:r>
              <w:rPr>
                <w:rFonts w:hint="eastAsia"/>
              </w:rPr>
              <w:t>　</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5.15</w:t>
            </w: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2010101</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rPr>
              <w:t>行政运行</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654.25</w:t>
            </w:r>
            <w:r>
              <w:rPr>
                <w:rFonts w:hint="eastAsia" w:ascii="华文中宋" w:hAnsi="华文中宋" w:eastAsia="华文中宋"/>
              </w:rPr>
              <w:t>　</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654.25</w:t>
            </w:r>
            <w:r>
              <w:rPr>
                <w:rFonts w:hint="eastAsia" w:ascii="华文中宋" w:hAnsi="华文中宋" w:eastAsia="华文中宋"/>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2010199</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rPr>
              <w:t>其他人大事务支出</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192.88</w:t>
            </w:r>
            <w:r>
              <w:rPr>
                <w:rFonts w:hint="eastAsia"/>
              </w:rPr>
              <w:t>　</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192.88</w:t>
            </w: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2010104</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lang w:val="en-US" w:eastAsia="zh-CN"/>
              </w:rPr>
            </w:pPr>
            <w:r>
              <w:rPr>
                <w:rFonts w:hint="eastAsia"/>
                <w:lang w:val="en-US" w:eastAsia="zh-CN"/>
              </w:rPr>
              <w:t>人大会议</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118</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118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eastAsia="宋体" w:cs="宋体"/>
                <w:sz w:val="24"/>
                <w:szCs w:val="24"/>
                <w:lang w:val="en-US" w:eastAsia="zh-CN"/>
              </w:rPr>
            </w:pPr>
            <w:r>
              <w:rPr>
                <w:rFonts w:hint="eastAsia"/>
                <w:lang w:val="en-US" w:eastAsia="zh-CN"/>
              </w:rPr>
              <w:t>2010106</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宋体" w:hAnsi="宋体" w:cs="宋体" w:eastAsiaTheme="minorEastAsia"/>
                <w:sz w:val="24"/>
                <w:szCs w:val="24"/>
                <w:lang w:val="en-US" w:eastAsia="zh-CN"/>
              </w:rPr>
            </w:pPr>
            <w:r>
              <w:rPr>
                <w:rFonts w:hint="eastAsia"/>
                <w:lang w:val="en-US" w:eastAsia="zh-CN"/>
              </w:rPr>
              <w:t>人大监督</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w:t>
            </w:r>
            <w:r>
              <w:rPr>
                <w:rFonts w:hint="eastAsia"/>
              </w:rPr>
              <w:t>　</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8</w:t>
            </w: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2010108</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heme="minorHAnsi" w:hAnsiTheme="minorHAnsi" w:eastAsiaTheme="minorEastAsia" w:cstheme="minorBidi"/>
                <w:kern w:val="2"/>
                <w:sz w:val="21"/>
                <w:szCs w:val="22"/>
                <w:lang w:val="en-US" w:eastAsia="zh-CN" w:bidi="ar-SA"/>
              </w:rPr>
            </w:pPr>
            <w:r>
              <w:rPr>
                <w:rFonts w:hint="eastAsia"/>
              </w:rPr>
              <w:t>代表工作</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8.74</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8.74</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2080505</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rPr>
            </w:pPr>
            <w:r>
              <w:rPr>
                <w:rFonts w:hint="eastAsia"/>
              </w:rPr>
              <w:t>机关事业单位基本养老保险缴费支出</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18.65</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18.65</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2080801</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rPr>
            </w:pPr>
            <w:r>
              <w:rPr>
                <w:rFonts w:hint="eastAsia"/>
              </w:rPr>
              <w:t>死亡抚恤</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21.18</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21.18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9"/>
        <w:tblW w:w="15833" w:type="dxa"/>
        <w:tblInd w:w="93" w:type="dxa"/>
        <w:tblLayout w:type="fixed"/>
        <w:tblCellMar>
          <w:top w:w="0" w:type="dxa"/>
          <w:left w:w="108" w:type="dxa"/>
          <w:bottom w:w="0" w:type="dxa"/>
          <w:right w:w="108" w:type="dxa"/>
        </w:tblCellMar>
      </w:tblPr>
      <w:tblGrid>
        <w:gridCol w:w="1236"/>
        <w:gridCol w:w="240"/>
        <w:gridCol w:w="2047"/>
        <w:gridCol w:w="1602"/>
        <w:gridCol w:w="1991"/>
        <w:gridCol w:w="1991"/>
        <w:gridCol w:w="1991"/>
        <w:gridCol w:w="1991"/>
        <w:gridCol w:w="2744"/>
      </w:tblGrid>
      <w:tr>
        <w:tblPrEx>
          <w:tblCellMar>
            <w:top w:w="0" w:type="dxa"/>
            <w:left w:w="108" w:type="dxa"/>
            <w:bottom w:w="0" w:type="dxa"/>
            <w:right w:w="108" w:type="dxa"/>
          </w:tblCellMar>
        </w:tblPrEx>
        <w:trPr>
          <w:trHeight w:val="642" w:hRule="atLeast"/>
        </w:trPr>
        <w:tc>
          <w:tcPr>
            <w:tcW w:w="1583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4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889" w:type="dxa"/>
            <w:gridSpan w:val="3"/>
            <w:tcBorders>
              <w:top w:val="nil"/>
              <w:left w:val="nil"/>
              <w:bottom w:val="nil"/>
              <w:right w:val="nil"/>
            </w:tcBorders>
            <w:shd w:val="clear" w:color="000000" w:fill="FFFFFF"/>
            <w:noWrap/>
            <w:vAlign w:val="center"/>
          </w:tcPr>
          <w:p>
            <w:pPr>
              <w:widowControl/>
              <w:jc w:val="both"/>
              <w:rPr>
                <w:rFonts w:ascii="宋体" w:hAnsi="宋体" w:eastAsia="宋体" w:cs="宋体"/>
                <w:kern w:val="0"/>
                <w:sz w:val="24"/>
                <w:szCs w:val="24"/>
              </w:rPr>
            </w:pPr>
            <w:r>
              <w:rPr>
                <w:rFonts w:hint="eastAsia" w:ascii="宋体" w:hAnsi="宋体" w:eastAsia="宋体" w:cs="宋体"/>
                <w:kern w:val="0"/>
                <w:sz w:val="24"/>
                <w:szCs w:val="24"/>
                <w:lang w:val="en-US" w:eastAsia="zh-CN"/>
              </w:rPr>
              <w:t>道</w:t>
            </w:r>
            <w:r>
              <w:rPr>
                <w:rFonts w:hint="eastAsia" w:ascii="宋体" w:hAnsi="宋体" w:eastAsia="宋体" w:cs="宋体"/>
                <w:i w:val="0"/>
                <w:color w:val="000000"/>
                <w:kern w:val="0"/>
                <w:sz w:val="20"/>
                <w:szCs w:val="20"/>
                <w:u w:val="none"/>
                <w:lang w:val="en-US" w:eastAsia="zh-CN" w:bidi="ar"/>
              </w:rPr>
              <w:t>县人民代表大会常务委员会</w:t>
            </w: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25" w:hRule="atLeast"/>
        </w:trPr>
        <w:tc>
          <w:tcPr>
            <w:tcW w:w="352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0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04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12"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30" w:hRule="atLeast"/>
        </w:trPr>
        <w:tc>
          <w:tcPr>
            <w:tcW w:w="352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0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370" w:hRule="atLeast"/>
        </w:trPr>
        <w:tc>
          <w:tcPr>
            <w:tcW w:w="352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0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1026.85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699.23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327.62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3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2101101</w:t>
            </w:r>
          </w:p>
        </w:tc>
        <w:tc>
          <w:tcPr>
            <w:tcW w:w="2047"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行政单位医疗</w:t>
            </w:r>
          </w:p>
        </w:tc>
        <w:tc>
          <w:tcPr>
            <w:tcW w:w="160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val="0"/>
                <w:bCs w:val="0"/>
                <w:kern w:val="2"/>
                <w:sz w:val="24"/>
                <w:szCs w:val="24"/>
                <w:lang w:val="en-US" w:eastAsia="zh-CN" w:bidi="ar-SA"/>
              </w:rPr>
            </w:pPr>
            <w:r>
              <w:rPr>
                <w:rFonts w:hint="eastAsia"/>
                <w:b w:val="0"/>
                <w:bCs w:val="0"/>
                <w:lang w:val="en-US" w:eastAsia="zh-CN"/>
              </w:rPr>
              <w:t>5.15</w:t>
            </w:r>
            <w:r>
              <w:rPr>
                <w:rFonts w:hint="eastAsia"/>
                <w:b w:val="0"/>
                <w:bCs w:val="0"/>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val="0"/>
                <w:bCs w:val="0"/>
                <w:kern w:val="2"/>
                <w:sz w:val="24"/>
                <w:szCs w:val="24"/>
                <w:lang w:val="en-US" w:eastAsia="zh-CN" w:bidi="ar-SA"/>
              </w:rPr>
            </w:pPr>
            <w:r>
              <w:rPr>
                <w:rFonts w:hint="eastAsia"/>
                <w:b w:val="0"/>
                <w:bCs w:val="0"/>
                <w:lang w:val="en-US" w:eastAsia="zh-CN"/>
              </w:rPr>
              <w:t>5.15</w:t>
            </w:r>
            <w:r>
              <w:rPr>
                <w:rFonts w:hint="eastAsia"/>
                <w:b w:val="0"/>
                <w:bCs w:val="0"/>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2010101</w:t>
            </w:r>
          </w:p>
        </w:tc>
        <w:tc>
          <w:tcPr>
            <w:tcW w:w="2047" w:type="dxa"/>
            <w:tcBorders>
              <w:top w:val="nil"/>
              <w:left w:val="nil"/>
              <w:bottom w:val="single" w:color="auto" w:sz="4" w:space="0"/>
              <w:right w:val="single" w:color="auto" w:sz="4" w:space="0"/>
            </w:tcBorders>
            <w:shd w:val="clear" w:color="000000" w:fill="FFFFFF"/>
            <w:noWrap/>
            <w:vAlign w:val="center"/>
          </w:tcPr>
          <w:p>
            <w:pPr>
              <w:jc w:val="both"/>
              <w:rPr>
                <w:rFonts w:ascii="宋体" w:hAnsi="宋体" w:eastAsia="宋体" w:cs="宋体"/>
                <w:kern w:val="2"/>
                <w:sz w:val="24"/>
                <w:szCs w:val="24"/>
                <w:lang w:val="en-US" w:eastAsia="zh-CN" w:bidi="ar-SA"/>
              </w:rPr>
            </w:pPr>
            <w:r>
              <w:rPr>
                <w:rFonts w:hint="eastAsia"/>
              </w:rPr>
              <w:t>行政运行</w:t>
            </w:r>
          </w:p>
        </w:tc>
        <w:tc>
          <w:tcPr>
            <w:tcW w:w="1602" w:type="dxa"/>
            <w:tcBorders>
              <w:top w:val="nil"/>
              <w:left w:val="nil"/>
              <w:bottom w:val="single" w:color="auto" w:sz="4" w:space="0"/>
              <w:right w:val="single" w:color="auto" w:sz="4" w:space="0"/>
            </w:tcBorders>
            <w:shd w:val="clear" w:color="auto" w:fill="auto"/>
            <w:noWrap/>
            <w:vAlign w:val="center"/>
          </w:tcPr>
          <w:p>
            <w:pPr>
              <w:jc w:val="right"/>
              <w:rPr>
                <w:rFonts w:ascii="华文中宋" w:hAnsi="华文中宋" w:eastAsia="华文中宋" w:cs="宋体"/>
                <w:b w:val="0"/>
                <w:bCs w:val="0"/>
                <w:kern w:val="2"/>
                <w:sz w:val="24"/>
                <w:szCs w:val="24"/>
                <w:lang w:val="en-US" w:eastAsia="zh-CN" w:bidi="ar-SA"/>
              </w:rPr>
            </w:pPr>
            <w:r>
              <w:rPr>
                <w:rFonts w:hint="eastAsia" w:ascii="华文中宋" w:hAnsi="华文中宋" w:eastAsia="华文中宋"/>
                <w:b w:val="0"/>
                <w:bCs w:val="0"/>
                <w:lang w:val="en-US" w:eastAsia="zh-CN"/>
              </w:rPr>
              <w:t>654.25</w:t>
            </w:r>
            <w:r>
              <w:rPr>
                <w:rFonts w:hint="eastAsia" w:ascii="华文中宋" w:hAnsi="华文中宋" w:eastAsia="华文中宋"/>
                <w:b w:val="0"/>
                <w:bCs w:val="0"/>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华文中宋" w:hAnsi="华文中宋" w:eastAsia="华文中宋" w:cs="宋体"/>
                <w:b w:val="0"/>
                <w:bCs w:val="0"/>
                <w:kern w:val="2"/>
                <w:sz w:val="24"/>
                <w:szCs w:val="24"/>
                <w:lang w:val="en-US" w:eastAsia="zh-CN" w:bidi="ar-SA"/>
              </w:rPr>
            </w:pPr>
            <w:r>
              <w:rPr>
                <w:rFonts w:hint="eastAsia" w:ascii="华文中宋" w:hAnsi="华文中宋" w:eastAsia="华文中宋"/>
                <w:b w:val="0"/>
                <w:bCs w:val="0"/>
                <w:lang w:val="en-US" w:eastAsia="zh-CN"/>
              </w:rPr>
              <w:t>654.25</w:t>
            </w:r>
            <w:r>
              <w:rPr>
                <w:rFonts w:hint="eastAsia" w:ascii="华文中宋" w:hAnsi="华文中宋" w:eastAsia="华文中宋"/>
                <w:b w:val="0"/>
                <w:bCs w:val="0"/>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0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2010199</w:t>
            </w:r>
          </w:p>
        </w:tc>
        <w:tc>
          <w:tcPr>
            <w:tcW w:w="2047" w:type="dxa"/>
            <w:tcBorders>
              <w:top w:val="nil"/>
              <w:left w:val="nil"/>
              <w:bottom w:val="single" w:color="auto" w:sz="4" w:space="0"/>
              <w:right w:val="single" w:color="auto" w:sz="4" w:space="0"/>
            </w:tcBorders>
            <w:shd w:val="clear" w:color="000000" w:fill="FFFFFF"/>
            <w:noWrap/>
            <w:vAlign w:val="center"/>
          </w:tcPr>
          <w:p>
            <w:pPr>
              <w:jc w:val="both"/>
              <w:rPr>
                <w:rFonts w:ascii="宋体" w:hAnsi="宋体" w:eastAsia="宋体" w:cs="宋体"/>
                <w:kern w:val="2"/>
                <w:sz w:val="24"/>
                <w:szCs w:val="24"/>
                <w:lang w:val="en-US" w:eastAsia="zh-CN" w:bidi="ar-SA"/>
              </w:rPr>
            </w:pPr>
            <w:r>
              <w:rPr>
                <w:rFonts w:hint="eastAsia"/>
              </w:rPr>
              <w:t>其他人大事务支出</w:t>
            </w:r>
          </w:p>
        </w:tc>
        <w:tc>
          <w:tcPr>
            <w:tcW w:w="160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192.88</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192.88</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eastAsia="宋体" w:cs="宋体"/>
                <w:kern w:val="2"/>
                <w:sz w:val="24"/>
                <w:szCs w:val="24"/>
                <w:lang w:val="en-US" w:eastAsia="zh-CN" w:bidi="ar-SA"/>
              </w:rPr>
            </w:pPr>
            <w:r>
              <w:rPr>
                <w:rFonts w:hint="eastAsia"/>
                <w:lang w:val="en-US" w:eastAsia="zh-CN"/>
              </w:rPr>
              <w:t>2010104</w:t>
            </w:r>
          </w:p>
        </w:tc>
        <w:tc>
          <w:tcPr>
            <w:tcW w:w="2047" w:type="dxa"/>
            <w:tcBorders>
              <w:top w:val="nil"/>
              <w:left w:val="nil"/>
              <w:bottom w:val="single" w:color="auto" w:sz="4" w:space="0"/>
              <w:right w:val="single" w:color="auto" w:sz="4" w:space="0"/>
            </w:tcBorders>
            <w:shd w:val="clear" w:color="000000" w:fill="FFFFFF"/>
            <w:noWrap/>
            <w:vAlign w:val="center"/>
          </w:tcPr>
          <w:p>
            <w:pPr>
              <w:jc w:val="both"/>
              <w:rPr>
                <w:rFonts w:hint="default" w:ascii="宋体" w:hAnsi="宋体" w:cs="宋体" w:eastAsiaTheme="minorEastAsia"/>
                <w:kern w:val="2"/>
                <w:sz w:val="24"/>
                <w:szCs w:val="24"/>
                <w:lang w:val="en-US" w:eastAsia="zh-CN" w:bidi="ar-SA"/>
              </w:rPr>
            </w:pPr>
            <w:r>
              <w:rPr>
                <w:rFonts w:hint="eastAsia"/>
                <w:lang w:val="en-US" w:eastAsia="zh-CN"/>
              </w:rPr>
              <w:t>人大会议</w:t>
            </w:r>
          </w:p>
        </w:tc>
        <w:tc>
          <w:tcPr>
            <w:tcW w:w="160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118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118</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2010106</w:t>
            </w:r>
          </w:p>
        </w:tc>
        <w:tc>
          <w:tcPr>
            <w:tcW w:w="2047" w:type="dxa"/>
            <w:tcBorders>
              <w:top w:val="nil"/>
              <w:left w:val="nil"/>
              <w:bottom w:val="single" w:color="auto" w:sz="4" w:space="0"/>
              <w:right w:val="single" w:color="auto" w:sz="4" w:space="0"/>
            </w:tcBorders>
            <w:shd w:val="clear" w:color="000000" w:fill="FFFFFF"/>
            <w:noWrap/>
            <w:vAlign w:val="center"/>
          </w:tcPr>
          <w:p>
            <w:pPr>
              <w:jc w:val="both"/>
              <w:rPr>
                <w:rFonts w:hint="default" w:ascii="宋体" w:hAnsi="宋体" w:cs="宋体" w:eastAsiaTheme="minorEastAsia"/>
                <w:kern w:val="2"/>
                <w:sz w:val="24"/>
                <w:szCs w:val="24"/>
                <w:lang w:val="en-US" w:eastAsia="zh-CN" w:bidi="ar-SA"/>
              </w:rPr>
            </w:pPr>
            <w:r>
              <w:rPr>
                <w:rFonts w:hint="eastAsia"/>
                <w:lang w:val="en-US" w:eastAsia="zh-CN"/>
              </w:rPr>
              <w:t>人大监督</w:t>
            </w:r>
          </w:p>
        </w:tc>
        <w:tc>
          <w:tcPr>
            <w:tcW w:w="160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8</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8</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2010108</w:t>
            </w:r>
          </w:p>
        </w:tc>
        <w:tc>
          <w:tcPr>
            <w:tcW w:w="2047" w:type="dxa"/>
            <w:tcBorders>
              <w:top w:val="nil"/>
              <w:left w:val="nil"/>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rPr>
              <w:t>代表工作</w:t>
            </w:r>
          </w:p>
        </w:tc>
        <w:tc>
          <w:tcPr>
            <w:tcW w:w="1602"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8.74</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8.74</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4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2047" w:type="dxa"/>
            <w:tcBorders>
              <w:top w:val="nil"/>
              <w:left w:val="nil"/>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rPr>
              <w:t>机关事业单位基本养老保险缴费支出</w:t>
            </w:r>
          </w:p>
        </w:tc>
        <w:tc>
          <w:tcPr>
            <w:tcW w:w="1602"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18.65</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18.65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7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2080801</w:t>
            </w:r>
          </w:p>
        </w:tc>
        <w:tc>
          <w:tcPr>
            <w:tcW w:w="2047" w:type="dxa"/>
            <w:tcBorders>
              <w:top w:val="nil"/>
              <w:left w:val="nil"/>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rPr>
              <w:t>死亡抚恤</w:t>
            </w:r>
          </w:p>
        </w:tc>
        <w:tc>
          <w:tcPr>
            <w:tcW w:w="1602"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21.18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21.18</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p>
        </w:tc>
        <w:tc>
          <w:tcPr>
            <w:tcW w:w="2047"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p>
        </w:tc>
        <w:tc>
          <w:tcPr>
            <w:tcW w:w="160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83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4" w:name="RANGE!A1:I22"/>
            <w:bookmarkEnd w:id="4"/>
            <w:bookmarkStart w:id="5"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kern w:val="0"/>
                <w:sz w:val="24"/>
                <w:szCs w:val="24"/>
                <w:lang w:val="en-US" w:eastAsia="zh-CN"/>
              </w:rPr>
              <w:t>道</w:t>
            </w:r>
            <w:r>
              <w:rPr>
                <w:rFonts w:hint="eastAsia" w:ascii="宋体" w:hAnsi="宋体" w:eastAsia="宋体" w:cs="宋体"/>
                <w:i w:val="0"/>
                <w:color w:val="000000"/>
                <w:kern w:val="0"/>
                <w:sz w:val="20"/>
                <w:szCs w:val="20"/>
                <w:u w:val="none"/>
                <w:lang w:val="en-US" w:eastAsia="zh-CN" w:bidi="ar"/>
              </w:rPr>
              <w:t>县人民代表大会常务委员会</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1026.85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981.66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981.66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4"/>
                <w:szCs w:val="24"/>
              </w:rPr>
            </w:pPr>
            <w:r>
              <w:rPr>
                <w:rFonts w:hint="eastAsia" w:ascii="宋体" w:hAnsi="宋体" w:eastAsia="宋体" w:cs="宋体"/>
                <w:i w:val="0"/>
                <w:color w:val="000000"/>
                <w:sz w:val="22"/>
                <w:szCs w:val="22"/>
                <w:u w:val="none"/>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39.83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39.83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r>
              <w:rPr>
                <w:rFonts w:hint="eastAsia" w:ascii="宋体" w:hAnsi="宋体" w:eastAsia="宋体" w:cs="宋体"/>
                <w:i w:val="0"/>
                <w:color w:val="000000"/>
                <w:sz w:val="22"/>
                <w:szCs w:val="22"/>
                <w:u w:val="none"/>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5.15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5.15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1026.85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1026.85</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1026.85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道县人民代表大会常务委员会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4"/>
                <w:szCs w:val="24"/>
                <w:lang w:val="en-US" w:eastAsia="zh-CN"/>
              </w:rPr>
              <w:t>1026.85</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699.23</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4"/>
                <w:szCs w:val="24"/>
                <w:lang w:val="en-US" w:eastAsia="zh-CN"/>
              </w:rPr>
              <w:t>327.62</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rPr>
              <w:t>2101101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rPr>
              <w:t>行政单位医疗</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4"/>
                <w:szCs w:val="24"/>
                <w:lang w:val="en-US" w:eastAsia="zh-CN" w:bidi="ar-SA"/>
              </w:rPr>
            </w:pPr>
            <w:r>
              <w:rPr>
                <w:rFonts w:hint="eastAsia"/>
                <w:b w:val="0"/>
                <w:bCs w:val="0"/>
                <w:lang w:val="en-US" w:eastAsia="zh-CN"/>
              </w:rPr>
              <w:t>5.15</w:t>
            </w:r>
            <w:r>
              <w:rPr>
                <w:rFonts w:hint="eastAsia"/>
                <w:b w:val="0"/>
                <w:bCs w:val="0"/>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4"/>
                <w:szCs w:val="24"/>
                <w:lang w:val="en-US" w:eastAsia="zh-CN" w:bidi="ar-SA"/>
              </w:rPr>
            </w:pPr>
            <w:r>
              <w:rPr>
                <w:rFonts w:hint="eastAsia"/>
                <w:b w:val="0"/>
                <w:bCs w:val="0"/>
                <w:lang w:val="en-US" w:eastAsia="zh-CN"/>
              </w:rPr>
              <w:t>5.15</w:t>
            </w:r>
            <w:r>
              <w:rPr>
                <w:rFonts w:hint="eastAsia"/>
                <w:b w:val="0"/>
                <w:bCs w:val="0"/>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2010101</w:t>
            </w:r>
          </w:p>
        </w:tc>
        <w:tc>
          <w:tcPr>
            <w:tcW w:w="3527" w:type="dxa"/>
            <w:tcBorders>
              <w:top w:val="nil"/>
              <w:left w:val="nil"/>
              <w:bottom w:val="single" w:color="auto" w:sz="4" w:space="0"/>
              <w:right w:val="single" w:color="auto" w:sz="4" w:space="0"/>
            </w:tcBorders>
            <w:shd w:val="clear" w:color="auto" w:fill="auto"/>
            <w:vAlign w:val="center"/>
          </w:tcPr>
          <w:p>
            <w:pPr>
              <w:jc w:val="both"/>
              <w:rPr>
                <w:rFonts w:ascii="宋体" w:hAnsi="宋体" w:eastAsia="宋体" w:cs="宋体"/>
                <w:kern w:val="2"/>
                <w:sz w:val="24"/>
                <w:szCs w:val="24"/>
                <w:lang w:val="en-US" w:eastAsia="zh-CN" w:bidi="ar-SA"/>
              </w:rPr>
            </w:pPr>
            <w:r>
              <w:rPr>
                <w:rFonts w:hint="eastAsia"/>
              </w:rPr>
              <w:t>行政运行</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b w:val="0"/>
                <w:bCs w:val="0"/>
                <w:kern w:val="2"/>
                <w:sz w:val="24"/>
                <w:szCs w:val="24"/>
                <w:lang w:val="en-US" w:eastAsia="zh-CN" w:bidi="ar-SA"/>
              </w:rPr>
            </w:pPr>
            <w:r>
              <w:rPr>
                <w:rFonts w:hint="eastAsia" w:ascii="华文中宋" w:hAnsi="华文中宋" w:eastAsia="华文中宋"/>
                <w:b w:val="0"/>
                <w:bCs w:val="0"/>
                <w:lang w:val="en-US" w:eastAsia="zh-CN"/>
              </w:rPr>
              <w:t>654.25</w:t>
            </w:r>
            <w:r>
              <w:rPr>
                <w:rFonts w:hint="eastAsia" w:ascii="华文中宋" w:hAnsi="华文中宋" w:eastAsia="华文中宋"/>
                <w:b w:val="0"/>
                <w:bCs w:val="0"/>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b w:val="0"/>
                <w:bCs w:val="0"/>
                <w:kern w:val="2"/>
                <w:sz w:val="24"/>
                <w:szCs w:val="24"/>
                <w:lang w:val="en-US" w:eastAsia="zh-CN" w:bidi="ar-SA"/>
              </w:rPr>
            </w:pPr>
            <w:r>
              <w:rPr>
                <w:rFonts w:hint="eastAsia" w:ascii="华文中宋" w:hAnsi="华文中宋" w:eastAsia="华文中宋"/>
                <w:b w:val="0"/>
                <w:bCs w:val="0"/>
                <w:lang w:val="en-US" w:eastAsia="zh-CN"/>
              </w:rPr>
              <w:t>654.25</w:t>
            </w:r>
            <w:r>
              <w:rPr>
                <w:rFonts w:hint="eastAsia" w:ascii="华文中宋" w:hAnsi="华文中宋" w:eastAsia="华文中宋"/>
                <w:b w:val="0"/>
                <w:bCs w:val="0"/>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2010199</w:t>
            </w:r>
          </w:p>
        </w:tc>
        <w:tc>
          <w:tcPr>
            <w:tcW w:w="3527" w:type="dxa"/>
            <w:tcBorders>
              <w:top w:val="nil"/>
              <w:left w:val="nil"/>
              <w:bottom w:val="single" w:color="auto" w:sz="4" w:space="0"/>
              <w:right w:val="single" w:color="auto" w:sz="4" w:space="0"/>
            </w:tcBorders>
            <w:shd w:val="clear" w:color="auto" w:fill="auto"/>
            <w:vAlign w:val="center"/>
          </w:tcPr>
          <w:p>
            <w:pPr>
              <w:jc w:val="both"/>
              <w:rPr>
                <w:rFonts w:ascii="宋体" w:hAnsi="宋体" w:eastAsia="宋体" w:cs="宋体"/>
                <w:kern w:val="2"/>
                <w:sz w:val="24"/>
                <w:szCs w:val="24"/>
                <w:lang w:val="en-US" w:eastAsia="zh-CN" w:bidi="ar-SA"/>
              </w:rPr>
            </w:pPr>
            <w:r>
              <w:rPr>
                <w:rFonts w:hint="eastAsia"/>
              </w:rPr>
              <w:t>其他人大事务支出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华文中宋" w:hAnsi="华文中宋" w:eastAsia="华文中宋" w:cs="宋体"/>
                <w:b w:val="0"/>
                <w:bCs w:val="0"/>
                <w:kern w:val="2"/>
                <w:sz w:val="24"/>
                <w:szCs w:val="24"/>
                <w:lang w:val="en-US" w:eastAsia="zh-CN" w:bidi="ar-SA"/>
              </w:rPr>
            </w:pPr>
            <w:r>
              <w:rPr>
                <w:rFonts w:hint="eastAsia"/>
                <w:lang w:val="en-US" w:eastAsia="zh-CN"/>
              </w:rPr>
              <w:t>192.88</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华文中宋" w:hAnsi="华文中宋" w:eastAsia="华文中宋" w:cs="宋体"/>
                <w:b w:val="0"/>
                <w:bCs w:val="0"/>
                <w:kern w:val="2"/>
                <w:sz w:val="24"/>
                <w:szCs w:val="24"/>
                <w:lang w:val="en-US" w:eastAsia="zh-CN" w:bidi="ar-SA"/>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kern w:val="0"/>
                <w:sz w:val="24"/>
                <w:szCs w:val="24"/>
                <w:lang w:val="en-US" w:eastAsia="zh-CN" w:bidi="ar-SA"/>
              </w:rPr>
            </w:pPr>
            <w:r>
              <w:rPr>
                <w:rFonts w:hint="eastAsia"/>
                <w:lang w:val="en-US" w:eastAsia="zh-CN"/>
              </w:rPr>
              <w:t>192.88</w:t>
            </w:r>
            <w:r>
              <w:rPr>
                <w:rFonts w:hint="eastAsia"/>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eastAsia="宋体" w:cs="宋体"/>
                <w:kern w:val="2"/>
                <w:sz w:val="24"/>
                <w:szCs w:val="24"/>
                <w:lang w:val="en-US" w:eastAsia="zh-CN" w:bidi="ar-SA"/>
              </w:rPr>
            </w:pPr>
            <w:r>
              <w:rPr>
                <w:rFonts w:hint="eastAsia"/>
                <w:lang w:val="en-US" w:eastAsia="zh-CN"/>
              </w:rPr>
              <w:t>2010104</w:t>
            </w:r>
          </w:p>
        </w:tc>
        <w:tc>
          <w:tcPr>
            <w:tcW w:w="3527" w:type="dxa"/>
            <w:tcBorders>
              <w:top w:val="nil"/>
              <w:left w:val="nil"/>
              <w:bottom w:val="single" w:color="auto" w:sz="4" w:space="0"/>
              <w:right w:val="single" w:color="auto" w:sz="4" w:space="0"/>
            </w:tcBorders>
            <w:shd w:val="clear" w:color="auto" w:fill="auto"/>
            <w:vAlign w:val="center"/>
          </w:tcPr>
          <w:p>
            <w:pPr>
              <w:jc w:val="both"/>
              <w:rPr>
                <w:rFonts w:hint="default" w:ascii="宋体" w:hAnsi="宋体" w:cs="宋体" w:eastAsiaTheme="minorEastAsia"/>
                <w:kern w:val="2"/>
                <w:sz w:val="24"/>
                <w:szCs w:val="24"/>
                <w:lang w:val="en-US" w:eastAsia="zh-CN" w:bidi="ar-SA"/>
              </w:rPr>
            </w:pPr>
            <w:r>
              <w:rPr>
                <w:rFonts w:hint="eastAsia"/>
                <w:lang w:val="en-US" w:eastAsia="zh-CN"/>
              </w:rPr>
              <w:t>人大会议</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118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118</w:t>
            </w:r>
            <w:r>
              <w:rPr>
                <w:rFonts w:hint="eastAsia"/>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2010106</w:t>
            </w:r>
          </w:p>
        </w:tc>
        <w:tc>
          <w:tcPr>
            <w:tcW w:w="3527" w:type="dxa"/>
            <w:tcBorders>
              <w:top w:val="nil"/>
              <w:left w:val="nil"/>
              <w:bottom w:val="single" w:color="auto" w:sz="4" w:space="0"/>
              <w:right w:val="single" w:color="auto" w:sz="4" w:space="0"/>
            </w:tcBorders>
            <w:shd w:val="clear" w:color="auto" w:fill="auto"/>
            <w:vAlign w:val="center"/>
          </w:tcPr>
          <w:p>
            <w:pPr>
              <w:jc w:val="both"/>
              <w:rPr>
                <w:rFonts w:hint="default" w:ascii="宋体" w:hAnsi="宋体" w:cs="宋体" w:eastAsiaTheme="minorEastAsia"/>
                <w:kern w:val="2"/>
                <w:sz w:val="24"/>
                <w:szCs w:val="24"/>
                <w:lang w:val="en-US" w:eastAsia="zh-CN" w:bidi="ar-SA"/>
              </w:rPr>
            </w:pPr>
            <w:r>
              <w:rPr>
                <w:rFonts w:hint="eastAsia"/>
                <w:lang w:val="en-US" w:eastAsia="zh-CN"/>
              </w:rPr>
              <w:t>人大监督</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8</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8</w:t>
            </w:r>
            <w:r>
              <w:rPr>
                <w:rFonts w:hint="eastAsia"/>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2010108</w:t>
            </w:r>
          </w:p>
        </w:tc>
        <w:tc>
          <w:tcPr>
            <w:tcW w:w="3527" w:type="dxa"/>
            <w:tcBorders>
              <w:top w:val="nil"/>
              <w:left w:val="nil"/>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rPr>
              <w:t>代表工作</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2"/>
                <w:sz w:val="24"/>
                <w:szCs w:val="24"/>
                <w:lang w:val="en-US" w:eastAsia="zh-CN" w:bidi="ar-SA"/>
              </w:rPr>
            </w:pPr>
            <w:r>
              <w:rPr>
                <w:rFonts w:hint="eastAsia"/>
                <w:lang w:val="en-US" w:eastAsia="zh-CN"/>
              </w:rPr>
              <w:t>8.74</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rPr>
              <w:t>8.74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18.65</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18.65</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2080801</w:t>
            </w:r>
          </w:p>
        </w:tc>
        <w:tc>
          <w:tcPr>
            <w:tcW w:w="3527" w:type="dxa"/>
            <w:tcBorders>
              <w:top w:val="nil"/>
              <w:left w:val="nil"/>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rPr>
              <w:t>死亡抚恤</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21.18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kern w:val="0"/>
                <w:sz w:val="24"/>
                <w:szCs w:val="24"/>
                <w:lang w:val="en-US" w:eastAsia="zh-CN"/>
              </w:rPr>
              <w:t>21.18</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p>
        </w:tc>
        <w:tc>
          <w:tcPr>
            <w:tcW w:w="3527" w:type="dxa"/>
            <w:tcBorders>
              <w:top w:val="nil"/>
              <w:left w:val="nil"/>
              <w:bottom w:val="single" w:color="auto" w:sz="8" w:space="0"/>
              <w:right w:val="single" w:color="auto" w:sz="4" w:space="0"/>
            </w:tcBorders>
            <w:shd w:val="clear" w:color="auto" w:fill="auto"/>
            <w:vAlign w:val="center"/>
          </w:tcPr>
          <w:p>
            <w:pPr>
              <w:jc w:val="both"/>
              <w:rPr>
                <w:rFonts w:ascii="宋体" w:hAnsi="宋体" w:eastAsia="宋体" w:cs="宋体"/>
                <w:kern w:val="2"/>
                <w:sz w:val="24"/>
                <w:szCs w:val="24"/>
                <w:lang w:val="en-US" w:eastAsia="zh-CN" w:bidi="ar-SA"/>
              </w:rPr>
            </w:pP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901" w:type="dxa"/>
        <w:tblInd w:w="0" w:type="dxa"/>
        <w:tblLayout w:type="fixed"/>
        <w:tblCellMar>
          <w:top w:w="0" w:type="dxa"/>
          <w:left w:w="108" w:type="dxa"/>
          <w:bottom w:w="0" w:type="dxa"/>
          <w:right w:w="108" w:type="dxa"/>
        </w:tblCellMar>
      </w:tblPr>
      <w:tblGrid>
        <w:gridCol w:w="991"/>
        <w:gridCol w:w="240"/>
        <w:gridCol w:w="94"/>
        <w:gridCol w:w="1291"/>
        <w:gridCol w:w="2031"/>
        <w:gridCol w:w="77"/>
        <w:gridCol w:w="1127"/>
        <w:gridCol w:w="1140"/>
        <w:gridCol w:w="5"/>
        <w:gridCol w:w="1825"/>
        <w:gridCol w:w="266"/>
        <w:gridCol w:w="874"/>
        <w:gridCol w:w="975"/>
        <w:gridCol w:w="245"/>
        <w:gridCol w:w="2091"/>
        <w:gridCol w:w="1399"/>
        <w:gridCol w:w="692"/>
        <w:gridCol w:w="538"/>
      </w:tblGrid>
      <w:tr>
        <w:tblPrEx>
          <w:tblCellMar>
            <w:top w:w="0" w:type="dxa"/>
            <w:left w:w="108" w:type="dxa"/>
            <w:bottom w:w="0" w:type="dxa"/>
            <w:right w:w="108" w:type="dxa"/>
          </w:tblCellMar>
        </w:tblPrEx>
        <w:trPr>
          <w:trHeight w:val="113" w:hRule="atLeast"/>
        </w:trPr>
        <w:tc>
          <w:tcPr>
            <w:tcW w:w="15901"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道县人民代表大会常务委员会</w:t>
            </w:r>
            <w:r>
              <w:rPr>
                <w:rFonts w:hint="eastAsia" w:ascii="Times New Roman" w:hAnsi="Times New Roman" w:eastAsia="仿宋_GB2312" w:cs="Times New Roman"/>
                <w:color w:val="000000"/>
                <w:kern w:val="0"/>
                <w:szCs w:val="21"/>
              </w:rPr>
              <w:t xml:space="preserve">                                                                                                      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748" w:hRule="atLeast"/>
        </w:trPr>
        <w:tc>
          <w:tcPr>
            <w:tcW w:w="13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2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0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8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3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工资福利支出</w:t>
            </w:r>
          </w:p>
        </w:tc>
        <w:tc>
          <w:tcPr>
            <w:tcW w:w="1204"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default" w:ascii="宋体" w:hAnsi="宋体" w:eastAsia="宋体" w:cs="宋体"/>
                <w:color w:val="auto"/>
                <w:kern w:val="0"/>
                <w:szCs w:val="20"/>
                <w:highlight w:val="none"/>
                <w:lang w:val="en-US" w:eastAsia="zh-CN"/>
              </w:rPr>
            </w:pPr>
            <w:r>
              <w:rPr>
                <w:rFonts w:hint="eastAsia" w:ascii="宋体" w:hAnsi="宋体" w:eastAsia="宋体" w:cs="宋体"/>
                <w:color w:val="auto"/>
                <w:kern w:val="0"/>
                <w:szCs w:val="20"/>
                <w:highlight w:val="none"/>
                <w:lang w:val="en-US" w:eastAsia="zh-CN"/>
              </w:rPr>
              <w:t>586.79</w:t>
            </w: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91.26</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ind w:firstLine="210" w:firstLineChars="100"/>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233.19</w:t>
            </w: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11.38</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92.71</w:t>
            </w: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2.30</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145.92</w:t>
            </w: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6.55</w:t>
            </w: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54.44</w:t>
            </w: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2.12</w:t>
            </w: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29.65</w:t>
            </w: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1.52</w:t>
            </w: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0.76</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20.69</w:t>
            </w: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9.30</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21.19</w:t>
            </w: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0.51</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5.80</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21.19</w:t>
            </w: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6.38</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14.34</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13.27</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21.33</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18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5.89</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3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64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607.98</w:t>
            </w:r>
          </w:p>
        </w:tc>
        <w:tc>
          <w:tcPr>
            <w:tcW w:w="8820"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91.26</w:t>
            </w:r>
          </w:p>
        </w:tc>
      </w:tr>
      <w:tr>
        <w:tblPrEx>
          <w:tblCellMar>
            <w:top w:w="0" w:type="dxa"/>
            <w:left w:w="108" w:type="dxa"/>
            <w:bottom w:w="0" w:type="dxa"/>
            <w:right w:w="108" w:type="dxa"/>
          </w:tblCellMar>
        </w:tblPrEx>
        <w:trPr>
          <w:trHeight w:val="284" w:hRule="exact"/>
        </w:trPr>
        <w:tc>
          <w:tcPr>
            <w:tcW w:w="15901"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690" w:hRule="atLeast"/>
        </w:trPr>
        <w:tc>
          <w:tcPr>
            <w:tcW w:w="15363"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345" w:hRule="atLeast"/>
        </w:trPr>
        <w:tc>
          <w:tcPr>
            <w:tcW w:w="99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85"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690" w:hRule="atLeast"/>
        </w:trPr>
        <w:tc>
          <w:tcPr>
            <w:tcW w:w="991"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3733" w:type="dxa"/>
            <w:gridSpan w:val="5"/>
            <w:tcBorders>
              <w:top w:val="nil"/>
              <w:left w:val="nil"/>
              <w:bottom w:val="nil"/>
              <w:right w:val="nil"/>
            </w:tcBorders>
            <w:shd w:val="clear" w:color="auto" w:fill="FFFFFF"/>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道县人民代表大会常务委员会</w:t>
            </w:r>
          </w:p>
        </w:tc>
        <w:tc>
          <w:tcPr>
            <w:tcW w:w="227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609" w:hRule="atLeast"/>
        </w:trPr>
        <w:tc>
          <w:tcPr>
            <w:tcW w:w="1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4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5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725" w:hRule="atLeast"/>
        </w:trPr>
        <w:tc>
          <w:tcPr>
            <w:tcW w:w="1536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993" w:type="dxa"/>
            <w:gridSpan w:val="2"/>
            <w:tcBorders>
              <w:top w:val="nil"/>
              <w:left w:val="nil"/>
              <w:bottom w:val="nil"/>
              <w:right w:val="nil"/>
            </w:tcBorders>
            <w:shd w:val="clear" w:color="auto" w:fill="FFFFFF"/>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道县人民代表大会常务委员会</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3783"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道县人民代表大会常务委员会</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1026.85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177.9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14.77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压缩公用经费。</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left="319" w:leftChars="152"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1026.85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1026.85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left="319" w:leftChars="152"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1026.85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699.23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68.09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327.62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31.91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ind w:left="320" w:hanging="320" w:hangingChars="1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1026.85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177.9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14.77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压缩公用经费。</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left="638" w:leftChars="304"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1026.85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w:t>
      </w:r>
    </w:p>
    <w:p>
      <w:pPr>
        <w:pStyle w:val="13"/>
        <w:keepNext w:val="0"/>
        <w:keepLines w:val="0"/>
        <w:pageBreakBefore w:val="0"/>
        <w:widowControl w:val="0"/>
        <w:kinsoku/>
        <w:wordWrap/>
        <w:overflowPunct/>
        <w:topLinePunct w:val="0"/>
        <w:bidi w:val="0"/>
        <w:snapToGrid/>
        <w:spacing w:line="600" w:lineRule="exact"/>
        <w:ind w:left="319" w:leftChars="152" w:firstLine="0" w:firstLineChars="0"/>
        <w:textAlignment w:val="auto"/>
        <w:rPr>
          <w:rFonts w:ascii="Times New Roman" w:hAnsi="Times New Roman" w:eastAsia="仿宋_GB2312"/>
          <w:sz w:val="32"/>
          <w:szCs w:val="32"/>
        </w:rPr>
      </w:pPr>
      <w:r>
        <w:rPr>
          <w:rFonts w:hint="eastAsia" w:ascii="Times New Roman" w:hAnsi="Times New Roman" w:eastAsia="仿宋_GB2312"/>
          <w:sz w:val="32"/>
          <w:szCs w:val="32"/>
        </w:rPr>
        <w:t>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177.9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14.77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压缩公用经费。</w:t>
      </w:r>
    </w:p>
    <w:p>
      <w:pPr>
        <w:pStyle w:val="13"/>
        <w:keepNext w:val="0"/>
        <w:keepLines w:val="0"/>
        <w:pageBreakBefore w:val="0"/>
        <w:widowControl w:val="0"/>
        <w:kinsoku/>
        <w:wordWrap/>
        <w:overflowPunct/>
        <w:topLinePunct w:val="0"/>
        <w:bidi w:val="0"/>
        <w:snapToGrid/>
        <w:spacing w:line="600" w:lineRule="exact"/>
        <w:ind w:firstLine="1120" w:firstLineChars="3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left="319" w:leftChars="152" w:firstLine="960" w:firstLineChars="3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1026.85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981.86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95.61</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39.83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3.87</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5.15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0.52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left="319" w:leftChars="152" w:firstLine="960" w:firstLineChars="3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left="638" w:leftChars="304"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902.16</w:t>
      </w:r>
      <w:r>
        <w:rPr>
          <w:rFonts w:hint="eastAsia" w:ascii="Times New Roman" w:hAnsi="Times New Roman" w:eastAsia="仿宋_GB2312"/>
          <w:sz w:val="32"/>
          <w:szCs w:val="32"/>
        </w:rPr>
        <w:t>万元，支出决算数为</w:t>
      </w:r>
    </w:p>
    <w:p>
      <w:pPr>
        <w:pStyle w:val="13"/>
        <w:keepNext w:val="0"/>
        <w:keepLines w:val="0"/>
        <w:pageBreakBefore w:val="0"/>
        <w:widowControl w:val="0"/>
        <w:kinsoku/>
        <w:wordWrap/>
        <w:overflowPunct/>
        <w:topLinePunct w:val="0"/>
        <w:bidi w:val="0"/>
        <w:snapToGrid/>
        <w:spacing w:line="600" w:lineRule="exact"/>
        <w:ind w:firstLine="320" w:firstLineChars="1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1026.85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113.82</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人大事务支出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left="319" w:leftChars="152" w:firstLine="960" w:firstLineChars="300"/>
        <w:textAlignment w:val="auto"/>
        <w:rPr>
          <w:rFonts w:hint="default" w:ascii="Times New Roman" w:hAnsi="Times New Roman" w:eastAsia="仿宋_GB2312"/>
          <w:sz w:val="32"/>
          <w:szCs w:val="32"/>
          <w:highlight w:val="none"/>
          <w:lang w:val="en-US"/>
        </w:rPr>
      </w:pPr>
      <w:r>
        <w:rPr>
          <w:rFonts w:hint="eastAsia" w:ascii="Times New Roman" w:hAnsi="Times New Roman" w:eastAsia="仿宋_GB2312"/>
          <w:sz w:val="32"/>
          <w:szCs w:val="32"/>
        </w:rPr>
        <w:t>年初预算</w:t>
      </w:r>
      <w:r>
        <w:rPr>
          <w:rFonts w:hint="eastAsia" w:ascii="Times New Roman" w:hAnsi="Times New Roman" w:eastAsia="仿宋_GB2312"/>
          <w:sz w:val="32"/>
          <w:szCs w:val="32"/>
          <w:highlight w:val="none"/>
        </w:rPr>
        <w:t>为</w:t>
      </w:r>
      <w:r>
        <w:rPr>
          <w:rFonts w:hint="eastAsia" w:ascii="Times New Roman" w:hAnsi="Times New Roman" w:eastAsia="仿宋_GB2312"/>
          <w:sz w:val="32"/>
          <w:szCs w:val="32"/>
          <w:highlight w:val="none"/>
          <w:lang w:val="en-US" w:eastAsia="zh-CN"/>
        </w:rPr>
        <w:t>703.26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654.25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92.78</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小于</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压缩了公用经费开支。</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人大事务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人大监督</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left="319" w:leftChars="152" w:firstLine="960" w:firstLineChars="3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w:t>
      </w:r>
      <w:r>
        <w:rPr>
          <w:rFonts w:hint="eastAsia" w:ascii="Times New Roman" w:hAnsi="Times New Roman" w:eastAsia="仿宋_GB2312"/>
          <w:sz w:val="32"/>
          <w:szCs w:val="32"/>
          <w:highlight w:val="none"/>
        </w:rPr>
        <w:t>初预算为</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66.66</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val="en-US" w:eastAsia="zh-CN"/>
        </w:rPr>
        <w:t>压缩项目支出。</w:t>
      </w:r>
    </w:p>
    <w:p>
      <w:pPr>
        <w:pStyle w:val="13"/>
        <w:keepNext w:val="0"/>
        <w:keepLines w:val="0"/>
        <w:pageBreakBefore w:val="0"/>
        <w:widowControl w:val="0"/>
        <w:numPr>
          <w:ilvl w:val="0"/>
          <w:numId w:val="0"/>
        </w:numPr>
        <w:kinsoku/>
        <w:wordWrap/>
        <w:overflowPunct/>
        <w:topLinePunct w:val="0"/>
        <w:bidi w:val="0"/>
        <w:snapToGrid/>
        <w:spacing w:line="600" w:lineRule="exact"/>
        <w:ind w:left="319" w:leftChars="152" w:firstLine="960" w:firstLineChars="3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人大事务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代表工作</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0"/>
        </w:numPr>
        <w:kinsoku/>
        <w:wordWrap/>
        <w:overflowPunct/>
        <w:topLinePunct w:val="0"/>
        <w:bidi w:val="0"/>
        <w:snapToGrid/>
        <w:spacing w:line="600" w:lineRule="exact"/>
        <w:ind w:left="319" w:leftChars="152"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6.80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8.74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128.52</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大</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增加了联网监督经费。</w:t>
      </w:r>
    </w:p>
    <w:p>
      <w:pPr>
        <w:pStyle w:val="13"/>
        <w:keepNext w:val="0"/>
        <w:keepLines w:val="0"/>
        <w:pageBreakBefore w:val="0"/>
        <w:widowControl w:val="0"/>
        <w:numPr>
          <w:ilvl w:val="0"/>
          <w:numId w:val="0"/>
        </w:numPr>
        <w:kinsoku/>
        <w:wordWrap/>
        <w:overflowPunct/>
        <w:topLinePunct w:val="0"/>
        <w:bidi w:val="0"/>
        <w:snapToGrid/>
        <w:spacing w:line="600" w:lineRule="exact"/>
        <w:ind w:left="319" w:leftChars="152" w:firstLine="960" w:firstLineChars="3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人大事务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人大会议</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0"/>
        </w:numPr>
        <w:kinsoku/>
        <w:wordWrap/>
        <w:overflowPunct/>
        <w:topLinePunct w:val="0"/>
        <w:bidi w:val="0"/>
        <w:snapToGrid/>
        <w:spacing w:line="600" w:lineRule="exact"/>
        <w:ind w:left="319" w:leftChars="152"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w:t>
      </w:r>
      <w:r>
        <w:rPr>
          <w:rFonts w:hint="eastAsia" w:ascii="Times New Roman" w:hAnsi="Times New Roman" w:eastAsia="仿宋_GB2312"/>
          <w:sz w:val="32"/>
          <w:szCs w:val="32"/>
          <w:highlight w:val="none"/>
        </w:rPr>
        <w:t>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118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0.00</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大</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年初预算未纳入部门预算，仅纳入县级大预算。</w:t>
      </w:r>
    </w:p>
    <w:p>
      <w:pPr>
        <w:pStyle w:val="13"/>
        <w:keepNext w:val="0"/>
        <w:keepLines w:val="0"/>
        <w:pageBreakBefore w:val="0"/>
        <w:widowControl w:val="0"/>
        <w:numPr>
          <w:ilvl w:val="0"/>
          <w:numId w:val="0"/>
        </w:numPr>
        <w:kinsoku/>
        <w:wordWrap/>
        <w:overflowPunct/>
        <w:topLinePunct w:val="0"/>
        <w:bidi w:val="0"/>
        <w:snapToGrid/>
        <w:spacing w:line="600" w:lineRule="exact"/>
        <w:ind w:firstLine="1280" w:firstLineChars="4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人大事务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其他人大事务支出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0"/>
        </w:numPr>
        <w:kinsoku/>
        <w:wordWrap/>
        <w:overflowPunct/>
        <w:topLinePunct w:val="0"/>
        <w:bidi w:val="0"/>
        <w:snapToGrid/>
        <w:spacing w:line="600" w:lineRule="exact"/>
        <w:ind w:left="319" w:leftChars="152" w:firstLine="960" w:firstLineChars="300"/>
        <w:textAlignment w:val="auto"/>
        <w:rPr>
          <w:rFonts w:hint="default" w:ascii="Times New Roman" w:hAnsi="Times New Roman" w:eastAsia="仿宋_GB2312"/>
          <w:sz w:val="32"/>
          <w:szCs w:val="32"/>
          <w:highlight w:val="yellow"/>
          <w:lang w:val="en-US" w:eastAsia="zh-CN"/>
        </w:rPr>
      </w:pPr>
      <w:r>
        <w:rPr>
          <w:rFonts w:hint="eastAsia" w:ascii="Times New Roman" w:hAnsi="Times New Roman" w:eastAsia="仿宋_GB2312"/>
          <w:sz w:val="32"/>
          <w:szCs w:val="32"/>
        </w:rPr>
        <w:t>年初预</w:t>
      </w:r>
      <w:r>
        <w:rPr>
          <w:rFonts w:hint="eastAsia" w:ascii="Times New Roman" w:hAnsi="Times New Roman" w:eastAsia="仿宋_GB2312"/>
          <w:sz w:val="32"/>
          <w:szCs w:val="32"/>
          <w:highlight w:val="none"/>
        </w:rPr>
        <w:t>算为</w:t>
      </w:r>
      <w:r>
        <w:rPr>
          <w:rFonts w:hint="eastAsia" w:ascii="Times New Roman" w:hAnsi="Times New Roman" w:eastAsia="仿宋_GB2312"/>
          <w:sz w:val="32"/>
          <w:szCs w:val="32"/>
          <w:highlight w:val="none"/>
          <w:lang w:val="en-US" w:eastAsia="zh-CN"/>
        </w:rPr>
        <w:t>173.1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192.88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111.42</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大</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人大代表培训开支年初列入县级大预算未列入部门预算。</w:t>
      </w:r>
    </w:p>
    <w:p>
      <w:pPr>
        <w:pStyle w:val="13"/>
        <w:keepNext w:val="0"/>
        <w:keepLines w:val="0"/>
        <w:pageBreakBefore w:val="0"/>
        <w:widowControl w:val="0"/>
        <w:numPr>
          <w:ilvl w:val="0"/>
          <w:numId w:val="0"/>
        </w:numPr>
        <w:kinsoku/>
        <w:wordWrap/>
        <w:overflowPunct/>
        <w:topLinePunct w:val="0"/>
        <w:bidi w:val="0"/>
        <w:snapToGrid/>
        <w:spacing w:line="600" w:lineRule="exact"/>
        <w:ind w:left="319" w:leftChars="152"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0"/>
        </w:numPr>
        <w:kinsoku/>
        <w:wordWrap/>
        <w:overflowPunct/>
        <w:topLinePunct w:val="0"/>
        <w:bidi w:val="0"/>
        <w:snapToGrid/>
        <w:spacing w:line="600" w:lineRule="exact"/>
        <w:ind w:left="319" w:leftChars="152" w:firstLine="960" w:firstLineChars="3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18.65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18.65</w:t>
      </w:r>
      <w:r>
        <w:rPr>
          <w:rFonts w:hint="eastAsia" w:ascii="Times New Roman" w:hAnsi="Times New Roman" w:eastAsia="仿宋_GB2312"/>
          <w:sz w:val="32"/>
          <w:szCs w:val="32"/>
          <w:highlight w:val="none"/>
        </w:rPr>
        <w:t>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w:t>
      </w:r>
    </w:p>
    <w:p>
      <w:pPr>
        <w:pStyle w:val="13"/>
        <w:keepNext w:val="0"/>
        <w:keepLines w:val="0"/>
        <w:pageBreakBefore w:val="0"/>
        <w:widowControl w:val="0"/>
        <w:numPr>
          <w:ilvl w:val="0"/>
          <w:numId w:val="0"/>
        </w:numPr>
        <w:kinsoku/>
        <w:wordWrap/>
        <w:overflowPunct/>
        <w:topLinePunct w:val="0"/>
        <w:bidi w:val="0"/>
        <w:snapToGrid/>
        <w:spacing w:line="600" w:lineRule="exact"/>
        <w:ind w:firstLine="1280" w:firstLineChars="4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行政单位医疗</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0"/>
        </w:numPr>
        <w:kinsoku/>
        <w:wordWrap/>
        <w:overflowPunct/>
        <w:topLinePunct w:val="0"/>
        <w:bidi w:val="0"/>
        <w:snapToGrid/>
        <w:spacing w:line="600" w:lineRule="exact"/>
        <w:ind w:left="319" w:leftChars="152" w:firstLine="960" w:firstLineChars="3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w:t>
      </w:r>
      <w:r>
        <w:rPr>
          <w:rFonts w:hint="eastAsia" w:ascii="Times New Roman" w:hAnsi="Times New Roman" w:eastAsia="仿宋_GB2312"/>
          <w:sz w:val="32"/>
          <w:szCs w:val="32"/>
          <w:highlight w:val="none"/>
        </w:rPr>
        <w:t>初预算为</w:t>
      </w:r>
      <w:r>
        <w:rPr>
          <w:rFonts w:hint="eastAsia" w:ascii="Times New Roman" w:hAnsi="Times New Roman" w:eastAsia="仿宋_GB2312"/>
          <w:sz w:val="32"/>
          <w:szCs w:val="32"/>
          <w:highlight w:val="none"/>
          <w:lang w:val="en-US" w:eastAsia="zh-CN"/>
        </w:rPr>
        <w:t>5.15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5.15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w:t>
      </w:r>
    </w:p>
    <w:p>
      <w:pPr>
        <w:pStyle w:val="13"/>
        <w:keepNext w:val="0"/>
        <w:keepLines w:val="0"/>
        <w:pageBreakBefore w:val="0"/>
        <w:widowControl w:val="0"/>
        <w:numPr>
          <w:ilvl w:val="0"/>
          <w:numId w:val="0"/>
        </w:numPr>
        <w:kinsoku/>
        <w:wordWrap/>
        <w:overflowPunct/>
        <w:topLinePunct w:val="0"/>
        <w:bidi w:val="0"/>
        <w:snapToGrid/>
        <w:spacing w:line="600" w:lineRule="exact"/>
        <w:ind w:firstLine="1280" w:firstLineChars="4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8、社会保障和就业支出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抚恤</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死亡抚恤</w:t>
      </w:r>
      <w:r>
        <w:rPr>
          <w:rFonts w:hint="eastAsia" w:ascii="Times New Roman" w:hAnsi="Times New Roman" w:eastAsia="仿宋_GB2312"/>
          <w:color w:val="auto"/>
          <w:sz w:val="32"/>
          <w:szCs w:val="32"/>
        </w:rPr>
        <w:t>（项）</w:t>
      </w:r>
      <w:r>
        <w:rPr>
          <w:rFonts w:hint="eastAsia" w:ascii="Times New Roman" w:hAnsi="Times New Roman" w:eastAsia="仿宋_GB2312"/>
          <w:color w:val="auto"/>
          <w:sz w:val="32"/>
          <w:szCs w:val="32"/>
          <w:lang w:eastAsia="zh-CN"/>
        </w:rPr>
        <w:t>。</w:t>
      </w:r>
    </w:p>
    <w:p>
      <w:pPr>
        <w:pStyle w:val="13"/>
        <w:keepNext w:val="0"/>
        <w:keepLines w:val="0"/>
        <w:pageBreakBefore w:val="0"/>
        <w:widowControl w:val="0"/>
        <w:numPr>
          <w:ilvl w:val="0"/>
          <w:numId w:val="0"/>
        </w:numPr>
        <w:kinsoku/>
        <w:wordWrap/>
        <w:overflowPunct/>
        <w:topLinePunct w:val="0"/>
        <w:bidi w:val="0"/>
        <w:snapToGrid/>
        <w:spacing w:line="600" w:lineRule="exact"/>
        <w:ind w:left="319" w:leftChars="152" w:firstLine="960" w:firstLineChars="3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21.18</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未纳入部门预算，仅纳入县级大预算。</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699.23</w:t>
      </w:r>
      <w:r>
        <w:rPr>
          <w:rFonts w:hint="eastAsia" w:ascii="Times New Roman" w:hAnsi="Times New Roman" w:eastAsia="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left="319" w:leftChars="152" w:firstLine="960" w:firstLineChars="300"/>
        <w:textAlignment w:val="auto"/>
        <w:rPr>
          <w:rFonts w:hint="eastAsia" w:ascii="Times New Roman" w:hAnsi="Times New Roman" w:eastAsia="仿宋_GB2312"/>
          <w:b/>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607.98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86.94</w:t>
      </w:r>
      <w:r>
        <w:rPr>
          <w:rFonts w:hint="eastAsia" w:ascii="Times New Roman" w:hAnsi="Times New Roman" w:eastAsia="仿宋_GB2312"/>
          <w:sz w:val="32"/>
          <w:szCs w:val="32"/>
        </w:rPr>
        <w:t>%,主要包括基本工资、津贴补贴、奖金、伙食补助费、机关事业单位基本养老保险缴费、职业年金缴费、职工基本医疗保险缴费、其他社会保障缴费、住房公积金</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lang w:eastAsia="zh-CN"/>
        </w:rPr>
        <w:t>。</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91.26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13.06</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差旅费、维修（护）费、会议费、培训费、公务接待费、劳务费、工会经费、福利费、其他商品和服务支出</w:t>
      </w:r>
      <w:r>
        <w:rPr>
          <w:rFonts w:hint="eastAsia" w:ascii="Times New Roman" w:hAnsi="Times New Roman" w:eastAsia="仿宋_GB2312"/>
          <w:sz w:val="32"/>
          <w:szCs w:val="32"/>
          <w:lang w:val="en-US" w:eastAsia="zh-CN"/>
        </w:rPr>
        <w:t>等。</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left="319" w:leftChars="152"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5.80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48.33%。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部分厉行节约，压缩公务接待开支</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left="319" w:leftChars="152"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5.80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%,全年共接待来访团组</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414</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省市县人大来道县调研</w:t>
      </w:r>
      <w:r>
        <w:rPr>
          <w:rFonts w:hint="eastAsia" w:ascii="Times New Roman" w:hAnsi="Times New Roman" w:eastAsia="仿宋_GB2312"/>
          <w:sz w:val="32"/>
          <w:szCs w:val="32"/>
        </w:rPr>
        <w:t>发生的接待支出。</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3"/>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本部门无政府性基金预算收入及支出。</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3"/>
        <w:keepNext w:val="0"/>
        <w:keepLines w:val="0"/>
        <w:pageBreakBefore w:val="0"/>
        <w:widowControl w:val="0"/>
        <w:kinsoku/>
        <w:wordWrap/>
        <w:overflowPunct/>
        <w:topLinePunct w:val="0"/>
        <w:bidi w:val="0"/>
        <w:snapToGrid/>
        <w:spacing w:line="600" w:lineRule="exact"/>
        <w:ind w:left="319" w:leftChars="152" w:firstLine="960" w:firstLineChars="3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91.25</w:t>
      </w:r>
      <w:r>
        <w:rPr>
          <w:rFonts w:hint="eastAsia" w:ascii="Times New Roman" w:hAnsi="Times New Roman" w:eastAsia="仿宋_GB2312"/>
          <w:sz w:val="32"/>
          <w:szCs w:val="32"/>
          <w:highlight w:val="none"/>
        </w:rPr>
        <w:t>万元，比上年决算数增加</w:t>
      </w:r>
      <w:r>
        <w:rPr>
          <w:rFonts w:hint="eastAsia" w:ascii="Times New Roman" w:hAnsi="Times New Roman" w:eastAsia="仿宋_GB2312"/>
          <w:sz w:val="32"/>
          <w:szCs w:val="32"/>
          <w:highlight w:val="none"/>
          <w:lang w:val="en-US" w:eastAsia="zh-CN"/>
        </w:rPr>
        <w:t>92.47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下降</w:t>
      </w:r>
      <w:r>
        <w:rPr>
          <w:rFonts w:hint="eastAsia" w:ascii="Times New Roman" w:hAnsi="Times New Roman" w:eastAsia="仿宋_GB2312"/>
          <w:sz w:val="32"/>
          <w:szCs w:val="32"/>
          <w:highlight w:val="none"/>
          <w:lang w:val="en-US" w:eastAsia="zh-CN"/>
        </w:rPr>
        <w:t>50.33</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主要是压缩公用经费及人大会议列入项目支出等</w:t>
      </w:r>
      <w:r>
        <w:rPr>
          <w:rFonts w:hint="eastAsia" w:ascii="Times New Roman" w:hAnsi="Times New Roman" w:eastAsia="仿宋_GB2312"/>
          <w:sz w:val="32"/>
          <w:szCs w:val="32"/>
          <w:highlight w:val="none"/>
        </w:rPr>
        <w:t>。</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3"/>
        <w:keepNext w:val="0"/>
        <w:keepLines w:val="0"/>
        <w:pageBreakBefore w:val="0"/>
        <w:widowControl w:val="0"/>
        <w:kinsoku/>
        <w:wordWrap/>
        <w:overflowPunct/>
        <w:topLinePunct w:val="0"/>
        <w:bidi w:val="0"/>
        <w:snapToGrid/>
        <w:spacing w:line="600" w:lineRule="exact"/>
        <w:ind w:left="319" w:leftChars="152" w:firstLine="960" w:firstLineChars="3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年本部门开支会议费</w:t>
      </w:r>
      <w:r>
        <w:rPr>
          <w:rFonts w:hint="eastAsia" w:ascii="Times New Roman" w:hAnsi="Times New Roman" w:eastAsia="仿宋_GB2312"/>
          <w:color w:val="auto"/>
          <w:sz w:val="32"/>
          <w:szCs w:val="32"/>
          <w:highlight w:val="none"/>
          <w:lang w:val="en-US" w:eastAsia="zh-CN"/>
        </w:rPr>
        <w:t>118</w:t>
      </w:r>
      <w:r>
        <w:rPr>
          <w:rFonts w:hint="eastAsia" w:ascii="Times New Roman" w:hAnsi="Times New Roman" w:eastAsia="仿宋_GB2312"/>
          <w:color w:val="auto"/>
          <w:sz w:val="32"/>
          <w:szCs w:val="32"/>
          <w:highlight w:val="none"/>
        </w:rPr>
        <w:t>万元，用于召开会议，用于</w:t>
      </w:r>
      <w:bookmarkStart w:id="7" w:name="MEET_FUNDS_COUNT"/>
      <w:r>
        <w:rPr>
          <w:rFonts w:hint="eastAsia" w:ascii="Times New Roman" w:hAnsi="Times New Roman" w:eastAsia="仿宋_GB2312"/>
          <w:color w:val="auto"/>
          <w:sz w:val="32"/>
          <w:szCs w:val="32"/>
          <w:highlight w:val="none"/>
        </w:rPr>
        <w:t>人大</w:t>
      </w:r>
      <w:bookmarkEnd w:id="7"/>
      <w:r>
        <w:rPr>
          <w:rFonts w:hint="eastAsia" w:ascii="Times New Roman" w:hAnsi="Times New Roman" w:eastAsia="仿宋_GB2312"/>
          <w:color w:val="auto"/>
          <w:sz w:val="32"/>
          <w:szCs w:val="32"/>
          <w:highlight w:val="none"/>
        </w:rPr>
        <w:t>会议，人数</w:t>
      </w:r>
      <w:bookmarkStart w:id="8" w:name="MEET_FUNDS_RS"/>
      <w:r>
        <w:rPr>
          <w:rFonts w:hint="eastAsia" w:ascii="Times New Roman" w:hAnsi="Times New Roman" w:eastAsia="仿宋_GB2312"/>
          <w:color w:val="auto"/>
          <w:sz w:val="32"/>
          <w:szCs w:val="32"/>
          <w:highlight w:val="none"/>
        </w:rPr>
        <w:t>52</w:t>
      </w:r>
      <w:bookmarkEnd w:id="8"/>
      <w:r>
        <w:rPr>
          <w:rFonts w:hint="eastAsia" w:ascii="Times New Roman" w:hAnsi="Times New Roman" w:eastAsia="仿宋_GB2312"/>
          <w:color w:val="auto"/>
          <w:sz w:val="32"/>
          <w:szCs w:val="32"/>
          <w:highlight w:val="none"/>
          <w:lang w:val="en-US" w:eastAsia="zh-CN"/>
        </w:rPr>
        <w:t>6</w:t>
      </w:r>
      <w:r>
        <w:rPr>
          <w:rFonts w:hint="eastAsia" w:ascii="Times New Roman" w:hAnsi="Times New Roman" w:eastAsia="仿宋_GB2312"/>
          <w:color w:val="auto"/>
          <w:sz w:val="32"/>
          <w:szCs w:val="32"/>
          <w:highlight w:val="none"/>
        </w:rPr>
        <w:t>人，内容为</w:t>
      </w:r>
      <w:bookmarkStart w:id="9" w:name="MEET_FUNDS_HYNR"/>
      <w:r>
        <w:rPr>
          <w:rFonts w:hint="eastAsia" w:ascii="Times New Roman" w:hAnsi="Times New Roman" w:eastAsia="仿宋_GB2312"/>
          <w:color w:val="auto"/>
          <w:sz w:val="32"/>
          <w:szCs w:val="32"/>
          <w:highlight w:val="none"/>
        </w:rPr>
        <w:t>全县人大代表、特邀人员、列席人员、工作人员等，用于住宿、餐费、资料、租车等</w:t>
      </w:r>
      <w:bookmarkEnd w:id="9"/>
      <w:bookmarkStart w:id="10" w:name="END_MEET_FUNDS_AMT"/>
      <w:bookmarkEnd w:id="10"/>
      <w:r>
        <w:rPr>
          <w:rFonts w:hint="eastAsia" w:ascii="Times New Roman" w:hAnsi="Times New Roman" w:eastAsia="仿宋_GB2312"/>
          <w:color w:val="auto"/>
          <w:sz w:val="32"/>
          <w:szCs w:val="32"/>
          <w:highlight w:val="none"/>
        </w:rPr>
        <w:t>；开支培训费</w:t>
      </w:r>
      <w:r>
        <w:rPr>
          <w:rFonts w:hint="eastAsia" w:ascii="Times New Roman" w:hAnsi="Times New Roman" w:eastAsia="仿宋_GB2312"/>
          <w:color w:val="auto"/>
          <w:sz w:val="32"/>
          <w:szCs w:val="32"/>
          <w:highlight w:val="none"/>
          <w:lang w:val="en-US" w:eastAsia="zh-CN"/>
        </w:rPr>
        <w:t>0.51</w:t>
      </w:r>
      <w:r>
        <w:rPr>
          <w:rFonts w:hint="eastAsia" w:ascii="Times New Roman" w:hAnsi="Times New Roman" w:eastAsia="仿宋_GB2312"/>
          <w:color w:val="auto"/>
          <w:sz w:val="32"/>
          <w:szCs w:val="32"/>
          <w:highlight w:val="none"/>
        </w:rPr>
        <w:t>万元</w:t>
      </w:r>
      <w:bookmarkStart w:id="11" w:name="START_TRAIN_FUNDS_AMT"/>
      <w:bookmarkEnd w:id="11"/>
      <w:bookmarkStart w:id="12" w:name="DIS_MARK_TRAIN_FUNDS_AMT"/>
      <w:r>
        <w:rPr>
          <w:rFonts w:hint="eastAsia" w:ascii="Times New Roman" w:hAnsi="Times New Roman" w:eastAsia="仿宋_GB2312"/>
          <w:color w:val="auto"/>
          <w:sz w:val="32"/>
          <w:szCs w:val="32"/>
          <w:highlight w:val="none"/>
        </w:rPr>
        <w:t>，用于</w:t>
      </w:r>
      <w:bookmarkEnd w:id="12"/>
      <w:bookmarkStart w:id="13" w:name="END_TRAIN_FUNDS_AMT"/>
      <w:bookmarkEnd w:id="13"/>
      <w:r>
        <w:rPr>
          <w:rFonts w:hint="eastAsia" w:ascii="Times New Roman" w:hAnsi="Times New Roman" w:eastAsia="仿宋_GB2312"/>
          <w:color w:val="auto"/>
          <w:sz w:val="32"/>
          <w:szCs w:val="32"/>
          <w:highlight w:val="none"/>
          <w:lang w:eastAsia="zh-CN"/>
        </w:rPr>
        <w:t>人大机关干部外出学习</w:t>
      </w:r>
      <w:r>
        <w:rPr>
          <w:rFonts w:hint="eastAsia" w:ascii="Times New Roman" w:hAnsi="Times New Roman" w:eastAsia="仿宋_GB2312"/>
          <w:color w:val="auto"/>
          <w:sz w:val="32"/>
          <w:szCs w:val="32"/>
          <w:highlight w:val="none"/>
        </w:rPr>
        <w:t>；</w:t>
      </w:r>
      <w:bookmarkStart w:id="14" w:name="DIS_MARK_YES"/>
      <w:bookmarkEnd w:id="14"/>
      <w:bookmarkStart w:id="15" w:name="START_YES"/>
      <w:bookmarkEnd w:id="15"/>
      <w:bookmarkStart w:id="16" w:name="YES_NO"/>
      <w:bookmarkEnd w:id="16"/>
      <w:bookmarkStart w:id="17" w:name="END_YES"/>
      <w:bookmarkEnd w:id="17"/>
      <w:bookmarkStart w:id="18" w:name="START_NO"/>
      <w:bookmarkEnd w:id="18"/>
      <w:r>
        <w:rPr>
          <w:rFonts w:hint="eastAsia" w:ascii="Times New Roman" w:hAnsi="Times New Roman" w:eastAsia="仿宋_GB2312"/>
          <w:color w:val="auto"/>
          <w:sz w:val="32"/>
          <w:szCs w:val="32"/>
          <w:highlight w:val="none"/>
        </w:rPr>
        <w:t>未举办节庆、晚会、论坛、赛事活动</w:t>
      </w:r>
      <w:r>
        <w:rPr>
          <w:rFonts w:hint="eastAsia" w:ascii="Times New Roman" w:hAnsi="Times New Roman" w:eastAsia="仿宋_GB2312"/>
          <w:color w:val="auto"/>
          <w:sz w:val="32"/>
          <w:szCs w:val="32"/>
          <w:highlight w:val="none"/>
          <w:lang w:eastAsia="zh-CN"/>
        </w:rPr>
        <w:t>。</w:t>
      </w:r>
    </w:p>
    <w:p>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十一、关于政府采购支出说明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left="319" w:leftChars="152" w:firstLine="960" w:firstLineChars="3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本部门202</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年度政府采购支出总额</w:t>
      </w:r>
      <w:r>
        <w:rPr>
          <w:rFonts w:hint="eastAsia" w:ascii="Times New Roman" w:hAnsi="Times New Roman" w:eastAsia="仿宋_GB2312"/>
          <w:color w:val="auto"/>
          <w:sz w:val="32"/>
          <w:szCs w:val="32"/>
          <w:highlight w:val="none"/>
          <w:lang w:val="en-US" w:eastAsia="zh-CN"/>
        </w:rPr>
        <w:t>10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，其中：政府采购货物支出</w:t>
      </w:r>
      <w:bookmarkStart w:id="19" w:name="GP_BGT_CGHW_AMT"/>
      <w:r>
        <w:rPr>
          <w:rFonts w:hint="eastAsia" w:ascii="Times New Roman" w:hAnsi="Times New Roman" w:eastAsia="仿宋_GB2312"/>
          <w:color w:val="auto"/>
          <w:sz w:val="32"/>
          <w:szCs w:val="32"/>
          <w:highlight w:val="none"/>
          <w:lang w:val="en-US" w:eastAsia="zh-CN"/>
        </w:rPr>
        <w:t>10</w:t>
      </w:r>
      <w:bookmarkEnd w:id="19"/>
      <w:r>
        <w:rPr>
          <w:rFonts w:hint="eastAsia" w:ascii="Times New Roman" w:hAnsi="Times New Roman" w:eastAsia="仿宋_GB2312"/>
          <w:color w:val="auto"/>
          <w:sz w:val="32"/>
          <w:szCs w:val="32"/>
          <w:highlight w:val="none"/>
          <w:lang w:val="en-US" w:eastAsia="zh-CN"/>
        </w:rPr>
        <w:t>万元、政府采购工程支出</w:t>
      </w:r>
      <w:bookmarkStart w:id="20" w:name="GP_BGT_CGGC_AMT"/>
      <w:r>
        <w:rPr>
          <w:rFonts w:hint="eastAsia" w:ascii="Times New Roman" w:hAnsi="Times New Roman" w:eastAsia="仿宋_GB2312"/>
          <w:color w:val="auto"/>
          <w:sz w:val="32"/>
          <w:szCs w:val="32"/>
          <w:highlight w:val="none"/>
          <w:lang w:val="en-US" w:eastAsia="zh-CN"/>
        </w:rPr>
        <w:t>0</w:t>
      </w:r>
      <w:bookmarkEnd w:id="20"/>
      <w:r>
        <w:rPr>
          <w:rFonts w:hint="eastAsia" w:ascii="Times New Roman" w:hAnsi="Times New Roman" w:eastAsia="仿宋_GB2312"/>
          <w:color w:val="auto"/>
          <w:sz w:val="32"/>
          <w:szCs w:val="32"/>
          <w:highlight w:val="none"/>
          <w:lang w:val="en-US" w:eastAsia="zh-CN"/>
        </w:rPr>
        <w:t>万元、政府采购服务支出</w:t>
      </w:r>
      <w:bookmarkStart w:id="21" w:name="GP_BGT_CGFW_AMT"/>
      <w:r>
        <w:rPr>
          <w:rFonts w:hint="eastAsia" w:ascii="Times New Roman" w:hAnsi="Times New Roman" w:eastAsia="仿宋_GB2312"/>
          <w:color w:val="auto"/>
          <w:sz w:val="32"/>
          <w:szCs w:val="32"/>
          <w:highlight w:val="none"/>
          <w:lang w:val="en-US" w:eastAsia="zh-CN"/>
        </w:rPr>
        <w:t>0</w:t>
      </w:r>
      <w:bookmarkEnd w:id="21"/>
      <w:r>
        <w:rPr>
          <w:rFonts w:hint="eastAsia" w:ascii="Times New Roman" w:hAnsi="Times New Roman" w:eastAsia="仿宋_GB2312"/>
          <w:color w:val="auto"/>
          <w:sz w:val="32"/>
          <w:szCs w:val="32"/>
          <w:highlight w:val="none"/>
          <w:lang w:val="en-US" w:eastAsia="zh-CN"/>
        </w:rPr>
        <w:t>万元。授予中小企业合同金额</w:t>
      </w:r>
      <w:bookmarkStart w:id="22" w:name="GP_BGT_ZXQY_AMT"/>
      <w:r>
        <w:rPr>
          <w:rFonts w:hint="eastAsia" w:ascii="Times New Roman" w:hAnsi="Times New Roman" w:eastAsia="仿宋_GB2312"/>
          <w:color w:val="auto"/>
          <w:sz w:val="32"/>
          <w:szCs w:val="32"/>
          <w:highlight w:val="none"/>
          <w:lang w:val="en-US" w:eastAsia="zh-CN"/>
        </w:rPr>
        <w:t>0</w:t>
      </w:r>
      <w:bookmarkEnd w:id="22"/>
      <w:r>
        <w:rPr>
          <w:rFonts w:hint="eastAsia" w:ascii="Times New Roman" w:hAnsi="Times New Roman" w:eastAsia="仿宋_GB2312"/>
          <w:color w:val="auto"/>
          <w:sz w:val="32"/>
          <w:szCs w:val="32"/>
          <w:highlight w:val="none"/>
          <w:lang w:val="en-US" w:eastAsia="zh-CN"/>
        </w:rPr>
        <w:t>万元，占政府采购支出总额的</w:t>
      </w:r>
      <w:bookmarkStart w:id="23" w:name="GP_BGT_ZXQY_AMT_BL"/>
      <w:r>
        <w:rPr>
          <w:rFonts w:hint="eastAsia" w:ascii="Times New Roman" w:hAnsi="Times New Roman" w:eastAsia="仿宋_GB2312"/>
          <w:color w:val="auto"/>
          <w:sz w:val="32"/>
          <w:szCs w:val="32"/>
          <w:highlight w:val="none"/>
          <w:lang w:val="en-US" w:eastAsia="zh-CN"/>
        </w:rPr>
        <w:t>0.00</w:t>
      </w:r>
      <w:bookmarkEnd w:id="23"/>
      <w:r>
        <w:rPr>
          <w:rFonts w:hint="eastAsia" w:ascii="Times New Roman" w:hAnsi="Times New Roman" w:eastAsia="仿宋_GB2312"/>
          <w:color w:val="auto"/>
          <w:sz w:val="32"/>
          <w:szCs w:val="32"/>
          <w:highlight w:val="none"/>
          <w:lang w:val="en-US" w:eastAsia="zh-CN"/>
        </w:rPr>
        <w:t>%，其中：授予小微企业合同金额6万元，占政府采购支出总额的60.00%；货物采购授予中小企业合同金额占货物支出金额的</w:t>
      </w:r>
      <w:bookmarkStart w:id="24" w:name="GP_BGT_CGHW_AMT_BL"/>
      <w:r>
        <w:rPr>
          <w:rFonts w:hint="eastAsia" w:ascii="Times New Roman" w:hAnsi="Times New Roman" w:eastAsia="仿宋_GB2312"/>
          <w:color w:val="auto"/>
          <w:sz w:val="32"/>
          <w:szCs w:val="32"/>
          <w:highlight w:val="none"/>
          <w:lang w:val="en-US" w:eastAsia="zh-CN"/>
        </w:rPr>
        <w:t>0</w:t>
      </w:r>
      <w:bookmarkEnd w:id="24"/>
      <w:r>
        <w:rPr>
          <w:rFonts w:hint="eastAsia" w:ascii="Times New Roman" w:hAnsi="Times New Roman" w:eastAsia="仿宋_GB2312"/>
          <w:color w:val="auto"/>
          <w:sz w:val="32"/>
          <w:szCs w:val="32"/>
          <w:highlight w:val="none"/>
          <w:lang w:val="en-US" w:eastAsia="zh-CN"/>
        </w:rPr>
        <w:t>%，工程采购授予中小企业合同金额占工程支出金额的</w:t>
      </w:r>
      <w:bookmarkStart w:id="25" w:name="GP_BGT_CGGC_AMT_BL"/>
      <w:r>
        <w:rPr>
          <w:rFonts w:hint="eastAsia" w:ascii="Times New Roman" w:hAnsi="Times New Roman" w:eastAsia="仿宋_GB2312"/>
          <w:color w:val="auto"/>
          <w:sz w:val="32"/>
          <w:szCs w:val="32"/>
          <w:highlight w:val="none"/>
          <w:lang w:val="en-US" w:eastAsia="zh-CN"/>
        </w:rPr>
        <w:t>0</w:t>
      </w:r>
      <w:bookmarkEnd w:id="25"/>
      <w:r>
        <w:rPr>
          <w:rFonts w:hint="eastAsia" w:ascii="Times New Roman" w:hAnsi="Times New Roman" w:eastAsia="仿宋_GB2312"/>
          <w:color w:val="auto"/>
          <w:sz w:val="32"/>
          <w:szCs w:val="32"/>
          <w:highlight w:val="none"/>
          <w:lang w:val="en-US" w:eastAsia="zh-CN"/>
        </w:rPr>
        <w:t>%，服务采购授予中小企业合同金额占服务支出金额的</w:t>
      </w:r>
      <w:bookmarkStart w:id="26" w:name="GP_BGT_CGFW_AMT_BL"/>
      <w:r>
        <w:rPr>
          <w:rFonts w:hint="eastAsia" w:ascii="Times New Roman" w:hAnsi="Times New Roman" w:eastAsia="仿宋_GB2312"/>
          <w:color w:val="auto"/>
          <w:sz w:val="32"/>
          <w:szCs w:val="32"/>
          <w:highlight w:val="none"/>
          <w:lang w:val="en-US" w:eastAsia="zh-CN"/>
        </w:rPr>
        <w:t>0</w:t>
      </w:r>
      <w:bookmarkEnd w:id="26"/>
      <w:r>
        <w:rPr>
          <w:rFonts w:hint="eastAsia" w:ascii="Times New Roman" w:hAnsi="Times New Roman" w:eastAsia="仿宋_GB2312"/>
          <w:color w:val="auto"/>
          <w:sz w:val="32"/>
          <w:szCs w:val="32"/>
          <w:highlight w:val="none"/>
          <w:lang w:val="en-US" w:eastAsia="zh-CN"/>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1280" w:firstLineChars="4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十二、关于国有资产占用情况说明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left="319" w:leftChars="152" w:firstLine="960" w:firstLineChars="300"/>
        <w:textAlignment w:val="auto"/>
        <w:rPr>
          <w:rFonts w:ascii="Times New Roman" w:hAnsi="Times New Roman" w:eastAsia="仿宋_GB2312"/>
          <w:color w:val="auto"/>
          <w:sz w:val="32"/>
          <w:szCs w:val="32"/>
          <w:highlight w:val="yellow"/>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4</w:t>
      </w:r>
      <w:bookmarkStart w:id="27" w:name="_GoBack"/>
      <w:bookmarkEnd w:id="27"/>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本部门共有公务用车0辆，其中，主要领导干部用车0辆、机要通信用车0辆、应急保障用车0辆、执法执勤用车0辆、特种专业技术用车0辆、其他按照规定配备的公务用车0辆；单位价值50万元以上通用设备0台（套），单位价值100万元以上专用设备0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1280" w:firstLineChars="4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十三、关于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1280" w:firstLineChars="400"/>
        <w:jc w:val="left"/>
        <w:textAlignment w:val="auto"/>
        <w:rPr>
          <w:rFonts w:hint="eastAsia" w:ascii="Times New Roman" w:hAnsi="Times New Roman" w:eastAsia="仿宋_GB2312"/>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本部门预算绩效管理开展情况、绩效目标和绩效评价报告等</w:t>
      </w:r>
      <w:r>
        <w:rPr>
          <w:rFonts w:hint="eastAsia" w:ascii="楷体" w:hAnsi="楷体" w:eastAsia="楷体" w:cs="楷体"/>
          <w:b w:val="0"/>
          <w:bCs w:val="0"/>
          <w:color w:val="auto"/>
          <w:sz w:val="32"/>
          <w:szCs w:val="32"/>
          <w:highlight w:val="none"/>
          <w:lang w:val="en-US" w:eastAsia="zh-CN"/>
        </w:rPr>
        <w:t>详见</w:t>
      </w:r>
      <w:r>
        <w:rPr>
          <w:rFonts w:hint="eastAsia" w:ascii="楷体" w:hAnsi="楷体" w:eastAsia="楷体" w:cs="楷体"/>
          <w:b w:val="0"/>
          <w:bCs w:val="0"/>
          <w:color w:val="auto"/>
          <w:sz w:val="32"/>
          <w:szCs w:val="32"/>
          <w:highlight w:val="none"/>
          <w:lang w:eastAsia="zh-CN"/>
        </w:rPr>
        <w:t>附件</w:t>
      </w:r>
      <w:r>
        <w:rPr>
          <w:rFonts w:hint="eastAsia" w:ascii="Times New Roman" w:hAnsi="Times New Roman" w:eastAsia="仿宋_GB2312"/>
          <w:b w:val="0"/>
          <w:bCs w:val="0"/>
          <w:color w:val="auto"/>
          <w:sz w:val="32"/>
          <w:szCs w:val="32"/>
          <w:highlight w:val="none"/>
        </w:rPr>
        <w:t>。</w:t>
      </w:r>
    </w:p>
    <w:p>
      <w:pPr>
        <w:pStyle w:val="13"/>
        <w:jc w:val="both"/>
        <w:rPr>
          <w:color w:val="auto"/>
          <w:sz w:val="72"/>
          <w:szCs w:val="72"/>
          <w:highlight w:val="yellow"/>
        </w:rPr>
      </w:pPr>
    </w:p>
    <w:p>
      <w:pPr>
        <w:pStyle w:val="13"/>
        <w:jc w:val="center"/>
        <w:rPr>
          <w:sz w:val="72"/>
          <w:szCs w:val="72"/>
        </w:rPr>
      </w:pPr>
    </w:p>
    <w:p>
      <w:pPr>
        <w:pStyle w:val="13"/>
        <w:jc w:val="center"/>
        <w:rPr>
          <w:sz w:val="72"/>
          <w:szCs w:val="72"/>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tabs>
          <w:tab w:val="left" w:pos="360"/>
        </w:tabs>
        <w:spacing w:line="360" w:lineRule="auto"/>
        <w:ind w:left="319" w:leftChars="152"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lang w:val="en-US" w:eastAsia="zh-CN"/>
        </w:rPr>
        <w:t>一、</w:t>
      </w:r>
      <w:r>
        <w:rPr>
          <w:rFonts w:hint="eastAsia" w:ascii="仿宋" w:hAnsi="仿宋" w:eastAsia="仿宋" w:cs="仿宋"/>
          <w:b/>
          <w:bCs/>
          <w:color w:val="000000"/>
          <w:sz w:val="32"/>
          <w:szCs w:val="32"/>
          <w:shd w:val="clear" w:color="auto" w:fill="FFFFFF"/>
        </w:rPr>
        <w:t>财政拨款收入：</w:t>
      </w:r>
      <w:r>
        <w:rPr>
          <w:rFonts w:hint="eastAsia" w:ascii="仿宋" w:hAnsi="仿宋" w:eastAsia="仿宋" w:cs="仿宋"/>
          <w:color w:val="000000"/>
          <w:sz w:val="32"/>
          <w:szCs w:val="32"/>
          <w:shd w:val="clear" w:color="auto" w:fill="FFFFFF"/>
        </w:rPr>
        <w:t>指单位本年度从同级财政部门取得的各类财政拨款。</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二、</w:t>
      </w:r>
      <w:r>
        <w:rPr>
          <w:rFonts w:hint="eastAsia" w:ascii="仿宋" w:hAnsi="仿宋" w:eastAsia="仿宋" w:cs="仿宋"/>
          <w:b/>
          <w:bCs/>
          <w:color w:val="000000"/>
          <w:sz w:val="32"/>
          <w:szCs w:val="32"/>
          <w:shd w:val="clear" w:color="auto" w:fill="FFFFFF"/>
        </w:rPr>
        <w:t>机关运行经费：</w:t>
      </w:r>
      <w:r>
        <w:rPr>
          <w:rFonts w:hint="eastAsia" w:ascii="仿宋" w:hAnsi="仿宋" w:eastAsia="仿宋" w:cs="仿宋"/>
          <w:color w:val="000000"/>
          <w:sz w:val="32"/>
          <w:szCs w:val="32"/>
          <w:shd w:val="clear" w:color="auto" w:fill="FFFFFF"/>
        </w:rP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三、</w:t>
      </w:r>
      <w:r>
        <w:rPr>
          <w:rFonts w:hint="eastAsia" w:ascii="仿宋" w:hAnsi="仿宋" w:eastAsia="仿宋" w:cs="仿宋"/>
          <w:b/>
          <w:bCs/>
          <w:color w:val="000000"/>
          <w:sz w:val="32"/>
          <w:szCs w:val="32"/>
          <w:shd w:val="clear" w:color="auto" w:fill="FFFFFF"/>
        </w:rPr>
        <w:t>“三公”经费：</w:t>
      </w:r>
      <w:r>
        <w:rPr>
          <w:rFonts w:hint="eastAsia" w:ascii="仿宋" w:hAnsi="仿宋" w:eastAsia="仿宋" w:cs="仿宋"/>
          <w:color w:val="000000"/>
          <w:sz w:val="32"/>
          <w:szCs w:val="32"/>
          <w:shd w:val="clear" w:color="auto" w:fill="FFFFFF"/>
        </w:rPr>
        <w:t>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四、</w:t>
      </w:r>
      <w:r>
        <w:rPr>
          <w:rFonts w:hint="eastAsia" w:ascii="仿宋" w:hAnsi="仿宋" w:eastAsia="仿宋" w:cs="仿宋"/>
          <w:b/>
          <w:bCs/>
          <w:color w:val="000000"/>
          <w:sz w:val="32"/>
          <w:szCs w:val="32"/>
          <w:shd w:val="clear" w:color="auto" w:fill="FFFFFF"/>
        </w:rPr>
        <w:t>一般公共服务支出（类）人大事务（款）行政运行（项）：</w:t>
      </w:r>
      <w:r>
        <w:rPr>
          <w:rFonts w:hint="eastAsia" w:ascii="仿宋" w:hAnsi="仿宋" w:eastAsia="仿宋" w:cs="仿宋"/>
          <w:color w:val="000000"/>
          <w:sz w:val="32"/>
          <w:szCs w:val="32"/>
          <w:shd w:val="clear" w:color="auto" w:fill="FFFFFF"/>
        </w:rPr>
        <w:t>反映行政单位（包括实行公务员管理的事业单位）的基本支出。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五、</w:t>
      </w:r>
      <w:r>
        <w:rPr>
          <w:rFonts w:hint="eastAsia" w:ascii="仿宋" w:hAnsi="仿宋" w:eastAsia="仿宋" w:cs="仿宋"/>
          <w:b/>
          <w:bCs/>
          <w:color w:val="000000"/>
          <w:sz w:val="32"/>
          <w:szCs w:val="32"/>
          <w:shd w:val="clear" w:color="auto" w:fill="FFFFFF"/>
        </w:rPr>
        <w:t>一般公共服务支出（类）人大事务（款）人大会议（项）：</w:t>
      </w:r>
      <w:r>
        <w:rPr>
          <w:rFonts w:hint="eastAsia" w:ascii="仿宋" w:hAnsi="仿宋" w:eastAsia="仿宋" w:cs="仿宋"/>
          <w:color w:val="000000"/>
          <w:sz w:val="32"/>
          <w:szCs w:val="32"/>
          <w:shd w:val="clear" w:color="auto" w:fill="FFFFFF"/>
        </w:rPr>
        <w:t>反映各级人大召开人民代表大会等专门会议的支出。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六、</w:t>
      </w:r>
      <w:r>
        <w:rPr>
          <w:rFonts w:hint="eastAsia" w:ascii="仿宋" w:hAnsi="仿宋" w:eastAsia="仿宋" w:cs="仿宋"/>
          <w:b/>
          <w:bCs/>
          <w:color w:val="000000"/>
          <w:sz w:val="32"/>
          <w:szCs w:val="32"/>
          <w:shd w:val="clear" w:color="auto" w:fill="FFFFFF"/>
        </w:rPr>
        <w:t>一般公共服务支出（类）人大事务（款）人大监督（项）：</w:t>
      </w:r>
      <w:r>
        <w:rPr>
          <w:rFonts w:hint="eastAsia" w:ascii="仿宋" w:hAnsi="仿宋" w:eastAsia="仿宋" w:cs="仿宋"/>
          <w:color w:val="000000"/>
          <w:sz w:val="32"/>
          <w:szCs w:val="32"/>
          <w:shd w:val="clear" w:color="auto" w:fill="FFFFFF"/>
        </w:rPr>
        <w:t>反映各级人大开展监督工作的支出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七、</w:t>
      </w:r>
      <w:r>
        <w:rPr>
          <w:rFonts w:hint="eastAsia" w:ascii="仿宋" w:hAnsi="仿宋" w:eastAsia="仿宋" w:cs="仿宋"/>
          <w:b/>
          <w:bCs/>
          <w:color w:val="000000"/>
          <w:sz w:val="32"/>
          <w:szCs w:val="32"/>
          <w:shd w:val="clear" w:color="auto" w:fill="FFFFFF"/>
        </w:rPr>
        <w:t>一般公共服务支出（类）人大事务（款）人大代表履职能力提升（项）：</w:t>
      </w:r>
      <w:r>
        <w:rPr>
          <w:rFonts w:hint="eastAsia" w:ascii="仿宋" w:hAnsi="仿宋" w:eastAsia="仿宋" w:cs="仿宋"/>
          <w:color w:val="000000"/>
          <w:sz w:val="32"/>
          <w:szCs w:val="32"/>
          <w:shd w:val="clear" w:color="auto" w:fill="FFFFFF"/>
        </w:rPr>
        <w:t>反映各级人大为提高代表履职能力所发生的各项支出。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八、</w:t>
      </w:r>
      <w:r>
        <w:rPr>
          <w:rFonts w:hint="eastAsia" w:ascii="仿宋" w:hAnsi="仿宋" w:eastAsia="仿宋" w:cs="仿宋"/>
          <w:b/>
          <w:bCs/>
          <w:color w:val="000000"/>
          <w:sz w:val="32"/>
          <w:szCs w:val="32"/>
          <w:shd w:val="clear" w:color="auto" w:fill="FFFFFF"/>
        </w:rPr>
        <w:t>一般公共服务支出（类）人大事务（款）代表工作（项）：</w:t>
      </w:r>
      <w:r>
        <w:rPr>
          <w:rFonts w:hint="eastAsia" w:ascii="仿宋" w:hAnsi="仿宋" w:eastAsia="仿宋" w:cs="仿宋"/>
          <w:color w:val="000000"/>
          <w:sz w:val="32"/>
          <w:szCs w:val="32"/>
          <w:shd w:val="clear" w:color="auto" w:fill="FFFFFF"/>
        </w:rPr>
        <w:t>反映人大代表开展各类视察等方面的支出。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九、</w:t>
      </w:r>
      <w:r>
        <w:rPr>
          <w:rFonts w:hint="eastAsia" w:ascii="仿宋" w:hAnsi="仿宋" w:eastAsia="仿宋" w:cs="仿宋"/>
          <w:b/>
          <w:bCs/>
          <w:color w:val="000000"/>
          <w:sz w:val="32"/>
          <w:szCs w:val="32"/>
          <w:shd w:val="clear" w:color="auto" w:fill="FFFFFF"/>
        </w:rPr>
        <w:t>一般公共服务支出（类）人大事务（款）其他人大事务支出（项）</w:t>
      </w:r>
      <w:r>
        <w:rPr>
          <w:rFonts w:hint="eastAsia" w:ascii="仿宋" w:hAnsi="仿宋" w:eastAsia="仿宋" w:cs="仿宋"/>
          <w:color w:val="000000"/>
          <w:sz w:val="32"/>
          <w:szCs w:val="32"/>
          <w:shd w:val="clear" w:color="auto" w:fill="FFFFFF"/>
        </w:rPr>
        <w:t>：反映除上述项目以外的其他人大事务支出。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十、</w:t>
      </w:r>
      <w:r>
        <w:rPr>
          <w:rFonts w:hint="eastAsia" w:ascii="仿宋" w:hAnsi="仿宋" w:eastAsia="仿宋" w:cs="仿宋"/>
          <w:b/>
          <w:bCs/>
          <w:color w:val="000000"/>
          <w:sz w:val="32"/>
          <w:szCs w:val="32"/>
          <w:shd w:val="clear" w:color="auto" w:fill="FFFFFF"/>
        </w:rPr>
        <w:t>一般公共服务支出（类）政府办公厅（室）及相关机构事务（款）其他政府办公厅（室）及相关机构事务支出（项）</w:t>
      </w:r>
      <w:r>
        <w:rPr>
          <w:rFonts w:hint="eastAsia" w:ascii="仿宋" w:hAnsi="仿宋" w:eastAsia="仿宋" w:cs="仿宋"/>
          <w:color w:val="000000"/>
          <w:sz w:val="32"/>
          <w:szCs w:val="32"/>
          <w:shd w:val="clear" w:color="auto" w:fill="FFFFFF"/>
        </w:rPr>
        <w:t>：反映除上述项目以外的其他政府办公厅（室）及相关机构事 务支出。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十一、</w:t>
      </w:r>
      <w:r>
        <w:rPr>
          <w:rFonts w:hint="eastAsia" w:ascii="仿宋" w:hAnsi="仿宋" w:eastAsia="仿宋" w:cs="仿宋"/>
          <w:b/>
          <w:bCs/>
          <w:color w:val="000000"/>
          <w:sz w:val="32"/>
          <w:szCs w:val="32"/>
          <w:shd w:val="clear" w:color="auto" w:fill="FFFFFF"/>
        </w:rPr>
        <w:t>社会保障和就业支出（类）行政事业单位养老支出（款）机关事业单位基本养老保险缴费支出（项）：</w:t>
      </w:r>
      <w:r>
        <w:rPr>
          <w:rFonts w:hint="eastAsia" w:ascii="仿宋" w:hAnsi="仿宋" w:eastAsia="仿宋" w:cs="仿宋"/>
          <w:color w:val="000000"/>
          <w:sz w:val="32"/>
          <w:szCs w:val="32"/>
          <w:shd w:val="clear" w:color="auto" w:fill="FFFFFF"/>
        </w:rPr>
        <w:t>反映机关事业单位实施养老保险制度由单位缴纳的基本养老保险费支出。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十二、</w:t>
      </w:r>
      <w:r>
        <w:rPr>
          <w:rFonts w:hint="eastAsia" w:ascii="仿宋" w:hAnsi="仿宋" w:eastAsia="仿宋" w:cs="仿宋"/>
          <w:b/>
          <w:bCs/>
          <w:color w:val="000000"/>
          <w:sz w:val="32"/>
          <w:szCs w:val="32"/>
          <w:shd w:val="clear" w:color="auto" w:fill="FFFFFF"/>
        </w:rPr>
        <w:t>社会保障和就业支出（类）抚恤（款）死亡抚恤（项）：</w:t>
      </w:r>
      <w:r>
        <w:rPr>
          <w:rFonts w:hint="eastAsia" w:ascii="仿宋" w:hAnsi="仿宋" w:eastAsia="仿宋" w:cs="仿宋"/>
          <w:color w:val="000000"/>
          <w:sz w:val="32"/>
          <w:szCs w:val="32"/>
          <w:shd w:val="clear" w:color="auto" w:fill="FFFFFF"/>
        </w:rPr>
        <w:t>反映按规定用于烈士和牺牲、病故人员家属的一次性和定期 抚恤金、丧葬补助费以及烈士褒扬金。</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p>
    <w:p>
      <w:pPr>
        <w:pStyle w:val="13"/>
        <w:jc w:val="center"/>
        <w:rPr>
          <w:sz w:val="72"/>
          <w:szCs w:val="72"/>
        </w:rPr>
      </w:pPr>
    </w:p>
    <w:p>
      <w:pP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3"/>
        <w:keepNext w:val="0"/>
        <w:keepLines w:val="0"/>
        <w:pageBreakBefore w:val="0"/>
        <w:widowControl w:val="0"/>
        <w:kinsoku/>
        <w:wordWrap/>
        <w:overflowPunct/>
        <w:topLinePunct w:val="0"/>
        <w:bidi w:val="0"/>
        <w:snapToGrid/>
        <w:spacing w:line="600" w:lineRule="exact"/>
        <w:ind w:firstLine="1280" w:firstLineChars="4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pPr>
        <w:pStyle w:val="13"/>
        <w:ind w:firstLine="1280" w:firstLineChars="400"/>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一、基本情况</w:t>
      </w:r>
    </w:p>
    <w:p>
      <w:pPr>
        <w:pStyle w:val="13"/>
        <w:ind w:firstLine="1280" w:firstLineChars="4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道县人民代表大会设监察和司法委员会、财政经济委员会、教育科</w:t>
      </w:r>
    </w:p>
    <w:p>
      <w:pPr>
        <w:pStyle w:val="13"/>
        <w:ind w:left="319" w:leftChars="152" w:firstLine="0" w:firstLineChars="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学文化卫生委员会、社会建设委员会、农业农村委员会、环境和资源保护委员会、民族宗教外事委员会等7个专门委员会，常委会设办公室、选举任免联络工作委员会、法律工作委员会、预算工作委员会等4个常设机构和一个事业单位（信息中心）。编制人数为34人，其中行政编制29人（含机关工勤编4人），事业编制5人。人大机关现有在职人员46人，其中副处级以上干部14人，正副科级干部22人（其中八级职员1人），其他10人（其中机关工勤人员7人，事业人员3人）。离退休人员35人。</w:t>
      </w:r>
    </w:p>
    <w:p>
      <w:pPr>
        <w:pStyle w:val="13"/>
        <w:ind w:left="319" w:leftChars="152" w:firstLine="960" w:firstLineChars="3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人民代表大会制度是国家根本政治制度，人大常委会是代表人民行使国家权力的机关。地方各级人民代表大会常务委员会的职权是《组织法》确定的，其中县级人大常委会共有十四项职权，概括为四大类。一是监督权，监督同级人民政府、人民法院和人民检察院的工作。二是执法检查权，在本行政区域内，保证宪法、法律、行政法规和上级人民代表大会及其常务委员会决议的遵守和执行。三是重大事项决定权，讨论决定本行政区域内政治、经济、教育、科技、文化、卫生、环境和资源保护、民政、民族等工作的重大事项。四是人事任免权。</w:t>
      </w:r>
    </w:p>
    <w:p>
      <w:pPr>
        <w:pStyle w:val="13"/>
        <w:ind w:firstLine="1280" w:firstLineChars="400"/>
        <w:rPr>
          <w:rFonts w:hint="eastAsia" w:ascii="黑体" w:hAnsi="黑体" w:eastAsia="黑体" w:cs="黑体"/>
          <w:color w:val="000000"/>
          <w:kern w:val="2"/>
          <w:sz w:val="32"/>
          <w:szCs w:val="32"/>
          <w:shd w:val="clear" w:color="auto" w:fill="FFFFFF"/>
          <w:lang w:val="en-US" w:eastAsia="zh-CN" w:bidi="ar-SA"/>
        </w:rPr>
      </w:pPr>
      <w:r>
        <w:rPr>
          <w:rFonts w:hint="eastAsia" w:ascii="黑体" w:hAnsi="黑体" w:eastAsia="黑体" w:cs="黑体"/>
          <w:color w:val="000000"/>
          <w:kern w:val="2"/>
          <w:sz w:val="32"/>
          <w:szCs w:val="32"/>
          <w:shd w:val="clear" w:color="auto" w:fill="FFFFFF"/>
          <w:lang w:val="en-US" w:eastAsia="zh-CN" w:bidi="ar-SA"/>
        </w:rPr>
        <w:t>二、一般公共预算支出情况</w:t>
      </w:r>
    </w:p>
    <w:p>
      <w:pPr>
        <w:pStyle w:val="13"/>
        <w:ind w:left="319" w:leftChars="152" w:firstLine="960" w:firstLineChars="3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2023年县人大整体支出为1204.75万元，包括基本支出914.94万元，主要用于人员经费支出和日常公用经费支出，项目支出289.81万元，主要用于全县人大代表调研活动及会议开支。</w:t>
      </w:r>
    </w:p>
    <w:p>
      <w:pPr>
        <w:pStyle w:val="13"/>
        <w:ind w:firstLine="960" w:firstLineChars="300"/>
        <w:rPr>
          <w:rFonts w:hint="eastAsia" w:ascii="仿宋" w:hAnsi="仿宋" w:eastAsia="仿宋" w:cs="仿宋"/>
          <w:b/>
          <w:bCs/>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（一）基本支出情况</w:t>
      </w:r>
    </w:p>
    <w:p>
      <w:pPr>
        <w:pStyle w:val="13"/>
        <w:ind w:firstLine="1280" w:firstLineChars="4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 xml:space="preserve">2023年县人大基本支出914.94万元，包括人员支出802.23万元，  </w:t>
      </w:r>
    </w:p>
    <w:p>
      <w:pPr>
        <w:pStyle w:val="13"/>
        <w:ind w:left="638" w:leftChars="304" w:firstLine="0" w:firstLineChars="0"/>
        <w:rPr>
          <w:rFonts w:hint="eastAsia" w:ascii="仿宋" w:hAnsi="仿宋" w:eastAsia="仿宋" w:cs="仿宋"/>
          <w:color w:val="000000"/>
          <w:kern w:val="2"/>
          <w:sz w:val="32"/>
          <w:szCs w:val="32"/>
          <w:shd w:val="clear" w:color="auto" w:fill="FFFFFF"/>
          <w:lang w:val="en-US" w:eastAsia="zh-CN" w:bidi="ar-SA"/>
        </w:rPr>
      </w:pPr>
    </w:p>
    <w:p>
      <w:pPr>
        <w:pStyle w:val="13"/>
        <w:ind w:left="319" w:leftChars="152" w:firstLine="0" w:firstLineChars="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公用经费支出97.2万元，其中“三公”经费合计11..78万元，为公务接待费。</w:t>
      </w:r>
    </w:p>
    <w:p>
      <w:pPr>
        <w:pStyle w:val="13"/>
        <w:ind w:firstLine="1280" w:firstLineChars="400"/>
        <w:rPr>
          <w:rFonts w:hint="eastAsia" w:ascii="仿宋" w:hAnsi="仿宋" w:eastAsia="仿宋" w:cs="仿宋"/>
          <w:b/>
          <w:bCs/>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（二）项目支出情况</w:t>
      </w:r>
    </w:p>
    <w:p>
      <w:pPr>
        <w:pStyle w:val="13"/>
        <w:ind w:left="638" w:leftChars="304" w:firstLine="640" w:firstLineChars="2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2023年县财政安排我办项目经费289.81万元，具体包括工作调研经</w:t>
      </w:r>
    </w:p>
    <w:p>
      <w:pPr>
        <w:pStyle w:val="13"/>
        <w:ind w:left="319" w:leftChars="152" w:firstLine="0" w:firstLineChars="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费56.56万元；人大代表及委员活动、例会经费67.07万元；8个专门委室工作经费24万元；四行活动专项经费11.63万元；五级人大代表“联系群众办实事”6.74万元；代表议案建议意见督办经费10万元；人大公报及网站维护费6.7万元等等。我办实际发生项目支出289.81万元，项目支出安排率达到100%。</w:t>
      </w:r>
    </w:p>
    <w:p>
      <w:pPr>
        <w:pStyle w:val="13"/>
        <w:ind w:firstLine="1280" w:firstLineChars="400"/>
        <w:rPr>
          <w:rFonts w:hint="eastAsia" w:ascii="黑体" w:hAnsi="黑体" w:eastAsia="黑体" w:cs="黑体"/>
          <w:color w:val="000000"/>
          <w:kern w:val="2"/>
          <w:sz w:val="32"/>
          <w:szCs w:val="32"/>
          <w:shd w:val="clear" w:color="auto" w:fill="FFFFFF"/>
          <w:lang w:val="en-US" w:eastAsia="zh-CN" w:bidi="ar-SA"/>
        </w:rPr>
      </w:pPr>
      <w:r>
        <w:rPr>
          <w:rFonts w:hint="eastAsia" w:ascii="黑体" w:hAnsi="黑体" w:eastAsia="黑体" w:cs="黑体"/>
          <w:color w:val="000000"/>
          <w:kern w:val="2"/>
          <w:sz w:val="32"/>
          <w:szCs w:val="32"/>
          <w:shd w:val="clear" w:color="auto" w:fill="FFFFFF"/>
          <w:lang w:val="en-US" w:eastAsia="zh-CN" w:bidi="ar-SA"/>
        </w:rPr>
        <w:t>三、部门整体支出绩效情况</w:t>
      </w:r>
    </w:p>
    <w:p>
      <w:pPr>
        <w:pStyle w:val="13"/>
        <w:ind w:firstLine="960" w:firstLineChars="3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2023年共召开代表大会1次、常委会会议11次，听取审议工作报告</w:t>
      </w:r>
    </w:p>
    <w:p>
      <w:pPr>
        <w:pStyle w:val="13"/>
        <w:ind w:firstLine="320" w:firstLineChars="1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 xml:space="preserve">17项，组织视察和调研20次，开展执法检查或配合省、市执法检查5次。  </w:t>
      </w:r>
    </w:p>
    <w:p>
      <w:pPr>
        <w:pStyle w:val="13"/>
        <w:ind w:firstLine="1280" w:firstLineChars="400"/>
        <w:rPr>
          <w:rFonts w:hint="eastAsia" w:ascii="仿宋" w:hAnsi="仿宋" w:eastAsia="仿宋" w:cs="仿宋"/>
          <w:b/>
          <w:bCs/>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一、突出政治建设，在坚持党的全面领导上更加坚定</w:t>
      </w:r>
    </w:p>
    <w:p>
      <w:pPr>
        <w:pStyle w:val="13"/>
        <w:ind w:left="319" w:leftChars="152" w:firstLine="960" w:firstLineChars="3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一年来，积极组织人大机关党员、干部研读指定书目、开展学习研讨，引导人大机关干部以学铸魂、以学增智、以学正风、以学促干，共开展专题学习研讨4次，深入开展“走找想促”活动，共发现问题182个，解决问题181个，正在解决1个。严格落实请示报告制度，及时主动向县委请示报告重大事项，全年向县委专题请示汇报16次。全年共依法任免国家机关工作人员72人，补选20名县人大代表、6名县人大常委会委员、2名市人大代表。服从县委安排，完成人大机关行政编制超编问题消化任务，共消化超额编制7个。</w:t>
      </w:r>
    </w:p>
    <w:p>
      <w:pPr>
        <w:pStyle w:val="13"/>
        <w:ind w:left="638" w:leftChars="304" w:firstLine="640" w:firstLineChars="2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一年来，常委会领导班子成员主动挑重担，啃硬骨头，分别担任了</w:t>
      </w:r>
    </w:p>
    <w:p>
      <w:pPr>
        <w:pStyle w:val="13"/>
        <w:ind w:firstLine="640" w:firstLineChars="2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 xml:space="preserve">新能源新材料产业、道县历史文化名城古城综合开发、县城老旧小区改 </w:t>
      </w:r>
    </w:p>
    <w:p>
      <w:pPr>
        <w:pStyle w:val="13"/>
        <w:ind w:left="638" w:leftChars="304" w:firstLine="0" w:firstLineChars="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造、城南保护圈、城南托儿服务中心、东洲学校宿舍楼、二水厂扩建、白马公园、上坝灌区续建配套及节水改造、东部区域医疗卫生服务中心、零道高速公路道县段等重点产业、重点项目的链长、指挥长、常务副指挥长，坐镇项目建设现场，推动各项目顺利进展。常委会领导班子成员主动深入联系乡镇(街道)和乡村振兴、文明创建联系点及园区企业等一线，倾听群众意见建议，主动协调解决具体问题和实际困难，推动工作落实落细。</w:t>
      </w:r>
    </w:p>
    <w:p>
      <w:pPr>
        <w:pStyle w:val="13"/>
        <w:ind w:firstLine="1280" w:firstLineChars="4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二、坚持高效履职，在服务高质量发展上更显担当</w:t>
      </w:r>
    </w:p>
    <w:p>
      <w:pPr>
        <w:pStyle w:val="13"/>
        <w:ind w:left="638" w:leftChars="304" w:firstLine="640" w:firstLineChars="2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一年来，共组织58人次向宪法宣誓，共组织任前法律考试17人次，</w:t>
      </w:r>
    </w:p>
    <w:p>
      <w:pPr>
        <w:pStyle w:val="13"/>
        <w:ind w:left="638" w:leftChars="304" w:firstLine="0" w:firstLineChars="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备案审查规范性文件15件。组织或配合省市开展了湿地保护“一法一条例”，土壤污染防治“一法一办法”，安全生产“一法一条例一规定”和道路交通安全“一法一办法”，中医药保护“一法一条例”，宗教事务“两个条例”，《中华人民共和国残疾人保障法》等执法检查，促进了相关法律法规在我县有效落实。配合上级人大开展立法调研3次。听取和审议了县政府28个工作部门主要负责人和“两院”14名法官、检察官的履职报告，并进行了评议，推动“一府一委两院”依法履职。</w:t>
      </w:r>
    </w:p>
    <w:p>
      <w:pPr>
        <w:pStyle w:val="13"/>
        <w:ind w:firstLine="1280" w:firstLineChars="400"/>
        <w:rPr>
          <w:rFonts w:hint="eastAsia" w:ascii="仿宋" w:hAnsi="仿宋" w:eastAsia="仿宋" w:cs="仿宋"/>
          <w:b/>
          <w:bCs/>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三、坚守初心使命，在践行全过程人民民主上更具活力</w:t>
      </w:r>
    </w:p>
    <w:p>
      <w:pPr>
        <w:pStyle w:val="13"/>
        <w:ind w:left="638" w:leftChars="304" w:firstLine="640" w:firstLineChars="2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一年来，落实省人大提出的“以区建站”工作，完成了富塘、梅花“以区建站”试点。目前，全县共有22个乡镇（街道）人大代表联络站、2个行业代表联络站和13个选区人大代表联络站，在道4名省人大代表、43名市人大代表、294名县人大代表全部编入人大代表联络站。全县各级人大代表联系选民群众25705人。全县参加活动代表人数1252人，联系群众10852人次。全年，人大代表向“12345”热线反映社情民意29个，反映的问题基本得到较好的处理。</w:t>
      </w:r>
    </w:p>
    <w:p>
      <w:pPr>
        <w:pStyle w:val="13"/>
        <w:ind w:firstLine="1280" w:firstLineChars="4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 xml:space="preserve">县十八届人大三次会议期间收到的273件议案建议已全部办复，办 </w:t>
      </w:r>
    </w:p>
    <w:p>
      <w:pPr>
        <w:pStyle w:val="13"/>
        <w:ind w:left="638" w:leftChars="304" w:firstLine="0" w:firstLineChars="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复率达100％，已经解决或基本解决的占62.6%，正在解决或已列入计划逐步解决的占27.5%，目前不具备解决条件或因其他原因需待以后解决的占9.9%，代表对建议办理情况的满意度不断提高。</w:t>
      </w:r>
    </w:p>
    <w:p>
      <w:pPr>
        <w:pStyle w:val="13"/>
        <w:ind w:left="638" w:leftChars="304" w:firstLine="640" w:firstLineChars="2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2023年共组织71名市、县代表赴贵阳、合肥、昆明等地开展专题培训，不断提升代表的政治素养和履职能力。邀请代表列席县人大常委会会议，积极组织县人大代表参加县人大常委会组织的执法检查、视察、调研等活动，不断提升代表履职水平。全年共邀请3名省人大代表、12名市人大代表列席县十八届人大三次会议，92名县人大代表列席县人大常委会会议。</w:t>
      </w:r>
    </w:p>
    <w:p>
      <w:pPr>
        <w:pStyle w:val="13"/>
        <w:ind w:firstLine="1280" w:firstLineChars="400"/>
        <w:rPr>
          <w:rFonts w:hint="eastAsia" w:ascii="仿宋" w:hAnsi="仿宋" w:eastAsia="仿宋" w:cs="仿宋"/>
          <w:b/>
          <w:bCs/>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四、注重守正创新，在全面加强自身建设上更有成效</w:t>
      </w:r>
    </w:p>
    <w:p>
      <w:pPr>
        <w:pStyle w:val="13"/>
        <w:ind w:left="638" w:leftChars="304" w:firstLine="640" w:firstLineChars="2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一年来，严格落实基层党组织“三会一课”、民主生活会、“一月一课一片一实践”主题党日活动等制度。全年共上专题党课4次，开展一月一课一片一实践暨支部主题党日活动12次。及时组织召开党组民主生活会和支部组织生活会。组织全体党员干部开展“助力三湘环保世纪行、巩固长江十年禁渔成果”、“督办民生实事，践行全过程人民民主”、“督办代表建议办理，全力助推乡村振兴”等主题党日活动。积极开展反腐警示教育，共组织干部职工收看警示教育片3次，集体廉政谈话2次。</w:t>
      </w:r>
    </w:p>
    <w:p>
      <w:pPr>
        <w:pStyle w:val="13"/>
        <w:ind w:left="638" w:leftChars="304" w:firstLine="640" w:firstLineChars="2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一年来，走访慰问代表35人次。组织开展丰富多彩的机关工会活动，落实组织关怀，全年为9名同志举行3批次荣誉退休仪式，切实增强了人大干部、代表的认同感、归属感和荣誉感。</w:t>
      </w:r>
    </w:p>
    <w:p>
      <w:pPr>
        <w:pStyle w:val="13"/>
        <w:ind w:left="638" w:leftChars="304" w:firstLine="640" w:firstLineChars="2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一年来，全县15个乡镇实施民生实事项目人大代表差额票决，票决出44件民生实事项目，涉及金额21397万元，解决了一大批民生热点难点问题。</w:t>
      </w:r>
    </w:p>
    <w:p>
      <w:pPr>
        <w:pStyle w:val="13"/>
        <w:ind w:firstLine="1280" w:firstLineChars="4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四、存在的问题及原因分析</w:t>
      </w:r>
    </w:p>
    <w:p>
      <w:pPr>
        <w:pStyle w:val="13"/>
        <w:ind w:left="638" w:leftChars="304" w:firstLine="640" w:firstLineChars="2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 xml:space="preserve">严格遵守《预算法》、《政府会计制度》，无违规使用资金情况存在。但是存在未及时报账的现象，致部分调研项目开支跨年报销，年度预算执行不精准。 </w:t>
      </w:r>
    </w:p>
    <w:p>
      <w:pPr>
        <w:pStyle w:val="13"/>
        <w:ind w:firstLine="1280" w:firstLineChars="400"/>
        <w:rPr>
          <w:rFonts w:hint="eastAsia" w:ascii="仿宋" w:hAnsi="仿宋" w:eastAsia="仿宋" w:cs="仿宋"/>
          <w:b/>
          <w:bCs/>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五、下一步改进措施</w:t>
      </w:r>
    </w:p>
    <w:p>
      <w:pPr>
        <w:pStyle w:val="13"/>
        <w:ind w:left="638" w:leftChars="304" w:firstLine="640" w:firstLineChars="2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（一）进一步加强绩效意识和绩效管理理念，逐步探索将绩效管理贯穿于预算管理全流程的方法。</w:t>
      </w:r>
    </w:p>
    <w:p>
      <w:pPr>
        <w:pStyle w:val="13"/>
        <w:ind w:firstLine="1280" w:firstLineChars="4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（二）督促机关各部门及时报账，减少跨年报销现象。</w:t>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3"/>
        <w:jc w:val="center"/>
        <w:rPr>
          <w:sz w:val="72"/>
          <w:szCs w:val="72"/>
        </w:rPr>
      </w:pPr>
    </w:p>
    <w:p>
      <w:pPr>
        <w:pStyle w:val="13"/>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647CE"/>
    <w:multiLevelType w:val="singleLevel"/>
    <w:tmpl w:val="9D4647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NjExZjVjNTg5Mjg1YjViYThlZWY1NmQ3Zjk5MTIifQ=="/>
    <w:docVar w:name="KSO_WPS_MARK_KEY" w:val="a7053a75-e531-40de-a43c-1f035a20819b"/>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14AB7"/>
    <w:rsid w:val="01816758"/>
    <w:rsid w:val="01826A17"/>
    <w:rsid w:val="033124A2"/>
    <w:rsid w:val="04295F6E"/>
    <w:rsid w:val="05F11A75"/>
    <w:rsid w:val="080F08D8"/>
    <w:rsid w:val="09995380"/>
    <w:rsid w:val="0B0E4E77"/>
    <w:rsid w:val="0D43683D"/>
    <w:rsid w:val="0DF02F5A"/>
    <w:rsid w:val="0F31382A"/>
    <w:rsid w:val="0F9718DF"/>
    <w:rsid w:val="101A3CD3"/>
    <w:rsid w:val="10726D8C"/>
    <w:rsid w:val="113605CA"/>
    <w:rsid w:val="11926660"/>
    <w:rsid w:val="132A4818"/>
    <w:rsid w:val="14B91D4F"/>
    <w:rsid w:val="154C4F1A"/>
    <w:rsid w:val="15581B10"/>
    <w:rsid w:val="162503E3"/>
    <w:rsid w:val="183447B5"/>
    <w:rsid w:val="18EF0876"/>
    <w:rsid w:val="19D32C4B"/>
    <w:rsid w:val="1AD80334"/>
    <w:rsid w:val="1B50328A"/>
    <w:rsid w:val="1D2247B2"/>
    <w:rsid w:val="1D93306B"/>
    <w:rsid w:val="1D97DEFF"/>
    <w:rsid w:val="1DFF72E5"/>
    <w:rsid w:val="1EFC6F07"/>
    <w:rsid w:val="22B747EE"/>
    <w:rsid w:val="27B16E5E"/>
    <w:rsid w:val="28060F58"/>
    <w:rsid w:val="296A5517"/>
    <w:rsid w:val="2C136339"/>
    <w:rsid w:val="2CFC0B7C"/>
    <w:rsid w:val="2EF36828"/>
    <w:rsid w:val="2FA774C5"/>
    <w:rsid w:val="2FDF85B8"/>
    <w:rsid w:val="2FFFEE04"/>
    <w:rsid w:val="30182170"/>
    <w:rsid w:val="313B3500"/>
    <w:rsid w:val="320E50AB"/>
    <w:rsid w:val="32E45808"/>
    <w:rsid w:val="34DF85B0"/>
    <w:rsid w:val="37CF7ABC"/>
    <w:rsid w:val="3894610C"/>
    <w:rsid w:val="3AC768E1"/>
    <w:rsid w:val="3B1656ED"/>
    <w:rsid w:val="3B8F36BC"/>
    <w:rsid w:val="3BCF68B4"/>
    <w:rsid w:val="3BEE1EE7"/>
    <w:rsid w:val="3C9B4778"/>
    <w:rsid w:val="3D3D6D72"/>
    <w:rsid w:val="3DF01C91"/>
    <w:rsid w:val="3F0F467F"/>
    <w:rsid w:val="41526B64"/>
    <w:rsid w:val="419A3FAE"/>
    <w:rsid w:val="436438EC"/>
    <w:rsid w:val="439C0E92"/>
    <w:rsid w:val="45B46040"/>
    <w:rsid w:val="46A62739"/>
    <w:rsid w:val="491FF225"/>
    <w:rsid w:val="4B2A6BF6"/>
    <w:rsid w:val="4CCA7EF7"/>
    <w:rsid w:val="4E2B7CA4"/>
    <w:rsid w:val="4FFD214C"/>
    <w:rsid w:val="56907A9B"/>
    <w:rsid w:val="574F5BC8"/>
    <w:rsid w:val="5777D4F5"/>
    <w:rsid w:val="59DD8326"/>
    <w:rsid w:val="5A694EE1"/>
    <w:rsid w:val="5CE943C9"/>
    <w:rsid w:val="5DEF592A"/>
    <w:rsid w:val="5E8E6FD6"/>
    <w:rsid w:val="5FC6BB1E"/>
    <w:rsid w:val="5FF720F1"/>
    <w:rsid w:val="612D10E9"/>
    <w:rsid w:val="62CA07F9"/>
    <w:rsid w:val="662F5543"/>
    <w:rsid w:val="6655487D"/>
    <w:rsid w:val="67C43A69"/>
    <w:rsid w:val="67FF5C0B"/>
    <w:rsid w:val="684C0FFA"/>
    <w:rsid w:val="68BB0F81"/>
    <w:rsid w:val="69675A50"/>
    <w:rsid w:val="69EA352F"/>
    <w:rsid w:val="6A5710C9"/>
    <w:rsid w:val="6CE16E6B"/>
    <w:rsid w:val="6D5E2269"/>
    <w:rsid w:val="6EED5944"/>
    <w:rsid w:val="6EFC0924"/>
    <w:rsid w:val="6FB74722"/>
    <w:rsid w:val="6FEF8B7E"/>
    <w:rsid w:val="70A43D62"/>
    <w:rsid w:val="71A6591B"/>
    <w:rsid w:val="737D59BA"/>
    <w:rsid w:val="74604B19"/>
    <w:rsid w:val="74EE481B"/>
    <w:rsid w:val="77470212"/>
    <w:rsid w:val="77C37683"/>
    <w:rsid w:val="77D82FAB"/>
    <w:rsid w:val="79B00633"/>
    <w:rsid w:val="79FF515B"/>
    <w:rsid w:val="7A9838D8"/>
    <w:rsid w:val="7ADB139D"/>
    <w:rsid w:val="7C5C0654"/>
    <w:rsid w:val="7E9E1962"/>
    <w:rsid w:val="7E9F11B4"/>
    <w:rsid w:val="7F37EC1E"/>
    <w:rsid w:val="7F657B87"/>
    <w:rsid w:val="7F7DCD9D"/>
    <w:rsid w:val="7F970A6F"/>
    <w:rsid w:val="7FAD2577"/>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9830</Words>
  <Characters>11347</Characters>
  <Lines>63</Lines>
  <Paragraphs>18</Paragraphs>
  <TotalTime>53</TotalTime>
  <ScaleCrop>false</ScaleCrop>
  <LinksUpToDate>false</LinksUpToDate>
  <CharactersWithSpaces>12344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2025-08-18T03:23:00Z</cp:lastPrinted>
  <dcterms:modified xsi:type="dcterms:W3CDTF">2025-08-18T05:01:58Z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32F3A324E0CD491BB9437E915D9B2D54_12</vt:lpwstr>
  </property>
</Properties>
</file>