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道县公安局交通警察大队</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道县公安局交通警察大队</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道县公安局交通警察大队</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道县公安局交通警察大队的主要职责是：</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加强道路交通安全管理，定期掌握分析道路交通安全动态，制定对策； </w:t>
      </w:r>
    </w:p>
    <w:p>
      <w:pPr>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负责道路交通各项基础设施建设；加强道路巡逻及时发现和查处各类交通违 </w:t>
      </w:r>
    </w:p>
    <w:p>
      <w:pPr>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法行为；纠正违章，安全宣传；交通事故的勘察和处理，加强交通事故逃逸 </w:t>
      </w:r>
    </w:p>
    <w:p>
      <w:pPr>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案件的侦破。</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道县公安局交通警察大队单位内设机构包括：办公室、法制股、交管股、 </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车管股、驾管股、行财股、政工监督室、科技股 8 个职能部门，下设 1 </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个城市中队，3 个农村基层中队。</w:t>
      </w:r>
    </w:p>
    <w:p>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道县公安局交通警察大队</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部门决算汇总公开单位构成包括：道县公安局交通警察大队单位本级，没有其他二级决算单位。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8"/>
        <w:gridCol w:w="709"/>
        <w:gridCol w:w="2400"/>
        <w:gridCol w:w="1710"/>
        <w:gridCol w:w="1665"/>
        <w:gridCol w:w="1650"/>
        <w:gridCol w:w="1680"/>
        <w:gridCol w:w="1635"/>
        <w:gridCol w:w="1830"/>
        <w:gridCol w:w="187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7"/>
              <w:gridCol w:w="583"/>
              <w:gridCol w:w="1339"/>
              <w:gridCol w:w="4787"/>
              <w:gridCol w:w="1531"/>
              <w:gridCol w:w="479"/>
              <w:gridCol w:w="577"/>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3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8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10"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3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8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部门：道县公安局交通警察大队</w:t>
                  </w:r>
                </w:p>
              </w:tc>
              <w:tc>
                <w:tcPr>
                  <w:tcW w:w="58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3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8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614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7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62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2730.47</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392.99</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九、卫生健康支出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4"/>
                      <w:szCs w:val="24"/>
                      <w:u w:val="none"/>
                    </w:rPr>
                    <w:t>十一、城乡社区支出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十三、交通运输支出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3123.46</w:t>
                  </w: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62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75"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3123.46</w:t>
                  </w:r>
                </w:p>
              </w:tc>
              <w:tc>
                <w:tcPr>
                  <w:tcW w:w="4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3123.46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val="en-US" w:eastAsia="zh-CN"/>
              </w:rPr>
              <w:t>道县</w:t>
            </w:r>
          </w:p>
        </w:tc>
        <w:tc>
          <w:tcPr>
            <w:tcW w:w="240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sz w:val="20"/>
                <w:szCs w:val="20"/>
                <w:lang w:val="en-US" w:eastAsia="zh-CN"/>
              </w:rPr>
              <w:t>公安局交通警察大队</w:t>
            </w:r>
            <w:r>
              <w:rPr>
                <w:rFonts w:hint="eastAsia"/>
              </w:rPr>
              <w:t>　</w:t>
            </w:r>
          </w:p>
        </w:tc>
        <w:tc>
          <w:tcPr>
            <w:tcW w:w="17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38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4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3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8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38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3123.46</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3123.46</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10"/>
                <w:tab w:val="right" w:pos="1950"/>
              </w:tabs>
              <w:jc w:val="right"/>
              <w:rPr>
                <w:rFonts w:ascii="宋体" w:hAnsi="宋体" w:eastAsia="宋体" w:cs="宋体"/>
                <w:sz w:val="24"/>
                <w:szCs w:val="24"/>
              </w:rPr>
            </w:pPr>
            <w:r>
              <w:rPr>
                <w:rFonts w:hint="eastAsia"/>
                <w:lang w:eastAsia="zh-CN"/>
              </w:rPr>
              <w:tab/>
            </w:r>
            <w:r>
              <w:rPr>
                <w:rFonts w:hint="eastAsia"/>
                <w:lang w:eastAsia="zh-CN"/>
              </w:rPr>
              <w:tab/>
            </w:r>
            <w:r>
              <w:rPr>
                <w:rFonts w:hint="eastAsia"/>
                <w:lang w:val="en-US" w:eastAsia="zh-CN"/>
              </w:rPr>
              <w:t>0.000.00</w:t>
            </w:r>
            <w:r>
              <w:rPr>
                <w:rFonts w:hint="eastAsia"/>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宋体" w:hAnsi="宋体" w:cs="宋体" w:eastAsiaTheme="minorEastAsia"/>
                <w:sz w:val="24"/>
                <w:szCs w:val="24"/>
                <w:lang w:val="en-US" w:eastAsia="zh-CN"/>
              </w:rPr>
            </w:pPr>
            <w:r>
              <w:rPr>
                <w:rFonts w:hint="eastAsia"/>
                <w:b w:val="0"/>
                <w:bCs w:val="0"/>
                <w:lang w:val="en-US" w:eastAsia="zh-CN"/>
              </w:rPr>
              <w:t>2040201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行政运行</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1446.52</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1446.52</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564"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2040202</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一般行政管理事务</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lang w:val="en-US" w:eastAsia="zh-CN"/>
              </w:rPr>
              <w:t>20.00</w:t>
            </w:r>
            <w:r>
              <w:rPr>
                <w:rFonts w:hint="eastAsia" w:ascii="华文中宋" w:hAnsi="华文中宋" w:eastAsia="华文中宋"/>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20.00</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2040221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特别业务</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141.60</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141.60</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2040299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其他公安支出</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963.43</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963.43</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2080505</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机关事业单位基本养老保险缴费支出</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2.86</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2.86</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2101101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行政单位医疗</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0.26</w:t>
            </w: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0.26</w:t>
            </w: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2120803</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rPr>
            </w:pPr>
            <w:r>
              <w:rPr>
                <w:rFonts w:hint="eastAsia"/>
              </w:rPr>
              <w:t>城市建设支出</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323.86</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323.86</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2120899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rPr>
            </w:pPr>
            <w:r>
              <w:rPr>
                <w:rFonts w:hint="eastAsia"/>
              </w:rPr>
              <w:t>其他国有土地使用权出让收入安排的支出</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69.13</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69.13</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b w:val="0"/>
                <w:bCs w:val="0"/>
                <w:lang w:val="en-US" w:eastAsia="zh-CN"/>
              </w:rPr>
            </w:pPr>
            <w:r>
              <w:rPr>
                <w:rFonts w:hint="eastAsia"/>
                <w:b w:val="0"/>
                <w:bCs w:val="0"/>
                <w:lang w:val="en-US" w:eastAsia="zh-CN"/>
              </w:rPr>
              <w:t>2140106</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公路养护</w:t>
            </w:r>
          </w:p>
        </w:tc>
        <w:tc>
          <w:tcPr>
            <w:tcW w:w="17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155.80</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155.8</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2758"/>
        <w:gridCol w:w="1995"/>
        <w:gridCol w:w="1845"/>
        <w:gridCol w:w="1830"/>
        <w:gridCol w:w="1890"/>
        <w:gridCol w:w="1755"/>
        <w:gridCol w:w="2068"/>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5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rPr>
          <w:trHeight w:val="403" w:hRule="atLeast"/>
        </w:trPr>
        <w:tc>
          <w:tcPr>
            <w:tcW w:w="1236"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58" w:type="dxa"/>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0"/>
                <w:szCs w:val="20"/>
                <w:lang w:val="en-US" w:eastAsia="zh-CN"/>
              </w:rPr>
              <w:t>道县公安局交通警察大队</w:t>
            </w:r>
          </w:p>
        </w:tc>
        <w:tc>
          <w:tcPr>
            <w:tcW w:w="19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2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42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9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9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5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6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42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3123.46</w:t>
            </w:r>
            <w:r>
              <w:rPr>
                <w:rFonts w:hint="eastAsia" w:ascii="宋体" w:hAnsi="宋体" w:eastAsia="宋体" w:cs="宋体"/>
                <w:kern w:val="0"/>
                <w:sz w:val="24"/>
                <w:szCs w:val="24"/>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2273.02</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850.44</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3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宋体" w:hAnsi="宋体" w:cs="宋体" w:eastAsiaTheme="minorEastAsia"/>
                <w:kern w:val="2"/>
                <w:sz w:val="24"/>
                <w:szCs w:val="24"/>
                <w:lang w:val="en-US" w:eastAsia="zh-CN" w:bidi="ar-SA"/>
              </w:rPr>
            </w:pPr>
            <w:r>
              <w:rPr>
                <w:rFonts w:hint="eastAsia"/>
                <w:b w:val="0"/>
                <w:bCs w:val="0"/>
                <w:lang w:val="en-US" w:eastAsia="zh-CN"/>
              </w:rPr>
              <w:t>2040201</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行政运行</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1446.52</w:t>
            </w:r>
            <w:r>
              <w:rPr>
                <w:rFonts w:hint="eastAsia" w:ascii="宋体" w:hAnsi="宋体" w:eastAsia="宋体" w:cs="宋体"/>
                <w:kern w:val="0"/>
                <w:sz w:val="24"/>
                <w:szCs w:val="24"/>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1446.52</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0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2040202</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一般行政管理事务</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6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2040221</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特别业务</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141.60</w:t>
            </w:r>
            <w:r>
              <w:rPr>
                <w:rFonts w:hint="eastAsia" w:ascii="宋体" w:hAnsi="宋体" w:eastAsia="宋体" w:cs="宋体"/>
                <w:kern w:val="0"/>
                <w:sz w:val="24"/>
                <w:szCs w:val="24"/>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141.60</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2040299</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其他公安支出</w:t>
            </w:r>
          </w:p>
        </w:tc>
        <w:tc>
          <w:tcPr>
            <w:tcW w:w="1995" w:type="dxa"/>
            <w:tcBorders>
              <w:top w:val="nil"/>
              <w:left w:val="nil"/>
              <w:bottom w:val="single" w:color="auto" w:sz="4" w:space="0"/>
              <w:right w:val="single" w:color="auto" w:sz="4" w:space="0"/>
            </w:tcBorders>
            <w:shd w:val="clear" w:color="auto" w:fill="auto"/>
            <w:noWrap/>
            <w:vAlign w:val="center"/>
          </w:tcPr>
          <w:p>
            <w:pPr>
              <w:widowControl/>
              <w:tabs>
                <w:tab w:val="center" w:pos="822"/>
                <w:tab w:val="right" w:pos="2004"/>
              </w:tabs>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963.43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681.78</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281.65</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50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2080505</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机关事业单位基本养老保险缴费支出</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2.86</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2.86</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0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2101101</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kern w:val="2"/>
                <w:sz w:val="24"/>
                <w:szCs w:val="24"/>
                <w:lang w:val="en-US" w:eastAsia="zh-CN" w:bidi="ar-SA"/>
              </w:rPr>
            </w:pPr>
            <w:r>
              <w:rPr>
                <w:rFonts w:hint="eastAsia"/>
              </w:rPr>
              <w:t>行政单位医疗</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0.26</w:t>
            </w:r>
            <w:r>
              <w:rPr>
                <w:rFonts w:hint="eastAsia" w:ascii="宋体" w:hAnsi="宋体" w:eastAsia="宋体" w:cs="宋体"/>
                <w:kern w:val="0"/>
                <w:sz w:val="24"/>
                <w:szCs w:val="24"/>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0.26</w:t>
            </w:r>
            <w:r>
              <w:rPr>
                <w:rFonts w:hint="eastAsia" w:ascii="宋体" w:hAnsi="宋体" w:eastAsia="宋体" w:cs="宋体"/>
                <w:kern w:val="0"/>
                <w:sz w:val="24"/>
                <w:szCs w:val="24"/>
              </w:rPr>
              <w:t>　</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1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2120803</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城市建设支出</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323.86</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323.86</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6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2120899</w:t>
            </w:r>
          </w:p>
        </w:tc>
        <w:tc>
          <w:tcPr>
            <w:tcW w:w="2758"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其他国有土地使用权出让收入安排的支出</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69.13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69.13</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2140106</w:t>
            </w:r>
          </w:p>
        </w:tc>
        <w:tc>
          <w:tcPr>
            <w:tcW w:w="275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公路养护</w:t>
            </w:r>
          </w:p>
        </w:tc>
        <w:tc>
          <w:tcPr>
            <w:tcW w:w="199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155.80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3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155.80</w:t>
            </w:r>
          </w:p>
        </w:tc>
        <w:tc>
          <w:tcPr>
            <w:tcW w:w="18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7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0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道县公安局交通警察大队</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2730.47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392.99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2571.55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2571.55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2.86</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2.86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0.26</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0.26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4"/>
                <w:szCs w:val="24"/>
                <w:u w:val="none"/>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392.99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392.99</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2"/>
                <w:szCs w:val="22"/>
                <w:u w:val="none"/>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b w:val="0"/>
                <w:bCs/>
                <w:i w:val="0"/>
                <w:color w:val="000000"/>
                <w:sz w:val="22"/>
                <w:szCs w:val="22"/>
                <w:u w:val="none"/>
                <w:lang w:val="en-US" w:eastAsia="zh-CN"/>
              </w:rPr>
              <w:t>155.80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b w:val="0"/>
                <w:bCs/>
                <w:i w:val="0"/>
                <w:color w:val="000000"/>
                <w:sz w:val="22"/>
                <w:szCs w:val="22"/>
                <w:u w:val="none"/>
                <w:lang w:val="en-US" w:eastAsia="zh-CN"/>
              </w:rPr>
              <w:t>155.80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3123.46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3123.46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2730.47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392.99</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3123.46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3123.46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2730.47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392.99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道县公安局交通警察大队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2730.47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2273.02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1446.52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1446.52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2040221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特别业务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141.60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141.60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963.43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681.78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281.65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2140106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公路养护</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155.80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155.80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44"/>
        <w:gridCol w:w="240"/>
        <w:gridCol w:w="89"/>
        <w:gridCol w:w="2373"/>
        <w:gridCol w:w="781"/>
        <w:gridCol w:w="928"/>
        <w:gridCol w:w="120"/>
        <w:gridCol w:w="1000"/>
        <w:gridCol w:w="665"/>
        <w:gridCol w:w="1501"/>
        <w:gridCol w:w="554"/>
        <w:gridCol w:w="345"/>
        <w:gridCol w:w="1151"/>
        <w:gridCol w:w="544"/>
        <w:gridCol w:w="1995"/>
        <w:gridCol w:w="1386"/>
        <w:gridCol w:w="608"/>
        <w:gridCol w:w="390"/>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道县公安局交通警察大队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tabs>
                <w:tab w:val="left" w:pos="1303"/>
                <w:tab w:val="right" w:pos="15518"/>
              </w:tabs>
              <w:jc w:val="lef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eastAsia="zh-CN"/>
              </w:rPr>
              <w:tab/>
            </w:r>
            <w:r>
              <w:rPr>
                <w:rFonts w:hint="eastAsia" w:ascii="Times New Roman" w:hAnsi="Times New Roman" w:eastAsia="仿宋_GB2312" w:cs="Times New Roman"/>
                <w:color w:val="000000"/>
                <w:kern w:val="0"/>
                <w:szCs w:val="21"/>
                <w:lang w:eastAsia="zh-CN"/>
              </w:rPr>
              <w:tab/>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2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1045.71</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1209.04</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311.65</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3311.65</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36.45</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273.45</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43.69</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149.03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9.61</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69.42</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3.50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0.16</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9.61</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72.23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40.85</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14.13</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38.63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0.30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14.81</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8.11</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29.64</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115.59</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27.51</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8.66</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2.12</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6.67</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46.67</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686.85</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4.69</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15.00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2.18</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22.57</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112.26</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41.32</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6.48</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3"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66.55</w:t>
            </w:r>
          </w:p>
        </w:tc>
        <w:tc>
          <w:tcPr>
            <w:tcW w:w="11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1054.37777</w:t>
            </w:r>
          </w:p>
        </w:tc>
        <w:tc>
          <w:tcPr>
            <w:tcW w:w="9141"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1218.655</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690" w:hRule="atLeast"/>
        </w:trPr>
        <w:tc>
          <w:tcPr>
            <w:tcW w:w="15224"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345" w:hRule="atLeast"/>
        </w:trPr>
        <w:tc>
          <w:tcPr>
            <w:tcW w:w="94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6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7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8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4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690" w:hRule="atLeast"/>
        </w:trPr>
        <w:tc>
          <w:tcPr>
            <w:tcW w:w="9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val="en-US" w:eastAsia="zh-CN"/>
              </w:rPr>
            </w:pPr>
          </w:p>
        </w:tc>
        <w:tc>
          <w:tcPr>
            <w:tcW w:w="2462" w:type="dxa"/>
            <w:gridSpan w:val="2"/>
            <w:tcBorders>
              <w:top w:val="nil"/>
              <w:left w:val="nil"/>
              <w:bottom w:val="nil"/>
              <w:right w:val="nil"/>
            </w:tcBorders>
            <w:shd w:val="clear" w:color="auto" w:fill="FFFFFF"/>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道县公安局交通警察大队</w:t>
            </w:r>
          </w:p>
        </w:tc>
        <w:tc>
          <w:tcPr>
            <w:tcW w:w="17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8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4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459" w:hRule="atLeast"/>
        </w:trPr>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7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609" w:hRule="atLeast"/>
        </w:trPr>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409" w:hRule="atLeast"/>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392.99</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392.99</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392.99</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2120803</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城市建设支出</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323.86</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323.86</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323.86</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2120899</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其他国有土地使用权出让收入安排的支出</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69.13</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69.13</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69.13</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725" w:hRule="atLeast"/>
        </w:trPr>
        <w:tc>
          <w:tcPr>
            <w:tcW w:w="15224"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240"/>
        <w:gridCol w:w="2753"/>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75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2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val="en-US" w:eastAsia="zh-CN"/>
              </w:rPr>
            </w:pPr>
          </w:p>
        </w:tc>
        <w:tc>
          <w:tcPr>
            <w:tcW w:w="2753" w:type="dxa"/>
            <w:tcBorders>
              <w:top w:val="nil"/>
              <w:left w:val="nil"/>
              <w:bottom w:val="nil"/>
              <w:right w:val="nil"/>
            </w:tcBorders>
            <w:shd w:val="clear" w:color="auto" w:fill="FFFFFF"/>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道县公安局交通警察大队</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2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467"/>
        <w:gridCol w:w="1055"/>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4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5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道县公安局</w:t>
            </w:r>
          </w:p>
        </w:tc>
        <w:tc>
          <w:tcPr>
            <w:tcW w:w="1467" w:type="dxa"/>
            <w:tcBorders>
              <w:top w:val="nil"/>
              <w:left w:val="nil"/>
              <w:bottom w:val="nil"/>
              <w:right w:val="nil"/>
            </w:tcBorders>
            <w:shd w:val="clear" w:color="auto" w:fill="FFFFFF"/>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交通警察大队</w:t>
            </w:r>
          </w:p>
        </w:tc>
        <w:tc>
          <w:tcPr>
            <w:tcW w:w="105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lang w:val="en-US" w:eastAsia="zh-CN"/>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112.26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112.26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112.26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112.26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3123.46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172.95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项目支出的增加。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3123.46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3123.46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3123.46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2273.02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72.77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850.44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27.23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3123.46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172.95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项目支出的增加。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2730.47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87.42</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149.94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项目支出的增加。</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2730.47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rPr>
        <w:t>支出（类）支出</w:t>
      </w:r>
      <w:r>
        <w:rPr>
          <w:rFonts w:hint="eastAsia" w:ascii="Times New Roman" w:hAnsi="Times New Roman" w:eastAsia="仿宋_GB2312"/>
          <w:sz w:val="32"/>
          <w:szCs w:val="32"/>
          <w:lang w:val="en-US" w:eastAsia="zh-CN"/>
        </w:rPr>
        <w:t>2571.55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94.18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支出（类）支出</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155.80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5.71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1975.48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2730.47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138.22</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555.10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1446.52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260.59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特别业务</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1175.15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141.60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12.05</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其他公安支出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963.43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70.89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4.03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0.67</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公路养护</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155.80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2273.02</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1054.37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46.39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eastAsia="zh-CN"/>
        </w:rPr>
        <w:t>、职工基本医疗保险缴费、其他社会保障缴费、医疗费、其他工资福利支出、奖励金</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1218.65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53.61</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w:t>
      </w:r>
      <w:r>
        <w:rPr>
          <w:rFonts w:hint="eastAsia" w:ascii="Times New Roman" w:hAnsi="Times New Roman" w:eastAsia="仿宋_GB2312"/>
          <w:sz w:val="32"/>
          <w:szCs w:val="32"/>
          <w:lang w:eastAsia="zh-CN"/>
        </w:rPr>
        <w:t>、电费、邮电费、物业管理费、差旅费、维修（护）费、租赁费、培训费、公务接待费、专用材料费、被装购置费、劳务费、委托业务费、工会经费、福利费、公务用车运行维护费、其他交通费用、其他商品和服务支出</w:t>
      </w:r>
      <w:r>
        <w:rPr>
          <w:rFonts w:hint="eastAsia" w:ascii="Times New Roman" w:hAnsi="Times New Roman" w:eastAsia="仿宋_GB2312"/>
          <w:sz w:val="32"/>
          <w:szCs w:val="32"/>
          <w:lang w:val="en-US" w:eastAsia="zh-CN"/>
        </w:rPr>
        <w:t>等。</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119.49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70.29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8.78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6.84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没有</w:t>
      </w:r>
      <w:r>
        <w:rPr>
          <w:rFonts w:hint="eastAsia" w:ascii="Times New Roman" w:hAnsi="Times New Roman" w:eastAsia="仿宋_GB2312"/>
          <w:sz w:val="32"/>
          <w:szCs w:val="32"/>
        </w:rPr>
        <w:t>因公出国（境）费支出，与上年相比增加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一样</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没有</w:t>
      </w:r>
      <w:r>
        <w:rPr>
          <w:rFonts w:hint="eastAsia" w:ascii="Times New Roman" w:hAnsi="Times New Roman" w:eastAsia="仿宋_GB2312"/>
          <w:sz w:val="32"/>
          <w:szCs w:val="32"/>
        </w:rPr>
        <w:t>因公出国（境）费支出。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7.23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72.30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31.40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112.26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97.62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增加3.87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rPr>
        <w:t>%,增长的主要原因是公务用车运行维护费支出</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7.23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112.26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93.95</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7.23</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79</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356</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val="en-US" w:eastAsia="zh-CN"/>
        </w:rPr>
        <w:t>检查指导工作，业务交流等</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112.26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道县公安局交通警察大队</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112.26</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油料费、车辆维修、车辆保险</w:t>
      </w:r>
      <w:r>
        <w:rPr>
          <w:rFonts w:hint="eastAsia" w:ascii="Times New Roman" w:hAnsi="Times New Roman" w:eastAsia="仿宋_GB2312"/>
          <w:sz w:val="32"/>
          <w:szCs w:val="32"/>
        </w:rPr>
        <w:t>支出支出，截止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392.99</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392.99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392.99</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城市建设支出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323.86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其他国有土地使用权出让收入安排的支出</w:t>
      </w:r>
      <w:r>
        <w:rPr>
          <w:rFonts w:hint="eastAsia" w:ascii="Times New Roman" w:hAnsi="Times New Roman" w:eastAsia="仿宋_GB2312"/>
          <w:sz w:val="32"/>
          <w:szCs w:val="32"/>
        </w:rPr>
        <w:t>（项）。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1136.15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6.08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据实支出。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1218.65</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1043.77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596.85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决算数加上了单位运行成本支出</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val="en-US" w:eastAsia="zh-CN"/>
        </w:rPr>
        <w:t>民警职工培训学习</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新警入职培训学习</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545.81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495.05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50.76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30.05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30.05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5.51</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90.70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9.30</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highlight w:val="none"/>
          <w:lang w:val="en-US" w:eastAsia="zh-CN"/>
        </w:rPr>
        <w:t>47</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highlight w:val="none"/>
          <w:lang w:val="en-US" w:eastAsia="zh-CN"/>
        </w:rPr>
        <w:t>46</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在20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本级预算编制工作中，将绩效目标设置作为预算安排的前置条件，全面实施绩效管理，完善预算绩效管理流程，扩大预算绩效管理范围，加强评价结果运用，努力盘活存量、用好增量，提高财政资源配置效率和使用效益</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隐患治理迈上新台阶。共排查、上报道路交通安全隐患38处，配合相关部门整治马路市场隐患6处。设置道路交通安全提示牌180余块，建设交通信号灯和电子警察系统5套。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秩序整治取得新成效。2024年，共查处酒醉驾1100起、国省道八类重点违法1951起、农村公路重点违法644起、骑乘摩托车、电动车不戴头盔21888起；拆除三轮电动车、摩托车非法加装晴雨棚2406顶，扣留违法载人三、四轮非标电动车1685辆。</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宣传教育收获新成果。开展宣传活动110余次，发放宣传资料35万余份，张贴宣传海报4500余份，发送安全提示短信50条50余万人次，曝光交通违法29期。</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为民服务得到新突破。开展摩托车驾驶证“送考下乡”服务2次， 2024年共办理新车入户4358台次，办理驾驶证业务15255笔、行驶证业务12009笔。</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交通安保实现新提升。做好了2024年“追光者群星演唱会”、“清枫杯”中国龙舟公开赛暨“龙腾潇湘”中国传统龙舟赛和“农商银行杯”“理学圣地·龙腾四海”道县2024年端午节国家非遗龙船赛、2024年湘粤桂赣四省区九市南岭联盟“体彩杯”篮球赛交通安保等工作。</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存在的主要问题是：相关管理制度有待进一步完善。</w:t>
      </w:r>
    </w:p>
    <w:p>
      <w:pPr>
        <w:pStyle w:val="1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 xml:space="preserve">原因分析：1、抓好绩效评价管理队伍建设和指导，建立绩效评价机制。 </w:t>
      </w:r>
    </w:p>
    <w:p>
      <w:pPr>
        <w:pStyle w:val="12"/>
        <w:jc w:val="both"/>
        <w:rPr>
          <w:sz w:val="72"/>
          <w:szCs w:val="72"/>
        </w:rPr>
      </w:pPr>
      <w:r>
        <w:rPr>
          <w:rFonts w:hint="eastAsia" w:ascii="Times New Roman" w:hAnsi="Times New Roman" w:eastAsia="仿宋_GB2312"/>
          <w:sz w:val="32"/>
          <w:szCs w:val="32"/>
        </w:rPr>
        <w:t>2、落实管理制度，进一步加强绩效管理。</w:t>
      </w: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一、财政拨款收入：指单位本年度从同级财政部门取得的各类财政 </w:t>
      </w:r>
    </w:p>
    <w:p>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拨款。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二、上级补助收入：指事业单位从主管部门和上级单位取得的非财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政补助收入。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三、机关运行经费：指行政单位（含参照公务员法管理的事业单位）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使用一般公共预算安排的基本支出中的公用经费支出，包括办公及印刷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费、邮电费、差旅费、会议费、福利费、日常维修费、专用材料及一般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设备购置费、办公用房水电费、办公用房取暖费、办公用房物业管理费、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公务用车运行维护费及其他费用。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四、“三公”经费：指单位用一般公共预算财政拨款安排的因公出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国（境）费、公务用车购置及运行维护费和公务接待费。其中，因公出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国（境）费反映单位公务出国（境）的国际旅费、国外城市间交通费、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住宿费、伙食费、培训费、公杂费等支出；公务用车购置及运行维护费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反映单位公务用车购置支出（含车辆购置税、牌照费）以及按规定保留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的公务用车燃料费、维修费、过路过桥费、保险费、安全奖励费用等支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出；公务接待费反映单位按规定开支的各类公务接待（含外宾接待）费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用。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五、对附属单位补助支出：指事业单位用财政拨款收入之外的收入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对附属单位补助发生的支出。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六、经营支出：指事业单位在专业业务活动及其辅助活动之外开展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非独立核算经营活动发生的支出。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七、上缴上级支出：指事业单位按照财政部门和主管部门的规定上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缴上级单位的支出。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八、项目支出：指在为完成特定的工作任务和事业发展目标所发生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的支出。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九．事业收入：指事业单位开展专业业务活动及其辅助活动取得的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收入，事业单位收到的财政专户实际核拨的教育收费等资金在此反映。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十．经营收入：指事业单位在专业业务活动及其辅助活动之外开展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非独立核算经营活动取得的收入。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十一．附属单位上缴收入：指事业单位附属独立核算单位按照有关规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定上缴的收入。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十二．其他收入：指单位取得的除上述“财政拨款收入”、“事业收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入”、“经营收入”等以外的各项收入。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十三．使用非财政拨款结余：指事业单位使用非财政拨款结余（原事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业基金）弥补当年收支差额的数额。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十四．年初结转和结余：指单位上年结转本年使用的基本支出结转、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项目支出结转和结余和经营结余。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十五．结余分配：指事业单位按规定对非财政拨款结余资金提取的专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用基金、缴纳的所得税和转入非财政拨款结余等。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十六．年末结转和结余资金：指本年度或以前年度预算安排、因客观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条件发生变化无法按原计划实施，需要延迟到以后年度按有关规定继续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使用的资金。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十七．基本支出：指为保障机构正常运转、完成日常工作任务而发生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的支出，包括人员经费和公用经费。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十八、公共安全支出（类）公安（款）行政运行（项）：反映行政单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位（包括实行公务员管理的事业单位）的基本 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十九、公共安全支出（类）公安（款）一般行政管理事务（项）：反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映行政单位（包括实行公务员管理的事业单位）未单独 设置项级科目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的其他项目支出。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二十、公共安全支出（类）公安（款）执法办案（项）：反映公安机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关从事行政执法、刑事司法及侦查办案等相关活 动的支出。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二十一、公共安全支出（类）公安（款）特别业务（项）：反映公安机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关开展特别业务工作的相关支出。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二十二、公共安全支出（类）公安（款）其他公安支出（项）：反映除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上述项目以外其他用于公安方面的支出。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二十三、社会保障和就业支出（类）行政事业单位养老支出（款）机关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事业单位基本养老保险缴费支出（项）：反映机关事业单位实施养老保险制度由单位缴纳的基本养老保险费支出。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二十四、卫生健康支出（类）行政事业单位医疗（款）行政单位医疗（项）： </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反映财政部门安排的行政单位（包括实行公务员管理的事业 单位，下同） </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基本医疗保险缴费经费，未参加医疗保险的行政 单位的公费医疗经费， 按国家规定享受离休人员、红军老战士 待遇人员的医疗经费。</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bookmarkStart w:id="3" w:name="_GoBack"/>
      <w:bookmarkEnd w:id="3"/>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0743BE"/>
    <w:multiLevelType w:val="singleLevel"/>
    <w:tmpl w:val="F20743BE"/>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5A70A"/>
    <w:multiLevelType w:val="singleLevel"/>
    <w:tmpl w:val="58C5A7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5347"/>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A673A3"/>
    <w:rsid w:val="05816FE5"/>
    <w:rsid w:val="06977EC0"/>
    <w:rsid w:val="096178A3"/>
    <w:rsid w:val="099C43EE"/>
    <w:rsid w:val="0C8D626F"/>
    <w:rsid w:val="0C9522DF"/>
    <w:rsid w:val="0DF70EC9"/>
    <w:rsid w:val="0EC00B7E"/>
    <w:rsid w:val="0EF10D38"/>
    <w:rsid w:val="11302773"/>
    <w:rsid w:val="114B1AD1"/>
    <w:rsid w:val="13076D7C"/>
    <w:rsid w:val="16E573D4"/>
    <w:rsid w:val="1A806B5C"/>
    <w:rsid w:val="1D97DEFF"/>
    <w:rsid w:val="1DFF72E5"/>
    <w:rsid w:val="1EB06E4A"/>
    <w:rsid w:val="1EFC6F07"/>
    <w:rsid w:val="210F6CB0"/>
    <w:rsid w:val="24D942F0"/>
    <w:rsid w:val="24F904EE"/>
    <w:rsid w:val="27E2526A"/>
    <w:rsid w:val="27F05BD9"/>
    <w:rsid w:val="2D826F7D"/>
    <w:rsid w:val="2FDF85B8"/>
    <w:rsid w:val="2FFFEE04"/>
    <w:rsid w:val="301306B6"/>
    <w:rsid w:val="312F67E6"/>
    <w:rsid w:val="32342B66"/>
    <w:rsid w:val="33477214"/>
    <w:rsid w:val="34CB5A03"/>
    <w:rsid w:val="34DF85B0"/>
    <w:rsid w:val="36AA6330"/>
    <w:rsid w:val="370E607B"/>
    <w:rsid w:val="38367638"/>
    <w:rsid w:val="3A2F2590"/>
    <w:rsid w:val="3B7A5A8D"/>
    <w:rsid w:val="3B8F36BC"/>
    <w:rsid w:val="3E6079FB"/>
    <w:rsid w:val="3E97410C"/>
    <w:rsid w:val="3F9F1F66"/>
    <w:rsid w:val="408829FA"/>
    <w:rsid w:val="43B14858"/>
    <w:rsid w:val="44216CF4"/>
    <w:rsid w:val="445A2900"/>
    <w:rsid w:val="45390767"/>
    <w:rsid w:val="47D96644"/>
    <w:rsid w:val="484713ED"/>
    <w:rsid w:val="49170DBF"/>
    <w:rsid w:val="491FF225"/>
    <w:rsid w:val="4BBB2AAE"/>
    <w:rsid w:val="4F8D1CA7"/>
    <w:rsid w:val="4FC4743C"/>
    <w:rsid w:val="4FFD214C"/>
    <w:rsid w:val="500171E0"/>
    <w:rsid w:val="507727D0"/>
    <w:rsid w:val="53FE67C6"/>
    <w:rsid w:val="56564753"/>
    <w:rsid w:val="5777D4F5"/>
    <w:rsid w:val="59DD8326"/>
    <w:rsid w:val="5AFF0387"/>
    <w:rsid w:val="5B857E0A"/>
    <w:rsid w:val="5CFB6F29"/>
    <w:rsid w:val="5DEF592A"/>
    <w:rsid w:val="5FC6BB1E"/>
    <w:rsid w:val="5FF720F1"/>
    <w:rsid w:val="616B35FF"/>
    <w:rsid w:val="61FE7100"/>
    <w:rsid w:val="627A5473"/>
    <w:rsid w:val="6706180F"/>
    <w:rsid w:val="67FF5C0B"/>
    <w:rsid w:val="6E3D156E"/>
    <w:rsid w:val="6E8B0D18"/>
    <w:rsid w:val="6EFC0924"/>
    <w:rsid w:val="6FB74722"/>
    <w:rsid w:val="6FEF8B7E"/>
    <w:rsid w:val="71A6591B"/>
    <w:rsid w:val="72BA135E"/>
    <w:rsid w:val="72D57686"/>
    <w:rsid w:val="734B045B"/>
    <w:rsid w:val="737D59BA"/>
    <w:rsid w:val="74827185"/>
    <w:rsid w:val="77B859CA"/>
    <w:rsid w:val="77C37683"/>
    <w:rsid w:val="788F1E71"/>
    <w:rsid w:val="789B6061"/>
    <w:rsid w:val="79FF515B"/>
    <w:rsid w:val="7BDD1145"/>
    <w:rsid w:val="7E9E1962"/>
    <w:rsid w:val="7E9F11B4"/>
    <w:rsid w:val="7F37EC1E"/>
    <w:rsid w:val="7F7DCD9D"/>
    <w:rsid w:val="7F8F2756"/>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2026</Words>
  <Characters>2910</Characters>
  <Lines>63</Lines>
  <Paragraphs>18</Paragraphs>
  <TotalTime>8</TotalTime>
  <ScaleCrop>false</ScaleCrop>
  <LinksUpToDate>false</LinksUpToDate>
  <CharactersWithSpaces>3439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2025-08-27T09:51:44Z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4614E527DDC3447688902339FB4025AB_12</vt:lpwstr>
  </property>
  <property fmtid="{D5CDD505-2E9C-101B-9397-08002B2CF9AE}" pid="4" name="KSOTemplateDocerSaveRecord">
    <vt:lpwstr>eyJoZGlkIjoiZGVlZWVlMjczMDQxNDhlYjZmYzcwZWUxZDJkYzVkMzciLCJ1c2VySWQiOiI1NzQ3NzgwNjUifQ==</vt:lpwstr>
  </property>
</Properties>
</file>