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方正小标宋简体" w:hAnsi="方正小标宋简体" w:eastAsia="方正小标宋简体" w:cs="方正小标宋简体"/>
          <w:b w:val="0"/>
          <w:bCs w:val="0"/>
          <w:kern w:val="2"/>
          <w:sz w:val="44"/>
          <w:szCs w:val="44"/>
          <w:lang w:val="en-US" w:eastAsia="zh-CN"/>
        </w:rPr>
      </w:pPr>
      <w:bookmarkStart w:id="1" w:name="_GoBack"/>
      <w:r>
        <w:rPr>
          <w:rFonts w:hint="eastAsia" w:ascii="方正小标宋简体" w:hAnsi="方正小标宋简体" w:eastAsia="方正小标宋简体" w:cs="方正小标宋简体"/>
          <w:b w:val="0"/>
          <w:bCs w:val="0"/>
          <w:kern w:val="2"/>
          <w:sz w:val="44"/>
          <w:szCs w:val="44"/>
        </w:rPr>
        <w:t>202</w:t>
      </w:r>
      <w:r>
        <w:rPr>
          <w:rFonts w:hint="eastAsia" w:ascii="方正小标宋简体" w:hAnsi="方正小标宋简体" w:eastAsia="方正小标宋简体" w:cs="方正小标宋简体"/>
          <w:b w:val="0"/>
          <w:bCs w:val="0"/>
          <w:kern w:val="2"/>
          <w:sz w:val="44"/>
          <w:szCs w:val="44"/>
          <w:lang w:val="en-US" w:eastAsia="zh-CN"/>
        </w:rPr>
        <w:t>4</w:t>
      </w:r>
      <w:r>
        <w:rPr>
          <w:rFonts w:hint="eastAsia" w:ascii="方正小标宋简体" w:hAnsi="方正小标宋简体" w:eastAsia="方正小标宋简体" w:cs="方正小标宋简体"/>
          <w:b w:val="0"/>
          <w:bCs w:val="0"/>
          <w:kern w:val="2"/>
          <w:sz w:val="44"/>
          <w:szCs w:val="44"/>
        </w:rPr>
        <w:t>年度道县</w:t>
      </w:r>
      <w:r>
        <w:rPr>
          <w:rFonts w:hint="eastAsia" w:ascii="方正小标宋简体" w:hAnsi="方正小标宋简体" w:eastAsia="方正小标宋简体" w:cs="方正小标宋简体"/>
          <w:b w:val="0"/>
          <w:bCs w:val="0"/>
          <w:kern w:val="2"/>
          <w:sz w:val="44"/>
          <w:szCs w:val="44"/>
          <w:lang w:val="en-US" w:eastAsia="zh-CN"/>
        </w:rPr>
        <w:t>文化艺术界联合会</w:t>
      </w:r>
    </w:p>
    <w:p>
      <w:pPr>
        <w:ind w:firstLine="880" w:firstLineChars="20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整体支出绩效评价报告</w:t>
      </w:r>
    </w:p>
    <w:p>
      <w:pPr>
        <w:numPr>
          <w:ilvl w:val="0"/>
          <w:numId w:val="1"/>
        </w:numPr>
        <w:spacing w:before="0" w:after="0" w:line="600" w:lineRule="auto"/>
        <w:ind w:left="0" w:right="0" w:firstLine="643" w:firstLineChars="200"/>
        <w:jc w:val="both"/>
        <w:rPr>
          <w:rFonts w:hint="eastAsia" w:ascii="仿宋_GB2312" w:hAnsi="仿宋_GB2312" w:eastAsia="仿宋_GB2312" w:cs="仿宋_GB2312"/>
          <w:b/>
          <w:bCs/>
          <w:color w:val="auto"/>
          <w:spacing w:val="0"/>
          <w:position w:val="0"/>
          <w:sz w:val="32"/>
          <w:szCs w:val="32"/>
          <w:shd w:val="clear" w:color="060000" w:fill="auto"/>
        </w:rPr>
      </w:pPr>
      <w:r>
        <w:rPr>
          <w:rFonts w:hint="eastAsia" w:ascii="仿宋_GB2312" w:hAnsi="仿宋_GB2312" w:eastAsia="仿宋_GB2312" w:cs="仿宋_GB2312"/>
          <w:b/>
          <w:bCs/>
          <w:color w:val="auto"/>
          <w:spacing w:val="0"/>
          <w:position w:val="0"/>
          <w:sz w:val="32"/>
          <w:szCs w:val="32"/>
          <w:shd w:val="clear" w:color="060000" w:fill="auto"/>
        </w:rPr>
        <w:t>部门概况</w:t>
      </w:r>
    </w:p>
    <w:p>
      <w:pPr>
        <w:widowControl/>
        <w:spacing w:line="60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kern w:val="0"/>
          <w:sz w:val="32"/>
          <w:szCs w:val="32"/>
        </w:rPr>
        <w:t>部门</w:t>
      </w:r>
      <w:r>
        <w:rPr>
          <w:rFonts w:hint="eastAsia" w:ascii="仿宋_GB2312" w:hAnsi="仿宋_GB2312" w:eastAsia="仿宋_GB2312" w:cs="仿宋_GB2312"/>
          <w:b/>
          <w:kern w:val="0"/>
          <w:sz w:val="32"/>
          <w:szCs w:val="32"/>
          <w:lang w:eastAsia="zh-CN"/>
        </w:rPr>
        <w:t>基本情况</w:t>
      </w:r>
    </w:p>
    <w:p>
      <w:pPr>
        <w:widowControl/>
        <w:spacing w:line="600" w:lineRule="exact"/>
        <w:ind w:firstLine="640" w:firstLineChars="200"/>
        <w:jc w:val="left"/>
        <w:rPr>
          <w:rFonts w:hint="eastAsia" w:ascii="仿宋_GB2312" w:hAnsi="仿宋_GB2312" w:eastAsia="仿宋_GB2312" w:cs="仿宋_GB2312"/>
          <w:b w:val="0"/>
          <w:bCs/>
          <w:sz w:val="32"/>
          <w:szCs w:val="32"/>
          <w:lang w:val="en-US" w:eastAsia="zh-CN"/>
        </w:rPr>
      </w:pPr>
      <w:bookmarkStart w:id="0" w:name="_Hlk73825013"/>
      <w:r>
        <w:rPr>
          <w:rFonts w:hint="eastAsia" w:ascii="仿宋_GB2312" w:hAnsi="仿宋_GB2312" w:eastAsia="仿宋_GB2312" w:cs="仿宋_GB2312"/>
          <w:b w:val="0"/>
          <w:bCs/>
          <w:sz w:val="32"/>
          <w:szCs w:val="32"/>
          <w:lang w:val="en-US" w:eastAsia="zh-CN"/>
        </w:rPr>
        <w:t>1、工作职能</w:t>
      </w:r>
    </w:p>
    <w:p>
      <w:pPr>
        <w:widowControl/>
        <w:spacing w:line="600" w:lineRule="exact"/>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加强党对文艺工作的领导，加强全县文艺队伍思想政治建设，制定出台到县文艺工作者采风创作制度，组织文艺工作者开展主题文艺实践活动。</w:t>
      </w:r>
    </w:p>
    <w:p>
      <w:pPr>
        <w:numPr>
          <w:ilvl w:val="0"/>
          <w:numId w:val="2"/>
        </w:numPr>
        <w:autoSpaceDN w:val="0"/>
        <w:spacing w:line="30" w:lineRule="atLeast"/>
        <w:ind w:firstLine="640" w:firstLineChars="200"/>
        <w:rPr>
          <w:rFonts w:hint="eastAsia" w:ascii="仿宋_GB2312" w:hAnsi="仿宋_GB2312" w:eastAsia="仿宋_GB2312" w:cs="仿宋_GB2312"/>
          <w:color w:val="030303"/>
          <w:sz w:val="32"/>
          <w:szCs w:val="32"/>
        </w:rPr>
      </w:pPr>
      <w:r>
        <w:rPr>
          <w:rFonts w:hint="eastAsia" w:ascii="仿宋_GB2312" w:hAnsi="仿宋_GB2312" w:eastAsia="仿宋_GB2312" w:cs="仿宋_GB2312"/>
          <w:b w:val="0"/>
          <w:bCs w:val="0"/>
          <w:kern w:val="0"/>
          <w:sz w:val="32"/>
          <w:szCs w:val="32"/>
        </w:rPr>
        <w:t>内设机构设置。</w:t>
      </w:r>
      <w:bookmarkEnd w:id="0"/>
      <w:r>
        <w:rPr>
          <w:rFonts w:hint="eastAsia" w:ascii="仿宋_GB2312" w:hAnsi="仿宋_GB2312" w:eastAsia="仿宋_GB2312" w:cs="仿宋_GB2312"/>
          <w:color w:val="030303"/>
          <w:sz w:val="32"/>
          <w:szCs w:val="32"/>
        </w:rPr>
        <w:t>文联共有内设机构4个，分别为：办公室、组织联络室、权益保护与行业建设室。</w:t>
      </w:r>
    </w:p>
    <w:p>
      <w:pPr>
        <w:numPr>
          <w:ilvl w:val="0"/>
          <w:numId w:val="2"/>
        </w:numPr>
        <w:autoSpaceDN w:val="0"/>
        <w:spacing w:line="30" w:lineRule="atLeast"/>
        <w:ind w:firstLine="640" w:firstLineChars="200"/>
        <w:rPr>
          <w:rFonts w:hint="eastAsia" w:ascii="仿宋_GB2312" w:hAnsi="仿宋_GB2312" w:eastAsia="仿宋_GB2312" w:cs="仿宋_GB2312"/>
          <w:color w:val="030303"/>
          <w:sz w:val="32"/>
          <w:szCs w:val="32"/>
        </w:rPr>
      </w:pPr>
      <w:r>
        <w:rPr>
          <w:rFonts w:hint="eastAsia" w:ascii="仿宋_GB2312" w:hAnsi="仿宋_GB2312" w:eastAsia="仿宋_GB2312" w:cs="仿宋_GB2312"/>
          <w:color w:val="030303"/>
          <w:sz w:val="32"/>
          <w:szCs w:val="32"/>
          <w:lang w:eastAsia="zh-CN"/>
        </w:rPr>
        <w:t>人员编制及实有人数　</w:t>
      </w:r>
    </w:p>
    <w:p>
      <w:pPr>
        <w:numPr>
          <w:ilvl w:val="0"/>
          <w:numId w:val="0"/>
        </w:numPr>
        <w:autoSpaceDN w:val="0"/>
        <w:spacing w:line="30" w:lineRule="atLeast"/>
        <w:ind w:firstLine="640" w:firstLineChars="200"/>
        <w:rPr>
          <w:rFonts w:hint="eastAsia" w:ascii="仿宋_GB2312" w:hAnsi="仿宋_GB2312" w:eastAsia="仿宋_GB2312" w:cs="仿宋_GB2312"/>
          <w:color w:val="030303"/>
          <w:sz w:val="32"/>
          <w:szCs w:val="32"/>
        </w:rPr>
      </w:pPr>
      <w:r>
        <w:rPr>
          <w:rFonts w:hint="eastAsia" w:ascii="仿宋_GB2312" w:hAnsi="仿宋_GB2312" w:eastAsia="仿宋_GB2312" w:cs="仿宋_GB2312"/>
          <w:color w:val="030303"/>
          <w:sz w:val="32"/>
          <w:szCs w:val="32"/>
          <w:lang w:eastAsia="zh-CN"/>
        </w:rPr>
        <w:t>道县机构编制委员会核定本单位</w:t>
      </w:r>
      <w:r>
        <w:rPr>
          <w:rFonts w:hint="eastAsia" w:ascii="仿宋_GB2312" w:hAnsi="仿宋_GB2312" w:eastAsia="仿宋_GB2312" w:cs="仿宋_GB2312"/>
          <w:color w:val="030303"/>
          <w:sz w:val="32"/>
          <w:szCs w:val="32"/>
        </w:rPr>
        <w:t>编制数7人，现有在职人员</w:t>
      </w:r>
      <w:r>
        <w:rPr>
          <w:rFonts w:hint="eastAsia" w:ascii="仿宋_GB2312" w:hAnsi="仿宋_GB2312" w:eastAsia="仿宋_GB2312" w:cs="仿宋_GB2312"/>
          <w:color w:val="030303"/>
          <w:sz w:val="32"/>
          <w:szCs w:val="32"/>
          <w:lang w:val="en-US" w:eastAsia="zh-CN"/>
        </w:rPr>
        <w:t>6</w:t>
      </w:r>
      <w:r>
        <w:rPr>
          <w:rFonts w:hint="eastAsia" w:ascii="仿宋_GB2312" w:hAnsi="仿宋_GB2312" w:eastAsia="仿宋_GB2312" w:cs="仿宋_GB2312"/>
          <w:color w:val="030303"/>
          <w:sz w:val="32"/>
          <w:szCs w:val="32"/>
        </w:rPr>
        <w:t>人。</w:t>
      </w:r>
    </w:p>
    <w:p>
      <w:pPr>
        <w:ind w:right="11"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部门整体支出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年收入决算数</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年支出决算数</w:t>
      </w:r>
      <w:r>
        <w:rPr>
          <w:rFonts w:hint="eastAsia" w:ascii="仿宋_GB2312" w:hAnsi="仿宋_GB2312" w:eastAsia="仿宋_GB2312" w:cs="仿宋_GB2312"/>
          <w:sz w:val="32"/>
          <w:szCs w:val="32"/>
          <w:lang w:val="en-US" w:eastAsia="zh-CN"/>
        </w:rPr>
        <w:t>72.88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58.46</w:t>
      </w:r>
      <w:r>
        <w:rPr>
          <w:rFonts w:hint="eastAsia" w:ascii="仿宋_GB2312" w:hAnsi="仿宋_GB2312" w:eastAsia="仿宋_GB2312" w:cs="仿宋_GB2312"/>
          <w:sz w:val="32"/>
          <w:szCs w:val="32"/>
        </w:rPr>
        <w:t>万元，一般商品和服务支出</w:t>
      </w:r>
      <w:r>
        <w:rPr>
          <w:rFonts w:hint="eastAsia" w:ascii="仿宋_GB2312" w:hAnsi="仿宋_GB2312" w:eastAsia="仿宋_GB2312" w:cs="仿宋_GB2312"/>
          <w:sz w:val="32"/>
          <w:szCs w:val="32"/>
          <w:lang w:val="en-US" w:eastAsia="zh-CN"/>
        </w:rPr>
        <w:t>9.92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4.50万元</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二、部门整体支出使用情况</w:t>
      </w:r>
    </w:p>
    <w:p>
      <w:pPr>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（一）基本支出</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1、文联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年基本支出</w:t>
      </w:r>
      <w:r>
        <w:rPr>
          <w:rFonts w:hint="eastAsia" w:ascii="仿宋_GB2312" w:hAnsi="仿宋_GB2312" w:eastAsia="仿宋_GB2312" w:cs="仿宋_GB2312"/>
          <w:sz w:val="32"/>
          <w:szCs w:val="32"/>
          <w:lang w:val="en-US" w:eastAsia="zh-CN"/>
        </w:rPr>
        <w:t>74.23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工资福利支出58.46万元，其中：基本工资24.53万元，津贴补贴10.92万元，奖金11.86万元，绩效工资1.94万元。养老保险支出5.86万元，医疗保险支出3.35万元。</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关运行经费情况：机关运行经费9.92万元。其中一般商品和服务支出9.92万元，包括：办公费，印刷费，水费，电费，邮电费，差旅费，维修费，会议费，培训费万元，公务接待费，劳务费，工会经费，福利费，其他交通费其他商品和服务费。</w:t>
      </w:r>
    </w:p>
    <w:p>
      <w:pPr>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（二）项目支出</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2024年项目资金4.5万元，其中：《濂溪》杂志编印2.00万元，“我们的中国梦--文化进万家”活动2.5万元。</w:t>
      </w:r>
    </w:p>
    <w:p>
      <w:pPr>
        <w:numPr>
          <w:ilvl w:val="0"/>
          <w:numId w:val="3"/>
        </w:numPr>
        <w:adjustRightInd w:val="0"/>
        <w:snapToGrid w:val="0"/>
        <w:spacing w:line="600" w:lineRule="exact"/>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三公经费使用情况：</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2024年度本单位“三公”经费总额为0.32万元，其中：公务接待费0.32万元，比上年相比减少0.1万元。全年共接待6批次，共计接待了36人，主要是业务交流、开展业务活动发生的接待支出。单位无公务用车。</w:t>
      </w:r>
    </w:p>
    <w:p>
      <w:pPr>
        <w:numPr>
          <w:ilvl w:val="0"/>
          <w:numId w:val="0"/>
        </w:numPr>
        <w:spacing w:before="0" w:after="0" w:line="600" w:lineRule="auto"/>
        <w:ind w:left="640" w:leftChars="0" w:right="0" w:firstLine="643" w:firstLineChars="200"/>
        <w:jc w:val="both"/>
        <w:rPr>
          <w:rFonts w:hint="eastAsia" w:ascii="仿宋_GB2312" w:hAnsi="仿宋_GB2312" w:eastAsia="仿宋_GB2312" w:cs="仿宋_GB2312"/>
          <w:b/>
          <w:bCs/>
          <w:color w:val="auto"/>
          <w:spacing w:val="0"/>
          <w:position w:val="0"/>
          <w:sz w:val="32"/>
          <w:szCs w:val="32"/>
          <w:shd w:val="clear" w:color="060000" w:fill="auto"/>
        </w:rPr>
      </w:pPr>
      <w:r>
        <w:rPr>
          <w:rFonts w:hint="eastAsia" w:ascii="仿宋_GB2312" w:hAnsi="仿宋_GB2312" w:eastAsia="仿宋_GB2312" w:cs="仿宋_GB2312"/>
          <w:b/>
          <w:bCs/>
          <w:color w:val="auto"/>
          <w:spacing w:val="0"/>
          <w:position w:val="0"/>
          <w:sz w:val="32"/>
          <w:szCs w:val="32"/>
          <w:shd w:val="clear" w:color="060000" w:fill="auto"/>
        </w:rPr>
        <w:t>三、部门整体支出管理情况</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sz w:val="32"/>
          <w:szCs w:val="32"/>
          <w:lang w:val="en-US" w:eastAsia="zh-CN"/>
        </w:rPr>
        <w:t xml:space="preserve"> 我单位严格按照县财政局规定的财务规章制度，制定财务审批制度，严格执行政府采购制度。领导高度重视，坚决做到专款专用。严格执行年初预算。</w:t>
      </w:r>
    </w:p>
    <w:p>
      <w:pPr>
        <w:numPr>
          <w:ilvl w:val="0"/>
          <w:numId w:val="0"/>
        </w:numPr>
        <w:spacing w:before="0" w:after="0" w:line="600" w:lineRule="auto"/>
        <w:ind w:left="640" w:leftChars="0" w:right="0"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pacing w:val="0"/>
          <w:position w:val="0"/>
          <w:sz w:val="32"/>
          <w:szCs w:val="32"/>
          <w:shd w:val="clear" w:color="060000" w:fill="auto"/>
        </w:rPr>
        <w:t>四、部门整体支出绩效情况</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（一）文艺工作</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1、大型文艺活动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（1）县文联、舞蹈家协会、音乐家协会联合举办大型文艺晚会。</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（2）“戏曲过大年·龙娃闹新春”2024年戏曲界与少儿春节联欢晚会</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（3）道县开展系列文艺惠民活动迎新春</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（4）“永州十场花事”道县专场。</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（5）永州市作协主席吴茂盛一行赴道县调研。</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（6）2024年7月8日，道县书法家协会在道州北路逸品此台小区举行“翰逸神飞”与古为新——道县书法家协会首届书法临帖作品展，共展出作品150幅。</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（7）“沿着周敦颐理学思想与足迹游世界”散文竞赛活动。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2、文艺获奖</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（1）《葫芦岩》喜获全省微电影大赛“金芙蓉奖”。</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（2）2024年3月27日，道县何绍基书法研究会获得永州市”十佳文他基地（工作室）”荣誉，同时，县文联主席唐小峰获得永州市“十佳文联主席”荣誉。</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（3）2024年5月，道县舞蹈家协会荣获2023年永州市舞蹈家协会”优秀县区协会“荣誉。</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道县二中江浪文学社再获全国殊荣。</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3、文艺演出，文艺交流</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（1）2024年道县第二届抖音歌手大奖赛。</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（2）2024年8月3日，道县音乐家协会在敦颐广场举办“追理学之光 唱理学之歌”2024年颂歌进社区、颂歌进校园首场公益演唱会。</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（3）举办道县“爱我中华·欢度国庆”艺术展演活动。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（4）10月30日，道县代表团参加湘桂两省七县书画作品联展（灵川展）“礼赞新中国·奋进新时代”湘桂两省七县庆祝中华人民共和国成立75周年书画作品联展.</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（5）11月24日，道县书法家协会举行冲刺第五届湖南中青年书法大展看稿指导交流活动，此次书协提交作品33幅，代表了道县中青年书法艺术的水平。</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4、协会换届</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5、编修红色书籍</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6、文艺进校园活动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7、文艺宣传</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8、摄影大赛</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9、文艺创作</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10、文艺采风活动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11、文艺培训</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12、办好《濂溪》内部文学资料和“道州文艺”公众号。</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（二）扶贫工作</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文联与白芒铺镇广文铺村的18户脱贫户结对帮扶（2024年8月郑秀琴退休后改为15户），县文联与脱贫户结对，本年度，县文联下乡结对帮扶多次，与脱贫户见面，下乡宣传政策，慰问脱贫户，与脱贫户口零谈心交流。</w:t>
      </w:r>
    </w:p>
    <w:p>
      <w:pPr>
        <w:numPr>
          <w:ilvl w:val="0"/>
          <w:numId w:val="0"/>
        </w:numPr>
        <w:spacing w:before="0" w:after="0" w:line="600" w:lineRule="auto"/>
        <w:ind w:right="0" w:firstLine="643" w:firstLineChars="200"/>
        <w:jc w:val="left"/>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五、结合《部门整体支出绩效评价指标表》（见附件的评价结果</w:t>
      </w:r>
    </w:p>
    <w:p>
      <w:pPr>
        <w:numPr>
          <w:ilvl w:val="0"/>
          <w:numId w:val="0"/>
        </w:numPr>
        <w:spacing w:before="0" w:after="0" w:line="600" w:lineRule="auto"/>
        <w:ind w:right="0" w:firstLine="643" w:firstLineChars="200"/>
        <w:jc w:val="both"/>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六、存在的主要问题</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财务核算</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待进一步规范；</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公务接待方面有待进一步完善；</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电子卖场采购制度</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待建全。</w:t>
      </w:r>
    </w:p>
    <w:p>
      <w:pPr>
        <w:numPr>
          <w:ilvl w:val="0"/>
          <w:numId w:val="0"/>
        </w:numPr>
        <w:spacing w:before="0" w:after="0" w:line="600" w:lineRule="auto"/>
        <w:ind w:right="0" w:firstLine="643" w:firstLineChars="200"/>
        <w:jc w:val="both"/>
        <w:rPr>
          <w:rFonts w:hint="eastAsia" w:ascii="仿宋_GB2312" w:hAnsi="仿宋_GB2312" w:eastAsia="仿宋_GB2312" w:cs="仿宋_GB2312"/>
          <w:b/>
          <w:bCs/>
          <w:color w:val="auto"/>
          <w:spacing w:val="0"/>
          <w:position w:val="0"/>
          <w:sz w:val="32"/>
          <w:szCs w:val="32"/>
          <w:shd w:val="clear" w:color="060000" w:fill="auto"/>
          <w:lang w:val="en-US" w:eastAsia="zh-CN"/>
        </w:rPr>
      </w:pPr>
      <w:r>
        <w:rPr>
          <w:rFonts w:hint="eastAsia" w:ascii="仿宋_GB2312" w:hAnsi="仿宋_GB2312" w:eastAsia="仿宋_GB2312" w:cs="仿宋_GB2312"/>
          <w:b/>
          <w:bCs/>
          <w:color w:val="auto"/>
          <w:spacing w:val="0"/>
          <w:position w:val="0"/>
          <w:sz w:val="32"/>
          <w:szCs w:val="32"/>
          <w:shd w:val="clear" w:color="060000" w:fill="auto"/>
          <w:lang w:val="en-US" w:eastAsia="zh-CN"/>
        </w:rPr>
        <w:t>七、改进措施和有关建议</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（一）财务核算有待进一步规范；</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（二）公务接待方面有待进一步完善；</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（三）电子卖场采购制度有待建全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（四）健全制度，加强内部管理。</w:t>
      </w:r>
    </w:p>
    <w:p>
      <w:pPr>
        <w:widowControl/>
        <w:shd w:val="clear" w:color="auto" w:fill="FFFFFF"/>
        <w:wordWrap/>
        <w:adjustRightInd/>
        <w:snapToGrid/>
        <w:spacing w:before="0" w:after="0" w:line="240" w:lineRule="auto"/>
        <w:ind w:right="0" w:firstLine="640" w:firstLineChars="200"/>
        <w:jc w:val="left"/>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"file:///C:\\Users\\Administrator\\Desktop\\10.18\\绩效自评模板\\2016年永州市直部门整体支出绩效评价指标表.doc"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部门整体支出绩效评价指标表</w:t>
      </w:r>
      <w:r>
        <w:rPr>
          <w:rFonts w:hint="eastAsia" w:ascii="仿宋_GB2312" w:hAnsi="仿宋_GB2312" w:eastAsia="仿宋_GB2312" w:cs="仿宋_GB2312"/>
          <w:color w:val="000000"/>
          <w:sz w:val="32"/>
          <w:szCs w:val="32"/>
          <w:lang w:val="en-US" w:eastAsia="zh-CN"/>
        </w:rPr>
        <w:fldChar w:fldCharType="end"/>
      </w:r>
    </w:p>
    <w:p>
      <w:pPr>
        <w:widowControl w:val="0"/>
        <w:spacing w:before="0" w:after="0" w:line="240" w:lineRule="auto"/>
        <w:ind w:right="0" w:firstLine="643" w:firstLineChars="200"/>
        <w:jc w:val="right"/>
        <w:rPr>
          <w:rFonts w:hint="eastAsia" w:ascii="仿宋_GB2312" w:hAnsi="仿宋_GB2312" w:eastAsia="仿宋_GB2312" w:cs="仿宋_GB2312"/>
          <w:b/>
          <w:color w:val="5A5A5A"/>
          <w:spacing w:val="0"/>
          <w:position w:val="0"/>
          <w:sz w:val="32"/>
          <w:szCs w:val="32"/>
          <w:shd w:val="clear" w:color="070000" w:fill="auto"/>
        </w:rPr>
      </w:pPr>
      <w:r>
        <w:rPr>
          <w:rFonts w:hint="eastAsia" w:ascii="仿宋_GB2312" w:hAnsi="仿宋_GB2312" w:eastAsia="仿宋_GB2312" w:cs="仿宋_GB2312"/>
          <w:b/>
          <w:color w:val="5A5A5A"/>
          <w:spacing w:val="0"/>
          <w:position w:val="0"/>
          <w:sz w:val="32"/>
          <w:szCs w:val="32"/>
          <w:shd w:val="clear" w:color="070000" w:fill="auto"/>
        </w:rPr>
        <w:t>道县</w:t>
      </w:r>
      <w:r>
        <w:rPr>
          <w:rFonts w:hint="eastAsia" w:ascii="仿宋_GB2312" w:hAnsi="仿宋_GB2312" w:eastAsia="仿宋_GB2312" w:cs="仿宋_GB2312"/>
          <w:b/>
          <w:color w:val="5A5A5A"/>
          <w:spacing w:val="0"/>
          <w:position w:val="0"/>
          <w:sz w:val="32"/>
          <w:szCs w:val="32"/>
          <w:shd w:val="clear" w:color="070000" w:fill="auto"/>
          <w:lang w:eastAsia="zh-CN"/>
        </w:rPr>
        <w:t>文化艺术界联合会</w:t>
      </w:r>
      <w:r>
        <w:rPr>
          <w:rFonts w:hint="eastAsia" w:ascii="仿宋_GB2312" w:hAnsi="仿宋_GB2312" w:eastAsia="仿宋_GB2312" w:cs="仿宋_GB2312"/>
          <w:b/>
          <w:color w:val="5A5A5A"/>
          <w:spacing w:val="0"/>
          <w:position w:val="0"/>
          <w:sz w:val="32"/>
          <w:szCs w:val="32"/>
          <w:shd w:val="clear" w:color="070000" w:fill="auto"/>
        </w:rPr>
        <w:t xml:space="preserve">    </w:t>
      </w:r>
    </w:p>
    <w:p>
      <w:pPr>
        <w:widowControl w:val="0"/>
        <w:spacing w:before="0" w:after="0" w:line="600" w:lineRule="auto"/>
        <w:ind w:left="0" w:right="0" w:firstLine="643" w:firstLineChars="200"/>
        <w:jc w:val="right"/>
        <w:rPr>
          <w:rFonts w:hint="eastAsia" w:ascii="仿宋_GB2312" w:hAnsi="仿宋_GB2312" w:eastAsia="仿宋_GB2312" w:cs="仿宋_GB2312"/>
          <w:b/>
          <w:color w:val="5A5A5A"/>
          <w:spacing w:val="0"/>
          <w:position w:val="0"/>
          <w:sz w:val="32"/>
          <w:szCs w:val="32"/>
          <w:shd w:val="clear" w:color="070000" w:fill="auto"/>
        </w:rPr>
      </w:pPr>
      <w:r>
        <w:rPr>
          <w:rFonts w:hint="eastAsia" w:ascii="仿宋_GB2312" w:hAnsi="仿宋_GB2312" w:eastAsia="仿宋_GB2312" w:cs="仿宋_GB2312"/>
          <w:b/>
          <w:color w:val="5A5A5A"/>
          <w:spacing w:val="0"/>
          <w:position w:val="0"/>
          <w:sz w:val="32"/>
          <w:szCs w:val="32"/>
          <w:shd w:val="clear" w:color="070000" w:fill="auto"/>
        </w:rPr>
        <w:t>202</w:t>
      </w:r>
      <w:r>
        <w:rPr>
          <w:rFonts w:hint="eastAsia" w:ascii="仿宋_GB2312" w:hAnsi="仿宋_GB2312" w:eastAsia="仿宋_GB2312" w:cs="仿宋_GB2312"/>
          <w:b/>
          <w:color w:val="5A5A5A"/>
          <w:spacing w:val="0"/>
          <w:position w:val="0"/>
          <w:sz w:val="32"/>
          <w:szCs w:val="32"/>
          <w:shd w:val="clear" w:color="070000" w:fill="auto"/>
          <w:lang w:val="en-US" w:eastAsia="zh-CN"/>
        </w:rPr>
        <w:t>5</w:t>
      </w:r>
      <w:r>
        <w:rPr>
          <w:rFonts w:hint="eastAsia" w:ascii="仿宋_GB2312" w:hAnsi="仿宋_GB2312" w:eastAsia="仿宋_GB2312" w:cs="仿宋_GB2312"/>
          <w:b/>
          <w:color w:val="5A5A5A"/>
          <w:spacing w:val="0"/>
          <w:position w:val="0"/>
          <w:sz w:val="32"/>
          <w:szCs w:val="32"/>
          <w:shd w:val="clear" w:color="070000" w:fill="auto"/>
        </w:rPr>
        <w:t>年</w:t>
      </w:r>
      <w:r>
        <w:rPr>
          <w:rFonts w:hint="eastAsia" w:ascii="仿宋_GB2312" w:hAnsi="仿宋_GB2312" w:eastAsia="仿宋_GB2312" w:cs="仿宋_GB2312"/>
          <w:b/>
          <w:color w:val="5A5A5A"/>
          <w:spacing w:val="0"/>
          <w:position w:val="0"/>
          <w:sz w:val="32"/>
          <w:szCs w:val="32"/>
          <w:shd w:val="clear" w:color="070000" w:fill="auto"/>
          <w:lang w:val="en-US" w:eastAsia="zh-CN"/>
        </w:rPr>
        <w:t>6</w:t>
      </w:r>
      <w:r>
        <w:rPr>
          <w:rFonts w:hint="eastAsia" w:ascii="仿宋_GB2312" w:hAnsi="仿宋_GB2312" w:eastAsia="仿宋_GB2312" w:cs="仿宋_GB2312"/>
          <w:b/>
          <w:color w:val="5A5A5A"/>
          <w:spacing w:val="0"/>
          <w:position w:val="0"/>
          <w:sz w:val="32"/>
          <w:szCs w:val="32"/>
          <w:shd w:val="clear" w:color="070000" w:fill="auto"/>
        </w:rPr>
        <w:t>月</w:t>
      </w:r>
      <w:r>
        <w:rPr>
          <w:rFonts w:hint="eastAsia" w:ascii="仿宋_GB2312" w:hAnsi="仿宋_GB2312" w:eastAsia="仿宋_GB2312" w:cs="仿宋_GB2312"/>
          <w:b/>
          <w:color w:val="5A5A5A"/>
          <w:spacing w:val="0"/>
          <w:position w:val="0"/>
          <w:sz w:val="32"/>
          <w:szCs w:val="32"/>
          <w:shd w:val="clear" w:color="070000" w:fill="auto"/>
          <w:lang w:val="en-US" w:eastAsia="zh-CN"/>
        </w:rPr>
        <w:t>26</w:t>
      </w:r>
      <w:r>
        <w:rPr>
          <w:rFonts w:hint="eastAsia" w:ascii="仿宋_GB2312" w:hAnsi="仿宋_GB2312" w:eastAsia="仿宋_GB2312" w:cs="仿宋_GB2312"/>
          <w:b/>
          <w:color w:val="5A5A5A"/>
          <w:spacing w:val="0"/>
          <w:position w:val="0"/>
          <w:sz w:val="32"/>
          <w:szCs w:val="32"/>
          <w:shd w:val="clear" w:color="070000" w:fill="auto"/>
        </w:rPr>
        <w:t>日</w:t>
      </w:r>
    </w:p>
    <w:bookmarkEnd w:id="1"/>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185C5"/>
    <w:multiLevelType w:val="singleLevel"/>
    <w:tmpl w:val="2A3185C5"/>
    <w:lvl w:ilvl="0" w:tentative="0">
      <w:start w:val="3"/>
      <w:numFmt w:val="chineseCounting"/>
      <w:suff w:val="nothing"/>
      <w:lvlText w:val="（%1）"/>
      <w:lvlJc w:val="left"/>
      <w:rPr>
        <w:rFonts w:hint="eastAsia"/>
      </w:rPr>
    </w:lvl>
  </w:abstractNum>
  <w:abstractNum w:abstractNumId="1">
    <w:nsid w:val="5DB29C50"/>
    <w:multiLevelType w:val="singleLevel"/>
    <w:tmpl w:val="5DB29C50"/>
    <w:lvl w:ilvl="0" w:tentative="0">
      <w:start w:val="1"/>
      <w:numFmt w:val="chineseCounting"/>
      <w:suff w:val="nothing"/>
      <w:lvlText w:val="%1、"/>
      <w:lvlJc w:val="left"/>
      <w:rPr>
        <w:rFonts w:hint="eastAsia"/>
      </w:rPr>
    </w:lvl>
  </w:abstractNum>
  <w:abstractNum w:abstractNumId="2">
    <w:nsid w:val="625180D8"/>
    <w:multiLevelType w:val="singleLevel"/>
    <w:tmpl w:val="625180D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isplayHorizontalDrawingGridEvery w:val="1"/>
  <w:displayVerticalDrawingGridEvery w:val="1"/>
  <w:characterSpacingControl w:val="compressPunctuation"/>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MWQ4MTQ4NzI5NDFhMDRjZTEyNTJlZGFlMzVkMTkifQ=="/>
  </w:docVars>
  <w:rsids>
    <w:rsidRoot w:val="00000000"/>
    <w:rsid w:val="17E16D5F"/>
    <w:rsid w:val="19281AEA"/>
    <w:rsid w:val="201D40F8"/>
    <w:rsid w:val="22FD316A"/>
    <w:rsid w:val="2CEB7529"/>
    <w:rsid w:val="34211608"/>
    <w:rsid w:val="347D07F4"/>
    <w:rsid w:val="3D1A0877"/>
    <w:rsid w:val="46244CAC"/>
    <w:rsid w:val="47ED28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1"/>
    <w:qFormat/>
    <w:uiPriority w:val="0"/>
    <w:pPr>
      <w:snapToGrid w:val="0"/>
      <w:jc w:val="left"/>
    </w:pPr>
    <w:rPr>
      <w:rFonts w:hint="eastAsi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rPr>
  </w:style>
  <w:style w:type="character" w:styleId="8">
    <w:name w:val="page number"/>
    <w:basedOn w:val="7"/>
    <w:qFormat/>
    <w:uiPriority w:val="0"/>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尾注文本 Char Char"/>
    <w:basedOn w:val="7"/>
    <w:link w:val="2"/>
    <w:qFormat/>
    <w:uiPriority w:val="0"/>
    <w:rPr>
      <w:rFonts w:hint="eastAsia"/>
    </w:rPr>
  </w:style>
  <w:style w:type="character" w:customStyle="1" w:styleId="12">
    <w:name w:val="NormalCharacter"/>
    <w:semiHidden/>
    <w:qFormat/>
    <w:uiPriority w:val="0"/>
  </w:style>
  <w:style w:type="character" w:customStyle="1" w:styleId="13">
    <w:name w:val="PageNumber"/>
    <w:basedOn w:val="12"/>
    <w:qFormat/>
    <w:uiPriority w:val="0"/>
  </w:style>
  <w:style w:type="paragraph" w:customStyle="1" w:styleId="14">
    <w:name w:val="p0"/>
    <w:basedOn w:val="1"/>
    <w:unhideWhenUsed/>
    <w:qFormat/>
    <w:uiPriority w:val="0"/>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1099</Words>
  <Characters>1203</Characters>
  <Lines>0</Lines>
  <Paragraphs>0</Paragraphs>
  <TotalTime>5</TotalTime>
  <ScaleCrop>false</ScaleCrop>
  <LinksUpToDate>false</LinksUpToDate>
  <CharactersWithSpaces>1217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2021-06-25T11:57:00Z</dcterms:created>
  <dc:creator>Administrator</dc:creator>
  <cp:lastModifiedBy>MR</cp:lastModifiedBy>
  <dcterms:modified xsi:type="dcterms:W3CDTF">2025-08-28T00:32:39Z</dcterms:modified>
  <dc:title>2020年度道县文化艺术联合会整体支出绩效评价报告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C3B888E8E439432A90276882E50827BD</vt:lpwstr>
  </property>
  <property fmtid="{D5CDD505-2E9C-101B-9397-08002B2CF9AE}" pid="4" name="KSOTemplateDocerSaveRecord">
    <vt:lpwstr>eyJoZGlkIjoiMTYxYzdhNDBlNmVkMDU3OGNlNDUzMGQxYTZlYjIxMGEifQ==</vt:lpwstr>
  </property>
</Properties>
</file>