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bookmarkStart w:id="3" w:name="_GoBack"/>
      <w:bookmarkEnd w:id="3"/>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道县公安局</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道县公安局单位</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道县公安局</w:t>
      </w:r>
      <w:r>
        <w:rPr>
          <w:rFonts w:hint="eastAsia" w:ascii="方正小标宋_GBK" w:hAnsi="方正小标宋_GBK" w:eastAsia="方正小标宋_GBK" w:cs="方正小标宋_GBK"/>
          <w:sz w:val="84"/>
          <w:szCs w:val="84"/>
        </w:rPr>
        <w:t>单位概况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4"/>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b w:val="0"/>
          <w:bCs w:val="0"/>
          <w:sz w:val="32"/>
          <w:szCs w:val="32"/>
        </w:rPr>
      </w:pPr>
      <w:r>
        <w:rPr>
          <w:rFonts w:hint="default"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部门职责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（一）</w:t>
      </w:r>
      <w:r>
        <w:rPr>
          <w:rFonts w:hint="eastAsia" w:ascii="Times New Roman" w:hAnsi="Times New Roman" w:eastAsia="仿宋_GB2312" w:cs="仿宋_GB2312"/>
          <w:sz w:val="32"/>
          <w:szCs w:val="32"/>
        </w:rPr>
        <w:t>贯彻执行党和国家及省有关公安工作的方针政策和法律法规，研究拟定我市公安工作的规范性文件并组织实施。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（二）</w:t>
      </w:r>
      <w:r>
        <w:rPr>
          <w:rFonts w:hint="eastAsia" w:ascii="Times New Roman" w:hAnsi="Times New Roman" w:eastAsia="仿宋_GB2312" w:cs="仿宋_GB2312"/>
          <w:sz w:val="32"/>
          <w:szCs w:val="32"/>
        </w:rPr>
        <w:t>掌握控制危害国内安全和影响我县社会稳定的情报和动态，分析研究治安形势和刑事犯罪特点，制定预防、打击对策和措施。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（三）</w:t>
      </w:r>
      <w:r>
        <w:rPr>
          <w:rFonts w:hint="eastAsia" w:ascii="Times New Roman" w:hAnsi="Times New Roman" w:eastAsia="仿宋_GB2312" w:cs="仿宋_GB2312"/>
          <w:sz w:val="32"/>
          <w:szCs w:val="32"/>
        </w:rPr>
        <w:t>组织指导案件的侦破工作；侦破危害国家安全的重大案件以及重大经济犯罪和其他严重刑事犯罪案件；配合跨省（市、县）重特大系列案件的侦破和全市性的集中打击、搜捕、堵截等统一行动。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（四）</w:t>
      </w:r>
      <w:r>
        <w:rPr>
          <w:rFonts w:hint="eastAsia" w:ascii="Times New Roman" w:hAnsi="Times New Roman" w:eastAsia="仿宋_GB2312" w:cs="仿宋_GB2312"/>
          <w:sz w:val="32"/>
          <w:szCs w:val="32"/>
        </w:rPr>
        <w:t>依法查处危害社会治安秩序的行为和社会丑恶现象；依法管理户籍、居民身份证、枪支弹药、危险物品和特种行业等工作；组织指挥处置重大骚乱、重大群体性闹事、非法游行、非法聚集等影响社会稳定的非法活动和重大治安事故，侦破重大治安案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（五）</w:t>
      </w:r>
      <w:r>
        <w:rPr>
          <w:rFonts w:hint="eastAsia" w:ascii="Times New Roman" w:hAnsi="Times New Roman" w:eastAsia="仿宋_GB2312" w:cs="仿宋_GB2312"/>
          <w:sz w:val="32"/>
          <w:szCs w:val="32"/>
        </w:rPr>
        <w:t>负责做好出入境管理和外国人在市内民留、旅行的有关管理工作；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（六）</w:t>
      </w:r>
      <w:r>
        <w:rPr>
          <w:rFonts w:hint="eastAsia" w:ascii="Times New Roman" w:hAnsi="Times New Roman" w:eastAsia="仿宋_GB2312" w:cs="仿宋_GB2312"/>
          <w:sz w:val="32"/>
          <w:szCs w:val="32"/>
        </w:rPr>
        <w:t>组织对监督机关、企业、企事业单位和重点建设工程的保卫工作以及群众性治安保卫组织的治安防范工作。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（七）</w:t>
      </w:r>
      <w:r>
        <w:rPr>
          <w:rFonts w:hint="eastAsia" w:ascii="Times New Roman" w:hAnsi="Times New Roman" w:eastAsia="仿宋_GB2312" w:cs="仿宋_GB2312"/>
          <w:sz w:val="32"/>
          <w:szCs w:val="32"/>
        </w:rPr>
        <w:t>组织实施对公共信息网络和国际互联网的安全监察工作。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（八）</w:t>
      </w:r>
      <w:r>
        <w:rPr>
          <w:rFonts w:hint="eastAsia" w:ascii="Times New Roman" w:hAnsi="Times New Roman" w:eastAsia="仿宋_GB2312" w:cs="仿宋_GB2312"/>
          <w:sz w:val="32"/>
          <w:szCs w:val="32"/>
        </w:rPr>
        <w:t>指导、监督全县公安机关依法承担的执行刑罚和对看守所、治安拘留所的管事工作。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（九）</w:t>
      </w:r>
      <w:r>
        <w:rPr>
          <w:rFonts w:hint="eastAsia" w:ascii="Times New Roman" w:hAnsi="Times New Roman" w:eastAsia="仿宋_GB2312" w:cs="仿宋_GB2312"/>
          <w:sz w:val="32"/>
          <w:szCs w:val="32"/>
        </w:rPr>
        <w:t>组织实施对来我县的党和国家领导人，重要外宾以及省领导人和重要会议的安全警卫工作。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（十）</w:t>
      </w:r>
      <w:r>
        <w:rPr>
          <w:rFonts w:hint="eastAsia" w:ascii="Times New Roman" w:hAnsi="Times New Roman" w:eastAsia="仿宋_GB2312" w:cs="仿宋_GB2312"/>
          <w:sz w:val="32"/>
          <w:szCs w:val="32"/>
        </w:rPr>
        <w:t>组织开展全县公安信息技术、刑事技术和行动技术的研究和建设，为案件的侦破提供技术保障和行动支援。</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（十一）</w:t>
      </w:r>
      <w:r>
        <w:rPr>
          <w:rFonts w:hint="eastAsia" w:ascii="Times New Roman" w:hAnsi="Times New Roman" w:eastAsia="仿宋_GB2312" w:cs="仿宋_GB2312"/>
          <w:sz w:val="32"/>
          <w:szCs w:val="32"/>
        </w:rPr>
        <w:t>规划并组织实施全县公安装备现代化建设。</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（十二）</w:t>
      </w:r>
      <w:r>
        <w:rPr>
          <w:rFonts w:hint="eastAsia" w:ascii="Times New Roman" w:hAnsi="Times New Roman" w:eastAsia="仿宋_GB2312" w:cs="仿宋_GB2312"/>
          <w:sz w:val="32"/>
          <w:szCs w:val="32"/>
        </w:rPr>
        <w:t>统一领导全县公安消防、警卫部队；对全县武警部队执行公安任务和相关业务建设实施领导和指挥。</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eastAsia" w:ascii="黑体" w:hAnsi="黑体" w:eastAsia="黑体" w:cs="黑体"/>
          <w:b w:val="0"/>
          <w:bCs/>
          <w:kern w:val="0"/>
          <w:sz w:val="32"/>
          <w:szCs w:val="32"/>
        </w:rPr>
      </w:pPr>
      <w:r>
        <w:rPr>
          <w:rFonts w:hint="eastAsia" w:ascii="Times New Roman" w:hAnsi="Times New Roman" w:eastAsia="仿宋_GB2312" w:cs="仿宋_GB2312"/>
          <w:kern w:val="2"/>
          <w:sz w:val="32"/>
          <w:szCs w:val="32"/>
          <w:lang w:val="en-US" w:eastAsia="zh-CN" w:bidi="ar-SA"/>
        </w:rPr>
        <w:t>（十三）领导和</w:t>
      </w:r>
      <w:r>
        <w:rPr>
          <w:rFonts w:hint="eastAsia" w:ascii="Times New Roman" w:hAnsi="Times New Roman" w:eastAsia="仿宋_GB2312" w:cs="仿宋_GB2312"/>
          <w:sz w:val="32"/>
          <w:szCs w:val="32"/>
        </w:rPr>
        <w:t>管理列入县公安局序列的公安机构业务工作和队伍建设工作。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（一）内设机构设置。道县公安局内设机构包括：机关内设机构6个、直属机构11个、基层派出所23个，所属机构2个，共42个部门</w:t>
      </w:r>
      <w:r>
        <w:rPr>
          <w:rFonts w:hint="eastAsia" w:ascii="Times New Roman" w:hAnsi="Times New Roman"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道县公安局</w:t>
      </w:r>
      <w:r>
        <w:rPr>
          <w:rFonts w:hint="eastAsia" w:ascii="Times New Roman" w:hAnsi="Times New Roman" w:eastAsia="仿宋_GB2312" w:cs="仿宋_GB2312"/>
          <w:bCs/>
          <w:kern w:val="0"/>
          <w:sz w:val="32"/>
          <w:szCs w:val="32"/>
          <w:lang w:eastAsia="zh-CN"/>
        </w:rPr>
        <w:t>2024年</w:t>
      </w:r>
      <w:r>
        <w:rPr>
          <w:rFonts w:hint="eastAsia" w:ascii="Times New Roman" w:hAnsi="Times New Roman" w:eastAsia="仿宋_GB2312" w:cs="仿宋_GB2312"/>
          <w:bCs/>
          <w:kern w:val="0"/>
          <w:sz w:val="32"/>
          <w:szCs w:val="32"/>
        </w:rPr>
        <w:t>部门决算汇总公开单位构成包括：</w:t>
      </w:r>
      <w:r>
        <w:rPr>
          <w:rFonts w:hint="eastAsia" w:ascii="Times New Roman" w:hAnsi="Times New Roman" w:eastAsia="仿宋_GB2312" w:cs="仿宋_GB2312"/>
          <w:bCs/>
          <w:kern w:val="0"/>
          <w:sz w:val="32"/>
          <w:szCs w:val="32"/>
          <w:lang w:val="en-US" w:eastAsia="zh-CN"/>
        </w:rPr>
        <w:t>道县公安局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pPr>
        <w:keepNext w:val="0"/>
        <w:keepLines w:val="0"/>
        <w:pageBreakBefore w:val="0"/>
        <w:kinsoku/>
        <w:wordWrap/>
        <w:overflowPunct/>
        <w:topLinePunct w:val="0"/>
        <w:autoSpaceDE/>
        <w:autoSpaceDN/>
        <w:bidi w:val="0"/>
        <w:adjustRightInd/>
        <w:snapToGrid/>
        <w:ind w:firstLine="560" w:firstLineChars="200"/>
        <w:jc w:val="left"/>
        <w:textAlignment w:val="auto"/>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81"/>
        <w:gridCol w:w="642"/>
        <w:gridCol w:w="2360"/>
        <w:gridCol w:w="1300"/>
        <w:gridCol w:w="1363"/>
        <w:gridCol w:w="1388"/>
        <w:gridCol w:w="1415"/>
        <w:gridCol w:w="2313"/>
        <w:gridCol w:w="1804"/>
        <w:gridCol w:w="2562"/>
      </w:tblGrid>
      <w:tr>
        <w:tblPrEx>
          <w:tblCellMar>
            <w:top w:w="0" w:type="dxa"/>
            <w:left w:w="0" w:type="dxa"/>
            <w:bottom w:w="0" w:type="dxa"/>
            <w:right w:w="0" w:type="dxa"/>
          </w:tblCellMar>
        </w:tblPrEx>
        <w:trPr>
          <w:trHeight w:val="544"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0"/>
              <w:gridCol w:w="567"/>
              <w:gridCol w:w="1960"/>
              <w:gridCol w:w="3358"/>
              <w:gridCol w:w="2512"/>
              <w:gridCol w:w="419"/>
              <w:gridCol w:w="2152"/>
              <w:gridCol w:w="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20"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6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96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335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931"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662"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2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6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6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35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93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6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2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部门：道县公安局</w:t>
                  </w:r>
                </w:p>
              </w:tc>
              <w:tc>
                <w:tcPr>
                  <w:tcW w:w="56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6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35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93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6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644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44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62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10,135.10</w:t>
                  </w: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431.53</w:t>
                  </w: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七、社会保障和就业支出</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335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八、城乡社区支出</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10,566.63</w:t>
                  </w:r>
                </w:p>
              </w:tc>
              <w:tc>
                <w:tcPr>
                  <w:tcW w:w="3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10,566.63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62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10,566.63</w:t>
                  </w:r>
                </w:p>
              </w:tc>
              <w:tc>
                <w:tcPr>
                  <w:tcW w:w="3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10,566.63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1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2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66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lang w:eastAsia="zh-CN"/>
              </w:rPr>
              <w:t>道县公安局</w:t>
            </w:r>
            <w:r>
              <w:rPr>
                <w:rFonts w:hint="eastAsia"/>
              </w:rPr>
              <w:t>　</w:t>
            </w:r>
          </w:p>
        </w:tc>
        <w:tc>
          <w:tcPr>
            <w:tcW w:w="13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8"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4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1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378" w:hRule="atLeast"/>
        </w:trPr>
        <w:tc>
          <w:tcPr>
            <w:tcW w:w="328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3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4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23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2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36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1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92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1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79" w:hRule="atLeast"/>
        </w:trPr>
        <w:tc>
          <w:tcPr>
            <w:tcW w:w="328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3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4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2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396" w:hRule="atLeast"/>
        </w:trPr>
        <w:tc>
          <w:tcPr>
            <w:tcW w:w="328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10,566.63</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10,566.63</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22"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10,114.10</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10,114.10</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371"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20401</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武装警察部队</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57.00</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57.00</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3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2040199</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其他武装警察部队支出</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57.00</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57.00</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r>
      <w:tr>
        <w:tblPrEx>
          <w:tblCellMar>
            <w:top w:w="0" w:type="dxa"/>
            <w:left w:w="0" w:type="dxa"/>
            <w:bottom w:w="0" w:type="dxa"/>
            <w:right w:w="0" w:type="dxa"/>
          </w:tblCellMar>
        </w:tblPrEx>
        <w:trPr>
          <w:trHeight w:val="414"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公安</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10,057.10</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10,057.10</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r>
      <w:tr>
        <w:tblPrEx>
          <w:tblCellMar>
            <w:top w:w="0" w:type="dxa"/>
            <w:left w:w="0" w:type="dxa"/>
            <w:bottom w:w="0" w:type="dxa"/>
            <w:right w:w="0" w:type="dxa"/>
          </w:tblCellMar>
        </w:tblPrEx>
        <w:trPr>
          <w:trHeight w:val="379"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2040201</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5,697.80</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5,697.80</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r>
      <w:tr>
        <w:tblPrEx>
          <w:tblCellMar>
            <w:top w:w="0" w:type="dxa"/>
            <w:left w:w="0" w:type="dxa"/>
            <w:bottom w:w="0" w:type="dxa"/>
            <w:right w:w="0" w:type="dxa"/>
          </w:tblCellMar>
        </w:tblPrEx>
        <w:trPr>
          <w:trHeight w:val="413"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2040221</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特别业务</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221.37</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221.37</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r>
      <w:tr>
        <w:tblPrEx>
          <w:tblCellMar>
            <w:top w:w="0" w:type="dxa"/>
            <w:left w:w="0" w:type="dxa"/>
            <w:bottom w:w="0" w:type="dxa"/>
            <w:right w:w="0" w:type="dxa"/>
          </w:tblCellMar>
        </w:tblPrEx>
        <w:trPr>
          <w:trHeight w:val="414"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2040299</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其他公安支出</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4,137.93</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4,137.93</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r>
      <w:tr>
        <w:tblPrEx>
          <w:tblCellMar>
            <w:top w:w="0" w:type="dxa"/>
            <w:left w:w="0" w:type="dxa"/>
            <w:bottom w:w="0" w:type="dxa"/>
            <w:right w:w="0" w:type="dxa"/>
          </w:tblCellMar>
        </w:tblPrEx>
        <w:trPr>
          <w:trHeight w:val="388"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21.00</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r>
      <w:tr>
        <w:tblPrEx>
          <w:tblCellMar>
            <w:top w:w="0" w:type="dxa"/>
            <w:left w:w="0" w:type="dxa"/>
            <w:bottom w:w="0" w:type="dxa"/>
            <w:right w:w="0" w:type="dxa"/>
          </w:tblCellMar>
        </w:tblPrEx>
        <w:trPr>
          <w:trHeight w:val="387"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13"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343"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431.53</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431.53</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57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431.53</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431.53</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91"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2120804</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249.58</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249.58</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r>
      <w:tr>
        <w:tblPrEx>
          <w:tblCellMar>
            <w:top w:w="0" w:type="dxa"/>
            <w:left w:w="0" w:type="dxa"/>
            <w:bottom w:w="0" w:type="dxa"/>
            <w:right w:w="0" w:type="dxa"/>
          </w:tblCellMar>
        </w:tblPrEx>
        <w:trPr>
          <w:trHeight w:val="57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2120899</w:t>
            </w:r>
          </w:p>
        </w:tc>
        <w:tc>
          <w:tcPr>
            <w:tcW w:w="2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181.95</w:t>
            </w:r>
          </w:p>
        </w:tc>
        <w:tc>
          <w:tcPr>
            <w:tcW w:w="13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181.95</w:t>
            </w:r>
          </w:p>
        </w:tc>
        <w:tc>
          <w:tcPr>
            <w:tcW w:w="13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63"/>
        <w:gridCol w:w="2484"/>
        <w:gridCol w:w="1734"/>
        <w:gridCol w:w="2092"/>
        <w:gridCol w:w="1731"/>
        <w:gridCol w:w="2134"/>
        <w:gridCol w:w="1543"/>
        <w:gridCol w:w="2423"/>
      </w:tblGrid>
      <w:tr>
        <w:tblPrEx>
          <w:tblCellMar>
            <w:top w:w="0" w:type="dxa"/>
            <w:left w:w="108" w:type="dxa"/>
            <w:bottom w:w="0" w:type="dxa"/>
            <w:right w:w="108" w:type="dxa"/>
          </w:tblCellMar>
        </w:tblPrEx>
        <w:trPr>
          <w:trHeight w:val="559"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317"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8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3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326"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747" w:type="dxa"/>
            <w:gridSpan w:val="2"/>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lang w:eastAsia="zh-CN"/>
              </w:rPr>
              <w:t>道县公安局</w:t>
            </w:r>
            <w:r>
              <w:rPr>
                <w:rFonts w:hint="eastAsia" w:ascii="宋体" w:hAnsi="宋体" w:eastAsia="宋体" w:cs="宋体"/>
                <w:kern w:val="0"/>
                <w:sz w:val="24"/>
                <w:szCs w:val="24"/>
              </w:rPr>
              <w:t>　　</w:t>
            </w:r>
          </w:p>
        </w:tc>
        <w:tc>
          <w:tcPr>
            <w:tcW w:w="173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3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87" w:hRule="atLeast"/>
        </w:trPr>
        <w:tc>
          <w:tcPr>
            <w:tcW w:w="398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20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1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8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90" w:hRule="atLeast"/>
        </w:trPr>
        <w:tc>
          <w:tcPr>
            <w:tcW w:w="398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09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3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1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2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37" w:hRule="atLeast"/>
        </w:trPr>
        <w:tc>
          <w:tcPr>
            <w:tcW w:w="398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10,566.63</w:t>
            </w:r>
          </w:p>
        </w:tc>
        <w:tc>
          <w:tcPr>
            <w:tcW w:w="20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5,724.95</w:t>
            </w: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4,841.68</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10,114.10</w:t>
            </w:r>
          </w:p>
        </w:tc>
        <w:tc>
          <w:tcPr>
            <w:tcW w:w="20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5,724.95</w:t>
            </w: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4,389.15</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4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20401</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武装警察部队</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57.00</w:t>
            </w:r>
          </w:p>
        </w:tc>
        <w:tc>
          <w:tcPr>
            <w:tcW w:w="20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27.14</w:t>
            </w: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29.85</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2040199</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其他武装警察部队支出</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57.00</w:t>
            </w:r>
          </w:p>
        </w:tc>
        <w:tc>
          <w:tcPr>
            <w:tcW w:w="20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27.14</w:t>
            </w: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29.85</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5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公安</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10,057.10</w:t>
            </w:r>
          </w:p>
        </w:tc>
        <w:tc>
          <w:tcPr>
            <w:tcW w:w="20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5,697.80</w:t>
            </w: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4,359.30</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8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2040201</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5,697.80</w:t>
            </w:r>
          </w:p>
        </w:tc>
        <w:tc>
          <w:tcPr>
            <w:tcW w:w="20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5,697.80</w:t>
            </w: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2040221</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特别业务</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221.37</w:t>
            </w:r>
          </w:p>
        </w:tc>
        <w:tc>
          <w:tcPr>
            <w:tcW w:w="20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221.37</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其他公安支出</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4,137.93</w:t>
            </w:r>
          </w:p>
        </w:tc>
        <w:tc>
          <w:tcPr>
            <w:tcW w:w="20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4,137.93</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20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20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3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20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431.53</w:t>
            </w:r>
          </w:p>
        </w:tc>
        <w:tc>
          <w:tcPr>
            <w:tcW w:w="20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431.53</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431.53</w:t>
            </w:r>
          </w:p>
        </w:tc>
        <w:tc>
          <w:tcPr>
            <w:tcW w:w="20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431.53</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2120804</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249.58</w:t>
            </w:r>
          </w:p>
        </w:tc>
        <w:tc>
          <w:tcPr>
            <w:tcW w:w="20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249.58</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248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7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181.95</w:t>
            </w:r>
          </w:p>
        </w:tc>
        <w:tc>
          <w:tcPr>
            <w:tcW w:w="20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181.95</w:t>
            </w:r>
          </w:p>
        </w:tc>
        <w:tc>
          <w:tcPr>
            <w:tcW w:w="2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4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39"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314"/>
        <w:gridCol w:w="684"/>
        <w:gridCol w:w="1391"/>
        <w:gridCol w:w="297"/>
        <w:gridCol w:w="2889"/>
        <w:gridCol w:w="626"/>
        <w:gridCol w:w="433"/>
        <w:gridCol w:w="1560"/>
        <w:gridCol w:w="1383"/>
        <w:gridCol w:w="1383"/>
        <w:gridCol w:w="1561"/>
      </w:tblGrid>
      <w:tr>
        <w:tblPrEx>
          <w:tblCellMar>
            <w:top w:w="0" w:type="dxa"/>
            <w:left w:w="108" w:type="dxa"/>
            <w:bottom w:w="0" w:type="dxa"/>
            <w:right w:w="108" w:type="dxa"/>
          </w:tblCellMar>
        </w:tblPrEx>
        <w:trPr>
          <w:trHeight w:val="227" w:hRule="atLeast"/>
        </w:trPr>
        <w:tc>
          <w:tcPr>
            <w:tcW w:w="3314"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68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688"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1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60"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8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8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6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538"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3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8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314"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道县公安局</w:t>
            </w:r>
          </w:p>
        </w:tc>
        <w:tc>
          <w:tcPr>
            <w:tcW w:w="68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38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3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3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10,135.10</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3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431.53</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60"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10,114.10</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10,114.10</w:t>
            </w: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七、社会保障和就业支出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60"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21.00</w:t>
            </w: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3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八、城乡社区支出</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60"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431.53</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431.53</w:t>
            </w: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39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10,566.63</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10,566.63</w:t>
            </w: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10135.10 </w:t>
            </w:r>
          </w:p>
        </w:tc>
        <w:tc>
          <w:tcPr>
            <w:tcW w:w="1383"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431.53</w:t>
            </w:r>
          </w:p>
        </w:tc>
        <w:tc>
          <w:tcPr>
            <w:tcW w:w="15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31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8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39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10,566.63</w:t>
            </w:r>
          </w:p>
        </w:tc>
        <w:tc>
          <w:tcPr>
            <w:tcW w:w="318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5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10,566.63</w:t>
            </w: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10135.10 </w:t>
            </w:r>
          </w:p>
        </w:tc>
        <w:tc>
          <w:tcPr>
            <w:tcW w:w="1383"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431.53</w:t>
            </w:r>
          </w:p>
        </w:tc>
        <w:tc>
          <w:tcPr>
            <w:tcW w:w="15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道县公安局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579"/>
        <w:gridCol w:w="2948"/>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9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3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c>
          <w:tcPr>
            <w:tcW w:w="352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c>
          <w:tcPr>
            <w:tcW w:w="30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c>
          <w:tcPr>
            <w:tcW w:w="34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c>
          <w:tcPr>
            <w:tcW w:w="30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c>
          <w:tcPr>
            <w:tcW w:w="352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c>
          <w:tcPr>
            <w:tcW w:w="30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c>
          <w:tcPr>
            <w:tcW w:w="34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c>
          <w:tcPr>
            <w:tcW w:w="30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10,135.10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5,724.95</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4,410.15</w:t>
            </w:r>
          </w:p>
        </w:tc>
      </w:tr>
      <w:tr>
        <w:tblPrEx>
          <w:tblCellMar>
            <w:top w:w="0" w:type="dxa"/>
            <w:left w:w="108" w:type="dxa"/>
            <w:bottom w:w="0" w:type="dxa"/>
            <w:right w:w="108" w:type="dxa"/>
          </w:tblCellMar>
        </w:tblPrEx>
        <w:trPr>
          <w:trHeight w:val="389" w:hRule="atLeast"/>
          <w:jc w:val="center"/>
        </w:trPr>
        <w:tc>
          <w:tcPr>
            <w:tcW w:w="1779" w:type="dxa"/>
            <w:gridSpan w:val="2"/>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w:t>
            </w:r>
          </w:p>
        </w:tc>
        <w:tc>
          <w:tcPr>
            <w:tcW w:w="2948"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公共安全支出</w:t>
            </w:r>
          </w:p>
        </w:tc>
        <w:tc>
          <w:tcPr>
            <w:tcW w:w="3000"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10,114.10</w:t>
            </w:r>
          </w:p>
        </w:tc>
        <w:tc>
          <w:tcPr>
            <w:tcW w:w="3492"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5,724.95</w:t>
            </w:r>
          </w:p>
        </w:tc>
        <w:tc>
          <w:tcPr>
            <w:tcW w:w="3000"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4,389.15</w:t>
            </w:r>
          </w:p>
        </w:tc>
      </w:tr>
      <w:tr>
        <w:tblPrEx>
          <w:tblCellMar>
            <w:top w:w="0" w:type="dxa"/>
            <w:left w:w="108" w:type="dxa"/>
            <w:bottom w:w="0" w:type="dxa"/>
            <w:right w:w="108" w:type="dxa"/>
          </w:tblCellMar>
        </w:tblPrEx>
        <w:trPr>
          <w:trHeight w:val="354" w:hRule="atLeast"/>
          <w:jc w:val="center"/>
        </w:trPr>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20401</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武装警察部队</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27.14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29.85</w:t>
            </w:r>
          </w:p>
        </w:tc>
      </w:tr>
      <w:tr>
        <w:tblPrEx>
          <w:tblCellMar>
            <w:top w:w="0" w:type="dxa"/>
            <w:left w:w="108" w:type="dxa"/>
            <w:bottom w:w="0" w:type="dxa"/>
            <w:right w:w="108" w:type="dxa"/>
          </w:tblCellMar>
        </w:tblPrEx>
        <w:trPr>
          <w:trHeight w:val="303" w:hRule="atLeast"/>
          <w:jc w:val="center"/>
        </w:trPr>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2040199</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其他武装警察部队支出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27.14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29.85</w:t>
            </w:r>
          </w:p>
        </w:tc>
      </w:tr>
      <w:tr>
        <w:tblPrEx>
          <w:tblCellMar>
            <w:top w:w="0" w:type="dxa"/>
            <w:left w:w="108" w:type="dxa"/>
            <w:bottom w:w="0" w:type="dxa"/>
            <w:right w:w="108" w:type="dxa"/>
          </w:tblCellMar>
        </w:tblPrEx>
        <w:trPr>
          <w:trHeight w:val="319" w:hRule="atLeast"/>
          <w:jc w:val="center"/>
        </w:trPr>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公安</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10,057.10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5,697.80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4,359.30</w:t>
            </w:r>
          </w:p>
        </w:tc>
      </w:tr>
      <w:tr>
        <w:tblPrEx>
          <w:tblCellMar>
            <w:top w:w="0" w:type="dxa"/>
            <w:left w:w="108" w:type="dxa"/>
            <w:bottom w:w="0" w:type="dxa"/>
            <w:right w:w="108" w:type="dxa"/>
          </w:tblCellMar>
        </w:tblPrEx>
        <w:trPr>
          <w:trHeight w:val="353" w:hRule="atLeast"/>
          <w:jc w:val="center"/>
        </w:trPr>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2040201</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5,697.80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5,697.80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62" w:hRule="atLeast"/>
          <w:jc w:val="center"/>
        </w:trPr>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2040221</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特别业务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221.37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221.37</w:t>
            </w:r>
          </w:p>
        </w:tc>
      </w:tr>
      <w:tr>
        <w:tblPrEx>
          <w:tblCellMar>
            <w:top w:w="0" w:type="dxa"/>
            <w:left w:w="108" w:type="dxa"/>
            <w:bottom w:w="0" w:type="dxa"/>
            <w:right w:w="108" w:type="dxa"/>
          </w:tblCellMar>
        </w:tblPrEx>
        <w:trPr>
          <w:trHeight w:val="346" w:hRule="atLeast"/>
          <w:jc w:val="center"/>
        </w:trPr>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2040299</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其他公安支出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4,137.93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4,137.93</w:t>
            </w:r>
          </w:p>
        </w:tc>
      </w:tr>
      <w:tr>
        <w:tblPrEx>
          <w:tblCellMar>
            <w:top w:w="0" w:type="dxa"/>
            <w:left w:w="108" w:type="dxa"/>
            <w:bottom w:w="0" w:type="dxa"/>
            <w:right w:w="108" w:type="dxa"/>
          </w:tblCellMar>
        </w:tblPrEx>
        <w:trPr>
          <w:trHeight w:val="354" w:hRule="atLeast"/>
          <w:jc w:val="center"/>
        </w:trPr>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r>
      <w:tr>
        <w:tblPrEx>
          <w:tblCellMar>
            <w:top w:w="0" w:type="dxa"/>
            <w:left w:w="108" w:type="dxa"/>
            <w:bottom w:w="0" w:type="dxa"/>
            <w:right w:w="108" w:type="dxa"/>
          </w:tblCellMar>
        </w:tblPrEx>
        <w:trPr>
          <w:trHeight w:val="355" w:hRule="atLeast"/>
          <w:jc w:val="center"/>
        </w:trPr>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r>
      <w:tr>
        <w:tblPrEx>
          <w:tblCellMar>
            <w:top w:w="0" w:type="dxa"/>
            <w:left w:w="108" w:type="dxa"/>
            <w:bottom w:w="0" w:type="dxa"/>
            <w:right w:w="108" w:type="dxa"/>
          </w:tblCellMar>
        </w:tblPrEx>
        <w:trPr>
          <w:trHeight w:val="396" w:hRule="atLeast"/>
          <w:jc w:val="center"/>
        </w:trPr>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2080801</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r>
      <w:tr>
        <w:tblPrEx>
          <w:tblCellMar>
            <w:top w:w="0" w:type="dxa"/>
            <w:left w:w="108" w:type="dxa"/>
            <w:bottom w:w="0" w:type="dxa"/>
            <w:right w:w="108" w:type="dxa"/>
          </w:tblCellMar>
        </w:tblPrEx>
        <w:trPr>
          <w:trHeight w:val="517" w:hRule="atLeast"/>
          <w:jc w:val="center"/>
        </w:trPr>
        <w:tc>
          <w:tcPr>
            <w:tcW w:w="14219" w:type="dxa"/>
            <w:gridSpan w:val="6"/>
            <w:tcBorders>
              <w:top w:val="single" w:color="auto" w:sz="4"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56"/>
        <w:gridCol w:w="47"/>
        <w:gridCol w:w="240"/>
        <w:gridCol w:w="2044"/>
        <w:gridCol w:w="1055"/>
        <w:gridCol w:w="422"/>
        <w:gridCol w:w="1048"/>
        <w:gridCol w:w="926"/>
        <w:gridCol w:w="2264"/>
        <w:gridCol w:w="93"/>
        <w:gridCol w:w="1277"/>
        <w:gridCol w:w="749"/>
        <w:gridCol w:w="237"/>
        <w:gridCol w:w="1882"/>
        <w:gridCol w:w="1109"/>
        <w:gridCol w:w="1011"/>
        <w:gridCol w:w="254"/>
      </w:tblGrid>
      <w:tr>
        <w:tblPrEx>
          <w:tblCellMar>
            <w:top w:w="0" w:type="dxa"/>
            <w:left w:w="108" w:type="dxa"/>
            <w:bottom w:w="0" w:type="dxa"/>
            <w:right w:w="108" w:type="dxa"/>
          </w:tblCellMar>
        </w:tblPrEx>
        <w:trPr>
          <w:trHeight w:val="841" w:hRule="atLeast"/>
        </w:trPr>
        <w:tc>
          <w:tcPr>
            <w:tcW w:w="15614" w:type="dxa"/>
            <w:gridSpan w:val="17"/>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道县公安局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848" w:hRule="atLeas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8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5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9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4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4599.52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1125.43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4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1524.56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131.66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4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1668.65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4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105.29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4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688.83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4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389.63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4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216.20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43.00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4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6.29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118.00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4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0.08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18.30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10.73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77"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120.00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991"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15" w:lineRule="auto"/>
              <w:jc w:val="left"/>
              <w:textAlignment w:val="auto"/>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137.37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120.96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8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5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75.40 </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3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4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i w:val="0"/>
                <w:iCs w:val="0"/>
                <w:color w:val="000000"/>
                <w:kern w:val="0"/>
                <w:sz w:val="22"/>
                <w:szCs w:val="22"/>
                <w:u w:val="none"/>
                <w:lang w:val="en-US" w:eastAsia="zh-CN" w:bidi="ar"/>
              </w:rPr>
              <w:t>4599.52</w:t>
            </w:r>
          </w:p>
        </w:tc>
        <w:tc>
          <w:tcPr>
            <w:tcW w:w="8537"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6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18"/>
              </w:rPr>
            </w:pPr>
            <w:r>
              <w:rPr>
                <w:rFonts w:hint="eastAsia" w:ascii="宋体" w:hAnsi="宋体" w:eastAsia="宋体" w:cs="宋体"/>
                <w:color w:val="000000"/>
                <w:kern w:val="0"/>
                <w:szCs w:val="18"/>
              </w:rPr>
              <w:t>　</w:t>
            </w:r>
            <w:r>
              <w:rPr>
                <w:rFonts w:hint="eastAsia" w:ascii="宋体" w:hAnsi="宋体" w:eastAsia="宋体" w:cs="宋体"/>
                <w:i w:val="0"/>
                <w:iCs w:val="0"/>
                <w:color w:val="000000"/>
                <w:kern w:val="0"/>
                <w:sz w:val="22"/>
                <w:szCs w:val="22"/>
                <w:u w:val="none"/>
                <w:lang w:val="en-US" w:eastAsia="zh-CN" w:bidi="ar"/>
              </w:rPr>
              <w:t>1125.43</w:t>
            </w:r>
          </w:p>
        </w:tc>
      </w:tr>
      <w:tr>
        <w:tblPrEx>
          <w:tblCellMar>
            <w:top w:w="0" w:type="dxa"/>
            <w:left w:w="108" w:type="dxa"/>
            <w:bottom w:w="0" w:type="dxa"/>
            <w:right w:w="108" w:type="dxa"/>
          </w:tblCellMar>
        </w:tblPrEx>
        <w:trPr>
          <w:trHeight w:val="284" w:hRule="exact"/>
        </w:trPr>
        <w:tc>
          <w:tcPr>
            <w:tcW w:w="15614" w:type="dxa"/>
            <w:gridSpan w:val="17"/>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1042" w:hRule="atLeast"/>
        </w:trPr>
        <w:tc>
          <w:tcPr>
            <w:tcW w:w="15360" w:type="dxa"/>
            <w:gridSpan w:val="1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44"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77"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7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6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44" w:type="dxa"/>
            <w:tcBorders>
              <w:top w:val="nil"/>
              <w:left w:val="nil"/>
              <w:bottom w:val="nil"/>
              <w:right w:val="nil"/>
            </w:tcBorders>
            <w:shd w:val="clear" w:color="auto" w:fill="FFFFFF"/>
            <w:vAlign w:val="center"/>
          </w:tcPr>
          <w:p>
            <w:pPr>
              <w:jc w:val="both"/>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道县公安局</w:t>
            </w:r>
          </w:p>
        </w:tc>
        <w:tc>
          <w:tcPr>
            <w:tcW w:w="1477"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7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6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4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9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4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431.53</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431.53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431.53</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431.53</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431.53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431.53</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431.53</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431.53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431.53</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2120804</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249.58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249.58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249.58</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2120899</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181.95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181.95</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181.95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pPr>
              <w:jc w:val="both"/>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道县公安局</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道县公安局</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337.00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297.00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297.00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193.42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182.69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182.69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snapToGrid w:val="0"/>
        <w:spacing w:line="520" w:lineRule="exact"/>
        <w:ind w:firstLine="640" w:firstLineChars="200"/>
        <w:rPr>
          <w:rFonts w:hint="eastAsia" w:ascii="仿宋" w:hAnsi="仿宋" w:eastAsia="仿宋"/>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10566.63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1072.02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9.21</w:t>
      </w:r>
      <w:r>
        <w:rPr>
          <w:rFonts w:hint="eastAsia" w:ascii="Times New Roman" w:hAnsi="Times New Roman" w:eastAsia="仿宋_GB2312"/>
          <w:sz w:val="32"/>
          <w:szCs w:val="32"/>
        </w:rPr>
        <w:t>%，主要是因为</w:t>
      </w:r>
      <w:r>
        <w:rPr>
          <w:rFonts w:hint="eastAsia" w:ascii="仿宋" w:hAnsi="仿宋" w:eastAsia="仿宋"/>
          <w:sz w:val="32"/>
          <w:szCs w:val="32"/>
        </w:rPr>
        <w:t>业务调整，据实开支</w:t>
      </w:r>
      <w:r>
        <w:rPr>
          <w:rFonts w:hint="eastAsia" w:ascii="仿宋" w:hAnsi="仿宋" w:eastAsia="仿宋"/>
          <w:sz w:val="32"/>
          <w:szCs w:val="32"/>
          <w:lang w:eastAsia="zh-CN"/>
        </w:rPr>
        <w:t>。</w:t>
      </w:r>
    </w:p>
    <w:p>
      <w:pPr>
        <w:snapToGrid w:val="0"/>
        <w:spacing w:line="520" w:lineRule="exact"/>
        <w:ind w:firstLine="640" w:firstLineChars="200"/>
        <w:rPr>
          <w:rFonts w:hint="eastAsia" w:eastAsia="仿宋"/>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10566.63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1072.02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9.21</w:t>
      </w:r>
      <w:r>
        <w:rPr>
          <w:rFonts w:hint="eastAsia" w:ascii="Times New Roman" w:hAnsi="Times New Roman" w:eastAsia="仿宋_GB2312"/>
          <w:sz w:val="32"/>
          <w:szCs w:val="32"/>
        </w:rPr>
        <w:t>%，主要是因为</w:t>
      </w:r>
      <w:r>
        <w:rPr>
          <w:rFonts w:hint="eastAsia" w:ascii="仿宋" w:hAnsi="仿宋" w:eastAsia="仿宋"/>
          <w:sz w:val="32"/>
          <w:szCs w:val="32"/>
        </w:rPr>
        <w:t>业务调整，据实开支</w:t>
      </w:r>
      <w:r>
        <w:rPr>
          <w:rFonts w:hint="eastAsia" w:ascii="仿宋" w:hAnsi="仿宋" w:eastAsia="仿宋"/>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10566.63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10566.63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10566.63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5724.95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54.18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4841.68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45.82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snapToGrid w:val="0"/>
        <w:spacing w:line="520" w:lineRule="exact"/>
        <w:ind w:firstLine="640" w:firstLineChars="200"/>
        <w:rPr>
          <w:rFonts w:hint="eastAsia" w:ascii="仿宋" w:hAnsi="仿宋" w:eastAsia="仿宋"/>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10566.63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1072.02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9.21</w:t>
      </w:r>
      <w:r>
        <w:rPr>
          <w:rFonts w:hint="eastAsia" w:ascii="Times New Roman" w:hAnsi="Times New Roman" w:eastAsia="仿宋_GB2312"/>
          <w:sz w:val="32"/>
          <w:szCs w:val="32"/>
        </w:rPr>
        <w:t>%，主要是因为</w:t>
      </w:r>
      <w:r>
        <w:rPr>
          <w:rFonts w:hint="eastAsia" w:ascii="仿宋" w:hAnsi="仿宋" w:eastAsia="仿宋"/>
          <w:sz w:val="32"/>
          <w:szCs w:val="32"/>
        </w:rPr>
        <w:t>业务调整，据实开支</w:t>
      </w:r>
      <w:r>
        <w:rPr>
          <w:rFonts w:hint="eastAsia" w:ascii="仿宋" w:hAnsi="仿宋" w:eastAsia="仿宋"/>
          <w:sz w:val="32"/>
          <w:szCs w:val="32"/>
          <w:lang w:eastAsia="zh-CN"/>
        </w:rPr>
        <w:t>。</w:t>
      </w:r>
    </w:p>
    <w:p>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w:t>
      </w:r>
      <w:r>
        <w:rPr>
          <w:rFonts w:hint="eastAsia" w:ascii="Times New Roman" w:hAnsi="Times New Roman" w:eastAsia="仿宋_GB2312"/>
          <w:sz w:val="32"/>
          <w:szCs w:val="32"/>
          <w:lang w:val="en-US"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10566.63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1072.02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9.21</w:t>
      </w:r>
      <w:r>
        <w:rPr>
          <w:rFonts w:hint="eastAsia" w:ascii="Times New Roman" w:hAnsi="Times New Roman" w:eastAsia="仿宋_GB2312"/>
          <w:sz w:val="32"/>
          <w:szCs w:val="32"/>
        </w:rPr>
        <w:t>%，主要是因为</w:t>
      </w:r>
      <w:r>
        <w:rPr>
          <w:rFonts w:hint="eastAsia" w:ascii="仿宋" w:hAnsi="仿宋" w:eastAsia="仿宋"/>
          <w:sz w:val="32"/>
          <w:szCs w:val="32"/>
        </w:rPr>
        <w:t>业务调整，据实开支</w:t>
      </w:r>
      <w:r>
        <w:rPr>
          <w:rFonts w:hint="eastAsia" w:ascii="仿宋" w:hAnsi="仿宋" w:eastAsia="仿宋"/>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10135.10</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95.92</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增加4351.95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增加75.25</w:t>
      </w:r>
      <w:r>
        <w:rPr>
          <w:rFonts w:hint="eastAsia" w:ascii="Times New Roman" w:hAnsi="Times New Roman" w:eastAsia="仿宋_GB2312"/>
          <w:sz w:val="32"/>
          <w:szCs w:val="32"/>
        </w:rPr>
        <w:t>%，主要是因为</w:t>
      </w:r>
      <w:r>
        <w:rPr>
          <w:rFonts w:hint="eastAsia" w:ascii="仿宋" w:hAnsi="仿宋" w:eastAsia="仿宋"/>
          <w:sz w:val="32"/>
          <w:szCs w:val="32"/>
        </w:rPr>
        <w:t>业务调整，据实开支</w:t>
      </w:r>
      <w:r>
        <w:rPr>
          <w:rFonts w:hint="eastAsia" w:ascii="仿宋" w:hAnsi="仿宋" w:eastAsia="仿宋"/>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10135.10</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公共安全</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9522.9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93.9</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612.2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9978.93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10135.10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101.56</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1、公共安全（类）武装警察部队（款）其他武装警察部队支出（项）。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年初预算为0万元，支出决算为57万元，完成年初预算的100%，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年初预算未将此项纳入本单位本年预算。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lang w:val="en-US" w:eastAsia="zh-CN"/>
        </w:rPr>
        <w:t>公共安全</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公安</w:t>
      </w:r>
      <w:r>
        <w:rPr>
          <w:rFonts w:hint="eastAsia" w:ascii="Times New Roman" w:hAnsi="Times New Roman" w:eastAsia="仿宋_GB2312"/>
          <w:sz w:val="32"/>
          <w:szCs w:val="32"/>
          <w:lang w:eastAsia="zh-CN"/>
        </w:rPr>
        <w:t>（款）行政运行（项）。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5337.13</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5697.80</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lang w:eastAsia="zh-CN"/>
        </w:rPr>
        <w:t>%，决算数大于年初预算数的主要原因是：人员调整，工资、保险基数上调。（</w:t>
      </w:r>
      <w:r>
        <w:rPr>
          <w:rFonts w:hint="eastAsia" w:ascii="Times New Roman" w:hAnsi="Times New Roman" w:eastAsia="仿宋_GB2312"/>
          <w:sz w:val="32"/>
          <w:szCs w:val="32"/>
          <w:lang w:val="en-US" w:eastAsia="zh-CN"/>
        </w:rPr>
        <w:t>24年的公用经费列入此项</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3、公共安全</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公安</w:t>
      </w:r>
      <w:r>
        <w:rPr>
          <w:rFonts w:hint="eastAsia" w:ascii="Times New Roman" w:hAnsi="Times New Roman" w:eastAsia="仿宋_GB2312"/>
          <w:sz w:val="32"/>
          <w:szCs w:val="32"/>
          <w:lang w:eastAsia="zh-CN"/>
        </w:rPr>
        <w:t>（款）特别业务（项）。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280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221.37</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79</w:t>
      </w:r>
      <w:r>
        <w:rPr>
          <w:rFonts w:hint="eastAsia" w:ascii="Times New Roman" w:hAnsi="Times New Roman" w:eastAsia="仿宋_GB2312"/>
          <w:sz w:val="32"/>
          <w:szCs w:val="32"/>
          <w:lang w:eastAsia="zh-CN"/>
        </w:rPr>
        <w:t>%，决算数小于年初预算数的主要原因是：此项目经费主要是两所运转经费及特殊人员收治经费，因额度限制，据实开支。</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4、公共安全</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公安</w:t>
      </w:r>
      <w:r>
        <w:rPr>
          <w:rFonts w:hint="eastAsia" w:ascii="Times New Roman" w:hAnsi="Times New Roman" w:eastAsia="仿宋_GB2312"/>
          <w:sz w:val="32"/>
          <w:szCs w:val="32"/>
          <w:lang w:eastAsia="zh-CN"/>
        </w:rPr>
        <w:t>（款）其他公安支出（项）。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4361.8</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4137.93</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94.8</w:t>
      </w:r>
      <w:r>
        <w:rPr>
          <w:rFonts w:hint="eastAsia" w:ascii="Times New Roman" w:hAnsi="Times New Roman" w:eastAsia="仿宋_GB2312"/>
          <w:sz w:val="32"/>
          <w:szCs w:val="32"/>
          <w:lang w:eastAsia="zh-CN"/>
        </w:rPr>
        <w:t>%，决算数小于年初预算数的主要原因是：因业务调整，据实开支。</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5、社会保障和就业</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lang w:eastAsia="zh-CN"/>
        </w:rPr>
        <w:t>（款）死亡抚恤（项）。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%，据实开支。</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5724.95</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4599.52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80.34</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1524.56万元</w:t>
      </w:r>
      <w:r>
        <w:rPr>
          <w:rFonts w:hint="eastAsia" w:ascii="Times New Roman" w:hAnsi="Times New Roman" w:eastAsia="仿宋_GB2312"/>
          <w:sz w:val="32"/>
          <w:szCs w:val="32"/>
        </w:rPr>
        <w:t xml:space="preserve">、津贴补贴1668.65 </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 xml:space="preserve">、奖金105.29 </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 xml:space="preserve">、绩效工资688.83 </w:t>
      </w:r>
      <w:r>
        <w:rPr>
          <w:rFonts w:hint="eastAsia" w:ascii="Times New Roman" w:hAnsi="Times New Roman" w:eastAsia="仿宋_GB2312"/>
          <w:sz w:val="32"/>
          <w:szCs w:val="32"/>
          <w:lang w:val="en-US" w:eastAsia="zh-CN"/>
        </w:rPr>
        <w:t>万元、机关事业单位基本养老保险缴费389.63 万元、职工基本医疗保险缴费216.20 万元、其他社会保障缴费6.29万元、医疗费0.08万元</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1125.43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19.66</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131.66万元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50.00万元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水费10.00万元、电费130.00万元、邮电费10.00万元、物业管理费43.00万元、差旅费118.00万元、维修（护）费30.00万元、会议费18.30万元、培训费40.00万元、公务接待费10.73万元、被装购置费20.00万元、劳务费20.00万元、委托业务费40.00万元、工会经费120.00万元、公务用车运行维护费137.37万元、其他交通费用120.96万元、其他商品和服务支出75.40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193.42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57.39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业务调整，据实开支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120.17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38.32</w:t>
      </w:r>
      <w:r>
        <w:rPr>
          <w:rFonts w:hint="eastAsia" w:ascii="Times New Roman" w:hAnsi="Times New Roman" w:eastAsia="仿宋_GB2312"/>
          <w:sz w:val="32"/>
          <w:szCs w:val="32"/>
        </w:rPr>
        <w:t>%,减少的主要原因是</w:t>
      </w:r>
      <w:r>
        <w:rPr>
          <w:rFonts w:hint="eastAsia" w:ascii="仿宋" w:hAnsi="仿宋" w:eastAsia="仿宋" w:cs="仿宋"/>
          <w:color w:val="000000"/>
          <w:sz w:val="32"/>
          <w:szCs w:val="32"/>
        </w:rPr>
        <w:t>2024年未新购车辆</w:t>
      </w:r>
      <w:r>
        <w:rPr>
          <w:rFonts w:hint="eastAsia" w:ascii="仿宋" w:hAnsi="仿宋" w:eastAsia="仿宋" w:cs="仿宋"/>
          <w:color w:val="000000"/>
          <w:sz w:val="32"/>
          <w:szCs w:val="32"/>
          <w:lang w:val="en-US" w:eastAsia="zh-CN"/>
        </w:rPr>
        <w:t>及厉行节约反对浪费精神，加强公务接待管理，严格控制相关费用</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基本持平。</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10.73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26.83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业务调整</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3.10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22.42</w:t>
      </w:r>
      <w:r>
        <w:rPr>
          <w:rFonts w:hint="eastAsia" w:ascii="Times New Roman" w:hAnsi="Times New Roman" w:eastAsia="仿宋_GB2312"/>
          <w:sz w:val="32"/>
          <w:szCs w:val="32"/>
        </w:rPr>
        <w:t>%,减少（增长）的主要原因是</w:t>
      </w:r>
      <w:r>
        <w:rPr>
          <w:rFonts w:hint="eastAsia" w:ascii="仿宋" w:hAnsi="仿宋" w:eastAsia="仿宋" w:cs="仿宋"/>
          <w:color w:val="000000"/>
          <w:sz w:val="32"/>
          <w:szCs w:val="32"/>
        </w:rPr>
        <w:t>严格贯彻落实厉行节约反对浪费精神，加强公务接待管理，严格控制相关费用，支出相应减少。</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基本持平。</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182.69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61.51</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业务调整</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117.07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39.05</w:t>
      </w:r>
      <w:r>
        <w:rPr>
          <w:rFonts w:hint="eastAsia" w:ascii="Times New Roman" w:hAnsi="Times New Roman" w:eastAsia="仿宋_GB2312"/>
          <w:sz w:val="32"/>
          <w:szCs w:val="32"/>
        </w:rPr>
        <w:t>%,减少的主要原因是</w:t>
      </w:r>
      <w:r>
        <w:rPr>
          <w:rFonts w:hint="eastAsia" w:ascii="仿宋" w:hAnsi="仿宋" w:eastAsia="仿宋" w:cs="仿宋"/>
          <w:color w:val="000000"/>
          <w:sz w:val="32"/>
          <w:szCs w:val="32"/>
        </w:rPr>
        <w:t>2024年</w:t>
      </w:r>
      <w:r>
        <w:rPr>
          <w:rFonts w:hint="eastAsia" w:ascii="仿宋" w:hAnsi="仿宋" w:eastAsia="仿宋" w:cs="仿宋"/>
          <w:color w:val="000000"/>
          <w:sz w:val="32"/>
          <w:szCs w:val="32"/>
          <w:lang w:eastAsia="zh-CN"/>
        </w:rPr>
        <w:t>部分账款未付</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度“三公”经费财政拨款支出决算中，公务接待费支出决算10.73 万元，占</w:t>
      </w:r>
      <w:r>
        <w:rPr>
          <w:rFonts w:hint="eastAsia" w:ascii="Times New Roman" w:hAnsi="Times New Roman" w:eastAsia="仿宋_GB2312"/>
          <w:sz w:val="32"/>
          <w:szCs w:val="32"/>
          <w:lang w:val="en-US" w:eastAsia="zh-CN"/>
        </w:rPr>
        <w:t>5.55</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%,公务用车购置费及运行维护费支出决算182.69 万元，占</w:t>
      </w:r>
      <w:r>
        <w:rPr>
          <w:rFonts w:hint="eastAsia" w:ascii="Times New Roman" w:hAnsi="Times New Roman" w:eastAsia="仿宋_GB2312"/>
          <w:sz w:val="32"/>
          <w:szCs w:val="32"/>
          <w:lang w:val="en-US" w:eastAsia="zh-CN"/>
        </w:rPr>
        <w:t>94.45</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10.73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895</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上级单位检查调研、跨区域警务协作、专项任务保障、业务交流</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182.69</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道县公安局</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182.69</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维修、加油、保险等</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度政府性基金预算财政拨款收入431.53万元；年初结转和结余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color w:val="auto"/>
          <w:sz w:val="32"/>
          <w:szCs w:val="32"/>
          <w:lang w:val="en-US" w:eastAsia="zh-CN"/>
        </w:rPr>
        <w:t>431.53</w:t>
      </w:r>
      <w:r>
        <w:rPr>
          <w:rFonts w:hint="eastAsia" w:ascii="Times New Roman" w:hAnsi="Times New Roman" w:eastAsia="仿宋_GB2312"/>
          <w:color w:val="auto"/>
          <w:sz w:val="32"/>
          <w:szCs w:val="32"/>
        </w:rPr>
        <w:t>万</w:t>
      </w:r>
      <w:r>
        <w:rPr>
          <w:rFonts w:hint="eastAsia" w:ascii="Times New Roman" w:hAnsi="Times New Roman" w:eastAsia="仿宋_GB2312"/>
          <w:sz w:val="32"/>
          <w:szCs w:val="32"/>
        </w:rPr>
        <w:t>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431.53</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国有土地使用权出让收入安排的支出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农村基础设施建设支出</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雪亮工程—电子监控租赁费</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1429.58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431.53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项目支出变动。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1125.43</w:t>
      </w:r>
      <w:r>
        <w:rPr>
          <w:rFonts w:hint="eastAsia" w:ascii="Times New Roman" w:hAnsi="Times New Roman" w:eastAsia="仿宋_GB2312"/>
          <w:sz w:val="32"/>
          <w:szCs w:val="32"/>
        </w:rPr>
        <w:t>万元，比年初预算数（或者上年决算数）减少</w:t>
      </w:r>
      <w:r>
        <w:rPr>
          <w:rFonts w:hint="eastAsia" w:ascii="Times New Roman" w:hAnsi="Times New Roman" w:eastAsia="仿宋_GB2312"/>
          <w:sz w:val="32"/>
          <w:szCs w:val="32"/>
          <w:lang w:val="en-US" w:eastAsia="zh-CN"/>
        </w:rPr>
        <w:t>250.6</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18.21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根据厉行节约原则，本单位的一些日常运转开支较上年相对减少</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spacing w:before="258" w:line="368" w:lineRule="auto"/>
        <w:ind w:firstLine="659"/>
        <w:rPr>
          <w:rFonts w:ascii="仿宋" w:hAnsi="仿宋" w:eastAsia="仿宋" w:cs="仿宋"/>
          <w:sz w:val="32"/>
          <w:szCs w:val="32"/>
        </w:rPr>
      </w:pPr>
      <w:r>
        <w:rPr>
          <w:rFonts w:hint="eastAsia" w:ascii="Times New Roman" w:hAnsi="Times New Roman" w:eastAsia="仿宋_GB2312" w:cs="黑体"/>
          <w:color w:val="000000"/>
          <w:kern w:val="0"/>
          <w:sz w:val="32"/>
          <w:szCs w:val="32"/>
          <w:lang w:val="en-US" w:eastAsia="zh-CN" w:bidi="ar-SA"/>
        </w:rPr>
        <w:t>2024年本部门开支会议费18.3万元，用于召开反假币调研工作会议、刑侦助力认亲会议等，人数363人，内容为反假币调研工作会议、刑侦助力认亲会议等；开支培训费41.44万元，</w:t>
      </w:r>
      <w:r>
        <w:rPr>
          <w:rFonts w:ascii="仿宋" w:hAnsi="仿宋" w:eastAsia="仿宋" w:cs="仿宋"/>
          <w:spacing w:val="-21"/>
          <w:sz w:val="32"/>
          <w:szCs w:val="32"/>
        </w:rPr>
        <w:t>用于新警培训及警衔培训培训</w:t>
      </w:r>
      <w:r>
        <w:rPr>
          <w:rFonts w:hint="eastAsia" w:ascii="仿宋" w:hAnsi="仿宋" w:eastAsia="仿宋" w:cs="仿宋"/>
          <w:spacing w:val="-21"/>
          <w:sz w:val="32"/>
          <w:szCs w:val="32"/>
          <w:lang w:eastAsia="zh-CN"/>
        </w:rPr>
        <w:t>、业务技术培训等，</w:t>
      </w:r>
      <w:r>
        <w:rPr>
          <w:rFonts w:ascii="仿宋" w:hAnsi="仿宋" w:eastAsia="仿宋" w:cs="仿宋"/>
          <w:spacing w:val="-21"/>
          <w:sz w:val="32"/>
          <w:szCs w:val="32"/>
        </w:rPr>
        <w:t>人数</w:t>
      </w:r>
      <w:r>
        <w:rPr>
          <w:rFonts w:ascii="仿宋" w:hAnsi="仿宋" w:eastAsia="仿宋" w:cs="仿宋"/>
          <w:spacing w:val="-61"/>
          <w:sz w:val="32"/>
          <w:szCs w:val="32"/>
        </w:rPr>
        <w:t xml:space="preserve"> </w:t>
      </w:r>
      <w:r>
        <w:rPr>
          <w:rFonts w:hint="eastAsia" w:ascii="仿宋" w:hAnsi="仿宋" w:eastAsia="仿宋" w:cs="仿宋"/>
          <w:spacing w:val="-21"/>
          <w:sz w:val="32"/>
          <w:szCs w:val="32"/>
          <w:lang w:val="en-US" w:eastAsia="zh-CN"/>
        </w:rPr>
        <w:t>10</w:t>
      </w:r>
      <w:r>
        <w:rPr>
          <w:rFonts w:ascii="仿宋" w:hAnsi="仿宋" w:eastAsia="仿宋" w:cs="仿宋"/>
          <w:spacing w:val="-21"/>
          <w:sz w:val="32"/>
          <w:szCs w:val="32"/>
        </w:rPr>
        <w:t>0</w:t>
      </w:r>
      <w:r>
        <w:rPr>
          <w:rFonts w:ascii="仿宋" w:hAnsi="仿宋" w:eastAsia="仿宋" w:cs="仿宋"/>
          <w:spacing w:val="-53"/>
          <w:sz w:val="32"/>
          <w:szCs w:val="32"/>
        </w:rPr>
        <w:t xml:space="preserve"> </w:t>
      </w:r>
      <w:r>
        <w:rPr>
          <w:rFonts w:ascii="仿宋" w:hAnsi="仿宋" w:eastAsia="仿宋" w:cs="仿宋"/>
          <w:spacing w:val="-21"/>
          <w:sz w:val="32"/>
          <w:szCs w:val="32"/>
        </w:rPr>
        <w:t>人，</w:t>
      </w:r>
      <w:r>
        <w:rPr>
          <w:rFonts w:ascii="仿宋" w:hAnsi="仿宋" w:eastAsia="仿宋" w:cs="仿宋"/>
          <w:spacing w:val="-54"/>
          <w:sz w:val="32"/>
          <w:szCs w:val="32"/>
        </w:rPr>
        <w:t xml:space="preserve"> </w:t>
      </w:r>
      <w:r>
        <w:rPr>
          <w:rFonts w:ascii="仿宋" w:hAnsi="仿宋" w:eastAsia="仿宋" w:cs="仿宋"/>
          <w:spacing w:val="-21"/>
          <w:sz w:val="32"/>
          <w:szCs w:val="32"/>
        </w:rPr>
        <w:t>内容为</w:t>
      </w:r>
      <w:r>
        <w:rPr>
          <w:rFonts w:ascii="仿宋" w:hAnsi="仿宋" w:eastAsia="仿宋" w:cs="仿宋"/>
          <w:sz w:val="32"/>
          <w:szCs w:val="32"/>
        </w:rPr>
        <w:t xml:space="preserve"> </w:t>
      </w:r>
      <w:r>
        <w:rPr>
          <w:rFonts w:ascii="仿宋" w:hAnsi="仿宋" w:eastAsia="仿宋" w:cs="仿宋"/>
          <w:spacing w:val="-11"/>
          <w:sz w:val="32"/>
          <w:szCs w:val="32"/>
        </w:rPr>
        <w:t>202</w:t>
      </w:r>
      <w:r>
        <w:rPr>
          <w:rFonts w:hint="eastAsia" w:ascii="仿宋" w:hAnsi="仿宋" w:eastAsia="仿宋" w:cs="仿宋"/>
          <w:spacing w:val="-11"/>
          <w:sz w:val="32"/>
          <w:szCs w:val="32"/>
          <w:lang w:val="en-US" w:eastAsia="zh-CN"/>
        </w:rPr>
        <w:t>4</w:t>
      </w:r>
      <w:r>
        <w:rPr>
          <w:rFonts w:ascii="仿宋" w:hAnsi="仿宋" w:eastAsia="仿宋" w:cs="仿宋"/>
          <w:spacing w:val="-43"/>
          <w:sz w:val="32"/>
          <w:szCs w:val="32"/>
        </w:rPr>
        <w:t xml:space="preserve"> </w:t>
      </w:r>
      <w:r>
        <w:rPr>
          <w:rFonts w:ascii="仿宋" w:hAnsi="仿宋" w:eastAsia="仿宋" w:cs="仿宋"/>
          <w:spacing w:val="-11"/>
          <w:sz w:val="32"/>
          <w:szCs w:val="32"/>
        </w:rPr>
        <w:t>年度新警培训及民警晋升警衔培训</w:t>
      </w:r>
      <w:r>
        <w:rPr>
          <w:rFonts w:hint="eastAsia" w:ascii="仿宋" w:hAnsi="仿宋" w:eastAsia="仿宋" w:cs="仿宋"/>
          <w:spacing w:val="-11"/>
          <w:sz w:val="32"/>
          <w:szCs w:val="32"/>
          <w:lang w:eastAsia="zh-CN"/>
        </w:rPr>
        <w:t>、</w:t>
      </w:r>
      <w:r>
        <w:rPr>
          <w:rFonts w:hint="eastAsia" w:ascii="仿宋" w:hAnsi="仿宋" w:eastAsia="仿宋" w:cs="仿宋"/>
          <w:spacing w:val="-21"/>
          <w:sz w:val="32"/>
          <w:szCs w:val="32"/>
          <w:lang w:eastAsia="zh-CN"/>
        </w:rPr>
        <w:t>业务技术培训</w:t>
      </w:r>
      <w:r>
        <w:rPr>
          <w:rFonts w:hint="eastAsia" w:ascii="仿宋" w:hAnsi="仿宋" w:eastAsia="仿宋" w:cs="仿宋"/>
          <w:spacing w:val="-21"/>
          <w:sz w:val="32"/>
          <w:szCs w:val="32"/>
          <w:lang w:val="en-US" w:eastAsia="zh-CN"/>
        </w:rPr>
        <w:t xml:space="preserve"> </w:t>
      </w:r>
      <w:r>
        <w:rPr>
          <w:rFonts w:hint="eastAsia" w:ascii="Times New Roman" w:hAnsi="Times New Roman" w:eastAsia="仿宋_GB2312"/>
          <w:sz w:val="32"/>
          <w:szCs w:val="32"/>
        </w:rPr>
        <w:t>；</w:t>
      </w:r>
      <w:r>
        <w:rPr>
          <w:rFonts w:ascii="仿宋" w:hAnsi="仿宋" w:eastAsia="仿宋" w:cs="仿宋"/>
          <w:spacing w:val="-11"/>
          <w:sz w:val="32"/>
          <w:szCs w:val="32"/>
        </w:rPr>
        <w:t>未举办节庆、晚会、论坛、赛事活动。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899</w:t>
      </w:r>
      <w:r>
        <w:rPr>
          <w:rFonts w:hint="eastAsia" w:ascii="Times New Roman" w:hAnsi="Times New Roman" w:eastAsia="仿宋_GB2312"/>
          <w:sz w:val="32"/>
          <w:szCs w:val="32"/>
        </w:rPr>
        <w:t>.45 万元，其中：政府采购货物支出249.45万元、政府采购工程支出300.00 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350.00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38.91</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180.00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51.43</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48.57</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58</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执法执勤用车</w:t>
      </w:r>
      <w:r>
        <w:rPr>
          <w:rFonts w:hint="eastAsia" w:ascii="Times New Roman" w:hAnsi="Times New Roman" w:eastAsia="仿宋_GB2312"/>
          <w:color w:val="auto"/>
          <w:sz w:val="32"/>
          <w:szCs w:val="32"/>
          <w:lang w:val="en-US" w:eastAsia="zh-CN"/>
        </w:rPr>
        <w:t>56</w:t>
      </w:r>
      <w:r>
        <w:rPr>
          <w:rFonts w:hint="eastAsia" w:ascii="Times New Roman" w:hAnsi="Times New Roman" w:eastAsia="仿宋_GB2312"/>
          <w:color w:val="auto"/>
          <w:sz w:val="32"/>
          <w:szCs w:val="32"/>
        </w:rPr>
        <w:t>辆、</w:t>
      </w:r>
      <w:r>
        <w:rPr>
          <w:rFonts w:ascii="仿宋" w:hAnsi="仿宋" w:eastAsia="仿宋" w:cs="仿宋"/>
          <w:spacing w:val="-8"/>
          <w:sz w:val="32"/>
          <w:szCs w:val="32"/>
        </w:rPr>
        <w:t>特种专业技术用车</w:t>
      </w:r>
      <w:r>
        <w:rPr>
          <w:rFonts w:ascii="仿宋" w:hAnsi="仿宋" w:eastAsia="仿宋" w:cs="仿宋"/>
          <w:spacing w:val="-65"/>
          <w:sz w:val="32"/>
          <w:szCs w:val="32"/>
        </w:rPr>
        <w:t xml:space="preserve"> </w:t>
      </w:r>
      <w:r>
        <w:rPr>
          <w:rFonts w:ascii="仿宋" w:hAnsi="仿宋" w:eastAsia="仿宋" w:cs="仿宋"/>
          <w:spacing w:val="-8"/>
          <w:sz w:val="32"/>
          <w:szCs w:val="32"/>
        </w:rPr>
        <w:t>2</w:t>
      </w:r>
      <w:r>
        <w:rPr>
          <w:rFonts w:ascii="仿宋" w:hAnsi="仿宋" w:eastAsia="仿宋" w:cs="仿宋"/>
          <w:spacing w:val="-60"/>
          <w:sz w:val="32"/>
          <w:szCs w:val="32"/>
        </w:rPr>
        <w:t xml:space="preserve"> </w:t>
      </w:r>
      <w:r>
        <w:rPr>
          <w:rFonts w:ascii="仿宋" w:hAnsi="仿宋" w:eastAsia="仿宋" w:cs="仿宋"/>
          <w:spacing w:val="-8"/>
          <w:sz w:val="32"/>
          <w:szCs w:val="32"/>
        </w:rPr>
        <w:t>辆</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本部门预算绩效管理开展情况、绩效目标和绩效评价报告等见附件。</w:t>
      </w: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b/>
          <w:bCs/>
          <w:color w:val="000000"/>
          <w:kern w:val="0"/>
          <w:sz w:val="32"/>
          <w:szCs w:val="32"/>
        </w:rPr>
        <w:t>一、基础财务术语</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一</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财政拨款收入：指单位从同级财政部门取得的各类财政拨款，包括一般公共预算拨款、政府性基金预算拨款等。</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二</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事业收入：指单位开展专业业务活动及辅助活动取得的收入（公安部门可能涉及的行政事业性收费等）。</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三</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基本支出：指为保障单位正常运转、完成日常工作任务而发生的人员经费和公用经费，如工资福利支出、办公费等。</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四</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项目支出：指单位为完成特定工作任务或事业发展目标，在基本支出之外发生的专项支出，如办案经费、设备购置等。</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五</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“三公”经费：指政府部门和事业单位在公务活动中发生的因公出国（境）费、公务用车购置及运行费、公务接待费这三项经费的支出总和，是衡量行政单位行政成本和作风建设的重要指标。</w:t>
      </w:r>
    </w:p>
    <w:p>
      <w:pPr>
        <w:pStyle w:val="2"/>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具体包括：</w:t>
      </w:r>
    </w:p>
    <w:p>
      <w:pPr>
        <w:pStyle w:val="2"/>
        <w:keepNext w:val="0"/>
        <w:keepLines w:val="0"/>
        <w:pageBreakBefore w:val="0"/>
        <w:widowControl/>
        <w:kinsoku/>
        <w:wordWrap/>
        <w:overflowPunct/>
        <w:topLinePunct w:val="0"/>
        <w:autoSpaceDE/>
        <w:autoSpaceDN/>
        <w:bidi w:val="0"/>
        <w:adjustRightInd/>
        <w:snapToGrid/>
        <w:spacing w:after="0"/>
        <w:textAlignment w:val="auto"/>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因公出国（境）费：单位工作人员公务出国（境）的住宿费、旅费、伙食补助费、杂费、培训费等支出。</w:t>
      </w:r>
    </w:p>
    <w:p>
      <w:pPr>
        <w:pStyle w:val="2"/>
        <w:keepNext w:val="0"/>
        <w:keepLines w:val="0"/>
        <w:pageBreakBefore w:val="0"/>
        <w:widowControl/>
        <w:kinsoku/>
        <w:wordWrap/>
        <w:overflowPunct/>
        <w:topLinePunct w:val="0"/>
        <w:autoSpaceDE/>
        <w:autoSpaceDN/>
        <w:bidi w:val="0"/>
        <w:adjustRightInd/>
        <w:snapToGrid/>
        <w:spacing w:after="0"/>
        <w:textAlignment w:val="auto"/>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公务用车购置及运行费：单位公务用车购置支出（含车辆购置税、牌照费等），以及公务用车租用费、燃料费、维修费、过桥过路费、保险费、安全奖励费等运行支出。</w:t>
      </w:r>
    </w:p>
    <w:p>
      <w:pPr>
        <w:pStyle w:val="2"/>
        <w:keepNext w:val="0"/>
        <w:keepLines w:val="0"/>
        <w:pageBreakBefore w:val="0"/>
        <w:widowControl/>
        <w:kinsoku/>
        <w:wordWrap/>
        <w:overflowPunct/>
        <w:topLinePunct w:val="0"/>
        <w:autoSpaceDE/>
        <w:autoSpaceDN/>
        <w:bidi w:val="0"/>
        <w:adjustRightInd/>
        <w:snapToGrid/>
        <w:spacing w:after="0"/>
        <w:textAlignment w:val="auto"/>
        <w:rPr>
          <w:rFonts w:hint="default" w:eastAsia="宋体"/>
          <w:lang w:val="en-US" w:eastAsia="zh-CN"/>
        </w:rPr>
      </w:pPr>
      <w:r>
        <w:rPr>
          <w:rFonts w:hint="eastAsia" w:cs="黑体" w:asciiTheme="minorEastAsia" w:hAnsiTheme="minorEastAsia"/>
          <w:color w:val="000000"/>
          <w:kern w:val="0"/>
          <w:sz w:val="32"/>
          <w:szCs w:val="32"/>
          <w:lang w:val="en-US" w:eastAsia="zh-CN"/>
        </w:rPr>
        <w:t>公务接待费：单位按规定开支的各类公务接待（含外宾接待）费用，包括因工作需要安排的用餐、住宿等支出。</w:t>
      </w:r>
    </w:p>
    <w:p>
      <w:pPr>
        <w:ind w:firstLine="640" w:firstLineChars="200"/>
        <w:jc w:val="left"/>
        <w:rPr>
          <w:rFonts w:hint="eastAsia" w:cs="黑体" w:asciiTheme="minorEastAsia" w:hAnsiTheme="minorEastAsia"/>
          <w:b/>
          <w:bCs/>
          <w:color w:val="000000"/>
          <w:kern w:val="0"/>
          <w:sz w:val="32"/>
          <w:szCs w:val="32"/>
          <w:lang w:eastAsia="zh-CN"/>
        </w:rPr>
      </w:pPr>
      <w:r>
        <w:rPr>
          <w:rFonts w:hint="eastAsia" w:cs="黑体" w:asciiTheme="minorEastAsia" w:hAnsiTheme="minorEastAsia"/>
          <w:b/>
          <w:bCs/>
          <w:color w:val="000000"/>
          <w:kern w:val="0"/>
          <w:sz w:val="32"/>
          <w:szCs w:val="32"/>
        </w:rPr>
        <w:t>二、公安业务相关术语</w:t>
      </w:r>
    </w:p>
    <w:p>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一</w:t>
      </w:r>
      <w:r>
        <w:rPr>
          <w:rFonts w:hint="eastAsia" w:cs="黑体" w:asciiTheme="minorEastAsia" w:hAnsiTheme="minorEastAsia"/>
          <w:color w:val="000000"/>
          <w:kern w:val="0"/>
          <w:sz w:val="32"/>
          <w:szCs w:val="32"/>
          <w:lang w:eastAsia="zh-CN"/>
        </w:rPr>
        <w:t>）公安业务经费：指用于保障公安机关履行刑事侦查、治安管理、交通管理、应急处突等法定职责的专项经费。</w:t>
      </w:r>
    </w:p>
    <w:p>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二</w:t>
      </w:r>
      <w:r>
        <w:rPr>
          <w:rFonts w:hint="eastAsia" w:cs="黑体" w:asciiTheme="minorEastAsia" w:hAnsiTheme="minorEastAsia"/>
          <w:color w:val="000000"/>
          <w:kern w:val="0"/>
          <w:sz w:val="32"/>
          <w:szCs w:val="32"/>
          <w:lang w:eastAsia="zh-CN"/>
        </w:rPr>
        <w:t>）装备购置支出：指用于公安机关购置执法执勤车辆、通讯设备、防护装备、刑侦技术设备等固定资产的支出。</w:t>
      </w:r>
    </w:p>
    <w:p>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三</w:t>
      </w:r>
      <w:r>
        <w:rPr>
          <w:rFonts w:hint="eastAsia" w:cs="黑体" w:asciiTheme="minorEastAsia" w:hAnsiTheme="minorEastAsia"/>
          <w:color w:val="000000"/>
          <w:kern w:val="0"/>
          <w:sz w:val="32"/>
          <w:szCs w:val="32"/>
          <w:lang w:eastAsia="zh-CN"/>
        </w:rPr>
        <w:t>）人员经费：指用于支付公安民警、辅警等人员的工资、津贴补贴、奖金、社会保障缴费等支出。</w:t>
      </w:r>
    </w:p>
    <w:p>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四</w:t>
      </w:r>
      <w:r>
        <w:rPr>
          <w:rFonts w:hint="eastAsia" w:cs="黑体" w:asciiTheme="minorEastAsia" w:hAnsiTheme="minorEastAsia"/>
          <w:color w:val="000000"/>
          <w:kern w:val="0"/>
          <w:sz w:val="32"/>
          <w:szCs w:val="32"/>
          <w:lang w:eastAsia="zh-CN"/>
        </w:rPr>
        <w:t>）公用经费：指用于公安机关日常办公、水电、差旅、会议、培训等维持单位运转的支出。</w:t>
      </w:r>
    </w:p>
    <w:p>
      <w:pPr>
        <w:pStyle w:val="2"/>
        <w:ind w:left="0" w:leftChars="0" w:firstLine="640" w:firstLineChars="200"/>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五</w:t>
      </w:r>
      <w:r>
        <w:rPr>
          <w:rFonts w:hint="eastAsia" w:cs="黑体" w:asciiTheme="minorEastAsia" w:hAnsiTheme="minorEastAsia"/>
          <w:color w:val="000000"/>
          <w:kern w:val="0"/>
          <w:sz w:val="32"/>
          <w:szCs w:val="32"/>
          <w:lang w:eastAsia="zh-CN"/>
        </w:rPr>
        <w:t>）机关运行经费：指各级党的机关、人大机关、行政机关、政协机关、监察机关、审判机关、检察机关，以及工会、共青团、妇联等人民团体和参照公务员法管理的事业单位，为保障其正常运转和履行职能所发生的各项公用经费支出。</w:t>
      </w:r>
    </w:p>
    <w:p>
      <w:pPr>
        <w:pStyle w:val="2"/>
        <w:ind w:left="0" w:leftChars="0" w:firstLine="640" w:firstLineChars="200"/>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具体范围通常包括：</w:t>
      </w:r>
    </w:p>
    <w:p>
      <w:pPr>
        <w:pStyle w:val="2"/>
        <w:ind w:left="0" w:leftChars="0" w:firstLine="640" w:firstLineChars="200"/>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办公及印刷费、邮电费、差旅费、会议费、福利费、日常维修费、专用材料及一般设备购置费；办公用房水电费、办公用房取暖费、办公用房物业管理费；公务用车运行维护费（如燃料费、维修费、保险费等）以及其他费用等。</w:t>
      </w:r>
    </w:p>
    <w:p>
      <w:pPr>
        <w:pStyle w:val="2"/>
        <w:ind w:left="0" w:leftChars="0" w:firstLine="640" w:firstLineChars="200"/>
        <w:rPr>
          <w:rFonts w:cs="黑体" w:asciiTheme="minorEastAsia" w:hAnsiTheme="minorEastAsia"/>
          <w:color w:val="000000"/>
          <w:kern w:val="0"/>
          <w:sz w:val="32"/>
          <w:szCs w:val="32"/>
        </w:rPr>
      </w:pPr>
      <w:r>
        <w:rPr>
          <w:rFonts w:hint="eastAsia" w:cs="黑体" w:asciiTheme="minorEastAsia" w:hAnsiTheme="minorEastAsia"/>
          <w:b/>
          <w:bCs/>
          <w:color w:val="000000"/>
          <w:kern w:val="0"/>
          <w:sz w:val="32"/>
          <w:szCs w:val="32"/>
        </w:rPr>
        <w:t>三、决算报表专用术语</w:t>
      </w:r>
    </w:p>
    <w:p>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（一）年初结转和结余：指上一年度尚未完成、结转到本年度按规定继续使用的资金，以及上年度结余的资金。</w:t>
      </w:r>
    </w:p>
    <w:p>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（二）年末结转和结余：指本年度收支相抵后剩余的、按规定可结转下年度继续使用的资金。</w:t>
      </w:r>
    </w:p>
    <w:p>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（三）支出功能分类科目：按政府职能划分的支出类别，如“公共安全支出”下的“公安”“治安管理”等明细科目，用于反映资金的用途方向。</w:t>
      </w:r>
    </w:p>
    <w:p>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（四）支出经济分类科目：按支出的经济性质和具体用途划分的类别，如“工资福利支出”“商品和服务支出”“资本性支出”等，用于反映资金的具体使用形式。</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rPr>
          <w:sz w:val="72"/>
          <w:szCs w:val="72"/>
        </w:rPr>
      </w:pPr>
      <w:r>
        <w:rPr>
          <w:sz w:val="72"/>
          <w:szCs w:val="72"/>
        </w:rPr>
        <w:br w:type="page"/>
      </w: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045285"/>
    <w:rsid w:val="02C901D1"/>
    <w:rsid w:val="07EF46DA"/>
    <w:rsid w:val="08D76BB3"/>
    <w:rsid w:val="0A01333E"/>
    <w:rsid w:val="0C381616"/>
    <w:rsid w:val="0CA9447C"/>
    <w:rsid w:val="0EB14497"/>
    <w:rsid w:val="160C46A9"/>
    <w:rsid w:val="196E2D03"/>
    <w:rsid w:val="1D0B54C3"/>
    <w:rsid w:val="1D97DEFF"/>
    <w:rsid w:val="1DEA7F20"/>
    <w:rsid w:val="1DFF72E5"/>
    <w:rsid w:val="1EFC6F07"/>
    <w:rsid w:val="20F47E45"/>
    <w:rsid w:val="21EA0C7F"/>
    <w:rsid w:val="237F295E"/>
    <w:rsid w:val="25733CB3"/>
    <w:rsid w:val="274A3283"/>
    <w:rsid w:val="29E56D4B"/>
    <w:rsid w:val="2DB64665"/>
    <w:rsid w:val="2FDF85B8"/>
    <w:rsid w:val="2FFFEE04"/>
    <w:rsid w:val="33B92FF2"/>
    <w:rsid w:val="34DF85B0"/>
    <w:rsid w:val="358931C8"/>
    <w:rsid w:val="3B8F36BC"/>
    <w:rsid w:val="491FF225"/>
    <w:rsid w:val="4DE230D4"/>
    <w:rsid w:val="4DF30A44"/>
    <w:rsid w:val="4FAD1FD2"/>
    <w:rsid w:val="4FC4743C"/>
    <w:rsid w:val="4FFD214C"/>
    <w:rsid w:val="51B0369E"/>
    <w:rsid w:val="5777D4F5"/>
    <w:rsid w:val="59DD8326"/>
    <w:rsid w:val="5DEF592A"/>
    <w:rsid w:val="5FC6BB1E"/>
    <w:rsid w:val="5FF720F1"/>
    <w:rsid w:val="649317EA"/>
    <w:rsid w:val="67FF5C0B"/>
    <w:rsid w:val="69936556"/>
    <w:rsid w:val="6A4353E7"/>
    <w:rsid w:val="6EFC0924"/>
    <w:rsid w:val="6FB74722"/>
    <w:rsid w:val="6FBE248C"/>
    <w:rsid w:val="6FEF8B7E"/>
    <w:rsid w:val="71A6591B"/>
    <w:rsid w:val="737D59BA"/>
    <w:rsid w:val="77C37683"/>
    <w:rsid w:val="79FF515B"/>
    <w:rsid w:val="7A015AA9"/>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qFormat/>
    <w:uiPriority w:val="0"/>
    <w:pPr>
      <w:jc w:val="left"/>
    </w:pPr>
    <w:rPr>
      <w:rFonts w:cs="Times New Roman"/>
      <w:kern w:val="0"/>
      <w:sz w:val="24"/>
      <w:szCs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cjk"/>
    <w:basedOn w:val="1"/>
    <w:qFormat/>
    <w:uiPriority w:val="0"/>
    <w:pPr>
      <w:widowControl/>
      <w:spacing w:before="100" w:beforeAutospacing="1" w:after="119"/>
    </w:pPr>
    <w:rPr>
      <w:rFonts w:ascii="宋体" w:hAnsi="宋体" w:cs="宋体"/>
      <w:color w:val="000000"/>
      <w:kern w:val="0"/>
      <w:sz w:val="20"/>
      <w:szCs w:val="20"/>
    </w:rPr>
  </w:style>
  <w:style w:type="paragraph" w:customStyle="1" w:styleId="20">
    <w:name w:val="正文-公1"/>
    <w:basedOn w:val="21"/>
    <w:next w:val="1"/>
    <w:qFormat/>
    <w:uiPriority w:val="0"/>
    <w:pPr>
      <w:ind w:firstLine="200" w:firstLine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7870</Words>
  <Characters>10016</Characters>
  <Lines>63</Lines>
  <Paragraphs>18</Paragraphs>
  <TotalTime>4</TotalTime>
  <ScaleCrop>false</ScaleCrop>
  <LinksUpToDate>false</LinksUpToDate>
  <CharactersWithSpaces>10982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2025-08-27T09:46:07Z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BEDCF3129A974E8BA0E824026011978E_13</vt:lpwstr>
  </property>
  <property fmtid="{D5CDD505-2E9C-101B-9397-08002B2CF9AE}" pid="4" name="KSOTemplateDocerSaveRecord">
    <vt:lpwstr>eyJoZGlkIjoiODVlNzNiZGQxMzAyMTZjMTQzYjU4YWE0MDIwOWNmMTYifQ==</vt:lpwstr>
  </property>
</Properties>
</file>