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02DFC">
      <w:pPr>
        <w:adjustRightInd w:val="0"/>
        <w:spacing w:line="600" w:lineRule="exact"/>
        <w:jc w:val="center"/>
        <w:rPr>
          <w:rFonts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2024年</w:t>
      </w:r>
      <w:r>
        <w:rPr>
          <w:rFonts w:hint="eastAsia" w:ascii="楷体" w:hAnsi="楷体" w:eastAsia="楷体" w:cs="楷体"/>
          <w:b/>
          <w:sz w:val="36"/>
          <w:szCs w:val="36"/>
        </w:rPr>
        <w:t>道县老干部服务中心</w:t>
      </w:r>
      <w:r>
        <w:rPr>
          <w:rFonts w:hint="eastAsia" w:ascii="楷体" w:hAnsi="楷体" w:eastAsia="楷体" w:cs="楷体"/>
          <w:sz w:val="36"/>
          <w:szCs w:val="36"/>
        </w:rPr>
        <w:t>整体支出绩效评价报告</w:t>
      </w:r>
    </w:p>
    <w:p w14:paraId="7A6F3D23">
      <w:pPr>
        <w:pStyle w:val="14"/>
        <w:spacing w:line="660" w:lineRule="exact"/>
        <w:ind w:firstLine="753" w:firstLineChars="250"/>
        <w:rPr>
          <w:rFonts w:ascii="楷体" w:hAnsi="楷体" w:eastAsia="楷体" w:cs="楷体"/>
          <w:b/>
          <w:sz w:val="30"/>
          <w:szCs w:val="30"/>
        </w:rPr>
      </w:pPr>
      <w:r>
        <w:rPr>
          <w:rFonts w:hint="eastAsia" w:ascii="楷体" w:hAnsi="楷体" w:eastAsia="楷体" w:cs="楷体"/>
          <w:b/>
          <w:sz w:val="30"/>
          <w:szCs w:val="30"/>
        </w:rPr>
        <w:t>一、主要工作职责</w:t>
      </w:r>
    </w:p>
    <w:p w14:paraId="32B36B8A">
      <w:pPr>
        <w:pStyle w:val="14"/>
        <w:spacing w:line="660" w:lineRule="exact"/>
        <w:ind w:firstLine="480" w:firstLineChars="150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根据道办发[2020]18号文件精神，县老干部服务中心贯彻落实中央、省、市、县关于老干部服务工作的方针政策和部署要求，在履行职责过程中坚持和加强党对老干部服务工作的集中统一领导，主要职责是：</w:t>
      </w:r>
    </w:p>
    <w:p w14:paraId="153CA6C2">
      <w:pPr>
        <w:pStyle w:val="14"/>
        <w:spacing w:line="660" w:lineRule="exact"/>
        <w:ind w:firstLine="320" w:firstLineChars="100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1、负责全县老干部政治待遇和生活待遇的落实</w:t>
      </w:r>
    </w:p>
    <w:p w14:paraId="439D75DB">
      <w:pPr>
        <w:pStyle w:val="14"/>
        <w:spacing w:line="660" w:lineRule="exact"/>
        <w:ind w:firstLine="320" w:firstLineChars="100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2、负责管理老干部活动中心（场所），组织引导老干部参加省市县的重大文体活动，做好协调和服务工作，开发老干部智力资源，引导老干部用掌握的知识和技能为社会服务。</w:t>
      </w:r>
    </w:p>
    <w:p w14:paraId="5AD6A06F">
      <w:pPr>
        <w:pStyle w:val="14"/>
        <w:spacing w:line="660" w:lineRule="exact"/>
        <w:ind w:firstLine="320" w:firstLineChars="100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3、负责老干部工作宣传，负责全县老干部信息库建设和统计工作。</w:t>
      </w:r>
    </w:p>
    <w:p w14:paraId="653D1157">
      <w:pPr>
        <w:pStyle w:val="14"/>
        <w:spacing w:line="660" w:lineRule="exact"/>
        <w:ind w:firstLine="320" w:firstLineChars="100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4、做好老干部党建工作，开展老干部政治思想、教育和管理工作。</w:t>
      </w:r>
    </w:p>
    <w:p w14:paraId="6F42384D">
      <w:pPr>
        <w:pStyle w:val="14"/>
        <w:spacing w:line="660" w:lineRule="exact"/>
        <w:ind w:firstLine="480" w:firstLineChars="150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5、按照有关规定，做好来县老干部的接待服务工作。</w:t>
      </w:r>
    </w:p>
    <w:p w14:paraId="2889E6FD">
      <w:pPr>
        <w:pStyle w:val="14"/>
        <w:spacing w:line="660" w:lineRule="exact"/>
        <w:ind w:firstLine="480" w:firstLineChars="150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6、承担县老干部工作领导小组办公室的日常工作。</w:t>
      </w:r>
    </w:p>
    <w:p w14:paraId="78AD8C25">
      <w:pPr>
        <w:pStyle w:val="14"/>
        <w:spacing w:line="660" w:lineRule="exact"/>
        <w:ind w:firstLine="480" w:firstLineChars="150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7、协助做好县关心下一代工作委员会的日常工作。</w:t>
      </w:r>
    </w:p>
    <w:p w14:paraId="057105B0">
      <w:pPr>
        <w:pStyle w:val="14"/>
        <w:spacing w:line="660" w:lineRule="exact"/>
        <w:ind w:firstLine="480" w:firstLineChars="150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8、协助做好涉老组织日常活动的开展。</w:t>
      </w:r>
    </w:p>
    <w:p w14:paraId="0895B508">
      <w:pPr>
        <w:pStyle w:val="14"/>
        <w:spacing w:line="660" w:lineRule="exact"/>
        <w:ind w:firstLine="480" w:firstLineChars="150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9、承办县委和县委组织部交办的其他事项。</w:t>
      </w:r>
    </w:p>
    <w:p w14:paraId="42A1DBA5">
      <w:pPr>
        <w:pStyle w:val="14"/>
        <w:spacing w:line="660" w:lineRule="exact"/>
        <w:ind w:firstLine="480" w:firstLineChars="150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(一）、机构设置、</w:t>
      </w:r>
    </w:p>
    <w:p w14:paraId="2DB37E5B">
      <w:pPr>
        <w:pStyle w:val="14"/>
        <w:spacing w:line="660" w:lineRule="exact"/>
        <w:ind w:firstLine="640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1、县老干服务中心设办公室（关心下一代工作委员会办公室）。</w:t>
      </w:r>
    </w:p>
    <w:p w14:paraId="704195C7">
      <w:pPr>
        <w:pStyle w:val="14"/>
        <w:spacing w:line="660" w:lineRule="exact"/>
        <w:ind w:firstLine="630" w:firstLineChars="0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2、人员编制：老干部服务中心公益一类事业编，全额事业拨款单位。编制人数9人。</w:t>
      </w:r>
    </w:p>
    <w:p w14:paraId="74C376CA">
      <w:pPr>
        <w:snapToGrid w:val="0"/>
        <w:spacing w:line="52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3．人员情况，老干部服务中心现实有人数8人。</w:t>
      </w:r>
    </w:p>
    <w:p w14:paraId="0EF52BAF">
      <w:pPr>
        <w:ind w:left="901" w:right="11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</w:t>
      </w:r>
      <w:r>
        <w:rPr>
          <w:rFonts w:hint="eastAsia" w:ascii="楷体" w:hAnsi="楷体" w:eastAsia="楷体" w:cs="楷体"/>
          <w:b/>
          <w:color w:val="010101"/>
          <w:kern w:val="0"/>
          <w:sz w:val="32"/>
          <w:szCs w:val="32"/>
        </w:rPr>
        <w:t>、</w:t>
      </w:r>
      <w:r>
        <w:rPr>
          <w:rFonts w:hint="eastAsia" w:ascii="楷体" w:hAnsi="楷体" w:eastAsia="楷体" w:cs="楷体"/>
          <w:b/>
          <w:sz w:val="32"/>
          <w:szCs w:val="32"/>
        </w:rPr>
        <w:t>一般公共预算支出情况</w:t>
      </w:r>
    </w:p>
    <w:p w14:paraId="75590762">
      <w:pPr>
        <w:pStyle w:val="14"/>
        <w:spacing w:line="660" w:lineRule="exact"/>
        <w:ind w:firstLine="630" w:firstLineChars="0"/>
        <w:rPr>
          <w:rFonts w:ascii="楷体" w:hAnsi="楷体" w:eastAsia="楷体" w:cs="楷体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szCs w:val="32"/>
        </w:rPr>
        <w:t>2024年收入决算数154.06万元；其中：</w:t>
      </w:r>
      <w:r>
        <w:rPr>
          <w:rFonts w:hint="eastAsia" w:ascii="楷体" w:hAnsi="楷体" w:eastAsia="楷体" w:cs="楷体"/>
          <w:szCs w:val="32"/>
          <w:shd w:val="clear" w:color="auto" w:fill="FFFFFF"/>
        </w:rPr>
        <w:t>财政拨款154.06万元</w:t>
      </w:r>
      <w:r>
        <w:rPr>
          <w:rFonts w:hint="eastAsia" w:ascii="楷体" w:hAnsi="楷体" w:eastAsia="楷体" w:cs="楷体"/>
          <w:szCs w:val="32"/>
        </w:rPr>
        <w:t>。支出决算：2024年支出决算数154.06万元；其中：</w:t>
      </w:r>
      <w:r>
        <w:rPr>
          <w:rFonts w:hint="eastAsia" w:ascii="楷体" w:hAnsi="楷体" w:eastAsia="楷体" w:cs="楷体"/>
          <w:szCs w:val="32"/>
          <w:shd w:val="clear" w:color="auto" w:fill="FFFFFF"/>
        </w:rPr>
        <w:t>基本支出82.36</w:t>
      </w:r>
      <w:r>
        <w:rPr>
          <w:rFonts w:hint="eastAsia" w:ascii="楷体" w:hAnsi="楷体" w:eastAsia="楷体" w:cs="楷体"/>
          <w:szCs w:val="32"/>
        </w:rPr>
        <w:t>万元，项目支出71.7万元。</w:t>
      </w:r>
    </w:p>
    <w:p w14:paraId="2F5D0DC0">
      <w:pPr>
        <w:ind w:left="-901" w:right="11" w:firstLine="1280" w:firstLineChars="400"/>
        <w:rPr>
          <w:rFonts w:ascii="楷体" w:hAnsi="楷体" w:eastAsia="楷体" w:cs="楷体"/>
          <w:color w:val="010101"/>
          <w:sz w:val="32"/>
          <w:szCs w:val="32"/>
        </w:rPr>
      </w:pPr>
      <w:r>
        <w:rPr>
          <w:rFonts w:hint="eastAsia" w:ascii="楷体" w:hAnsi="楷体" w:eastAsia="楷体" w:cs="楷体"/>
          <w:color w:val="010101"/>
          <w:sz w:val="32"/>
          <w:szCs w:val="32"/>
        </w:rPr>
        <w:t xml:space="preserve">（一）、基本支出情况   </w:t>
      </w:r>
    </w:p>
    <w:p w14:paraId="78D7A742">
      <w:pPr>
        <w:ind w:right="11"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010101"/>
          <w:sz w:val="32"/>
          <w:szCs w:val="32"/>
        </w:rPr>
        <w:t>用于为保障正常运转、完成日常工作任务而发生的支出，包括人员经费和公用经费。</w:t>
      </w:r>
    </w:p>
    <w:p w14:paraId="7E96A39E">
      <w:pPr>
        <w:ind w:right="11" w:firstLine="640" w:firstLineChars="200"/>
        <w:rPr>
          <w:rFonts w:ascii="楷体" w:hAnsi="楷体" w:eastAsia="楷体" w:cs="楷体"/>
          <w:kern w:val="1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2024年一般公共预算财政拨款基本支出82.36万元，具体使用情况如下:</w:t>
      </w:r>
      <w:r>
        <w:rPr>
          <w:rFonts w:hint="eastAsia" w:ascii="楷体" w:hAnsi="楷体" w:eastAsia="楷体" w:cs="楷体"/>
          <w:kern w:val="1"/>
          <w:sz w:val="32"/>
          <w:szCs w:val="32"/>
        </w:rPr>
        <w:t>工资福利支出75.16万元，包括基本工资32.35万元，津贴补贴12.43万元，奖金、绩效工资15.97万元，社会保障缴费14.41万元，商品和服务支出7.2万元，包括办公费2.13万元，印刷费0.99万元，水费0.49万元，电费0.79万元，邮电费0.38万元，差旅费0.17万元，公务接待费1.2万元，工会经费0.8万元，其他商品和服务支出0.25万元.</w:t>
      </w:r>
    </w:p>
    <w:p w14:paraId="0D31D693">
      <w:pPr>
        <w:ind w:right="11"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（二）项目支出情况</w:t>
      </w:r>
    </w:p>
    <w:p w14:paraId="559325C0">
      <w:pPr>
        <w:ind w:right="11" w:firstLine="640" w:firstLineChars="200"/>
        <w:rPr>
          <w:rFonts w:ascii="楷体" w:hAnsi="楷体" w:eastAsia="楷体" w:cs="楷体"/>
          <w:kern w:val="1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一般公共预算财政拨款项目支出71.7万元，具体使用情况如下:</w:t>
      </w:r>
      <w:r>
        <w:rPr>
          <w:rFonts w:hint="eastAsia" w:ascii="楷体" w:hAnsi="楷体" w:eastAsia="楷体" w:cs="楷体"/>
          <w:kern w:val="1"/>
          <w:sz w:val="32"/>
          <w:szCs w:val="32"/>
        </w:rPr>
        <w:t xml:space="preserve"> 其他商品和服务支出26.49万元，包括办公费0.2万元，印刷费1.06万元，水费0万元，电费1.29万元，邮电费0万元，差旅费0万元，维（护）修费0万元，会议费1.29万元，培训费0万元，公务接待费0万元，租赁费0万元，劳务费0万元，福利费15.89万元，其他商品和服务支出2.67元；其他交通费4.5万元、对个人和家庭的补助支出45.21万元，包括医疗费补助11.5万元，生活补助26.22万元，其他对个人和家庭的补助7.49万元。</w:t>
      </w:r>
    </w:p>
    <w:p w14:paraId="40B37424">
      <w:pPr>
        <w:ind w:firstLine="321" w:firstLineChars="100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（三）、“三公”经费开支：</w:t>
      </w:r>
    </w:p>
    <w:p w14:paraId="26839723">
      <w:pPr>
        <w:ind w:left="141" w:leftChars="67"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2024年、出国出境 0 万元“三公”经费支出1.2万元，“三公‘经费严格经费标准，其中：</w:t>
      </w:r>
      <w:r>
        <w:rPr>
          <w:rFonts w:hint="eastAsia" w:ascii="楷体" w:hAnsi="楷体" w:eastAsia="楷体" w:cs="楷体"/>
          <w:color w:val="333333"/>
          <w:kern w:val="0"/>
          <w:sz w:val="32"/>
          <w:szCs w:val="32"/>
          <w:shd w:val="clear" w:color="auto" w:fill="FFFFFF"/>
        </w:rPr>
        <w:t>公务接待费1.2万元，</w:t>
      </w:r>
      <w:r>
        <w:rPr>
          <w:rFonts w:hint="eastAsia" w:ascii="楷体" w:hAnsi="楷体" w:eastAsia="楷体" w:cs="楷体"/>
          <w:sz w:val="32"/>
          <w:szCs w:val="32"/>
        </w:rPr>
        <w:t>与2023年持平，“三公”经费，落实厉行节约的各项规定。</w:t>
      </w:r>
    </w:p>
    <w:p w14:paraId="1AAA8F18">
      <w:pPr>
        <w:pStyle w:val="5"/>
        <w:widowControl/>
        <w:ind w:right="11" w:firstLine="643" w:firstLineChars="200"/>
        <w:rPr>
          <w:rFonts w:ascii="楷体" w:hAnsi="楷体" w:eastAsia="楷体" w:cs="楷体"/>
          <w:b/>
          <w:bCs/>
          <w:color w:val="010101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10101"/>
          <w:sz w:val="32"/>
          <w:szCs w:val="32"/>
        </w:rPr>
        <w:t>三、政府性基金预算支出情况</w:t>
      </w:r>
    </w:p>
    <w:p w14:paraId="7534C849">
      <w:pPr>
        <w:ind w:left="901" w:right="11"/>
        <w:rPr>
          <w:rFonts w:ascii="楷体" w:hAnsi="楷体" w:eastAsia="楷体" w:cs="楷体"/>
          <w:b/>
          <w:bCs/>
          <w:color w:val="010101"/>
          <w:sz w:val="32"/>
          <w:szCs w:val="32"/>
        </w:rPr>
      </w:pPr>
      <w:r>
        <w:rPr>
          <w:rFonts w:hint="eastAsia" w:ascii="楷体" w:hAnsi="楷体" w:eastAsia="楷体" w:cs="楷体"/>
          <w:color w:val="010101"/>
          <w:sz w:val="32"/>
          <w:szCs w:val="32"/>
        </w:rPr>
        <w:t>道县老干部服务中心2024年无政府性基金预算。</w:t>
      </w:r>
    </w:p>
    <w:p w14:paraId="7309B473">
      <w:pPr>
        <w:ind w:right="11" w:firstLine="643" w:firstLineChars="200"/>
        <w:rPr>
          <w:rFonts w:ascii="楷体" w:hAnsi="楷体" w:eastAsia="楷体" w:cs="楷体"/>
          <w:b/>
          <w:bCs/>
          <w:color w:val="010101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10101"/>
          <w:sz w:val="32"/>
          <w:szCs w:val="32"/>
        </w:rPr>
        <w:t>四、国有资本经营预算支出情况</w:t>
      </w:r>
    </w:p>
    <w:p w14:paraId="10AA0BD0">
      <w:pPr>
        <w:ind w:left="901" w:right="11"/>
        <w:rPr>
          <w:rFonts w:ascii="楷体" w:hAnsi="楷体" w:eastAsia="楷体" w:cs="楷体"/>
          <w:color w:val="010101"/>
          <w:sz w:val="32"/>
          <w:szCs w:val="32"/>
        </w:rPr>
      </w:pPr>
      <w:r>
        <w:rPr>
          <w:rFonts w:hint="eastAsia" w:ascii="楷体" w:hAnsi="楷体" w:eastAsia="楷体" w:cs="楷体"/>
          <w:color w:val="010101"/>
          <w:sz w:val="32"/>
          <w:szCs w:val="32"/>
        </w:rPr>
        <w:t>道县老干部服务中心2024年无国有资本经营预算支出。</w:t>
      </w:r>
    </w:p>
    <w:p w14:paraId="404CB569">
      <w:pPr>
        <w:ind w:right="11" w:firstLine="643" w:firstLineChars="200"/>
        <w:rPr>
          <w:rFonts w:ascii="楷体" w:hAnsi="楷体" w:eastAsia="楷体" w:cs="楷体"/>
          <w:b/>
          <w:color w:val="010101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10101"/>
          <w:sz w:val="32"/>
          <w:szCs w:val="32"/>
        </w:rPr>
        <w:t>五</w:t>
      </w:r>
      <w:r>
        <w:rPr>
          <w:rFonts w:hint="eastAsia" w:ascii="楷体" w:hAnsi="楷体" w:eastAsia="楷体" w:cs="楷体"/>
          <w:bCs/>
          <w:color w:val="010101"/>
          <w:sz w:val="32"/>
          <w:szCs w:val="32"/>
        </w:rPr>
        <w:t>、</w:t>
      </w:r>
      <w:r>
        <w:rPr>
          <w:rFonts w:hint="eastAsia" w:ascii="楷体" w:hAnsi="楷体" w:eastAsia="楷体" w:cs="楷体"/>
          <w:b/>
          <w:color w:val="010101"/>
          <w:sz w:val="32"/>
          <w:szCs w:val="32"/>
        </w:rPr>
        <w:t>社会保险基金预算支出情况</w:t>
      </w:r>
    </w:p>
    <w:p w14:paraId="0D4A76B2">
      <w:pPr>
        <w:ind w:left="901" w:right="11"/>
        <w:rPr>
          <w:rFonts w:ascii="楷体" w:hAnsi="楷体" w:eastAsia="楷体" w:cs="楷体"/>
          <w:bCs/>
          <w:color w:val="010101"/>
          <w:sz w:val="32"/>
          <w:szCs w:val="32"/>
        </w:rPr>
      </w:pPr>
      <w:r>
        <w:rPr>
          <w:rFonts w:hint="eastAsia" w:ascii="楷体" w:hAnsi="楷体" w:eastAsia="楷体" w:cs="楷体"/>
          <w:bCs/>
          <w:color w:val="010101"/>
          <w:sz w:val="32"/>
          <w:szCs w:val="32"/>
        </w:rPr>
        <w:t>道县</w:t>
      </w:r>
      <w:r>
        <w:rPr>
          <w:rFonts w:hint="eastAsia" w:ascii="楷体" w:hAnsi="楷体" w:eastAsia="楷体" w:cs="楷体"/>
          <w:color w:val="010101"/>
          <w:sz w:val="32"/>
          <w:szCs w:val="32"/>
        </w:rPr>
        <w:t>老干部服务中心</w:t>
      </w:r>
      <w:r>
        <w:rPr>
          <w:rFonts w:hint="eastAsia" w:ascii="楷体" w:hAnsi="楷体" w:eastAsia="楷体" w:cs="楷体"/>
          <w:bCs/>
          <w:color w:val="010101"/>
          <w:sz w:val="32"/>
          <w:szCs w:val="32"/>
        </w:rPr>
        <w:t>2024年无社会保险基金预算支出。</w:t>
      </w:r>
    </w:p>
    <w:p w14:paraId="06591213">
      <w:pPr>
        <w:adjustRightInd w:val="0"/>
        <w:snapToGrid w:val="0"/>
        <w:spacing w:line="6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六、部门整体支出绩效情况</w:t>
      </w:r>
    </w:p>
    <w:p w14:paraId="78FF4CD5">
      <w:pPr>
        <w:pStyle w:val="14"/>
        <w:spacing w:line="660" w:lineRule="exact"/>
        <w:ind w:firstLine="320" w:firstLineChars="100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kern w:val="0"/>
          <w:szCs w:val="32"/>
        </w:rPr>
        <w:t>1.</w:t>
      </w:r>
      <w:r>
        <w:rPr>
          <w:rFonts w:hint="eastAsia" w:ascii="楷体" w:hAnsi="楷体" w:eastAsia="楷体" w:cs="楷体"/>
          <w:b/>
          <w:color w:val="010101"/>
          <w:kern w:val="0"/>
          <w:szCs w:val="32"/>
        </w:rPr>
        <w:t xml:space="preserve"> </w:t>
      </w:r>
      <w:r>
        <w:rPr>
          <w:rFonts w:hint="eastAsia" w:ascii="楷体" w:hAnsi="楷体" w:eastAsia="楷体" w:cs="楷体"/>
          <w:kern w:val="0"/>
          <w:szCs w:val="32"/>
        </w:rPr>
        <w:t>首先落实好老干部的两项待遇，及各协老组织的工作开展，按照要求组织老干部学习有关文件，组织离退休老干部开展老有所为、有益身心健康的各项活动</w:t>
      </w:r>
      <w:r>
        <w:rPr>
          <w:rFonts w:hint="eastAsia" w:ascii="楷体" w:hAnsi="楷体" w:eastAsia="楷体" w:cs="楷体"/>
          <w:color w:val="333333"/>
          <w:kern w:val="0"/>
          <w:szCs w:val="32"/>
          <w:shd w:val="clear" w:color="auto" w:fill="FFFFFF"/>
        </w:rPr>
        <w:t>。</w:t>
      </w:r>
    </w:p>
    <w:p w14:paraId="6DFDDBC6">
      <w:pPr>
        <w:ind w:firstLine="320" w:firstLineChars="1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楷体" w:hAnsi="楷体" w:eastAsia="楷体" w:cs="楷体"/>
          <w:kern w:val="0"/>
          <w:sz w:val="32"/>
          <w:szCs w:val="32"/>
        </w:rPr>
        <w:t>落实离休干部4人统筹外项目，9人建国初参加工作部分退休干部的生活补贴及医药费的发放。</w:t>
      </w:r>
    </w:p>
    <w:p w14:paraId="231F58AB">
      <w:pPr>
        <w:ind w:firstLine="320" w:firstLineChars="1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3、.组织59人的离休副处级以上干部的健康体检及日常活动的开展，看望走访生病住院的老干部2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楷体" w:hAnsi="楷体" w:eastAsia="楷体" w:cs="楷体"/>
          <w:kern w:val="0"/>
          <w:sz w:val="32"/>
          <w:szCs w:val="32"/>
        </w:rPr>
        <w:t>人次，落实</w:t>
      </w:r>
      <w:r>
        <w:rPr>
          <w:rFonts w:hint="eastAsia" w:ascii="楷体" w:hAnsi="楷体" w:eastAsia="楷体" w:cs="楷体"/>
          <w:color w:val="333333"/>
          <w:kern w:val="0"/>
          <w:sz w:val="32"/>
          <w:szCs w:val="32"/>
          <w:shd w:val="clear" w:color="auto" w:fill="FFFFFF"/>
        </w:rPr>
        <w:t>生活待遇2人次。</w:t>
      </w:r>
    </w:p>
    <w:p w14:paraId="15389B64">
      <w:pPr>
        <w:ind w:firstLine="320" w:firstLineChars="1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  <w:shd w:val="clear" w:color="auto" w:fill="FFFFFF"/>
        </w:rPr>
        <w:t>4、</w:t>
      </w:r>
      <w:r>
        <w:rPr>
          <w:rFonts w:hint="eastAsia" w:ascii="楷体" w:hAnsi="楷体" w:eastAsia="楷体" w:cs="楷体"/>
          <w:kern w:val="0"/>
          <w:sz w:val="32"/>
          <w:szCs w:val="32"/>
        </w:rPr>
        <w:t>走访离休干部配偶及困难遗霜的44人。</w:t>
      </w:r>
    </w:p>
    <w:p w14:paraId="19000E8C">
      <w:pPr>
        <w:ind w:firstLine="320" w:firstLineChars="1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5、认真贯彻执行中办发3号文件精神的落实并征订党报刊及老年人杂志68份。协助关工委、门协、老年大学、老科协、书协开展各项有益的身心健康活动。</w:t>
      </w:r>
    </w:p>
    <w:p w14:paraId="568377DD">
      <w:pPr>
        <w:pStyle w:val="5"/>
        <w:widowControl/>
        <w:ind w:right="11" w:firstLine="643" w:firstLineChars="200"/>
        <w:rPr>
          <w:rFonts w:ascii="楷体" w:hAnsi="楷体" w:eastAsia="楷体" w:cs="楷体"/>
          <w:b/>
          <w:color w:val="010101"/>
          <w:sz w:val="32"/>
          <w:szCs w:val="32"/>
        </w:rPr>
      </w:pPr>
      <w:r>
        <w:rPr>
          <w:rFonts w:hint="eastAsia" w:ascii="楷体" w:hAnsi="楷体" w:eastAsia="楷体" w:cs="楷体"/>
          <w:b/>
          <w:color w:val="010101"/>
          <w:sz w:val="32"/>
          <w:szCs w:val="32"/>
        </w:rPr>
        <w:t>七、存在的问题及原因分析</w:t>
      </w:r>
    </w:p>
    <w:p w14:paraId="0F77BE48">
      <w:pPr>
        <w:adjustRightInd w:val="0"/>
        <w:snapToGrid w:val="0"/>
        <w:spacing w:line="600" w:lineRule="exact"/>
        <w:ind w:firstLine="640" w:firstLineChars="200"/>
        <w:rPr>
          <w:rFonts w:ascii="楷体" w:hAnsi="楷体" w:eastAsia="楷体" w:cs="楷体"/>
          <w:color w:val="010101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10101"/>
          <w:kern w:val="0"/>
          <w:sz w:val="32"/>
          <w:szCs w:val="32"/>
        </w:rPr>
        <w:t>1、离休干部的统筹外经费、建国初参加工作的部分退休老干部生活补助、医药费补助经费未能及时拔付到位，在下一步的工作中、引起</w:t>
      </w:r>
      <w:r>
        <w:rPr>
          <w:rFonts w:hint="eastAsia" w:ascii="楷体" w:hAnsi="楷体" w:eastAsia="楷体" w:cs="楷体"/>
          <w:sz w:val="32"/>
          <w:szCs w:val="32"/>
        </w:rPr>
        <w:t>重视，</w:t>
      </w:r>
      <w:r>
        <w:rPr>
          <w:rFonts w:hint="eastAsia" w:ascii="楷体" w:hAnsi="楷体" w:eastAsia="楷体" w:cs="楷体"/>
          <w:color w:val="010101"/>
          <w:kern w:val="0"/>
          <w:sz w:val="32"/>
          <w:szCs w:val="32"/>
        </w:rPr>
        <w:t>建立完善的服务机制。</w:t>
      </w:r>
    </w:p>
    <w:p w14:paraId="5B9DE98A">
      <w:pPr>
        <w:pStyle w:val="5"/>
        <w:widowControl/>
        <w:spacing w:line="420" w:lineRule="atLeast"/>
        <w:ind w:firstLine="640" w:firstLineChars="200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010101"/>
          <w:sz w:val="32"/>
          <w:szCs w:val="32"/>
        </w:rPr>
        <w:t>2</w:t>
      </w:r>
      <w:r>
        <w:rPr>
          <w:rFonts w:hint="eastAsia" w:ascii="楷体" w:hAnsi="楷体" w:eastAsia="楷体" w:cs="楷体"/>
          <w:sz w:val="32"/>
          <w:szCs w:val="32"/>
        </w:rPr>
        <w:t>、从支出结构来看，基本支出保证了工作的正常运转，办公经费支出合理安排，按年初设定的目标任务积极完成各项工作，指导建议无对性的支出。</w:t>
      </w:r>
    </w:p>
    <w:p w14:paraId="0901FE25">
      <w:pPr>
        <w:pStyle w:val="5"/>
        <w:widowControl/>
        <w:spacing w:line="420" w:lineRule="atLeast"/>
        <w:ind w:firstLine="640" w:firstLineChars="200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、坚持厉行节约，把有限的经费用在刀刃上，进一步完善财务管理制度，坚持财务开支公开透明，接受监督，经得起上级各项审计检查，这些措施，较好地保证了财务开支和资金使用的合法合规、安全有效，制度执行比较到位，提高了资金使用效益。</w:t>
      </w:r>
    </w:p>
    <w:p w14:paraId="1C8B77E8">
      <w:pPr>
        <w:pStyle w:val="5"/>
        <w:widowControl/>
        <w:spacing w:line="420" w:lineRule="atLeast"/>
        <w:ind w:firstLine="640" w:firstLineChars="200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因部门整体支出的资金安排和使用上具有不可预见性，在科学设置预算绩效指标上还需进一步加强。由于行政经费少，年初编制的预算不够精确，编制范围不太全面，预算执行情况还有待进一步加强。</w:t>
      </w:r>
    </w:p>
    <w:p w14:paraId="59A08ACD">
      <w:pPr>
        <w:pStyle w:val="5"/>
        <w:widowControl/>
        <w:ind w:right="11" w:firstLine="640" w:firstLineChars="200"/>
        <w:rPr>
          <w:rFonts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八、</w:t>
      </w: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下一步改进措施</w:t>
      </w:r>
    </w:p>
    <w:p w14:paraId="57A7C5AD">
      <w:pPr>
        <w:pStyle w:val="5"/>
        <w:widowControl/>
        <w:ind w:right="11" w:firstLine="640" w:firstLineChars="200"/>
        <w:rPr>
          <w:rFonts w:ascii="楷体" w:hAnsi="楷体" w:eastAsia="楷体" w:cs="楷体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sz w:val="32"/>
          <w:szCs w:val="32"/>
        </w:rPr>
        <w:t>（1）</w:t>
      </w:r>
      <w:r>
        <w:rPr>
          <w:rFonts w:hint="eastAsia" w:ascii="楷体" w:hAnsi="楷体" w:eastAsia="楷体" w:cs="楷体"/>
          <w:bCs/>
          <w:color w:val="010101"/>
          <w:sz w:val="32"/>
          <w:szCs w:val="32"/>
        </w:rPr>
        <w:t>加强领导，改善服务，同时请政府加大对老干工作重视力度，规范项目管理，对日常工作督导。加强队伍建设，抓好绩效评价管理部门的队伍建设和业务指导，培养部门的绩效管理队伍，建立绩效评价的长期机制。进一步明确工作职责，工作内容，成立有效的工作机制，保障项目的顺利推进。</w:t>
      </w:r>
    </w:p>
    <w:p w14:paraId="6CBA3D94">
      <w:pPr>
        <w:pStyle w:val="5"/>
        <w:widowControl/>
        <w:ind w:right="11" w:firstLine="640" w:firstLineChars="200"/>
        <w:rPr>
          <w:rFonts w:ascii="楷体" w:hAnsi="楷体" w:eastAsia="楷体" w:cs="楷体"/>
          <w:color w:val="010101"/>
          <w:sz w:val="32"/>
          <w:szCs w:val="32"/>
        </w:rPr>
      </w:pPr>
      <w:r>
        <w:rPr>
          <w:rFonts w:hint="eastAsia" w:ascii="楷体" w:hAnsi="楷体" w:eastAsia="楷体" w:cs="楷体"/>
          <w:bCs/>
          <w:color w:val="010101"/>
          <w:sz w:val="32"/>
          <w:szCs w:val="32"/>
        </w:rPr>
        <w:t>（2）明确职责，加强项目管理。一是应针对每一个项目制定工作目标，科学编制和</w:t>
      </w:r>
      <w:r>
        <w:rPr>
          <w:rFonts w:hint="eastAsia" w:ascii="楷体" w:hAnsi="楷体" w:eastAsia="楷体" w:cs="楷体"/>
          <w:color w:val="010101"/>
          <w:sz w:val="32"/>
          <w:szCs w:val="32"/>
        </w:rPr>
        <w:t>细化预算，做到预算有目标，执行有细则，控制各项经费支出，提高资金的使用效益；</w:t>
      </w:r>
    </w:p>
    <w:p w14:paraId="189B7327">
      <w:pPr>
        <w:pStyle w:val="5"/>
        <w:widowControl/>
        <w:ind w:right="11" w:firstLine="640" w:firstLineChars="200"/>
        <w:rPr>
          <w:rFonts w:ascii="楷体" w:hAnsi="楷体" w:eastAsia="楷体" w:cs="楷体"/>
          <w:color w:val="010101"/>
          <w:sz w:val="32"/>
          <w:szCs w:val="32"/>
        </w:rPr>
      </w:pPr>
      <w:r>
        <w:rPr>
          <w:rFonts w:hint="eastAsia" w:ascii="楷体" w:hAnsi="楷体" w:eastAsia="楷体" w:cs="楷体"/>
          <w:color w:val="010101"/>
          <w:sz w:val="32"/>
          <w:szCs w:val="32"/>
        </w:rPr>
        <w:t>（3）财务部门应加强与各部门的沟通，了解具体的事项，合理安排资金支付，提高财务核算的准确性，提高业务能力水平。</w:t>
      </w:r>
    </w:p>
    <w:p w14:paraId="53455525">
      <w:pPr>
        <w:jc w:val="center"/>
        <w:rPr>
          <w:rFonts w:ascii="楷体" w:hAnsi="楷体" w:eastAsia="楷体" w:cs="楷体"/>
          <w:color w:val="000000"/>
          <w:kern w:val="0"/>
          <w:sz w:val="70"/>
          <w:szCs w:val="70"/>
        </w:rPr>
      </w:pPr>
    </w:p>
    <w:p w14:paraId="56799402">
      <w:pPr>
        <w:tabs>
          <w:tab w:val="left" w:pos="5400"/>
        </w:tabs>
        <w:ind w:firstLine="5760" w:firstLineChars="1800"/>
        <w:rPr>
          <w:rFonts w:ascii="楷体" w:hAnsi="楷体" w:eastAsia="楷体" w:cs="楷体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A3ZWI4YzY0N2VkOTNlZWMxMGZlMzY2NjM0NTU2MTYifQ=="/>
  </w:docVars>
  <w:rsids>
    <w:rsidRoot w:val="00E023F5"/>
    <w:rsid w:val="000045AB"/>
    <w:rsid w:val="00012009"/>
    <w:rsid w:val="00021A06"/>
    <w:rsid w:val="000262EE"/>
    <w:rsid w:val="00037B95"/>
    <w:rsid w:val="0004129D"/>
    <w:rsid w:val="00043D7C"/>
    <w:rsid w:val="00044BDE"/>
    <w:rsid w:val="000569A3"/>
    <w:rsid w:val="00070963"/>
    <w:rsid w:val="00075C56"/>
    <w:rsid w:val="00083BEF"/>
    <w:rsid w:val="000875FF"/>
    <w:rsid w:val="000B26AB"/>
    <w:rsid w:val="000C1A7F"/>
    <w:rsid w:val="000C31F3"/>
    <w:rsid w:val="000E5CAC"/>
    <w:rsid w:val="00126645"/>
    <w:rsid w:val="00133CD8"/>
    <w:rsid w:val="00151FB2"/>
    <w:rsid w:val="001570CF"/>
    <w:rsid w:val="0017128D"/>
    <w:rsid w:val="00177B49"/>
    <w:rsid w:val="00190BD8"/>
    <w:rsid w:val="00190C66"/>
    <w:rsid w:val="001A3130"/>
    <w:rsid w:val="001B3A4C"/>
    <w:rsid w:val="001D0F9A"/>
    <w:rsid w:val="001D59E7"/>
    <w:rsid w:val="001D7311"/>
    <w:rsid w:val="001F0D43"/>
    <w:rsid w:val="001F5EAD"/>
    <w:rsid w:val="002028F6"/>
    <w:rsid w:val="00211071"/>
    <w:rsid w:val="00226AFA"/>
    <w:rsid w:val="00273308"/>
    <w:rsid w:val="00294B38"/>
    <w:rsid w:val="00295127"/>
    <w:rsid w:val="002A087C"/>
    <w:rsid w:val="002A0CA6"/>
    <w:rsid w:val="002A28DA"/>
    <w:rsid w:val="002D3397"/>
    <w:rsid w:val="002E7522"/>
    <w:rsid w:val="003040E6"/>
    <w:rsid w:val="0032490C"/>
    <w:rsid w:val="0033125E"/>
    <w:rsid w:val="00345506"/>
    <w:rsid w:val="00352E6F"/>
    <w:rsid w:val="00357643"/>
    <w:rsid w:val="00357C84"/>
    <w:rsid w:val="00376EEE"/>
    <w:rsid w:val="00382571"/>
    <w:rsid w:val="00384968"/>
    <w:rsid w:val="00410E55"/>
    <w:rsid w:val="004314DE"/>
    <w:rsid w:val="00444D2E"/>
    <w:rsid w:val="004469EE"/>
    <w:rsid w:val="00452A67"/>
    <w:rsid w:val="004557A8"/>
    <w:rsid w:val="004605C3"/>
    <w:rsid w:val="00460887"/>
    <w:rsid w:val="004610C9"/>
    <w:rsid w:val="00472984"/>
    <w:rsid w:val="00491393"/>
    <w:rsid w:val="00495902"/>
    <w:rsid w:val="004A139B"/>
    <w:rsid w:val="004D040B"/>
    <w:rsid w:val="004E2255"/>
    <w:rsid w:val="004E5DCC"/>
    <w:rsid w:val="004F08FB"/>
    <w:rsid w:val="004F23CF"/>
    <w:rsid w:val="004F30CB"/>
    <w:rsid w:val="004F398E"/>
    <w:rsid w:val="004F731E"/>
    <w:rsid w:val="00512A62"/>
    <w:rsid w:val="00512EA6"/>
    <w:rsid w:val="00512ED2"/>
    <w:rsid w:val="00513D7D"/>
    <w:rsid w:val="005322BD"/>
    <w:rsid w:val="00541B5C"/>
    <w:rsid w:val="00542EE1"/>
    <w:rsid w:val="00543976"/>
    <w:rsid w:val="00550C17"/>
    <w:rsid w:val="00556F66"/>
    <w:rsid w:val="005576D0"/>
    <w:rsid w:val="005674A8"/>
    <w:rsid w:val="00570BE5"/>
    <w:rsid w:val="00573601"/>
    <w:rsid w:val="00590451"/>
    <w:rsid w:val="005A30F2"/>
    <w:rsid w:val="005A6B2A"/>
    <w:rsid w:val="005B2827"/>
    <w:rsid w:val="005B7C07"/>
    <w:rsid w:val="005D4ABD"/>
    <w:rsid w:val="005E623A"/>
    <w:rsid w:val="005F2C9A"/>
    <w:rsid w:val="006117C5"/>
    <w:rsid w:val="0061398C"/>
    <w:rsid w:val="0061728F"/>
    <w:rsid w:val="0064029B"/>
    <w:rsid w:val="0067295B"/>
    <w:rsid w:val="00672D6A"/>
    <w:rsid w:val="00690A73"/>
    <w:rsid w:val="006A27EE"/>
    <w:rsid w:val="006A2DDD"/>
    <w:rsid w:val="006B0624"/>
    <w:rsid w:val="006B5F29"/>
    <w:rsid w:val="006C6504"/>
    <w:rsid w:val="007033AF"/>
    <w:rsid w:val="00705771"/>
    <w:rsid w:val="0073431B"/>
    <w:rsid w:val="0073587F"/>
    <w:rsid w:val="0074189F"/>
    <w:rsid w:val="00742D05"/>
    <w:rsid w:val="00756F36"/>
    <w:rsid w:val="00762D52"/>
    <w:rsid w:val="00767239"/>
    <w:rsid w:val="00771523"/>
    <w:rsid w:val="0078011C"/>
    <w:rsid w:val="00783181"/>
    <w:rsid w:val="00795739"/>
    <w:rsid w:val="00796F2A"/>
    <w:rsid w:val="007B4F86"/>
    <w:rsid w:val="007E54D3"/>
    <w:rsid w:val="008024EF"/>
    <w:rsid w:val="00826260"/>
    <w:rsid w:val="00827278"/>
    <w:rsid w:val="00831915"/>
    <w:rsid w:val="00832611"/>
    <w:rsid w:val="00836368"/>
    <w:rsid w:val="008539EA"/>
    <w:rsid w:val="00862DDE"/>
    <w:rsid w:val="00877BA1"/>
    <w:rsid w:val="00880872"/>
    <w:rsid w:val="00885D3F"/>
    <w:rsid w:val="00886125"/>
    <w:rsid w:val="008B3AE8"/>
    <w:rsid w:val="008C200B"/>
    <w:rsid w:val="008D1C97"/>
    <w:rsid w:val="008E7AAB"/>
    <w:rsid w:val="008F7F60"/>
    <w:rsid w:val="0093445D"/>
    <w:rsid w:val="00936329"/>
    <w:rsid w:val="009373B7"/>
    <w:rsid w:val="0095242F"/>
    <w:rsid w:val="009629D2"/>
    <w:rsid w:val="00966AE4"/>
    <w:rsid w:val="00985089"/>
    <w:rsid w:val="00995264"/>
    <w:rsid w:val="009A3353"/>
    <w:rsid w:val="009A3DAD"/>
    <w:rsid w:val="009B30BB"/>
    <w:rsid w:val="009C0D9C"/>
    <w:rsid w:val="009C5D5F"/>
    <w:rsid w:val="009D06DE"/>
    <w:rsid w:val="009E2238"/>
    <w:rsid w:val="009F5A4A"/>
    <w:rsid w:val="00A00F15"/>
    <w:rsid w:val="00A3696A"/>
    <w:rsid w:val="00A50065"/>
    <w:rsid w:val="00A76448"/>
    <w:rsid w:val="00A76CC8"/>
    <w:rsid w:val="00AC3C46"/>
    <w:rsid w:val="00AD523F"/>
    <w:rsid w:val="00AD7932"/>
    <w:rsid w:val="00AE68C9"/>
    <w:rsid w:val="00AF0491"/>
    <w:rsid w:val="00AF277F"/>
    <w:rsid w:val="00AF4F2F"/>
    <w:rsid w:val="00B026D3"/>
    <w:rsid w:val="00B11456"/>
    <w:rsid w:val="00B12138"/>
    <w:rsid w:val="00B15D90"/>
    <w:rsid w:val="00B30C5E"/>
    <w:rsid w:val="00B41FD7"/>
    <w:rsid w:val="00B43326"/>
    <w:rsid w:val="00B4351F"/>
    <w:rsid w:val="00B67D77"/>
    <w:rsid w:val="00B74A87"/>
    <w:rsid w:val="00B80C9E"/>
    <w:rsid w:val="00BA0B27"/>
    <w:rsid w:val="00BA7489"/>
    <w:rsid w:val="00BA7526"/>
    <w:rsid w:val="00BB200A"/>
    <w:rsid w:val="00BD14C6"/>
    <w:rsid w:val="00BD18FD"/>
    <w:rsid w:val="00BD48A7"/>
    <w:rsid w:val="00BF03AB"/>
    <w:rsid w:val="00C02596"/>
    <w:rsid w:val="00C23063"/>
    <w:rsid w:val="00C25252"/>
    <w:rsid w:val="00C27FBC"/>
    <w:rsid w:val="00C42CF6"/>
    <w:rsid w:val="00C50686"/>
    <w:rsid w:val="00C61583"/>
    <w:rsid w:val="00C90D75"/>
    <w:rsid w:val="00CA1776"/>
    <w:rsid w:val="00CA6873"/>
    <w:rsid w:val="00CB1217"/>
    <w:rsid w:val="00CC5380"/>
    <w:rsid w:val="00CD0C0F"/>
    <w:rsid w:val="00CD2CEB"/>
    <w:rsid w:val="00CE0BD6"/>
    <w:rsid w:val="00CE4A2A"/>
    <w:rsid w:val="00D02D1A"/>
    <w:rsid w:val="00D04F64"/>
    <w:rsid w:val="00D116AF"/>
    <w:rsid w:val="00D1790A"/>
    <w:rsid w:val="00D214AF"/>
    <w:rsid w:val="00D21CBF"/>
    <w:rsid w:val="00D30C13"/>
    <w:rsid w:val="00D33CE5"/>
    <w:rsid w:val="00D40B43"/>
    <w:rsid w:val="00D766C7"/>
    <w:rsid w:val="00D86633"/>
    <w:rsid w:val="00D86A8B"/>
    <w:rsid w:val="00D90AB0"/>
    <w:rsid w:val="00D955E2"/>
    <w:rsid w:val="00DB3F6B"/>
    <w:rsid w:val="00DC11F5"/>
    <w:rsid w:val="00DC3742"/>
    <w:rsid w:val="00DE1612"/>
    <w:rsid w:val="00DE6E57"/>
    <w:rsid w:val="00DF3849"/>
    <w:rsid w:val="00DF468F"/>
    <w:rsid w:val="00E01888"/>
    <w:rsid w:val="00E023F5"/>
    <w:rsid w:val="00E0485C"/>
    <w:rsid w:val="00E2173E"/>
    <w:rsid w:val="00E25B2E"/>
    <w:rsid w:val="00E26FD7"/>
    <w:rsid w:val="00E430DA"/>
    <w:rsid w:val="00E60187"/>
    <w:rsid w:val="00E641CA"/>
    <w:rsid w:val="00E727E7"/>
    <w:rsid w:val="00E81228"/>
    <w:rsid w:val="00E96CA1"/>
    <w:rsid w:val="00EA1F7D"/>
    <w:rsid w:val="00EB335F"/>
    <w:rsid w:val="00EC1832"/>
    <w:rsid w:val="00EC77A3"/>
    <w:rsid w:val="00ED5F8D"/>
    <w:rsid w:val="00EF058A"/>
    <w:rsid w:val="00EF321C"/>
    <w:rsid w:val="00EF380E"/>
    <w:rsid w:val="00EF399E"/>
    <w:rsid w:val="00EF4EE0"/>
    <w:rsid w:val="00EF4F27"/>
    <w:rsid w:val="00F16E04"/>
    <w:rsid w:val="00F2172B"/>
    <w:rsid w:val="00F579C4"/>
    <w:rsid w:val="00F63E63"/>
    <w:rsid w:val="00F72104"/>
    <w:rsid w:val="00F871A2"/>
    <w:rsid w:val="00F94903"/>
    <w:rsid w:val="00FA757C"/>
    <w:rsid w:val="00FB1323"/>
    <w:rsid w:val="00FB1873"/>
    <w:rsid w:val="00FB32FB"/>
    <w:rsid w:val="00FB7FD3"/>
    <w:rsid w:val="00FC0071"/>
    <w:rsid w:val="00FC7D19"/>
    <w:rsid w:val="00FD604D"/>
    <w:rsid w:val="00FE1E3D"/>
    <w:rsid w:val="10AC1F24"/>
    <w:rsid w:val="13D73943"/>
    <w:rsid w:val="16D66773"/>
    <w:rsid w:val="3E8A0BD2"/>
    <w:rsid w:val="60130C21"/>
    <w:rsid w:val="629A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qFormat/>
    <w:uiPriority w:val="99"/>
    <w:rPr>
      <w:rFonts w:cs="Times New Roman"/>
      <w:color w:val="800080"/>
      <w:u w:val="single"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页眉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批注框文本 Char"/>
    <w:basedOn w:val="7"/>
    <w:link w:val="2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4">
    <w:name w:val="样式1"/>
    <w:basedOn w:val="1"/>
    <w:qFormat/>
    <w:uiPriority w:val="0"/>
    <w:pPr>
      <w:spacing w:line="68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EBC4EB-9F1F-4BBF-B5FF-07674E3E1F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2058</Words>
  <Characters>2215</Characters>
  <Lines>16</Lines>
  <Paragraphs>4</Paragraphs>
  <TotalTime>129</TotalTime>
  <ScaleCrop>false</ScaleCrop>
  <LinksUpToDate>false</LinksUpToDate>
  <CharactersWithSpaces>2222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2015-08-13T01:19:00Z</dcterms:created>
  <dc:creator>Lenovo User</dc:creator>
  <cp:lastModifiedBy>道县老干局</cp:lastModifiedBy>
  <cp:lastPrinted>2024-05-09T03:15:00Z</cp:lastPrinted>
  <dcterms:modified xsi:type="dcterms:W3CDTF">2025-08-20T07:11:24Z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BDF6925718BD4D9C88714F619C42F9CC</vt:lpwstr>
  </property>
  <property fmtid="{D5CDD505-2E9C-101B-9397-08002B2CF9AE}" pid="4" name="KSOTemplateDocerSaveRecord">
    <vt:lpwstr>eyJoZGlkIjoiMTA2NGE4ZDg3Mzk0MjZiN2VkZTlhMzFhMzA2YmMxMjkiLCJ1c2VySWQiOiI1NjUzMTY5MDcifQ==</vt:lpwstr>
  </property>
</Properties>
</file>