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4"/>
        <w:jc w:val="center"/>
        <w:rPr>
          <w:rFonts w:hint="eastAsia" w:ascii="方正小标宋_GBK" w:hAnsi="方正小标宋_GBK" w:eastAsia="方正小标宋_GBK" w:cs="方正小标宋_GBK"/>
          <w:sz w:val="84"/>
          <w:szCs w:val="84"/>
        </w:rPr>
      </w:pPr>
      <w:r>
        <w:rPr>
          <w:rFonts w:hint="eastAsia"/>
          <w:sz w:val="84"/>
          <w:szCs w:val="84"/>
        </w:rPr>
        <w:t>道县人力资源和社会保障局</w:t>
      </w:r>
      <w:r>
        <w:rPr>
          <w:rFonts w:hint="eastAsia" w:ascii="方正小标宋_GBK" w:hAnsi="方正小标宋_GBK" w:eastAsia="方正小标宋_GBK" w:cs="方正小标宋_GBK"/>
          <w:sz w:val="84"/>
          <w:szCs w:val="84"/>
        </w:rPr>
        <w:t>部门决算</w:t>
      </w:r>
    </w:p>
    <w:p>
      <w:pPr>
        <w:pStyle w:val="14"/>
        <w:jc w:val="center"/>
        <w:rPr>
          <w:rFonts w:hint="eastAsia" w:ascii="方正小标宋_GBK" w:hAnsi="方正小标宋_GBK" w:eastAsia="方正小标宋_GBK" w:cs="方正小标宋_GBK"/>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00" w:lineRule="exact"/>
        <w:jc w:val="both"/>
        <w:rPr>
          <w:b/>
          <w:sz w:val="36"/>
          <w:szCs w:val="28"/>
        </w:rPr>
      </w:pPr>
    </w:p>
    <w:p>
      <w:pPr>
        <w:pStyle w:val="14"/>
        <w:spacing w:line="500" w:lineRule="exact"/>
        <w:jc w:val="center"/>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4"/>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bookmarkStart w:id="0" w:name="AGENCY_NAME_TITLE1"/>
      <w:r>
        <w:rPr>
          <w:rFonts w:hint="eastAsia" w:ascii="方正小标宋_GBK" w:hAnsi="方正小标宋_GBK" w:eastAsia="方正小标宋_GBK" w:cs="方正小标宋_GBK"/>
          <w:sz w:val="84"/>
          <w:szCs w:val="84"/>
        </w:rPr>
        <w:t>道县人力资源和社会保障局</w:t>
      </w:r>
      <w:bookmarkEnd w:id="0"/>
      <w:r>
        <w:rPr>
          <w:rFonts w:hint="eastAsia" w:ascii="方正小标宋_GBK" w:hAnsi="方正小标宋_GBK" w:eastAsia="方正小标宋_GBK" w:cs="方正小标宋_GBK"/>
          <w:sz w:val="84"/>
          <w:szCs w:val="84"/>
        </w:rPr>
        <w:t>单位概况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both"/>
        <w:rPr>
          <w:rFonts w:hint="eastAsia" w:eastAsiaTheme="minorEastAsia"/>
          <w:sz w:val="72"/>
          <w:szCs w:val="72"/>
          <w:lang w:val="en-US" w:eastAsia="zh-CN"/>
        </w:rPr>
      </w:pPr>
    </w:p>
    <w:p>
      <w:pPr>
        <w:pStyle w:val="2"/>
        <w:rPr>
          <w:rFonts w:hint="eastAsia" w:eastAsiaTheme="minorEastAsia"/>
          <w:sz w:val="72"/>
          <w:szCs w:val="72"/>
          <w:lang w:val="en-US" w:eastAsia="zh-CN"/>
        </w:rPr>
      </w:pPr>
    </w:p>
    <w:p>
      <w:pPr>
        <w:pStyle w:val="3"/>
        <w:rPr>
          <w:rFonts w:hint="eastAsia"/>
          <w:lang w:val="en-US" w:eastAsia="zh-CN"/>
        </w:rPr>
      </w:pPr>
    </w:p>
    <w:p>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bookmarkStart w:id="1" w:name="AGENCY_NAME_TITLE3"/>
      <w:r>
        <w:rPr>
          <w:rFonts w:hint="eastAsia" w:ascii="Times New Roman" w:hAnsi="Times New Roman" w:eastAsia="仿宋_GB2312" w:cs="仿宋_GB2312"/>
          <w:bCs/>
          <w:kern w:val="0"/>
          <w:sz w:val="32"/>
          <w:szCs w:val="32"/>
          <w:lang w:val="en-US" w:eastAsia="zh-CN"/>
        </w:rPr>
        <w:t>道县人力资源和社会保障局</w:t>
      </w:r>
      <w:bookmarkEnd w:id="1"/>
      <w:r>
        <w:rPr>
          <w:rFonts w:hint="eastAsia" w:ascii="Times New Roman" w:hAnsi="Times New Roman" w:eastAsia="仿宋_GB2312" w:cs="仿宋_GB2312"/>
          <w:bCs/>
          <w:kern w:val="0"/>
          <w:sz w:val="32"/>
          <w:szCs w:val="32"/>
          <w:lang w:val="en-US" w:eastAsia="zh-CN"/>
        </w:rPr>
        <w:t>的主要职责是：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bookmarkStart w:id="2" w:name="FUNCRESP"/>
      <w:r>
        <w:rPr>
          <w:rFonts w:hint="eastAsia" w:ascii="Times New Roman" w:hAnsi="Times New Roman" w:eastAsia="仿宋_GB2312" w:cs="仿宋_GB2312"/>
          <w:bCs/>
          <w:kern w:val="0"/>
          <w:sz w:val="32"/>
          <w:szCs w:val="32"/>
          <w:lang w:val="en-US" w:eastAsia="zh-CN"/>
        </w:rPr>
        <w:t>（一）贯彻执行全县人力资源和社会保障事业发展政策、规划,按规定起草相关规范性文件草案并组织实施。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（二）拟订全县人力资源市场发展规划和人力资源服务业发展、贯彻落实人力资源流动政策,促进人力资源合理流动、有效配置。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（三）负责全县促进就业工作,拟订统筹城乡的就业发展规划和政策,完善公共就业创业服务体系,统筹建立面向城乡劳动者的职业技能培训制度,落实就业援助制度,牵头落实高校毕业生就业政策。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（四）负责全县就业、失业和相关社会保险基金预测预警和信息引导,拟订应对预案,实施预防、调节和控制,保持就业形势稳定和相关社会保险基金总体收支平衡。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五）贯彻执行全省劳动人事争议调解仲裁工作规划和劳动关系政策,完善劳动关系协商协调机制,监督实施职工工作时间、休息休假和假期制度,监督实施消除非法使用童工政策和女工、未成年工特殊劳动保护政策组织实施劳动保障监察,协调劳动者维权工作,依法查处重大案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（六）牵头推进全县深化职称制度改革,组织实施专业技术人员管理、继续教育和博士后管理等政策,负责高层次专业技术人才选拔和培养工作,贯彻落实吸引留学人员来县 工作或定居政策。组织落实技能人才培养、评价、使用和激励制度。完善职业资格制度,健全职业技能多元化评价政策。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|（七）会同有关部门指导全县事业单位人事制度改革,按照管理权限负责规范事业单位岗位设置、公开招聘、聘用合同等人事综合管理工作，拟订事业单位工作人员和机关工勤人员管理政策。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（八）会同有关部门拟订、贯彻执行全县事业单位人员工资收入分配政策并组织实施,建立全县企事业单位人员工资决定、正常增长和支付保障机制。贯彻执行全省企事业单位人员福利和离退休政策并组织实施。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（九）贯彻执行全省农民工工作的综合性政策和规划,推动相关政策落实,协调解决重点难点问题,维护农民工合法权益。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十）承担县绩效评估与为民办实事考核办公室日常工作,具体组织实施全县所有关单位绩效评估和全县重点民生实事考核。会同有关部门组织贯彻实施国家、省、市表彰奖励制度和拟订县级表彰奖励制度,根据授权承办县级及以上表彰奖励活动相关工作,承担全县评比达标表彰有关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（十一）完成县委、县政府交办的其他任务。</w:t>
      </w:r>
      <w:bookmarkEnd w:id="2"/>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（一）内设机构设置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bookmarkStart w:id="3" w:name="ORG_SET"/>
      <w:r>
        <w:rPr>
          <w:rFonts w:hint="eastAsia" w:ascii="Times New Roman" w:hAnsi="Times New Roman" w:eastAsia="仿宋_GB2312" w:cs="仿宋_GB2312"/>
          <w:bCs/>
          <w:kern w:val="0"/>
          <w:sz w:val="32"/>
          <w:szCs w:val="32"/>
          <w:lang w:val="en-US" w:eastAsia="zh-CN"/>
        </w:rPr>
        <w:t>道县人力资源和社会保障局内设机构包括：本单位是全额拨款行政单位，内设办公室（综合调研室）、人事教育股、行政审批股、财务审计股、法规股（信访维稳室）、促进就业与失业保险股（加挂“道县就业和农民工工作领导小组办公室”牌子）、人力资源流动管理股、职业能力建设股（教育培训股）、专业技术人员管理股（加挂“道县职称改革工作领导小组”牌子）、事业单位人事管理股、劳动关系股、工资福利与退休人员管理股、工伤保险股（加挂“道县劳动能力鉴定委员会办公室”牌子）、社会养老保险股、社会保险基金监督股等15个股室</w:t>
      </w:r>
      <w:bookmarkEnd w:id="3"/>
      <w:r>
        <w:rPr>
          <w:rFonts w:hint="eastAsia" w:ascii="Times New Roman" w:hAnsi="Times New Roman" w:eastAsia="仿宋_GB2312" w:cs="仿宋_GB2312"/>
          <w:bCs/>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二</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决算单位构成</w:t>
      </w:r>
      <w:bookmarkStart w:id="4" w:name="DEPT_COMPOSE"/>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道县人力资源和社会保障局202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年部门决算汇总公开单位构成包括：道县人力资源和社会保障局本级。</w:t>
      </w:r>
      <w:bookmarkEnd w:id="4"/>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4"/>
        <w:jc w:val="both"/>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521" w:type="dxa"/>
        <w:tblInd w:w="0" w:type="dxa"/>
        <w:tblLayout w:type="fixed"/>
        <w:tblCellMar>
          <w:top w:w="0" w:type="dxa"/>
          <w:left w:w="0" w:type="dxa"/>
          <w:bottom w:w="0" w:type="dxa"/>
          <w:right w:w="0" w:type="dxa"/>
        </w:tblCellMar>
      </w:tblPr>
      <w:tblGrid>
        <w:gridCol w:w="279"/>
        <w:gridCol w:w="460"/>
        <w:gridCol w:w="127"/>
        <w:gridCol w:w="113"/>
        <w:gridCol w:w="2021"/>
        <w:gridCol w:w="348"/>
        <w:gridCol w:w="247"/>
        <w:gridCol w:w="436"/>
        <w:gridCol w:w="619"/>
        <w:gridCol w:w="459"/>
        <w:gridCol w:w="3"/>
        <w:gridCol w:w="493"/>
        <w:gridCol w:w="615"/>
        <w:gridCol w:w="703"/>
        <w:gridCol w:w="935"/>
        <w:gridCol w:w="662"/>
        <w:gridCol w:w="394"/>
        <w:gridCol w:w="238"/>
        <w:gridCol w:w="105"/>
        <w:gridCol w:w="330"/>
        <w:gridCol w:w="1318"/>
        <w:gridCol w:w="157"/>
        <w:gridCol w:w="98"/>
        <w:gridCol w:w="1394"/>
        <w:gridCol w:w="314"/>
        <w:gridCol w:w="28"/>
        <w:gridCol w:w="1052"/>
        <w:gridCol w:w="1318"/>
        <w:gridCol w:w="255"/>
      </w:tblGrid>
      <w:tr>
        <w:tblPrEx>
          <w:tblCellMar>
            <w:top w:w="0" w:type="dxa"/>
            <w:left w:w="0" w:type="dxa"/>
            <w:bottom w:w="0" w:type="dxa"/>
            <w:right w:w="0" w:type="dxa"/>
          </w:tblCellMar>
        </w:tblPrEx>
        <w:trPr>
          <w:gridAfter w:val="1"/>
          <w:wAfter w:w="255" w:type="dxa"/>
          <w:trHeight w:val="435" w:hRule="atLeast"/>
        </w:trPr>
        <w:tc>
          <w:tcPr>
            <w:tcW w:w="15266" w:type="dxa"/>
            <w:gridSpan w:val="28"/>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75"/>
              <w:gridCol w:w="572"/>
              <w:gridCol w:w="1269"/>
              <w:gridCol w:w="4501"/>
              <w:gridCol w:w="1877"/>
              <w:gridCol w:w="472"/>
              <w:gridCol w:w="565"/>
              <w:gridCol w:w="2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58"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8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2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71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994"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627"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73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7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19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59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4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85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73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7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19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59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4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85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17" w:type="dxa"/>
                <w:trHeight w:val="448" w:hRule="atLeast"/>
              </w:trPr>
              <w:tc>
                <w:tcPr>
                  <w:tcW w:w="550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1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17" w:type="dxa"/>
                <w:trHeight w:val="628"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17" w:type="dxa"/>
                <w:trHeight w:val="448"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17" w:type="dxa"/>
                <w:trHeight w:val="448"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1351</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12</w:t>
                  </w: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17" w:type="dxa"/>
                <w:trHeight w:val="448"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17" w:type="dxa"/>
                <w:trHeight w:val="448"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17" w:type="dxa"/>
                <w:trHeight w:val="448"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17" w:type="dxa"/>
                <w:trHeight w:val="448"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17" w:type="dxa"/>
                <w:trHeight w:val="448"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17" w:type="dxa"/>
                <w:trHeight w:val="448"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七、社会保障和就业支出</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1195</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2</w:t>
                  </w:r>
                  <w:r>
                    <w:rPr>
                      <w:rFonts w:hint="eastAsia" w:ascii="宋体" w:hAnsi="宋体" w:eastAsia="宋体" w:cs="宋体"/>
                      <w:i w:val="0"/>
                      <w:color w:val="00000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17" w:type="dxa"/>
                <w:trHeight w:val="448"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八、卫生健康支出</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45</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9</w:t>
                  </w: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17" w:type="dxa"/>
                <w:trHeight w:val="448"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九、农林水支出</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102</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9</w:t>
                  </w:r>
                  <w:r>
                    <w:rPr>
                      <w:rFonts w:hint="eastAsia" w:ascii="宋体" w:hAnsi="宋体" w:eastAsia="宋体" w:cs="宋体"/>
                      <w:i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17" w:type="dxa"/>
                <w:trHeight w:val="448"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1351</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12</w:t>
                  </w: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1351.12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17" w:type="dxa"/>
                <w:trHeight w:val="448"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17" w:type="dxa"/>
                <w:trHeight w:val="628"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17" w:type="dxa"/>
                <w:trHeight w:val="448"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1351.12</w:t>
                  </w:r>
                </w:p>
              </w:tc>
              <w:tc>
                <w:tcPr>
                  <w:tcW w:w="4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9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1351.12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gridAfter w:val="1"/>
          <w:wAfter w:w="255" w:type="dxa"/>
          <w:trHeight w:val="285" w:hRule="atLeast"/>
        </w:trPr>
        <w:tc>
          <w:tcPr>
            <w:tcW w:w="27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8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3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50"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70"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99"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98"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gridAfter w:val="1"/>
          <w:wAfter w:w="255" w:type="dxa"/>
          <w:trHeight w:val="285" w:hRule="atLeast"/>
        </w:trPr>
        <w:tc>
          <w:tcPr>
            <w:tcW w:w="866"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13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50"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70"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399"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98"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1"/>
          <w:wAfter w:w="255" w:type="dxa"/>
          <w:trHeight w:val="450" w:hRule="atLeast"/>
        </w:trPr>
        <w:tc>
          <w:tcPr>
            <w:tcW w:w="3000"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50"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70" w:type="dxa"/>
            <w:gridSpan w:val="4"/>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3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399"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05"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6"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98"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After w:val="1"/>
          <w:wAfter w:w="255" w:type="dxa"/>
          <w:trHeight w:val="450" w:hRule="atLeast"/>
        </w:trPr>
        <w:tc>
          <w:tcPr>
            <w:tcW w:w="866"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134"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65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7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99"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98"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255" w:type="dxa"/>
          <w:trHeight w:val="450" w:hRule="atLeast"/>
        </w:trPr>
        <w:tc>
          <w:tcPr>
            <w:tcW w:w="866"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34"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5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7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99"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6"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98"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255" w:type="dxa"/>
          <w:trHeight w:val="450" w:hRule="atLeast"/>
        </w:trPr>
        <w:tc>
          <w:tcPr>
            <w:tcW w:w="3000"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650"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570"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63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399"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0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6"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398"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After w:val="1"/>
          <w:wAfter w:w="255" w:type="dxa"/>
          <w:trHeight w:val="450" w:hRule="atLeast"/>
        </w:trPr>
        <w:tc>
          <w:tcPr>
            <w:tcW w:w="3000"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65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887"/>
                <w:tab w:val="right" w:pos="2105"/>
              </w:tabs>
              <w:jc w:val="center"/>
              <w:rPr>
                <w:rFonts w:ascii="宋体" w:hAnsi="宋体" w:eastAsia="宋体" w:cs="宋体"/>
                <w:sz w:val="21"/>
                <w:szCs w:val="21"/>
              </w:rPr>
            </w:pPr>
            <w:r>
              <w:rPr>
                <w:rFonts w:hint="eastAsia"/>
                <w:sz w:val="21"/>
                <w:szCs w:val="21"/>
                <w:lang w:val="en-US" w:eastAsia="zh-CN"/>
              </w:rPr>
              <w:t>1351.12</w:t>
            </w:r>
          </w:p>
        </w:tc>
        <w:tc>
          <w:tcPr>
            <w:tcW w:w="15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887"/>
                <w:tab w:val="right" w:pos="2105"/>
              </w:tabs>
              <w:jc w:val="center"/>
              <w:rPr>
                <w:rFonts w:ascii="宋体" w:hAnsi="宋体" w:eastAsia="宋体" w:cs="宋体"/>
                <w:sz w:val="21"/>
                <w:szCs w:val="21"/>
              </w:rPr>
            </w:pPr>
            <w:r>
              <w:rPr>
                <w:rFonts w:hint="eastAsia"/>
                <w:sz w:val="21"/>
                <w:szCs w:val="21"/>
                <w:lang w:val="en-US" w:eastAsia="zh-CN"/>
              </w:rPr>
              <w:t>1351.12</w:t>
            </w:r>
          </w:p>
        </w:tc>
        <w:tc>
          <w:tcPr>
            <w:tcW w:w="163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9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55" w:type="dxa"/>
          <w:trHeight w:val="450" w:hRule="atLeast"/>
        </w:trPr>
        <w:tc>
          <w:tcPr>
            <w:tcW w:w="86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2010399</w:t>
            </w:r>
          </w:p>
        </w:tc>
        <w:tc>
          <w:tcPr>
            <w:tcW w:w="213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其他政府办公厅（室）及相关机构事务支出</w:t>
            </w:r>
          </w:p>
        </w:tc>
        <w:tc>
          <w:tcPr>
            <w:tcW w:w="165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7</w:t>
            </w:r>
          </w:p>
        </w:tc>
        <w:tc>
          <w:tcPr>
            <w:tcW w:w="15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7</w:t>
            </w:r>
          </w:p>
        </w:tc>
        <w:tc>
          <w:tcPr>
            <w:tcW w:w="163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9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55" w:type="dxa"/>
          <w:trHeight w:val="450" w:hRule="atLeast"/>
        </w:trPr>
        <w:tc>
          <w:tcPr>
            <w:tcW w:w="86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2080101</w:t>
            </w:r>
          </w:p>
        </w:tc>
        <w:tc>
          <w:tcPr>
            <w:tcW w:w="213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行政运行</w:t>
            </w:r>
          </w:p>
        </w:tc>
        <w:tc>
          <w:tcPr>
            <w:tcW w:w="165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eastAsia="zh-CN"/>
              </w:rPr>
              <w:t>871</w:t>
            </w:r>
            <w:r>
              <w:rPr>
                <w:rFonts w:hint="eastAsia" w:ascii="宋体" w:hAnsi="宋体" w:eastAsia="宋体" w:cs="宋体"/>
                <w:lang w:val="en-US" w:eastAsia="zh-CN"/>
              </w:rPr>
              <w:t>.</w:t>
            </w:r>
            <w:r>
              <w:rPr>
                <w:rFonts w:hint="eastAsia" w:ascii="宋体" w:hAnsi="宋体" w:eastAsia="宋体" w:cs="宋体"/>
                <w:lang w:eastAsia="zh-CN"/>
              </w:rPr>
              <w:t>71</w:t>
            </w:r>
          </w:p>
        </w:tc>
        <w:tc>
          <w:tcPr>
            <w:tcW w:w="15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871.71</w:t>
            </w:r>
          </w:p>
        </w:tc>
        <w:tc>
          <w:tcPr>
            <w:tcW w:w="163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9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55" w:type="dxa"/>
          <w:trHeight w:val="450" w:hRule="atLeast"/>
        </w:trPr>
        <w:tc>
          <w:tcPr>
            <w:tcW w:w="86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2080102</w:t>
            </w:r>
          </w:p>
        </w:tc>
        <w:tc>
          <w:tcPr>
            <w:tcW w:w="213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一般行政管理事务</w:t>
            </w:r>
          </w:p>
        </w:tc>
        <w:tc>
          <w:tcPr>
            <w:tcW w:w="165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2</w:t>
            </w:r>
          </w:p>
        </w:tc>
        <w:tc>
          <w:tcPr>
            <w:tcW w:w="15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2</w:t>
            </w:r>
          </w:p>
        </w:tc>
        <w:tc>
          <w:tcPr>
            <w:tcW w:w="163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9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55" w:type="dxa"/>
          <w:trHeight w:val="450" w:hRule="atLeast"/>
        </w:trPr>
        <w:tc>
          <w:tcPr>
            <w:tcW w:w="86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2080105</w:t>
            </w:r>
          </w:p>
        </w:tc>
        <w:tc>
          <w:tcPr>
            <w:tcW w:w="213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劳动保障监察</w:t>
            </w:r>
          </w:p>
        </w:tc>
        <w:tc>
          <w:tcPr>
            <w:tcW w:w="165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20</w:t>
            </w:r>
          </w:p>
        </w:tc>
        <w:tc>
          <w:tcPr>
            <w:tcW w:w="15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20</w:t>
            </w:r>
          </w:p>
        </w:tc>
        <w:tc>
          <w:tcPr>
            <w:tcW w:w="163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9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55" w:type="dxa"/>
          <w:trHeight w:val="450" w:hRule="atLeast"/>
        </w:trPr>
        <w:tc>
          <w:tcPr>
            <w:tcW w:w="86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2080107</w:t>
            </w:r>
          </w:p>
        </w:tc>
        <w:tc>
          <w:tcPr>
            <w:tcW w:w="213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社会保险业务管理事务</w:t>
            </w:r>
          </w:p>
        </w:tc>
        <w:tc>
          <w:tcPr>
            <w:tcW w:w="165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10.5</w:t>
            </w:r>
          </w:p>
        </w:tc>
        <w:tc>
          <w:tcPr>
            <w:tcW w:w="15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10.5</w:t>
            </w:r>
          </w:p>
        </w:tc>
        <w:tc>
          <w:tcPr>
            <w:tcW w:w="163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9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55" w:type="dxa"/>
          <w:trHeight w:val="450" w:hRule="atLeast"/>
        </w:trPr>
        <w:tc>
          <w:tcPr>
            <w:tcW w:w="86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2080116</w:t>
            </w:r>
          </w:p>
        </w:tc>
        <w:tc>
          <w:tcPr>
            <w:tcW w:w="213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引进人才费用</w:t>
            </w:r>
          </w:p>
        </w:tc>
        <w:tc>
          <w:tcPr>
            <w:tcW w:w="165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150</w:t>
            </w:r>
          </w:p>
        </w:tc>
        <w:tc>
          <w:tcPr>
            <w:tcW w:w="15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150</w:t>
            </w:r>
          </w:p>
        </w:tc>
        <w:tc>
          <w:tcPr>
            <w:tcW w:w="163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9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55" w:type="dxa"/>
          <w:trHeight w:val="450" w:hRule="atLeast"/>
        </w:trPr>
        <w:tc>
          <w:tcPr>
            <w:tcW w:w="86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2080199</w:t>
            </w:r>
          </w:p>
        </w:tc>
        <w:tc>
          <w:tcPr>
            <w:tcW w:w="213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其他人力资源和社会保障管理事务支出</w:t>
            </w:r>
          </w:p>
        </w:tc>
        <w:tc>
          <w:tcPr>
            <w:tcW w:w="165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55.1</w:t>
            </w:r>
          </w:p>
        </w:tc>
        <w:tc>
          <w:tcPr>
            <w:tcW w:w="15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55.1</w:t>
            </w:r>
          </w:p>
        </w:tc>
        <w:tc>
          <w:tcPr>
            <w:tcW w:w="163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9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55" w:type="dxa"/>
          <w:trHeight w:val="450" w:hRule="atLeast"/>
        </w:trPr>
        <w:tc>
          <w:tcPr>
            <w:tcW w:w="86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2080505</w:t>
            </w:r>
          </w:p>
        </w:tc>
        <w:tc>
          <w:tcPr>
            <w:tcW w:w="213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机关事业单位基本养老保险缴费支出</w:t>
            </w:r>
          </w:p>
        </w:tc>
        <w:tc>
          <w:tcPr>
            <w:tcW w:w="165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84.44</w:t>
            </w:r>
          </w:p>
        </w:tc>
        <w:tc>
          <w:tcPr>
            <w:tcW w:w="15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84.44</w:t>
            </w:r>
          </w:p>
        </w:tc>
        <w:tc>
          <w:tcPr>
            <w:tcW w:w="163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9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55" w:type="dxa"/>
          <w:trHeight w:val="450" w:hRule="atLeast"/>
        </w:trPr>
        <w:tc>
          <w:tcPr>
            <w:tcW w:w="86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2080801</w:t>
            </w:r>
          </w:p>
        </w:tc>
        <w:tc>
          <w:tcPr>
            <w:tcW w:w="213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死亡抚恤</w:t>
            </w:r>
          </w:p>
        </w:tc>
        <w:tc>
          <w:tcPr>
            <w:tcW w:w="165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1.51</w:t>
            </w:r>
          </w:p>
        </w:tc>
        <w:tc>
          <w:tcPr>
            <w:tcW w:w="15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1.51</w:t>
            </w:r>
          </w:p>
        </w:tc>
        <w:tc>
          <w:tcPr>
            <w:tcW w:w="163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9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55" w:type="dxa"/>
          <w:trHeight w:val="450" w:hRule="atLeast"/>
        </w:trPr>
        <w:tc>
          <w:tcPr>
            <w:tcW w:w="86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2101101</w:t>
            </w:r>
          </w:p>
        </w:tc>
        <w:tc>
          <w:tcPr>
            <w:tcW w:w="213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行政单位医疗</w:t>
            </w:r>
          </w:p>
        </w:tc>
        <w:tc>
          <w:tcPr>
            <w:tcW w:w="165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45.92</w:t>
            </w:r>
          </w:p>
        </w:tc>
        <w:tc>
          <w:tcPr>
            <w:tcW w:w="15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45.92</w:t>
            </w:r>
          </w:p>
        </w:tc>
        <w:tc>
          <w:tcPr>
            <w:tcW w:w="163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9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55" w:type="dxa"/>
          <w:trHeight w:val="450" w:hRule="atLeast"/>
        </w:trPr>
        <w:tc>
          <w:tcPr>
            <w:tcW w:w="86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2130152</w:t>
            </w:r>
          </w:p>
        </w:tc>
        <w:tc>
          <w:tcPr>
            <w:tcW w:w="213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对高校毕业生到基层任职补助</w:t>
            </w:r>
          </w:p>
        </w:tc>
        <w:tc>
          <w:tcPr>
            <w:tcW w:w="165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102.95</w:t>
            </w:r>
          </w:p>
        </w:tc>
        <w:tc>
          <w:tcPr>
            <w:tcW w:w="157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102.95</w:t>
            </w:r>
          </w:p>
        </w:tc>
        <w:tc>
          <w:tcPr>
            <w:tcW w:w="163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9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9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55" w:type="dxa"/>
          <w:trHeight w:val="615" w:hRule="atLeast"/>
        </w:trPr>
        <w:tc>
          <w:tcPr>
            <w:tcW w:w="15266" w:type="dxa"/>
            <w:gridSpan w:val="28"/>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108" w:type="dxa"/>
            <w:bottom w:w="0" w:type="dxa"/>
            <w:right w:w="108" w:type="dxa"/>
          </w:tblCellMar>
        </w:tblPrEx>
        <w:trPr>
          <w:gridAfter w:val="1"/>
          <w:wAfter w:w="255" w:type="dxa"/>
          <w:trHeight w:val="807" w:hRule="atLeast"/>
        </w:trPr>
        <w:tc>
          <w:tcPr>
            <w:tcW w:w="15266" w:type="dxa"/>
            <w:gridSpan w:val="2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1"/>
          <w:wAfter w:w="255" w:type="dxa"/>
          <w:trHeight w:val="403" w:hRule="atLeast"/>
        </w:trPr>
        <w:tc>
          <w:tcPr>
            <w:tcW w:w="73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1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7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1"/>
          <w:wAfter w:w="255" w:type="dxa"/>
          <w:trHeight w:val="403" w:hRule="atLeast"/>
        </w:trPr>
        <w:tc>
          <w:tcPr>
            <w:tcW w:w="739"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1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7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255" w:type="dxa"/>
          <w:trHeight w:val="595" w:hRule="atLeast"/>
        </w:trPr>
        <w:tc>
          <w:tcPr>
            <w:tcW w:w="3348"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64"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1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7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255" w:type="dxa"/>
          <w:trHeight w:val="595" w:hRule="atLeast"/>
        </w:trPr>
        <w:tc>
          <w:tcPr>
            <w:tcW w:w="979"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369"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6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1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255" w:type="dxa"/>
          <w:trHeight w:val="312" w:hRule="atLeast"/>
        </w:trPr>
        <w:tc>
          <w:tcPr>
            <w:tcW w:w="979"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6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1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255" w:type="dxa"/>
          <w:trHeight w:val="595" w:hRule="atLeast"/>
        </w:trPr>
        <w:tc>
          <w:tcPr>
            <w:tcW w:w="3348"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64"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1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7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1"/>
          <w:wAfter w:w="255" w:type="dxa"/>
          <w:trHeight w:val="595" w:hRule="atLeast"/>
        </w:trPr>
        <w:tc>
          <w:tcPr>
            <w:tcW w:w="3348"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64" w:type="dxa"/>
            <w:gridSpan w:val="5"/>
            <w:tcBorders>
              <w:top w:val="nil"/>
              <w:left w:val="nil"/>
              <w:bottom w:val="single" w:color="auto" w:sz="4" w:space="0"/>
              <w:right w:val="single" w:color="auto" w:sz="4" w:space="0"/>
            </w:tcBorders>
            <w:shd w:val="clear" w:color="auto" w:fill="auto"/>
            <w:noWrap/>
            <w:vAlign w:val="center"/>
          </w:tcPr>
          <w:p>
            <w:pPr>
              <w:tabs>
                <w:tab w:val="center" w:pos="887"/>
                <w:tab w:val="right" w:pos="2105"/>
              </w:tabs>
              <w:jc w:val="center"/>
              <w:rPr>
                <w:rFonts w:hint="eastAsia"/>
                <w:sz w:val="21"/>
                <w:szCs w:val="21"/>
                <w:lang w:val="en-US" w:eastAsia="zh-CN"/>
              </w:rPr>
            </w:pPr>
            <w:r>
              <w:rPr>
                <w:rFonts w:hint="eastAsia"/>
                <w:sz w:val="21"/>
                <w:szCs w:val="21"/>
                <w:lang w:val="en-US" w:eastAsia="zh-CN"/>
              </w:rPr>
              <w:t>1351.12</w:t>
            </w:r>
          </w:p>
        </w:tc>
        <w:tc>
          <w:tcPr>
            <w:tcW w:w="1811" w:type="dxa"/>
            <w:gridSpan w:val="3"/>
            <w:tcBorders>
              <w:top w:val="nil"/>
              <w:left w:val="nil"/>
              <w:bottom w:val="single" w:color="auto" w:sz="4" w:space="0"/>
              <w:right w:val="single" w:color="auto" w:sz="4" w:space="0"/>
            </w:tcBorders>
            <w:shd w:val="clear" w:color="auto" w:fill="auto"/>
            <w:noWrap/>
            <w:vAlign w:val="center"/>
          </w:tcPr>
          <w:p>
            <w:pPr>
              <w:tabs>
                <w:tab w:val="center" w:pos="887"/>
                <w:tab w:val="right" w:pos="2105"/>
              </w:tabs>
              <w:jc w:val="center"/>
              <w:rPr>
                <w:rFonts w:hint="eastAsia"/>
                <w:sz w:val="21"/>
                <w:szCs w:val="21"/>
                <w:lang w:val="en-US" w:eastAsia="zh-CN"/>
              </w:rPr>
            </w:pPr>
            <w:r>
              <w:rPr>
                <w:rFonts w:hint="eastAsia"/>
                <w:sz w:val="21"/>
                <w:szCs w:val="21"/>
                <w:lang w:val="en-US" w:eastAsia="zh-CN"/>
              </w:rPr>
              <w:t>1003.57</w:t>
            </w:r>
          </w:p>
        </w:tc>
        <w:tc>
          <w:tcPr>
            <w:tcW w:w="1991" w:type="dxa"/>
            <w:gridSpan w:val="3"/>
            <w:tcBorders>
              <w:top w:val="nil"/>
              <w:left w:val="nil"/>
              <w:bottom w:val="single" w:color="auto" w:sz="4" w:space="0"/>
              <w:right w:val="single" w:color="auto" w:sz="4" w:space="0"/>
            </w:tcBorders>
            <w:shd w:val="clear" w:color="auto" w:fill="auto"/>
            <w:noWrap/>
            <w:vAlign w:val="center"/>
          </w:tcPr>
          <w:p>
            <w:pPr>
              <w:tabs>
                <w:tab w:val="center" w:pos="887"/>
                <w:tab w:val="right" w:pos="2105"/>
              </w:tabs>
              <w:jc w:val="center"/>
              <w:rPr>
                <w:rFonts w:hint="eastAsia"/>
                <w:sz w:val="21"/>
                <w:szCs w:val="21"/>
                <w:lang w:val="en-US" w:eastAsia="zh-CN"/>
              </w:rPr>
            </w:pPr>
            <w:r>
              <w:rPr>
                <w:rFonts w:hint="eastAsia"/>
                <w:sz w:val="21"/>
                <w:szCs w:val="21"/>
                <w:lang w:val="en-US" w:eastAsia="zh-CN"/>
              </w:rPr>
              <w:t>347.55</w:t>
            </w: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7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255" w:type="dxa"/>
          <w:trHeight w:val="595" w:hRule="atLeast"/>
        </w:trPr>
        <w:tc>
          <w:tcPr>
            <w:tcW w:w="97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2010399</w:t>
            </w:r>
          </w:p>
        </w:tc>
        <w:tc>
          <w:tcPr>
            <w:tcW w:w="236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其他政府办公厅（室）及相关机构事务支出</w:t>
            </w:r>
          </w:p>
        </w:tc>
        <w:tc>
          <w:tcPr>
            <w:tcW w:w="176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p>
        </w:tc>
        <w:tc>
          <w:tcPr>
            <w:tcW w:w="18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7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255" w:type="dxa"/>
          <w:trHeight w:val="330" w:hRule="atLeast"/>
        </w:trPr>
        <w:tc>
          <w:tcPr>
            <w:tcW w:w="97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2080101</w:t>
            </w:r>
          </w:p>
        </w:tc>
        <w:tc>
          <w:tcPr>
            <w:tcW w:w="236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行政运行</w:t>
            </w:r>
          </w:p>
        </w:tc>
        <w:tc>
          <w:tcPr>
            <w:tcW w:w="176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lang w:eastAsia="zh-CN"/>
              </w:rPr>
              <w:t>871</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71</w:t>
            </w:r>
          </w:p>
        </w:tc>
        <w:tc>
          <w:tcPr>
            <w:tcW w:w="18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lang w:eastAsia="zh-CN"/>
              </w:rPr>
              <w:t>871</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71</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991"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237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gridAfter w:val="1"/>
          <w:wAfter w:w="255" w:type="dxa"/>
          <w:trHeight w:val="90" w:hRule="atLeast"/>
        </w:trPr>
        <w:tc>
          <w:tcPr>
            <w:tcW w:w="97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2080102</w:t>
            </w:r>
          </w:p>
        </w:tc>
        <w:tc>
          <w:tcPr>
            <w:tcW w:w="236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一般行政管理事务</w:t>
            </w:r>
          </w:p>
        </w:tc>
        <w:tc>
          <w:tcPr>
            <w:tcW w:w="1764" w:type="dxa"/>
            <w:gridSpan w:val="5"/>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lang w:val="en-US" w:eastAsia="zh-CN"/>
              </w:rPr>
              <w:t>2</w:t>
            </w:r>
          </w:p>
        </w:tc>
        <w:tc>
          <w:tcPr>
            <w:tcW w:w="18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7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255" w:type="dxa"/>
          <w:trHeight w:val="261" w:hRule="atLeast"/>
        </w:trPr>
        <w:tc>
          <w:tcPr>
            <w:tcW w:w="97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2080105</w:t>
            </w:r>
          </w:p>
        </w:tc>
        <w:tc>
          <w:tcPr>
            <w:tcW w:w="236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劳动保障监察</w:t>
            </w:r>
          </w:p>
        </w:tc>
        <w:tc>
          <w:tcPr>
            <w:tcW w:w="1764" w:type="dxa"/>
            <w:gridSpan w:val="5"/>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lang w:val="en-US" w:eastAsia="zh-CN"/>
              </w:rPr>
              <w:t>20</w:t>
            </w:r>
          </w:p>
        </w:tc>
        <w:tc>
          <w:tcPr>
            <w:tcW w:w="18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w:t>
            </w: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7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255" w:type="dxa"/>
          <w:trHeight w:val="295" w:hRule="atLeast"/>
        </w:trPr>
        <w:tc>
          <w:tcPr>
            <w:tcW w:w="97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2080107</w:t>
            </w:r>
          </w:p>
        </w:tc>
        <w:tc>
          <w:tcPr>
            <w:tcW w:w="236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社会保险业务管理事务</w:t>
            </w:r>
          </w:p>
        </w:tc>
        <w:tc>
          <w:tcPr>
            <w:tcW w:w="1764" w:type="dxa"/>
            <w:gridSpan w:val="5"/>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lang w:val="en-US" w:eastAsia="zh-CN"/>
              </w:rPr>
              <w:t>10.5</w:t>
            </w:r>
          </w:p>
        </w:tc>
        <w:tc>
          <w:tcPr>
            <w:tcW w:w="18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10.5</w:t>
            </w: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7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255" w:type="dxa"/>
          <w:trHeight w:val="295" w:hRule="atLeast"/>
        </w:trPr>
        <w:tc>
          <w:tcPr>
            <w:tcW w:w="97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2080116</w:t>
            </w:r>
          </w:p>
        </w:tc>
        <w:tc>
          <w:tcPr>
            <w:tcW w:w="236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引进人才费用</w:t>
            </w:r>
          </w:p>
        </w:tc>
        <w:tc>
          <w:tcPr>
            <w:tcW w:w="1764" w:type="dxa"/>
            <w:gridSpan w:val="5"/>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lang w:val="en-US" w:eastAsia="zh-CN"/>
              </w:rPr>
              <w:t>150</w:t>
            </w:r>
          </w:p>
        </w:tc>
        <w:tc>
          <w:tcPr>
            <w:tcW w:w="18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150</w:t>
            </w: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7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255" w:type="dxa"/>
          <w:trHeight w:val="595" w:hRule="atLeast"/>
        </w:trPr>
        <w:tc>
          <w:tcPr>
            <w:tcW w:w="97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2080199</w:t>
            </w:r>
          </w:p>
        </w:tc>
        <w:tc>
          <w:tcPr>
            <w:tcW w:w="236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其他人力资源和社会保障管理事务支出</w:t>
            </w:r>
          </w:p>
        </w:tc>
        <w:tc>
          <w:tcPr>
            <w:tcW w:w="1764" w:type="dxa"/>
            <w:gridSpan w:val="5"/>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lang w:val="en-US" w:eastAsia="zh-CN"/>
              </w:rPr>
              <w:t>55.1</w:t>
            </w:r>
          </w:p>
        </w:tc>
        <w:tc>
          <w:tcPr>
            <w:tcW w:w="18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55.1</w:t>
            </w: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7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255" w:type="dxa"/>
          <w:trHeight w:val="595" w:hRule="atLeast"/>
        </w:trPr>
        <w:tc>
          <w:tcPr>
            <w:tcW w:w="97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2080505</w:t>
            </w:r>
          </w:p>
        </w:tc>
        <w:tc>
          <w:tcPr>
            <w:tcW w:w="236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机关事业单位基本养老保险缴费支出</w:t>
            </w:r>
          </w:p>
        </w:tc>
        <w:tc>
          <w:tcPr>
            <w:tcW w:w="1764" w:type="dxa"/>
            <w:gridSpan w:val="5"/>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lang w:val="en-US" w:eastAsia="zh-CN"/>
              </w:rPr>
              <w:t>84.44</w:t>
            </w:r>
          </w:p>
        </w:tc>
        <w:tc>
          <w:tcPr>
            <w:tcW w:w="18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84.44</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7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255" w:type="dxa"/>
          <w:trHeight w:val="595" w:hRule="atLeast"/>
        </w:trPr>
        <w:tc>
          <w:tcPr>
            <w:tcW w:w="97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2080801</w:t>
            </w:r>
          </w:p>
        </w:tc>
        <w:tc>
          <w:tcPr>
            <w:tcW w:w="236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死亡抚恤</w:t>
            </w:r>
          </w:p>
        </w:tc>
        <w:tc>
          <w:tcPr>
            <w:tcW w:w="1764" w:type="dxa"/>
            <w:gridSpan w:val="5"/>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lang w:val="en-US" w:eastAsia="zh-CN"/>
              </w:rPr>
              <w:t>1.51</w:t>
            </w:r>
          </w:p>
        </w:tc>
        <w:tc>
          <w:tcPr>
            <w:tcW w:w="18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1.51</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7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255" w:type="dxa"/>
          <w:trHeight w:val="595" w:hRule="atLeast"/>
        </w:trPr>
        <w:tc>
          <w:tcPr>
            <w:tcW w:w="97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2101101</w:t>
            </w:r>
          </w:p>
        </w:tc>
        <w:tc>
          <w:tcPr>
            <w:tcW w:w="236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行政单位医疗</w:t>
            </w:r>
          </w:p>
        </w:tc>
        <w:tc>
          <w:tcPr>
            <w:tcW w:w="1764" w:type="dxa"/>
            <w:gridSpan w:val="5"/>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lang w:val="en-US" w:eastAsia="zh-CN"/>
              </w:rPr>
              <w:t>45.92</w:t>
            </w:r>
          </w:p>
        </w:tc>
        <w:tc>
          <w:tcPr>
            <w:tcW w:w="18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45.92</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7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255" w:type="dxa"/>
          <w:trHeight w:val="595" w:hRule="atLeast"/>
        </w:trPr>
        <w:tc>
          <w:tcPr>
            <w:tcW w:w="97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2130152</w:t>
            </w:r>
          </w:p>
        </w:tc>
        <w:tc>
          <w:tcPr>
            <w:tcW w:w="236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对高校毕业生到基层任职补助</w:t>
            </w:r>
          </w:p>
        </w:tc>
        <w:tc>
          <w:tcPr>
            <w:tcW w:w="1764" w:type="dxa"/>
            <w:gridSpan w:val="5"/>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lang w:val="en-US" w:eastAsia="zh-CN"/>
              </w:rPr>
              <w:t>102.95</w:t>
            </w:r>
          </w:p>
        </w:tc>
        <w:tc>
          <w:tcPr>
            <w:tcW w:w="18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102.95</w:t>
            </w:r>
          </w:p>
        </w:tc>
        <w:tc>
          <w:tcPr>
            <w:tcW w:w="1991"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7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255" w:type="dxa"/>
          <w:trHeight w:val="700" w:hRule="atLeast"/>
        </w:trPr>
        <w:tc>
          <w:tcPr>
            <w:tcW w:w="15266" w:type="dxa"/>
            <w:gridSpan w:val="2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trHeight w:val="285" w:hRule="atLeast"/>
        </w:trPr>
        <w:tc>
          <w:tcPr>
            <w:tcW w:w="3595" w:type="dxa"/>
            <w:gridSpan w:val="7"/>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5" w:name="RANGE!A1:I22"/>
            <w:bookmarkEnd w:id="5"/>
            <w:bookmarkStart w:id="6"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4"/>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6"/>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2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gridSpan w:val="7"/>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8"/>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gridSpan w:val="7"/>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8"/>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10"/>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9"/>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1351.12</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6</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7</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7</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8</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9</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1</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七</w:t>
            </w:r>
            <w:r>
              <w:rPr>
                <w:rFonts w:hint="eastAsia" w:ascii="宋体" w:hAnsi="宋体" w:eastAsia="宋体" w:cs="宋体"/>
                <w:kern w:val="0"/>
                <w:sz w:val="22"/>
              </w:rPr>
              <w:t>、社会保障和就业支出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2</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1195</w:t>
            </w:r>
            <w:r>
              <w:rPr>
                <w:rFonts w:hint="eastAsia" w:ascii="宋体" w:hAnsi="宋体" w:eastAsia="宋体" w:cs="宋体"/>
                <w:kern w:val="0"/>
                <w:sz w:val="22"/>
                <w:lang w:val="en-US" w:eastAsia="zh-CN"/>
              </w:rPr>
              <w:t>.</w:t>
            </w:r>
            <w:r>
              <w:rPr>
                <w:rFonts w:hint="eastAsia" w:ascii="宋体" w:hAnsi="宋体" w:eastAsia="宋体" w:cs="宋体"/>
                <w:kern w:val="0"/>
                <w:sz w:val="22"/>
              </w:rPr>
              <w:t>2</w:t>
            </w:r>
            <w:r>
              <w:rPr>
                <w:rFonts w:hint="eastAsia" w:ascii="宋体" w:hAnsi="宋体" w:eastAsia="宋体" w:cs="宋体"/>
                <w:kern w:val="0"/>
                <w:sz w:val="22"/>
                <w:lang w:val="en-US" w:eastAsia="zh-CN"/>
              </w:rPr>
              <w:t>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1195.26</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八</w:t>
            </w:r>
            <w:r>
              <w:rPr>
                <w:rFonts w:hint="eastAsia" w:ascii="宋体" w:hAnsi="宋体" w:eastAsia="宋体" w:cs="宋体"/>
                <w:kern w:val="0"/>
                <w:sz w:val="22"/>
              </w:rPr>
              <w:t>、卫生健康支出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3</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45</w:t>
            </w:r>
            <w:r>
              <w:rPr>
                <w:rFonts w:hint="eastAsia" w:ascii="宋体" w:hAnsi="宋体" w:eastAsia="宋体" w:cs="宋体"/>
                <w:kern w:val="0"/>
                <w:sz w:val="22"/>
                <w:lang w:val="en-US" w:eastAsia="zh-CN"/>
              </w:rPr>
              <w:t>.</w:t>
            </w:r>
            <w:r>
              <w:rPr>
                <w:rFonts w:hint="eastAsia" w:ascii="宋体" w:hAnsi="宋体" w:eastAsia="宋体" w:cs="宋体"/>
                <w:kern w:val="0"/>
                <w:sz w:val="22"/>
              </w:rPr>
              <w:t>9</w:t>
            </w:r>
            <w:r>
              <w:rPr>
                <w:rFonts w:hint="eastAsia" w:ascii="宋体" w:hAnsi="宋体" w:eastAsia="宋体" w:cs="宋体"/>
                <w:kern w:val="0"/>
                <w:sz w:val="22"/>
                <w:lang w:val="en-US" w:eastAsia="zh-CN"/>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45</w:t>
            </w:r>
            <w:r>
              <w:rPr>
                <w:rFonts w:hint="eastAsia" w:ascii="宋体" w:hAnsi="宋体" w:eastAsia="宋体" w:cs="宋体"/>
                <w:kern w:val="0"/>
                <w:sz w:val="22"/>
                <w:lang w:val="en-US" w:eastAsia="zh-CN"/>
              </w:rPr>
              <w:t>.</w:t>
            </w:r>
            <w:r>
              <w:rPr>
                <w:rFonts w:hint="eastAsia" w:ascii="宋体" w:hAnsi="宋体" w:eastAsia="宋体" w:cs="宋体"/>
                <w:kern w:val="0"/>
                <w:sz w:val="22"/>
              </w:rPr>
              <w:t>9</w:t>
            </w:r>
            <w:r>
              <w:rPr>
                <w:rFonts w:hint="eastAsia" w:ascii="宋体" w:hAnsi="宋体" w:eastAsia="宋体" w:cs="宋体"/>
                <w:kern w:val="0"/>
                <w:sz w:val="22"/>
                <w:lang w:val="en-US" w:eastAsia="zh-CN"/>
              </w:rPr>
              <w:t>2</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九、</w:t>
            </w:r>
            <w:r>
              <w:rPr>
                <w:rFonts w:hint="eastAsia" w:ascii="宋体" w:hAnsi="宋体" w:eastAsia="宋体" w:cs="宋体"/>
                <w:kern w:val="0"/>
                <w:sz w:val="22"/>
              </w:rPr>
              <w:t>农林水支出</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102</w:t>
            </w:r>
            <w:r>
              <w:rPr>
                <w:rFonts w:hint="eastAsia" w:ascii="宋体" w:hAnsi="宋体" w:eastAsia="宋体" w:cs="宋体"/>
                <w:kern w:val="0"/>
                <w:sz w:val="22"/>
                <w:lang w:val="en-US" w:eastAsia="zh-CN"/>
              </w:rPr>
              <w:t>.</w:t>
            </w:r>
            <w:r>
              <w:rPr>
                <w:rFonts w:hint="eastAsia" w:ascii="宋体" w:hAnsi="宋体" w:eastAsia="宋体" w:cs="宋体"/>
                <w:kern w:val="0"/>
                <w:sz w:val="22"/>
              </w:rPr>
              <w:t>9</w:t>
            </w:r>
            <w:r>
              <w:rPr>
                <w:rFonts w:hint="eastAsia" w:ascii="宋体" w:hAnsi="宋体" w:eastAsia="宋体" w:cs="宋体"/>
                <w:kern w:val="0"/>
                <w:sz w:val="22"/>
                <w:lang w:val="en-US" w:eastAsia="zh-CN"/>
              </w:rPr>
              <w:t>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102.95</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1351.12</w:t>
            </w: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5</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1351.12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1351.12</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6</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7</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8</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9</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1351.12</w:t>
            </w:r>
          </w:p>
        </w:tc>
        <w:tc>
          <w:tcPr>
            <w:tcW w:w="3411"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57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1351.12</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1351.12</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2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6"/>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5614" w:type="dxa"/>
        <w:jc w:val="center"/>
        <w:tblLayout w:type="fixed"/>
        <w:tblCellMar>
          <w:top w:w="0" w:type="dxa"/>
          <w:left w:w="108" w:type="dxa"/>
          <w:bottom w:w="0" w:type="dxa"/>
          <w:right w:w="108" w:type="dxa"/>
        </w:tblCellMar>
      </w:tblPr>
      <w:tblGrid>
        <w:gridCol w:w="694"/>
        <w:gridCol w:w="287"/>
        <w:gridCol w:w="194"/>
        <w:gridCol w:w="45"/>
        <w:gridCol w:w="671"/>
        <w:gridCol w:w="700"/>
        <w:gridCol w:w="2011"/>
        <w:gridCol w:w="87"/>
        <w:gridCol w:w="248"/>
        <w:gridCol w:w="553"/>
        <w:gridCol w:w="1147"/>
        <w:gridCol w:w="397"/>
        <w:gridCol w:w="1366"/>
        <w:gridCol w:w="593"/>
        <w:gridCol w:w="111"/>
        <w:gridCol w:w="775"/>
        <w:gridCol w:w="1062"/>
        <w:gridCol w:w="242"/>
        <w:gridCol w:w="712"/>
        <w:gridCol w:w="1381"/>
        <w:gridCol w:w="1461"/>
        <w:gridCol w:w="181"/>
        <w:gridCol w:w="446"/>
        <w:gridCol w:w="250"/>
      </w:tblGrid>
      <w:tr>
        <w:tblPrEx>
          <w:tblCellMar>
            <w:top w:w="0" w:type="dxa"/>
            <w:left w:w="108" w:type="dxa"/>
            <w:bottom w:w="0" w:type="dxa"/>
            <w:right w:w="108" w:type="dxa"/>
          </w:tblCellMar>
        </w:tblPrEx>
        <w:trPr>
          <w:gridBefore w:val="1"/>
          <w:gridAfter w:val="2"/>
          <w:wBefore w:w="694" w:type="dxa"/>
          <w:wAfter w:w="696" w:type="dxa"/>
          <w:trHeight w:val="405" w:hRule="atLeast"/>
          <w:jc w:val="center"/>
        </w:trPr>
        <w:tc>
          <w:tcPr>
            <w:tcW w:w="4243" w:type="dxa"/>
            <w:gridSpan w:val="8"/>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981" w:type="dxa"/>
            <w:gridSpan w:val="1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gridBefore w:val="1"/>
          <w:gridAfter w:val="2"/>
          <w:wBefore w:w="694" w:type="dxa"/>
          <w:wAfter w:w="696" w:type="dxa"/>
          <w:trHeight w:val="495" w:hRule="atLeast"/>
          <w:jc w:val="center"/>
        </w:trPr>
        <w:tc>
          <w:tcPr>
            <w:tcW w:w="1197" w:type="dxa"/>
            <w:gridSpan w:val="4"/>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046"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463" w:type="dxa"/>
            <w:gridSpan w:val="4"/>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5" w:type="dxa"/>
            <w:gridSpan w:val="6"/>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23" w:type="dxa"/>
            <w:gridSpan w:val="3"/>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gridBefore w:val="1"/>
          <w:gridAfter w:val="2"/>
          <w:wBefore w:w="694" w:type="dxa"/>
          <w:wAfter w:w="696" w:type="dxa"/>
          <w:trHeight w:val="360" w:hRule="atLeast"/>
          <w:jc w:val="center"/>
        </w:trPr>
        <w:tc>
          <w:tcPr>
            <w:tcW w:w="1197"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4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63"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5"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23" w:type="dxa"/>
            <w:gridSpan w:val="3"/>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2"/>
          <w:wBefore w:w="694" w:type="dxa"/>
          <w:wAfter w:w="696" w:type="dxa"/>
          <w:trHeight w:val="312" w:hRule="atLeast"/>
          <w:jc w:val="center"/>
        </w:trPr>
        <w:tc>
          <w:tcPr>
            <w:tcW w:w="1197"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4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63"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5"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23" w:type="dxa"/>
            <w:gridSpan w:val="3"/>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2"/>
          <w:wBefore w:w="694" w:type="dxa"/>
          <w:wAfter w:w="696" w:type="dxa"/>
          <w:trHeight w:val="450" w:hRule="atLeast"/>
          <w:jc w:val="center"/>
        </w:trPr>
        <w:tc>
          <w:tcPr>
            <w:tcW w:w="4243" w:type="dxa"/>
            <w:gridSpan w:val="8"/>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463"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5" w:type="dxa"/>
            <w:gridSpan w:val="6"/>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23" w:type="dxa"/>
            <w:gridSpan w:val="3"/>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gridBefore w:val="1"/>
          <w:gridAfter w:val="2"/>
          <w:wBefore w:w="694" w:type="dxa"/>
          <w:wAfter w:w="696" w:type="dxa"/>
          <w:trHeight w:val="450" w:hRule="atLeast"/>
          <w:jc w:val="center"/>
        </w:trPr>
        <w:tc>
          <w:tcPr>
            <w:tcW w:w="4243" w:type="dxa"/>
            <w:gridSpan w:val="8"/>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463" w:type="dxa"/>
            <w:gridSpan w:val="4"/>
            <w:tcBorders>
              <w:top w:val="nil"/>
              <w:left w:val="nil"/>
              <w:bottom w:val="single" w:color="auto" w:sz="4" w:space="0"/>
              <w:right w:val="single" w:color="auto" w:sz="4" w:space="0"/>
            </w:tcBorders>
            <w:shd w:val="clear" w:color="auto" w:fill="auto"/>
            <w:vAlign w:val="center"/>
          </w:tcPr>
          <w:p>
            <w:pPr>
              <w:tabs>
                <w:tab w:val="center" w:pos="887"/>
                <w:tab w:val="right" w:pos="2105"/>
              </w:tabs>
              <w:jc w:val="center"/>
              <w:rPr>
                <w:rFonts w:ascii="Times New Roman" w:hAnsi="Times New Roman" w:eastAsia="仿宋_GB2312" w:cs="Times New Roman"/>
                <w:kern w:val="0"/>
                <w:szCs w:val="21"/>
              </w:rPr>
            </w:pPr>
            <w:r>
              <w:rPr>
                <w:rFonts w:hint="eastAsia"/>
                <w:sz w:val="21"/>
                <w:szCs w:val="21"/>
                <w:lang w:val="en-US" w:eastAsia="zh-CN"/>
              </w:rPr>
              <w:t>1351.12</w:t>
            </w:r>
          </w:p>
        </w:tc>
        <w:tc>
          <w:tcPr>
            <w:tcW w:w="3495" w:type="dxa"/>
            <w:gridSpan w:val="6"/>
            <w:tcBorders>
              <w:top w:val="nil"/>
              <w:left w:val="nil"/>
              <w:bottom w:val="single" w:color="auto" w:sz="4" w:space="0"/>
              <w:right w:val="single" w:color="auto" w:sz="4" w:space="0"/>
            </w:tcBorders>
            <w:shd w:val="clear" w:color="auto" w:fill="auto"/>
            <w:vAlign w:val="center"/>
          </w:tcPr>
          <w:p>
            <w:pPr>
              <w:tabs>
                <w:tab w:val="center" w:pos="887"/>
                <w:tab w:val="right" w:pos="2105"/>
              </w:tabs>
              <w:jc w:val="center"/>
              <w:rPr>
                <w:rFonts w:ascii="Times New Roman" w:hAnsi="Times New Roman" w:eastAsia="仿宋_GB2312" w:cs="Times New Roman"/>
                <w:kern w:val="0"/>
                <w:szCs w:val="21"/>
              </w:rPr>
            </w:pPr>
            <w:r>
              <w:rPr>
                <w:rFonts w:hint="eastAsia"/>
                <w:sz w:val="21"/>
                <w:szCs w:val="21"/>
                <w:lang w:val="en-US" w:eastAsia="zh-CN"/>
              </w:rPr>
              <w:t>1003.57</w:t>
            </w:r>
          </w:p>
        </w:tc>
        <w:tc>
          <w:tcPr>
            <w:tcW w:w="3023" w:type="dxa"/>
            <w:gridSpan w:val="3"/>
            <w:tcBorders>
              <w:top w:val="nil"/>
              <w:left w:val="nil"/>
              <w:bottom w:val="single" w:color="auto" w:sz="4" w:space="0"/>
              <w:right w:val="single" w:color="auto" w:sz="8" w:space="0"/>
            </w:tcBorders>
            <w:shd w:val="clear" w:color="auto" w:fill="auto"/>
            <w:vAlign w:val="center"/>
          </w:tcPr>
          <w:p>
            <w:pPr>
              <w:tabs>
                <w:tab w:val="center" w:pos="887"/>
                <w:tab w:val="right" w:pos="2105"/>
              </w:tabs>
              <w:jc w:val="center"/>
              <w:rPr>
                <w:rFonts w:ascii="Times New Roman" w:hAnsi="Times New Roman" w:eastAsia="仿宋_GB2312" w:cs="Times New Roman"/>
                <w:kern w:val="0"/>
                <w:szCs w:val="21"/>
              </w:rPr>
            </w:pPr>
            <w:r>
              <w:rPr>
                <w:rFonts w:hint="eastAsia"/>
                <w:sz w:val="21"/>
                <w:szCs w:val="21"/>
                <w:lang w:val="en-US" w:eastAsia="zh-CN"/>
              </w:rPr>
              <w:t>347.55</w:t>
            </w:r>
          </w:p>
        </w:tc>
      </w:tr>
      <w:tr>
        <w:tblPrEx>
          <w:tblCellMar>
            <w:top w:w="0" w:type="dxa"/>
            <w:left w:w="108" w:type="dxa"/>
            <w:bottom w:w="0" w:type="dxa"/>
            <w:right w:w="108" w:type="dxa"/>
          </w:tblCellMar>
        </w:tblPrEx>
        <w:trPr>
          <w:gridBefore w:val="1"/>
          <w:gridAfter w:val="2"/>
          <w:wBefore w:w="694" w:type="dxa"/>
          <w:wAfter w:w="696" w:type="dxa"/>
          <w:trHeight w:val="450" w:hRule="atLeast"/>
          <w:jc w:val="center"/>
        </w:trPr>
        <w:tc>
          <w:tcPr>
            <w:tcW w:w="1197"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rPr>
              <w:t>2010399</w:t>
            </w:r>
          </w:p>
        </w:tc>
        <w:tc>
          <w:tcPr>
            <w:tcW w:w="3046"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rPr>
              <w:t>其他政府办公厅（室）及相关机构事务支出</w:t>
            </w:r>
          </w:p>
        </w:tc>
        <w:tc>
          <w:tcPr>
            <w:tcW w:w="3463"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7</w:t>
            </w:r>
          </w:p>
        </w:tc>
        <w:tc>
          <w:tcPr>
            <w:tcW w:w="3495" w:type="dxa"/>
            <w:gridSpan w:val="6"/>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23" w:type="dxa"/>
            <w:gridSpan w:val="3"/>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7</w:t>
            </w:r>
          </w:p>
        </w:tc>
      </w:tr>
      <w:tr>
        <w:tblPrEx>
          <w:tblCellMar>
            <w:top w:w="0" w:type="dxa"/>
            <w:left w:w="108" w:type="dxa"/>
            <w:bottom w:w="0" w:type="dxa"/>
            <w:right w:w="108" w:type="dxa"/>
          </w:tblCellMar>
        </w:tblPrEx>
        <w:trPr>
          <w:gridBefore w:val="1"/>
          <w:gridAfter w:val="2"/>
          <w:wBefore w:w="694" w:type="dxa"/>
          <w:wAfter w:w="696" w:type="dxa"/>
          <w:trHeight w:val="450" w:hRule="atLeast"/>
          <w:jc w:val="center"/>
        </w:trPr>
        <w:tc>
          <w:tcPr>
            <w:tcW w:w="1197"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rPr>
              <w:t>2080101</w:t>
            </w:r>
          </w:p>
        </w:tc>
        <w:tc>
          <w:tcPr>
            <w:tcW w:w="3046"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rPr>
              <w:t>行政运行</w:t>
            </w:r>
          </w:p>
        </w:tc>
        <w:tc>
          <w:tcPr>
            <w:tcW w:w="3463"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sz w:val="21"/>
                <w:szCs w:val="21"/>
                <w:lang w:eastAsia="zh-CN"/>
              </w:rPr>
              <w:t>871</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71</w:t>
            </w:r>
          </w:p>
        </w:tc>
        <w:tc>
          <w:tcPr>
            <w:tcW w:w="3495" w:type="dxa"/>
            <w:gridSpan w:val="6"/>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sz w:val="21"/>
                <w:szCs w:val="21"/>
                <w:lang w:eastAsia="zh-CN"/>
              </w:rPr>
              <w:t>871</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71</w:t>
            </w:r>
          </w:p>
        </w:tc>
        <w:tc>
          <w:tcPr>
            <w:tcW w:w="3023" w:type="dxa"/>
            <w:gridSpan w:val="3"/>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2"/>
          <w:wBefore w:w="694" w:type="dxa"/>
          <w:wAfter w:w="696" w:type="dxa"/>
          <w:trHeight w:val="450" w:hRule="atLeast"/>
          <w:jc w:val="center"/>
        </w:trPr>
        <w:tc>
          <w:tcPr>
            <w:tcW w:w="1197"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2080102</w:t>
            </w:r>
          </w:p>
        </w:tc>
        <w:tc>
          <w:tcPr>
            <w:tcW w:w="3046"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一般行政管理事务</w:t>
            </w:r>
          </w:p>
        </w:tc>
        <w:tc>
          <w:tcPr>
            <w:tcW w:w="3463" w:type="dxa"/>
            <w:gridSpan w:val="4"/>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宋体" w:hAnsi="宋体" w:eastAsia="宋体" w:cs="宋体"/>
                <w:sz w:val="21"/>
                <w:szCs w:val="21"/>
                <w:lang w:val="en-US" w:eastAsia="zh-CN"/>
              </w:rPr>
              <w:t>2</w:t>
            </w:r>
          </w:p>
        </w:tc>
        <w:tc>
          <w:tcPr>
            <w:tcW w:w="3495" w:type="dxa"/>
            <w:gridSpan w:val="6"/>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23" w:type="dxa"/>
            <w:gridSpan w:val="3"/>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w:t>
            </w:r>
          </w:p>
        </w:tc>
      </w:tr>
      <w:tr>
        <w:tblPrEx>
          <w:tblCellMar>
            <w:top w:w="0" w:type="dxa"/>
            <w:left w:w="108" w:type="dxa"/>
            <w:bottom w:w="0" w:type="dxa"/>
            <w:right w:w="108" w:type="dxa"/>
          </w:tblCellMar>
        </w:tblPrEx>
        <w:trPr>
          <w:gridBefore w:val="1"/>
          <w:gridAfter w:val="2"/>
          <w:wBefore w:w="694" w:type="dxa"/>
          <w:wAfter w:w="696" w:type="dxa"/>
          <w:trHeight w:val="450" w:hRule="atLeast"/>
          <w:jc w:val="center"/>
        </w:trPr>
        <w:tc>
          <w:tcPr>
            <w:tcW w:w="1197"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2080105</w:t>
            </w:r>
          </w:p>
        </w:tc>
        <w:tc>
          <w:tcPr>
            <w:tcW w:w="3046"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劳动保障监察</w:t>
            </w:r>
          </w:p>
        </w:tc>
        <w:tc>
          <w:tcPr>
            <w:tcW w:w="3463" w:type="dxa"/>
            <w:gridSpan w:val="4"/>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宋体" w:hAnsi="宋体" w:eastAsia="宋体" w:cs="宋体"/>
                <w:sz w:val="21"/>
                <w:szCs w:val="21"/>
                <w:lang w:val="en-US" w:eastAsia="zh-CN"/>
              </w:rPr>
              <w:t>20</w:t>
            </w:r>
          </w:p>
        </w:tc>
        <w:tc>
          <w:tcPr>
            <w:tcW w:w="3495" w:type="dxa"/>
            <w:gridSpan w:val="6"/>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23" w:type="dxa"/>
            <w:gridSpan w:val="3"/>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20</w:t>
            </w:r>
          </w:p>
        </w:tc>
      </w:tr>
      <w:tr>
        <w:tblPrEx>
          <w:tblCellMar>
            <w:top w:w="0" w:type="dxa"/>
            <w:left w:w="108" w:type="dxa"/>
            <w:bottom w:w="0" w:type="dxa"/>
            <w:right w:w="108" w:type="dxa"/>
          </w:tblCellMar>
        </w:tblPrEx>
        <w:trPr>
          <w:gridBefore w:val="1"/>
          <w:gridAfter w:val="2"/>
          <w:wBefore w:w="694" w:type="dxa"/>
          <w:wAfter w:w="696" w:type="dxa"/>
          <w:trHeight w:val="450" w:hRule="atLeast"/>
          <w:jc w:val="center"/>
        </w:trPr>
        <w:tc>
          <w:tcPr>
            <w:tcW w:w="1197"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2080107</w:t>
            </w:r>
          </w:p>
        </w:tc>
        <w:tc>
          <w:tcPr>
            <w:tcW w:w="3046"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社会保险业务管理事务</w:t>
            </w:r>
          </w:p>
        </w:tc>
        <w:tc>
          <w:tcPr>
            <w:tcW w:w="3463" w:type="dxa"/>
            <w:gridSpan w:val="4"/>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宋体" w:hAnsi="宋体" w:eastAsia="宋体" w:cs="宋体"/>
                <w:sz w:val="21"/>
                <w:szCs w:val="21"/>
                <w:lang w:val="en-US" w:eastAsia="zh-CN"/>
              </w:rPr>
              <w:t>10.5</w:t>
            </w:r>
          </w:p>
        </w:tc>
        <w:tc>
          <w:tcPr>
            <w:tcW w:w="3495" w:type="dxa"/>
            <w:gridSpan w:val="6"/>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23" w:type="dxa"/>
            <w:gridSpan w:val="3"/>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10.5</w:t>
            </w:r>
          </w:p>
        </w:tc>
      </w:tr>
      <w:tr>
        <w:tblPrEx>
          <w:tblCellMar>
            <w:top w:w="0" w:type="dxa"/>
            <w:left w:w="108" w:type="dxa"/>
            <w:bottom w:w="0" w:type="dxa"/>
            <w:right w:w="108" w:type="dxa"/>
          </w:tblCellMar>
        </w:tblPrEx>
        <w:trPr>
          <w:gridBefore w:val="1"/>
          <w:gridAfter w:val="2"/>
          <w:wBefore w:w="694" w:type="dxa"/>
          <w:wAfter w:w="696" w:type="dxa"/>
          <w:trHeight w:val="450" w:hRule="atLeast"/>
          <w:jc w:val="center"/>
        </w:trPr>
        <w:tc>
          <w:tcPr>
            <w:tcW w:w="1197"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2080116</w:t>
            </w:r>
          </w:p>
        </w:tc>
        <w:tc>
          <w:tcPr>
            <w:tcW w:w="3046" w:type="dxa"/>
            <w:gridSpan w:val="4"/>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引进人才费用</w:t>
            </w:r>
          </w:p>
        </w:tc>
        <w:tc>
          <w:tcPr>
            <w:tcW w:w="3463" w:type="dxa"/>
            <w:gridSpan w:val="4"/>
            <w:tcBorders>
              <w:top w:val="nil"/>
              <w:left w:val="nil"/>
              <w:bottom w:val="single" w:color="auto" w:sz="8"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宋体" w:hAnsi="宋体" w:eastAsia="宋体" w:cs="宋体"/>
                <w:sz w:val="21"/>
                <w:szCs w:val="21"/>
                <w:lang w:val="en-US" w:eastAsia="zh-CN"/>
              </w:rPr>
              <w:t>150</w:t>
            </w:r>
          </w:p>
        </w:tc>
        <w:tc>
          <w:tcPr>
            <w:tcW w:w="3495" w:type="dxa"/>
            <w:gridSpan w:val="6"/>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23" w:type="dxa"/>
            <w:gridSpan w:val="3"/>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150</w:t>
            </w:r>
          </w:p>
        </w:tc>
      </w:tr>
      <w:tr>
        <w:tblPrEx>
          <w:tblCellMar>
            <w:top w:w="0" w:type="dxa"/>
            <w:left w:w="108" w:type="dxa"/>
            <w:bottom w:w="0" w:type="dxa"/>
            <w:right w:w="108" w:type="dxa"/>
          </w:tblCellMar>
        </w:tblPrEx>
        <w:trPr>
          <w:gridBefore w:val="1"/>
          <w:gridAfter w:val="2"/>
          <w:wBefore w:w="694" w:type="dxa"/>
          <w:wAfter w:w="696" w:type="dxa"/>
          <w:trHeight w:val="450" w:hRule="atLeast"/>
          <w:jc w:val="center"/>
        </w:trPr>
        <w:tc>
          <w:tcPr>
            <w:tcW w:w="1197"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2080199</w:t>
            </w:r>
          </w:p>
        </w:tc>
        <w:tc>
          <w:tcPr>
            <w:tcW w:w="3046" w:type="dxa"/>
            <w:gridSpan w:val="4"/>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其他人力资源和社会保障管理事务支出</w:t>
            </w:r>
          </w:p>
        </w:tc>
        <w:tc>
          <w:tcPr>
            <w:tcW w:w="3463" w:type="dxa"/>
            <w:gridSpan w:val="4"/>
            <w:tcBorders>
              <w:top w:val="nil"/>
              <w:left w:val="nil"/>
              <w:bottom w:val="single" w:color="auto" w:sz="8"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宋体" w:hAnsi="宋体" w:eastAsia="宋体" w:cs="宋体"/>
                <w:sz w:val="21"/>
                <w:szCs w:val="21"/>
                <w:lang w:val="en-US" w:eastAsia="zh-CN"/>
              </w:rPr>
              <w:t>55.1</w:t>
            </w:r>
          </w:p>
        </w:tc>
        <w:tc>
          <w:tcPr>
            <w:tcW w:w="3495" w:type="dxa"/>
            <w:gridSpan w:val="6"/>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23" w:type="dxa"/>
            <w:gridSpan w:val="3"/>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55.1</w:t>
            </w:r>
          </w:p>
        </w:tc>
      </w:tr>
      <w:tr>
        <w:tblPrEx>
          <w:tblCellMar>
            <w:top w:w="0" w:type="dxa"/>
            <w:left w:w="108" w:type="dxa"/>
            <w:bottom w:w="0" w:type="dxa"/>
            <w:right w:w="108" w:type="dxa"/>
          </w:tblCellMar>
        </w:tblPrEx>
        <w:trPr>
          <w:gridBefore w:val="1"/>
          <w:gridAfter w:val="2"/>
          <w:wBefore w:w="694" w:type="dxa"/>
          <w:wAfter w:w="696" w:type="dxa"/>
          <w:trHeight w:val="450" w:hRule="atLeast"/>
          <w:jc w:val="center"/>
        </w:trPr>
        <w:tc>
          <w:tcPr>
            <w:tcW w:w="1197"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2080505</w:t>
            </w:r>
          </w:p>
        </w:tc>
        <w:tc>
          <w:tcPr>
            <w:tcW w:w="3046" w:type="dxa"/>
            <w:gridSpan w:val="4"/>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机关事业单位基本养老保险缴费支出</w:t>
            </w:r>
          </w:p>
        </w:tc>
        <w:tc>
          <w:tcPr>
            <w:tcW w:w="3463" w:type="dxa"/>
            <w:gridSpan w:val="4"/>
            <w:tcBorders>
              <w:top w:val="nil"/>
              <w:left w:val="nil"/>
              <w:bottom w:val="single" w:color="auto" w:sz="8"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宋体" w:hAnsi="宋体" w:eastAsia="宋体" w:cs="宋体"/>
                <w:sz w:val="21"/>
                <w:szCs w:val="21"/>
                <w:lang w:val="en-US" w:eastAsia="zh-CN"/>
              </w:rPr>
              <w:t>84.44</w:t>
            </w:r>
          </w:p>
        </w:tc>
        <w:tc>
          <w:tcPr>
            <w:tcW w:w="3495" w:type="dxa"/>
            <w:gridSpan w:val="6"/>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84.44</w:t>
            </w:r>
          </w:p>
        </w:tc>
        <w:tc>
          <w:tcPr>
            <w:tcW w:w="3023" w:type="dxa"/>
            <w:gridSpan w:val="3"/>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2"/>
          <w:wBefore w:w="694" w:type="dxa"/>
          <w:wAfter w:w="696" w:type="dxa"/>
          <w:trHeight w:val="450" w:hRule="atLeast"/>
          <w:jc w:val="center"/>
        </w:trPr>
        <w:tc>
          <w:tcPr>
            <w:tcW w:w="1197"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2080801</w:t>
            </w:r>
          </w:p>
        </w:tc>
        <w:tc>
          <w:tcPr>
            <w:tcW w:w="3046" w:type="dxa"/>
            <w:gridSpan w:val="4"/>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死亡抚恤</w:t>
            </w:r>
          </w:p>
        </w:tc>
        <w:tc>
          <w:tcPr>
            <w:tcW w:w="3463" w:type="dxa"/>
            <w:gridSpan w:val="4"/>
            <w:tcBorders>
              <w:top w:val="nil"/>
              <w:left w:val="nil"/>
              <w:bottom w:val="single" w:color="auto" w:sz="8"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宋体" w:hAnsi="宋体" w:eastAsia="宋体" w:cs="宋体"/>
                <w:sz w:val="21"/>
                <w:szCs w:val="21"/>
                <w:lang w:val="en-US" w:eastAsia="zh-CN"/>
              </w:rPr>
              <w:t>1.51</w:t>
            </w:r>
          </w:p>
        </w:tc>
        <w:tc>
          <w:tcPr>
            <w:tcW w:w="3495" w:type="dxa"/>
            <w:gridSpan w:val="6"/>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1.51</w:t>
            </w:r>
          </w:p>
        </w:tc>
        <w:tc>
          <w:tcPr>
            <w:tcW w:w="3023" w:type="dxa"/>
            <w:gridSpan w:val="3"/>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2"/>
          <w:wBefore w:w="694" w:type="dxa"/>
          <w:wAfter w:w="696" w:type="dxa"/>
          <w:trHeight w:val="450" w:hRule="atLeast"/>
          <w:jc w:val="center"/>
        </w:trPr>
        <w:tc>
          <w:tcPr>
            <w:tcW w:w="1197"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2101101</w:t>
            </w:r>
          </w:p>
        </w:tc>
        <w:tc>
          <w:tcPr>
            <w:tcW w:w="3046" w:type="dxa"/>
            <w:gridSpan w:val="4"/>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行政单位医疗</w:t>
            </w:r>
          </w:p>
        </w:tc>
        <w:tc>
          <w:tcPr>
            <w:tcW w:w="3463" w:type="dxa"/>
            <w:gridSpan w:val="4"/>
            <w:tcBorders>
              <w:top w:val="nil"/>
              <w:left w:val="nil"/>
              <w:bottom w:val="single" w:color="auto" w:sz="8"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宋体" w:hAnsi="宋体" w:eastAsia="宋体" w:cs="宋体"/>
                <w:sz w:val="21"/>
                <w:szCs w:val="21"/>
                <w:lang w:val="en-US" w:eastAsia="zh-CN"/>
              </w:rPr>
              <w:t>45.92</w:t>
            </w:r>
          </w:p>
        </w:tc>
        <w:tc>
          <w:tcPr>
            <w:tcW w:w="3495" w:type="dxa"/>
            <w:gridSpan w:val="6"/>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45.92</w:t>
            </w:r>
          </w:p>
        </w:tc>
        <w:tc>
          <w:tcPr>
            <w:tcW w:w="3023" w:type="dxa"/>
            <w:gridSpan w:val="3"/>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Before w:val="1"/>
          <w:gridAfter w:val="2"/>
          <w:wBefore w:w="694" w:type="dxa"/>
          <w:wAfter w:w="696" w:type="dxa"/>
          <w:trHeight w:val="450" w:hRule="atLeast"/>
          <w:jc w:val="center"/>
        </w:trPr>
        <w:tc>
          <w:tcPr>
            <w:tcW w:w="1197"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2130152</w:t>
            </w:r>
          </w:p>
        </w:tc>
        <w:tc>
          <w:tcPr>
            <w:tcW w:w="3046" w:type="dxa"/>
            <w:gridSpan w:val="4"/>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对高校毕业生到基层任职补助</w:t>
            </w:r>
          </w:p>
        </w:tc>
        <w:tc>
          <w:tcPr>
            <w:tcW w:w="3463" w:type="dxa"/>
            <w:gridSpan w:val="4"/>
            <w:tcBorders>
              <w:top w:val="nil"/>
              <w:left w:val="nil"/>
              <w:bottom w:val="single" w:color="auto" w:sz="8"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r>
              <w:rPr>
                <w:rFonts w:hint="eastAsia" w:ascii="宋体" w:hAnsi="宋体" w:eastAsia="宋体" w:cs="宋体"/>
                <w:sz w:val="21"/>
                <w:szCs w:val="21"/>
                <w:lang w:val="en-US" w:eastAsia="zh-CN"/>
              </w:rPr>
              <w:t>102.95</w:t>
            </w:r>
          </w:p>
        </w:tc>
        <w:tc>
          <w:tcPr>
            <w:tcW w:w="3495" w:type="dxa"/>
            <w:gridSpan w:val="6"/>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23" w:type="dxa"/>
            <w:gridSpan w:val="3"/>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kern w:val="0"/>
                <w:sz w:val="21"/>
                <w:szCs w:val="21"/>
                <w:lang w:val="en-US" w:eastAsia="zh-CN"/>
              </w:rPr>
              <w:t>102.95</w:t>
            </w:r>
          </w:p>
        </w:tc>
      </w:tr>
      <w:tr>
        <w:tblPrEx>
          <w:tblCellMar>
            <w:top w:w="0" w:type="dxa"/>
            <w:left w:w="108" w:type="dxa"/>
            <w:bottom w:w="0" w:type="dxa"/>
            <w:right w:w="108" w:type="dxa"/>
          </w:tblCellMar>
        </w:tblPrEx>
        <w:trPr>
          <w:gridBefore w:val="1"/>
          <w:gridAfter w:val="2"/>
          <w:wBefore w:w="694" w:type="dxa"/>
          <w:wAfter w:w="696" w:type="dxa"/>
          <w:trHeight w:val="645" w:hRule="atLeast"/>
          <w:jc w:val="center"/>
        </w:trPr>
        <w:tc>
          <w:tcPr>
            <w:tcW w:w="14224" w:type="dxa"/>
            <w:gridSpan w:val="21"/>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tblPrEx>
          <w:tblCellMar>
            <w:top w:w="0" w:type="dxa"/>
            <w:left w:w="108" w:type="dxa"/>
            <w:bottom w:w="0" w:type="dxa"/>
            <w:right w:w="108" w:type="dxa"/>
          </w:tblCellMar>
        </w:tblPrEx>
        <w:trPr>
          <w:trHeight w:val="751" w:hRule="atLeast"/>
          <w:jc w:val="center"/>
        </w:trPr>
        <w:tc>
          <w:tcPr>
            <w:tcW w:w="15614" w:type="dxa"/>
            <w:gridSpan w:val="24"/>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7" w:name="RANGE!A1:I34"/>
            <w:r>
              <w:rPr>
                <w:rFonts w:hint="eastAsia" w:ascii="华文中宋" w:hAnsi="华文中宋" w:eastAsia="华文中宋" w:cs="宋体"/>
                <w:color w:val="000000"/>
                <w:kern w:val="0"/>
                <w:szCs w:val="32"/>
              </w:rPr>
              <w:t>一般公共预算财政拨款基本支出决算明细表</w:t>
            </w:r>
            <w:bookmarkEnd w:id="7"/>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776" w:hRule="atLeast"/>
          <w:jc w:val="center"/>
        </w:trPr>
        <w:tc>
          <w:tcPr>
            <w:tcW w:w="11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42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5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664</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02</w:t>
            </w: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147.67</w:t>
            </w:r>
            <w:r>
              <w:rPr>
                <w:rFonts w:hint="eastAsia" w:ascii="宋体" w:hAnsi="宋体" w:eastAsia="宋体" w:cs="宋体"/>
                <w:color w:val="000000"/>
                <w:kern w:val="0"/>
                <w:szCs w:val="20"/>
              </w:rPr>
              <w:t>1476760</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eastAsia="zh-CN"/>
              </w:rPr>
            </w:pPr>
            <w:r>
              <w:rPr>
                <w:rFonts w:hint="eastAsia" w:ascii="宋体" w:hAnsi="宋体" w:eastAsia="宋体" w:cs="宋体"/>
                <w:color w:val="000000"/>
                <w:kern w:val="0"/>
                <w:szCs w:val="20"/>
              </w:rPr>
              <w:t>331</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1</w:t>
            </w:r>
            <w:r>
              <w:rPr>
                <w:rFonts w:hint="eastAsia" w:ascii="宋体" w:hAnsi="宋体" w:eastAsia="宋体" w:cs="宋体"/>
                <w:color w:val="000000"/>
                <w:kern w:val="0"/>
                <w:szCs w:val="20"/>
                <w:lang w:val="en-US" w:eastAsia="zh-CN"/>
              </w:rPr>
              <w:t>4</w:t>
            </w: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157</w:t>
            </w:r>
            <w:r>
              <w:rPr>
                <w:rFonts w:hint="eastAsia" w:ascii="宋体" w:hAnsi="宋体" w:eastAsia="宋体" w:cs="宋体"/>
                <w:color w:val="000000"/>
                <w:kern w:val="0"/>
                <w:szCs w:val="20"/>
                <w:lang w:val="en-US" w:eastAsia="zh-CN"/>
              </w:rPr>
              <w:t>.4</w:t>
            </w: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3</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67</w:t>
            </w: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41</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46</w:t>
            </w: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eastAsia="zh-CN"/>
              </w:rPr>
            </w:pPr>
            <w:r>
              <w:rPr>
                <w:rFonts w:hint="eastAsia" w:ascii="宋体" w:hAnsi="宋体" w:eastAsia="宋体" w:cs="宋体"/>
                <w:color w:val="000000"/>
                <w:kern w:val="0"/>
                <w:szCs w:val="20"/>
              </w:rPr>
              <w:t>84</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4</w:t>
            </w:r>
            <w:r>
              <w:rPr>
                <w:rFonts w:hint="eastAsia" w:ascii="宋体" w:hAnsi="宋体" w:eastAsia="宋体" w:cs="宋体"/>
                <w:color w:val="000000"/>
                <w:kern w:val="0"/>
                <w:szCs w:val="20"/>
                <w:lang w:val="en-US" w:eastAsia="zh-CN"/>
              </w:rPr>
              <w:t>4</w:t>
            </w: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45.92</w:t>
            </w: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eastAsia="zh-CN"/>
              </w:rPr>
            </w:pPr>
            <w:r>
              <w:rPr>
                <w:rFonts w:hint="eastAsia" w:ascii="宋体" w:hAnsi="宋体" w:eastAsia="宋体" w:cs="宋体"/>
                <w:color w:val="000000"/>
                <w:kern w:val="0"/>
                <w:szCs w:val="20"/>
              </w:rPr>
              <w:t>191</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8</w:t>
            </w:r>
            <w:r>
              <w:rPr>
                <w:rFonts w:hint="eastAsia" w:ascii="宋体" w:hAnsi="宋体" w:eastAsia="宋体" w:cs="宋体"/>
                <w:color w:val="000000"/>
                <w:kern w:val="0"/>
                <w:szCs w:val="20"/>
                <w:lang w:val="en-US" w:eastAsia="zh-CN"/>
              </w:rPr>
              <w:t>8</w:t>
            </w: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1.51</w:t>
            </w: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181</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38</w:t>
            </w: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8</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98</w:t>
            </w: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11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2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8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4.48</w:t>
            </w:r>
          </w:p>
        </w:tc>
        <w:tc>
          <w:tcPr>
            <w:tcW w:w="10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96"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jc w:val="center"/>
        </w:trPr>
        <w:tc>
          <w:tcPr>
            <w:tcW w:w="4602"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8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855.9</w:t>
            </w:r>
          </w:p>
        </w:tc>
        <w:tc>
          <w:tcPr>
            <w:tcW w:w="9247"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7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147.68</w:t>
            </w:r>
          </w:p>
        </w:tc>
      </w:tr>
      <w:tr>
        <w:tblPrEx>
          <w:tblCellMar>
            <w:top w:w="0" w:type="dxa"/>
            <w:left w:w="108" w:type="dxa"/>
            <w:bottom w:w="0" w:type="dxa"/>
            <w:right w:w="108" w:type="dxa"/>
          </w:tblCellMar>
        </w:tblPrEx>
        <w:trPr>
          <w:trHeight w:val="284" w:hRule="exact"/>
          <w:jc w:val="center"/>
        </w:trPr>
        <w:tc>
          <w:tcPr>
            <w:tcW w:w="15614" w:type="dxa"/>
            <w:gridSpan w:val="24"/>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690" w:hRule="atLeast"/>
          <w:jc w:val="center"/>
        </w:trPr>
        <w:tc>
          <w:tcPr>
            <w:tcW w:w="15364" w:type="dxa"/>
            <w:gridSpan w:val="23"/>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345" w:hRule="atLeast"/>
          <w:jc w:val="center"/>
        </w:trPr>
        <w:tc>
          <w:tcPr>
            <w:tcW w:w="981"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9"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71"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9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345"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3"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88"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690" w:hRule="atLeast"/>
          <w:jc w:val="center"/>
        </w:trPr>
        <w:tc>
          <w:tcPr>
            <w:tcW w:w="981" w:type="dxa"/>
            <w:gridSpan w:val="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71"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9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345"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3"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88"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459" w:hRule="atLeast"/>
          <w:jc w:val="center"/>
        </w:trPr>
        <w:tc>
          <w:tcPr>
            <w:tcW w:w="25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4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609" w:hRule="atLeast"/>
          <w:jc w:val="center"/>
        </w:trPr>
        <w:tc>
          <w:tcPr>
            <w:tcW w:w="122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409" w:hRule="atLeast"/>
          <w:jc w:val="center"/>
        </w:trPr>
        <w:tc>
          <w:tcPr>
            <w:tcW w:w="12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jc w:val="center"/>
        </w:trPr>
        <w:tc>
          <w:tcPr>
            <w:tcW w:w="12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jc w:val="center"/>
        </w:trPr>
        <w:tc>
          <w:tcPr>
            <w:tcW w:w="25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jc w:val="center"/>
        </w:trPr>
        <w:tc>
          <w:tcPr>
            <w:tcW w:w="25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jc w:val="center"/>
        </w:trPr>
        <w:tc>
          <w:tcPr>
            <w:tcW w:w="1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jc w:val="center"/>
        </w:trPr>
        <w:tc>
          <w:tcPr>
            <w:tcW w:w="1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jc w:val="center"/>
        </w:trPr>
        <w:tc>
          <w:tcPr>
            <w:tcW w:w="1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jc w:val="center"/>
        </w:trPr>
        <w:tc>
          <w:tcPr>
            <w:tcW w:w="1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jc w:val="center"/>
        </w:trPr>
        <w:tc>
          <w:tcPr>
            <w:tcW w:w="1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jc w:val="center"/>
        </w:trPr>
        <w:tc>
          <w:tcPr>
            <w:tcW w:w="1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3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725" w:hRule="atLeast"/>
          <w:jc w:val="center"/>
        </w:trPr>
        <w:tc>
          <w:tcPr>
            <w:tcW w:w="15364" w:type="dxa"/>
            <w:gridSpan w:val="2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4"/>
        <w:rPr>
          <w:sz w:val="72"/>
          <w:szCs w:val="72"/>
        </w:rPr>
      </w:pPr>
    </w:p>
    <w:p>
      <w:pPr>
        <w:pStyle w:val="14"/>
        <w:rPr>
          <w:sz w:val="72"/>
          <w:szCs w:val="72"/>
        </w:rPr>
      </w:pPr>
    </w:p>
    <w:p>
      <w:pPr>
        <w:pStyle w:val="14"/>
        <w:rPr>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1351.12</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741.76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35.44</w:t>
      </w:r>
      <w:r>
        <w:rPr>
          <w:rFonts w:hint="eastAsia" w:ascii="Times New Roman" w:hAnsi="Times New Roman" w:eastAsia="仿宋_GB2312"/>
          <w:sz w:val="32"/>
          <w:szCs w:val="32"/>
        </w:rPr>
        <w:t>%，主要是因为减少审计整改资金</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1351.12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1351.12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1351.12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1003.57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74.28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347.55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25.72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1351.12</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741.76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35.44</w:t>
      </w:r>
      <w:r>
        <w:rPr>
          <w:rFonts w:hint="eastAsia" w:ascii="Times New Roman" w:hAnsi="Times New Roman" w:eastAsia="仿宋_GB2312"/>
          <w:sz w:val="32"/>
          <w:szCs w:val="32"/>
        </w:rPr>
        <w:t>%，主要是因为减少审计整改资金</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1351.12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741.76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35.44</w:t>
      </w:r>
      <w:r>
        <w:rPr>
          <w:rFonts w:hint="eastAsia" w:ascii="Times New Roman" w:hAnsi="Times New Roman" w:eastAsia="仿宋_GB2312"/>
          <w:sz w:val="32"/>
          <w:szCs w:val="32"/>
        </w:rPr>
        <w:t>%，主要是因为减少审计整改资金</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1351.12</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0.52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1195.26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88.46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卫生健康</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支出45.92万元，占3.40%；农林水</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支出102.95万元，占7.62%。</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1040.72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1351.12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129.83</w:t>
      </w:r>
      <w:r>
        <w:rPr>
          <w:rFonts w:hint="eastAsia" w:ascii="Times New Roman" w:hAnsi="Times New Roman" w:eastAsia="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1、一般公共服务（类）政府办公厅（室）及相关机构事务（款）其他政府办公厅（室）及相关机构事务支出（项）。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万元，无法计算完成比率，决算数大于年初预算数的主要原因</w:t>
      </w:r>
      <w:r>
        <w:rPr>
          <w:rFonts w:hint="eastAsia" w:ascii="Times New Roman" w:hAnsi="Times New Roman" w:eastAsia="仿宋_GB2312"/>
          <w:sz w:val="32"/>
          <w:szCs w:val="32"/>
          <w:lang w:val="en-US" w:eastAsia="zh-CN"/>
        </w:rPr>
        <w:t>是：</w:t>
      </w:r>
      <w:r>
        <w:rPr>
          <w:rFonts w:hint="eastAsia" w:ascii="Times New Roman" w:hAnsi="Times New Roman" w:eastAsia="仿宋_GB2312"/>
          <w:sz w:val="32"/>
          <w:szCs w:val="32"/>
        </w:rPr>
        <w:t>年初预算全部划分到社会保障和就业支出（类）人力资源和社会保障管理事务（款）行政运行（项），没有细分到其他科目。</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人力资源和社会保障管理事务（款）行政运行</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862.15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871.71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101.12</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年初预算全部划分到社会保障和就业支出（类）人力资源和社会保障管理事务（款）行政运行（项），没有细分到其他科目。</w:t>
      </w:r>
    </w:p>
    <w:p>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人力资源和社会保障管理事务（款）一般行政管理事务</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万元，无法计算完成比率，决算数大于年初预算数的主要原因是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年初预算全部划分到社会保障和就业支出（类）人力资源和社会保障管理事务（款）行政运行（项），没有细分到其他科目。</w:t>
      </w:r>
    </w:p>
    <w:p>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人力资源和社会保障管理事务（款）劳动保障监察</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万元，无法计算完成比率，决算数大于年初预算数的主要原因是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年初预算全部划分到社会保障和就业支出（类）人力资源和社会保障管理事务（款）行政运行（项），没有细分到其他科目。</w:t>
      </w:r>
    </w:p>
    <w:p>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人力资源和社会保障管理事务（款）社会保险业务管理事务</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万元，无法计算完成比率，决算数大于年初预算数的主要原因是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年初预算全部划分到社会保障和就业支出（类）人力资源和社会保障管理事务（款）行政运行（项），没有细分到其他科目。</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人力资源和社会保障管理事务（款）引进人才费用</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150</w:t>
      </w:r>
      <w:r>
        <w:rPr>
          <w:rFonts w:hint="eastAsia" w:ascii="Times New Roman" w:hAnsi="Times New Roman" w:eastAsia="仿宋_GB2312"/>
          <w:sz w:val="32"/>
          <w:szCs w:val="32"/>
        </w:rPr>
        <w:t>万元，无法计算完成比率，决算数大于年初预算数的主要原因是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年初预算全部划分到社会保障和就业支出（类）人力资源和社会保障管理事务（款）行政运行（项），没有细分到其他科目。</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人力资源和社会保障管理事务（款）其他人力资源和社会保障管理事务支出</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55.1</w:t>
      </w:r>
      <w:r>
        <w:rPr>
          <w:rFonts w:hint="eastAsia" w:ascii="Times New Roman" w:hAnsi="Times New Roman" w:eastAsia="仿宋_GB2312"/>
          <w:sz w:val="32"/>
          <w:szCs w:val="32"/>
        </w:rPr>
        <w:t>万元，无法计算完成比率，决算数大于年初预算数的主要原因是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年初预算全部划分到社会保障和就业支出（类）人力资源和社会保障管理事务（款）行政运行（项），没有细分到其他科目。</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行政事业单位养老支出（款）机关事业单位基本养老保险缴费支出（项）。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78.59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84.44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107.44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本年存在人员的调动，缴费基数调整，发放金额增加。</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9、社会保障和就业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抚恤（款）死亡抚恤（项）</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1.51</w:t>
      </w:r>
      <w:r>
        <w:rPr>
          <w:rFonts w:hint="eastAsia" w:ascii="Times New Roman" w:hAnsi="Times New Roman" w:eastAsia="仿宋_GB2312"/>
          <w:sz w:val="32"/>
          <w:szCs w:val="32"/>
        </w:rPr>
        <w:t>万元，无法计算完成比率，决算数大于年初预算数的主要原因是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年初预算全部划分到社会保障和就业支出（类）人力资源和社会保障管理事务（款）行政运行（项），没有细分到其他科目。</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卫生健康支出（类）行政事业单位医疗（款）行政单位医疗（项）</w:t>
      </w:r>
      <w:r>
        <w:rPr>
          <w:rFonts w:hint="eastAsia" w:ascii="Times New Roman" w:hAnsi="Times New Roman" w:eastAsia="仿宋_GB2312"/>
          <w:sz w:val="32"/>
          <w:szCs w:val="32"/>
          <w:lang w:val="en-US"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42.73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45.92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107.47</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本年存在人员的调动，缴费基数调整，发放金额增加。</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lang w:eastAsia="zh-CN"/>
        </w:rPr>
        <w:t>农林水</w:t>
      </w:r>
      <w:r>
        <w:rPr>
          <w:rFonts w:hint="eastAsia" w:ascii="Times New Roman" w:hAnsi="Times New Roman" w:eastAsia="仿宋_GB2312"/>
          <w:sz w:val="32"/>
          <w:szCs w:val="32"/>
        </w:rPr>
        <w:t>支出（类）</w:t>
      </w:r>
      <w:r>
        <w:rPr>
          <w:rFonts w:hint="eastAsia" w:ascii="Times New Roman" w:hAnsi="Times New Roman" w:eastAsia="仿宋_GB2312"/>
          <w:sz w:val="32"/>
          <w:szCs w:val="32"/>
          <w:lang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对高校毕业生到基层任职补助</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102.95</w:t>
      </w:r>
      <w:r>
        <w:rPr>
          <w:rFonts w:hint="eastAsia" w:ascii="Times New Roman" w:hAnsi="Times New Roman" w:eastAsia="仿宋_GB2312"/>
          <w:sz w:val="32"/>
          <w:szCs w:val="32"/>
        </w:rPr>
        <w:t>万元，无法计算完成比率，决算数大于年初预算数的主要原因是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年初预算全部划分到社会保障和就业支出（类）人力资源和社会保障管理事务（款）行政运行（项），没有细分到其他科目。</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12、住房保障支出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57.25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住房公积金由县财政统一缴纳。</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1003.57</w:t>
      </w:r>
      <w:r>
        <w:rPr>
          <w:rFonts w:hint="eastAsia" w:ascii="Times New Roman" w:hAnsi="Times New Roman" w:eastAsia="仿宋_GB2312"/>
          <w:sz w:val="32"/>
          <w:szCs w:val="32"/>
        </w:rPr>
        <w:t>万元，其中：</w:t>
      </w:r>
    </w:p>
    <w:p>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855.9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85.29</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val="en-US" w:eastAsia="zh-CN"/>
        </w:rPr>
        <w:t>绩效工资、机关事业单位基本养老保险缴费、职工基本医疗保险缴费、对个人和家庭的补助、抚恤金、奖励金、其他对个人和家庭的补助</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147.68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14.71</w:t>
      </w:r>
      <w:r>
        <w:rPr>
          <w:rFonts w:hint="eastAsia" w:ascii="Times New Roman" w:hAnsi="Times New Roman" w:eastAsia="仿宋_GB2312"/>
          <w:sz w:val="32"/>
          <w:szCs w:val="32"/>
        </w:rPr>
        <w:t>%，主要包括办公费、印刷费、咨询费、</w:t>
      </w:r>
      <w:r>
        <w:rPr>
          <w:rFonts w:hint="eastAsia" w:ascii="Times New Roman" w:hAnsi="Times New Roman" w:eastAsia="仿宋_GB2312"/>
          <w:sz w:val="32"/>
          <w:szCs w:val="32"/>
          <w:lang w:val="en-US" w:eastAsia="zh-CN"/>
        </w:rPr>
        <w:t>水</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、电费、邮电费、物业管理费、差旅费、维修（护）费、会议费、培训费、公务接待费、劳务费、工会经费、福利费、其他交通费用、其他商品和服务支出。</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bookmarkStart w:id="8" w:name="DIS_MARK_THERR_CZBK_GWYC_FINAL_BGT_D"/>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与本年预算数相同，</w:t>
      </w:r>
      <w:bookmarkEnd w:id="8"/>
      <w:bookmarkStart w:id="9" w:name="END_IS_ZERO_14_1"/>
      <w:bookmarkEnd w:id="9"/>
      <w:bookmarkStart w:id="10" w:name="END_THERR_CZBK_GWYC_FINAL_BGT_D"/>
      <w:bookmarkEnd w:id="10"/>
      <w:bookmarkStart w:id="11" w:name="DIS_MARK_IS_ZERO_14_1"/>
      <w:bookmarkEnd w:id="11"/>
      <w:bookmarkStart w:id="12" w:name="START_IS_ZERO_14_1"/>
      <w:bookmarkEnd w:id="12"/>
      <w:bookmarkStart w:id="13" w:name="IS_ZERO_14"/>
      <w:bookmarkEnd w:id="13"/>
      <w:bookmarkStart w:id="14" w:name="START_IS_ZERO_14_2"/>
      <w:bookmarkEnd w:id="14"/>
      <w:bookmarkStart w:id="15" w:name="DIS_MARK_IS_ZERO_14_2"/>
      <w:r>
        <w:rPr>
          <w:rFonts w:hint="eastAsia" w:ascii="Times New Roman" w:hAnsi="Times New Roman" w:eastAsia="仿宋_GB2312"/>
          <w:sz w:val="32"/>
          <w:szCs w:val="32"/>
        </w:rPr>
        <w:t>与上年决算数相同。</w:t>
      </w:r>
      <w:bookmarkEnd w:id="15"/>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%，与本年预算数相同，与上年决算数相同</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万元。与本年预算数相同，与上年决算数相同。</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与本年预算数相同，与上年决算数相同。</w:t>
      </w:r>
    </w:p>
    <w:p>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120</w:t>
      </w:r>
      <w:r>
        <w:rPr>
          <w:rFonts w:hint="eastAsia" w:ascii="Times New Roman" w:hAnsi="Times New Roman" w:eastAsia="仿宋_GB2312"/>
          <w:sz w:val="32"/>
          <w:szCs w:val="32"/>
        </w:rPr>
        <w:t>人次，主要是检查指导交流发生的接待支出。</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4"/>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九、关于机关运行经费支出说明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147.68</w:t>
      </w:r>
      <w:r>
        <w:rPr>
          <w:rFonts w:hint="eastAsia" w:ascii="Times New Roman" w:hAnsi="Times New Roman" w:eastAsia="仿宋_GB2312"/>
          <w:sz w:val="32"/>
          <w:szCs w:val="32"/>
        </w:rPr>
        <w:t>万元，比年初预算数增加</w:t>
      </w:r>
      <w:r>
        <w:rPr>
          <w:rFonts w:hint="eastAsia" w:ascii="Times New Roman" w:hAnsi="Times New Roman" w:eastAsia="仿宋_GB2312"/>
          <w:sz w:val="32"/>
          <w:szCs w:val="32"/>
          <w:lang w:val="en-US" w:eastAsia="zh-CN"/>
        </w:rPr>
        <w:t>9.4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6.80</w:t>
      </w:r>
      <w:r>
        <w:rPr>
          <w:rFonts w:hint="eastAsia" w:ascii="Times New Roman" w:hAnsi="Times New Roman" w:eastAsia="仿宋_GB2312"/>
          <w:sz w:val="32"/>
          <w:szCs w:val="32"/>
        </w:rPr>
        <w:t>%。主要原因是：增加了人员工作经费</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用于召开</w:t>
      </w:r>
      <w:bookmarkStart w:id="16" w:name="MEET_FUNDS_COUNT"/>
      <w:r>
        <w:rPr>
          <w:rFonts w:hint="eastAsia" w:ascii="Times New Roman" w:hAnsi="Times New Roman" w:eastAsia="仿宋_GB2312"/>
          <w:sz w:val="32"/>
          <w:szCs w:val="32"/>
          <w:lang w:eastAsia="zh-CN"/>
        </w:rPr>
        <w:t>人社工作</w:t>
      </w:r>
      <w:bookmarkEnd w:id="16"/>
      <w:r>
        <w:rPr>
          <w:rFonts w:hint="eastAsia" w:ascii="Times New Roman" w:hAnsi="Times New Roman" w:eastAsia="仿宋_GB2312"/>
          <w:sz w:val="32"/>
          <w:szCs w:val="32"/>
          <w:lang w:eastAsia="zh-CN"/>
        </w:rPr>
        <w:t>会议，人数</w:t>
      </w:r>
      <w:r>
        <w:rPr>
          <w:rFonts w:hint="eastAsia" w:ascii="Times New Roman" w:hAnsi="Times New Roman" w:eastAsia="仿宋_GB2312"/>
          <w:sz w:val="32"/>
          <w:szCs w:val="32"/>
          <w:lang w:val="en-US" w:eastAsia="zh-CN"/>
        </w:rPr>
        <w:t>450</w:t>
      </w:r>
      <w:r>
        <w:rPr>
          <w:rFonts w:hint="eastAsia" w:ascii="Times New Roman" w:hAnsi="Times New Roman" w:eastAsia="仿宋_GB2312"/>
          <w:sz w:val="32"/>
          <w:szCs w:val="32"/>
          <w:lang w:eastAsia="zh-CN"/>
        </w:rPr>
        <w:t>人，内容为</w:t>
      </w:r>
      <w:bookmarkStart w:id="17" w:name="MEET_FUNDS_HYNR"/>
      <w:r>
        <w:rPr>
          <w:rFonts w:hint="eastAsia" w:ascii="Times New Roman" w:hAnsi="Times New Roman" w:eastAsia="仿宋_GB2312"/>
          <w:sz w:val="32"/>
          <w:szCs w:val="32"/>
          <w:lang w:eastAsia="zh-CN"/>
        </w:rPr>
        <w:t>人社工作会议</w:t>
      </w:r>
      <w:bookmarkEnd w:id="17"/>
      <w:r>
        <w:rPr>
          <w:rFonts w:hint="eastAsia" w:ascii="Times New Roman" w:hAnsi="Times New Roman" w:eastAsia="仿宋_GB2312"/>
          <w:sz w:val="32"/>
          <w:szCs w:val="32"/>
          <w:lang w:eastAsia="zh-CN"/>
        </w:rPr>
        <w:t>；开支培训费</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万元，用于开展</w:t>
      </w:r>
      <w:bookmarkStart w:id="18" w:name="TRAIN_FUNDS_COUNT"/>
      <w:r>
        <w:rPr>
          <w:rFonts w:hint="eastAsia" w:ascii="Times New Roman" w:hAnsi="Times New Roman" w:eastAsia="仿宋_GB2312"/>
          <w:sz w:val="32"/>
          <w:szCs w:val="32"/>
          <w:lang w:eastAsia="zh-CN"/>
        </w:rPr>
        <w:t>人社业务</w:t>
      </w:r>
      <w:bookmarkEnd w:id="18"/>
      <w:r>
        <w:rPr>
          <w:rFonts w:hint="eastAsia" w:ascii="Times New Roman" w:hAnsi="Times New Roman" w:eastAsia="仿宋_GB2312"/>
          <w:sz w:val="32"/>
          <w:szCs w:val="32"/>
          <w:lang w:eastAsia="zh-CN"/>
        </w:rPr>
        <w:t>培训，人数</w:t>
      </w:r>
      <w:r>
        <w:rPr>
          <w:rFonts w:hint="eastAsia" w:ascii="Times New Roman" w:hAnsi="Times New Roman" w:eastAsia="仿宋_GB2312"/>
          <w:sz w:val="32"/>
          <w:szCs w:val="32"/>
          <w:lang w:val="en-US" w:eastAsia="zh-CN"/>
        </w:rPr>
        <w:t>300</w:t>
      </w:r>
      <w:r>
        <w:rPr>
          <w:rFonts w:hint="eastAsia" w:ascii="Times New Roman" w:hAnsi="Times New Roman" w:eastAsia="仿宋_GB2312"/>
          <w:sz w:val="32"/>
          <w:szCs w:val="32"/>
          <w:lang w:eastAsia="zh-CN"/>
        </w:rPr>
        <w:t>人，内容为</w:t>
      </w:r>
      <w:bookmarkStart w:id="19" w:name="TRAIN_FUNDS_PXNR"/>
      <w:r>
        <w:rPr>
          <w:rFonts w:hint="eastAsia" w:ascii="Times New Roman" w:hAnsi="Times New Roman" w:eastAsia="仿宋_GB2312"/>
          <w:sz w:val="32"/>
          <w:szCs w:val="32"/>
          <w:lang w:eastAsia="zh-CN"/>
        </w:rPr>
        <w:t>人社业务培训</w:t>
      </w:r>
      <w:bookmarkEnd w:id="19"/>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lang w:eastAsia="zh-CN"/>
        </w:rPr>
        <w:t>举办等节庆、晚会、论坛、赛事活动。</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38.6</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10.6</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黑体" w:hAnsi="黑体" w:eastAsia="黑体" w:cs="黑体"/>
          <w:b w:val="0"/>
          <w:bCs/>
          <w:color w:val="auto"/>
          <w:sz w:val="32"/>
          <w:szCs w:val="32"/>
          <w:lang w:eastAsia="zh-CN"/>
        </w:rPr>
        <w:t>2024年</w:t>
      </w:r>
      <w:r>
        <w:rPr>
          <w:rFonts w:hint="eastAsia" w:ascii="黑体" w:hAnsi="黑体" w:eastAsia="黑体" w:cs="黑体"/>
          <w:b w:val="0"/>
          <w:bCs/>
          <w:color w:val="auto"/>
          <w:sz w:val="32"/>
          <w:szCs w:val="32"/>
        </w:rPr>
        <w:t>度</w:t>
      </w:r>
      <w:r>
        <w:rPr>
          <w:rFonts w:hint="eastAsia" w:ascii="黑体" w:hAnsi="黑体" w:eastAsia="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本部门预算绩效管理开展情况、绩效目标和绩效评价报告等见附件</w:t>
      </w:r>
      <w:r>
        <w:rPr>
          <w:rFonts w:hint="eastAsia" w:ascii="Times New Roman" w:hAnsi="Times New Roman" w:eastAsia="仿宋_GB2312"/>
          <w:color w:val="auto"/>
          <w:sz w:val="32"/>
          <w:szCs w:val="32"/>
          <w:lang w:eastAsia="zh-CN"/>
        </w:rPr>
        <w:t>。</w:t>
      </w:r>
    </w:p>
    <w:p>
      <w:pPr>
        <w:pStyle w:val="14"/>
        <w:jc w:val="center"/>
        <w:rPr>
          <w:sz w:val="72"/>
          <w:szCs w:val="72"/>
        </w:rPr>
      </w:pPr>
    </w:p>
    <w:p>
      <w:pPr>
        <w:pStyle w:val="14"/>
        <w:jc w:val="both"/>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1280" w:firstLineChars="4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1．财政拨款收入：指单位本年度从同级财政部门取得的各类财政拨款。</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2．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3．事业收入：指事业单位开展专业业务活动及其辅助活动取得的收入，事业单位收到的财政专户实际核拨的教育收费等资金在此反映。</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4．经营收入：指事业单位在专业业务活动及其辅助活动之外开展非独立核算经营活动取得的收入。</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5．附属单位上缴收入：指事业单位附属独立核算单位按照有关规定上缴的收入。</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6．其他收入：指单位取得的除上述“财政拨款收入”、“事业收入”、“经营收入”等以外的各项收入。</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7．使用非财政拨款结余：指事业单位使用非财政拨款结余（原事业基金）弥补当年收支差额的数额。</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8．年初结转和结余：指单位上年结转本年使用的基本支出结转、项目支出结转和结余和经营结余。</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9．结余分配：指事业单位按规定对非财政拨款结余资金提取的专用基金、缴纳的所得税和转入非财政拨款结余等。</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10．年末结转和结余资金：指本年度或以前年度预算安排、因客观条件发生变化无法按原计划实施，需要延迟到以后年度按有关规定继续使用的资金。</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11．基本支出：指为保障机构正常运转、完成日常工作任务而发生的支出，包括人员经费和公用经费。</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12．项目支出：指在为完成特定的工作任务和事业发展目标所发生的支出。</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13．上缴上级支出：指事业单位按照财政部门和主管部门的规定上缴上级单位的支出。</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14．经营支出：指事业单位在专业业务活动及其辅助活动之外开展非独立核算经营活动发生的支出。</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15．对附属单位补助支出：指事业单位用财政拨款收入之外的收入对附属单位补助发生的支出。</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16．“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sectPr>
          <w:pgSz w:w="11906" w:h="16838"/>
          <w:pgMar w:top="1440" w:right="746" w:bottom="1440" w:left="720" w:header="851" w:footer="992" w:gutter="0"/>
          <w:pgNumType w:fmt="numberInDash"/>
          <w:cols w:space="720" w:num="1"/>
          <w:docGrid w:type="lines" w:linePitch="319" w:charSpace="0"/>
        </w:sectPr>
      </w:pP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ab/>
      </w:r>
      <w:r>
        <w:rPr>
          <w:rFonts w:hint="eastAsia" w:ascii="Times New Roman" w:hAnsi="Times New Roman" w:eastAsia="仿宋_GB2312"/>
          <w:color w:val="auto"/>
          <w:sz w:val="32"/>
          <w:szCs w:val="32"/>
        </w:rPr>
        <w:t>17．上级补助收入：指事业单位从主管部门和上级单位取得的非财政补助收入。</w:t>
      </w:r>
    </w:p>
    <w:p>
      <w:pPr>
        <w:pStyle w:val="14"/>
        <w:jc w:val="both"/>
        <w:rPr>
          <w:rFonts w:hint="eastAsia" w:ascii="方正小标宋_GBK" w:hAnsi="方正小标宋_GBK" w:eastAsia="方正小标宋_GBK" w:cs="方正小标宋_GBK"/>
          <w:sz w:val="72"/>
          <w:szCs w:val="72"/>
        </w:rPr>
      </w:pPr>
      <w:bookmarkStart w:id="20" w:name="_GoBack"/>
      <w:bookmarkEnd w:id="20"/>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pStyle w:val="14"/>
        <w:ind w:firstLine="1280" w:firstLineChars="400"/>
        <w:rPr>
          <w:rFonts w:hint="eastAsia" w:cs="黑体" w:asciiTheme="minorEastAsia" w:hAnsiTheme="minorEastAsia" w:eastAsiaTheme="minorEastAsia"/>
          <w:color w:val="000000"/>
          <w:kern w:val="0"/>
          <w:sz w:val="32"/>
          <w:szCs w:val="32"/>
          <w:lang w:val="en-US" w:eastAsia="zh-CN" w:bidi="ar-SA"/>
        </w:rPr>
      </w:pPr>
    </w:p>
    <w:p>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4"/>
        <w:jc w:val="center"/>
        <w:rPr>
          <w:sz w:val="72"/>
          <w:szCs w:val="72"/>
        </w:rPr>
      </w:pPr>
    </w:p>
    <w:p>
      <w:pPr>
        <w:pStyle w:val="14"/>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D62A12"/>
    <w:multiLevelType w:val="singleLevel"/>
    <w:tmpl w:val="45D62A12"/>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C92A83"/>
    <w:rsid w:val="052C621C"/>
    <w:rsid w:val="05C359F5"/>
    <w:rsid w:val="06FF13BC"/>
    <w:rsid w:val="07727D36"/>
    <w:rsid w:val="0BC1013B"/>
    <w:rsid w:val="0DE9148B"/>
    <w:rsid w:val="1D97DEFF"/>
    <w:rsid w:val="1DFF72E5"/>
    <w:rsid w:val="1EF01B09"/>
    <w:rsid w:val="1EFC6F07"/>
    <w:rsid w:val="1F662349"/>
    <w:rsid w:val="20D743C9"/>
    <w:rsid w:val="21DF748A"/>
    <w:rsid w:val="22A65F00"/>
    <w:rsid w:val="2A5861F5"/>
    <w:rsid w:val="2E253848"/>
    <w:rsid w:val="2FDF85B8"/>
    <w:rsid w:val="2FFFEE04"/>
    <w:rsid w:val="338852B1"/>
    <w:rsid w:val="34DF85B0"/>
    <w:rsid w:val="361C228F"/>
    <w:rsid w:val="38BC5E6A"/>
    <w:rsid w:val="3B8F36BC"/>
    <w:rsid w:val="40B30250"/>
    <w:rsid w:val="41C666BE"/>
    <w:rsid w:val="46555B1F"/>
    <w:rsid w:val="491FF225"/>
    <w:rsid w:val="4A5909F8"/>
    <w:rsid w:val="4CE1127C"/>
    <w:rsid w:val="4FC4743C"/>
    <w:rsid w:val="4FFD214C"/>
    <w:rsid w:val="54EA5858"/>
    <w:rsid w:val="56DC39CD"/>
    <w:rsid w:val="5777D4F5"/>
    <w:rsid w:val="59DD8326"/>
    <w:rsid w:val="5CC94D0B"/>
    <w:rsid w:val="5D861C18"/>
    <w:rsid w:val="5DEF592A"/>
    <w:rsid w:val="5F70676C"/>
    <w:rsid w:val="5FC6BB1E"/>
    <w:rsid w:val="5FE74EB7"/>
    <w:rsid w:val="5FF720F1"/>
    <w:rsid w:val="60121F44"/>
    <w:rsid w:val="62F65DAE"/>
    <w:rsid w:val="63B76122"/>
    <w:rsid w:val="65376705"/>
    <w:rsid w:val="65640114"/>
    <w:rsid w:val="67FF5C0B"/>
    <w:rsid w:val="6AB62832"/>
    <w:rsid w:val="6EBE2AF0"/>
    <w:rsid w:val="6EFC0924"/>
    <w:rsid w:val="6FB74722"/>
    <w:rsid w:val="6FEF8B7E"/>
    <w:rsid w:val="71A6591B"/>
    <w:rsid w:val="737D59BA"/>
    <w:rsid w:val="73953C77"/>
    <w:rsid w:val="77C37683"/>
    <w:rsid w:val="79FF515B"/>
    <w:rsid w:val="7D070E4A"/>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widowControl w:val="0"/>
      <w:ind w:firstLine="420"/>
      <w:jc w:val="both"/>
    </w:pPr>
    <w:rPr>
      <w:rFonts w:ascii="Calibri" w:hAnsi="Calibri" w:eastAsia="宋体"/>
      <w:kern w:val="2"/>
      <w:sz w:val="21"/>
      <w:szCs w:val="20"/>
      <w:lang w:val="en-US" w:eastAsia="zh-CN" w:bidi="ar-SA"/>
    </w:rPr>
  </w:style>
  <w:style w:type="paragraph" w:styleId="6">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7">
    <w:name w:val="Balloon Text"/>
    <w:basedOn w:val="1"/>
    <w:link w:val="16"/>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7"/>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354</TotalTime>
  <ScaleCrop>false</ScaleCrop>
  <LinksUpToDate>false</LinksUpToDate>
  <CharactersWithSpaces>9008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ya崽崽</cp:lastModifiedBy>
  <cp:lastPrinted>2024-08-08T10:20:00Z</cp:lastPrinted>
  <dcterms:modified xsi:type="dcterms:W3CDTF">2025-08-27T07:18:09Z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4614E527DDC3447688902339FB4025AB_12</vt:lpwstr>
  </property>
</Properties>
</file>