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D9569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2024年</w:t>
      </w:r>
      <w:r>
        <w:rPr>
          <w:rFonts w:hint="eastAsia" w:ascii="宋体" w:hAnsi="宋体"/>
          <w:b/>
          <w:sz w:val="44"/>
          <w:szCs w:val="44"/>
        </w:rPr>
        <w:t>道县</w:t>
      </w:r>
      <w:r>
        <w:rPr>
          <w:rFonts w:hint="eastAsia" w:ascii="宋体" w:hAnsi="宋体"/>
          <w:b/>
          <w:sz w:val="44"/>
          <w:szCs w:val="44"/>
          <w:lang w:eastAsia="zh-CN"/>
        </w:rPr>
        <w:t>万家庄街道办事处</w:t>
      </w:r>
      <w:r>
        <w:rPr>
          <w:rFonts w:hint="eastAsia" w:ascii="宋体" w:hAnsi="宋体"/>
          <w:b/>
          <w:sz w:val="44"/>
          <w:szCs w:val="44"/>
        </w:rPr>
        <w:t>部门</w:t>
      </w:r>
    </w:p>
    <w:p w14:paraId="321D0841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整体支出绩效评价报告</w:t>
      </w:r>
    </w:p>
    <w:p w14:paraId="69D42353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jc w:val="center"/>
        <w:textAlignment w:val="auto"/>
        <w:rPr>
          <w:rFonts w:ascii="宋体" w:hAnsi="宋体"/>
          <w:b/>
          <w:sz w:val="44"/>
          <w:szCs w:val="44"/>
        </w:rPr>
      </w:pPr>
    </w:p>
    <w:p w14:paraId="6A4EDF9F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right="11" w:firstLine="800" w:firstLineChars="200"/>
        <w:textAlignment w:val="auto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一、</w:t>
      </w:r>
      <w:r>
        <w:rPr>
          <w:rFonts w:hint="eastAsia" w:ascii="宋体" w:hAnsi="宋体"/>
          <w:b/>
          <w:sz w:val="30"/>
          <w:szCs w:val="30"/>
        </w:rPr>
        <w:t>部门概况</w:t>
      </w:r>
    </w:p>
    <w:p w14:paraId="5C37321E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right="11" w:firstLine="450" w:firstLineChars="15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  <w:lang w:eastAsia="zh-CN"/>
        </w:rPr>
        <w:t>.</w:t>
      </w:r>
      <w:r>
        <w:rPr>
          <w:rFonts w:hint="eastAsia" w:ascii="宋体" w:hAnsi="宋体"/>
          <w:sz w:val="30"/>
          <w:szCs w:val="30"/>
        </w:rPr>
        <w:t>主要职能。</w:t>
      </w:r>
    </w:p>
    <w:p w14:paraId="43D46CEC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600" w:firstLineChars="200"/>
        <w:textAlignment w:val="auto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（1）执行本级人民代表大会的决议和上级国家行政机关的决定和</w:t>
      </w:r>
      <w:bookmarkStart w:id="25" w:name="_GoBack"/>
      <w:bookmarkEnd w:id="25"/>
      <w:r>
        <w:rPr>
          <w:rFonts w:hint="eastAsia" w:ascii="宋体" w:hAnsi="宋体"/>
          <w:color w:val="010101"/>
          <w:sz w:val="30"/>
          <w:szCs w:val="30"/>
        </w:rPr>
        <w:t>命令，发布决定和命令。</w:t>
      </w:r>
    </w:p>
    <w:p w14:paraId="742BAE8F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600" w:firstLineChars="200"/>
        <w:textAlignment w:val="auto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（2）执行本行政区域内的经济和社会发展计划，加强公共设施的建设和管理，发展各项服务事业。</w:t>
      </w:r>
    </w:p>
    <w:p w14:paraId="07D33CEF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600" w:firstLineChars="200"/>
        <w:textAlignment w:val="auto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（3）依法管理本级财政、执行本级预算。</w:t>
      </w:r>
    </w:p>
    <w:p w14:paraId="6CC078CD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600" w:firstLineChars="200"/>
        <w:textAlignment w:val="auto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（4）为农民提供有效的科技、教育、文化、信息、卫生、体育、医疗、人才开发、劳动就业、安全生产等方面的服务。</w:t>
      </w:r>
    </w:p>
    <w:p w14:paraId="3020DD87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600" w:firstLineChars="200"/>
        <w:textAlignment w:val="auto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（5）保护国有资产和集体所有的财产，保护公民私人所有的合法财产、保障公民的人身权利、民主权利和其他权利，保护各种组织的合法权益。</w:t>
      </w:r>
    </w:p>
    <w:p w14:paraId="0F5218FA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600" w:firstLineChars="200"/>
        <w:textAlignment w:val="auto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（6）开展社会主义民主与法制教育，加强社会治安综合治理，调解民事纠纷，维护社会秩序。</w:t>
      </w:r>
    </w:p>
    <w:p w14:paraId="7C489E63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600" w:firstLineChars="200"/>
        <w:textAlignment w:val="auto"/>
        <w:rPr>
          <w:rFonts w:hint="eastAsia" w:ascii="宋体" w:hAnsi="宋体" w:eastAsia="宋体"/>
          <w:color w:val="010101"/>
          <w:sz w:val="30"/>
          <w:szCs w:val="30"/>
          <w:lang w:eastAsia="zh-CN"/>
        </w:rPr>
      </w:pPr>
      <w:r>
        <w:rPr>
          <w:rFonts w:hint="eastAsia" w:ascii="宋体" w:hAnsi="宋体"/>
          <w:color w:val="010101"/>
          <w:sz w:val="30"/>
          <w:szCs w:val="30"/>
        </w:rPr>
        <w:t>（7）推行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乡村振兴</w:t>
      </w:r>
      <w:r>
        <w:rPr>
          <w:rFonts w:hint="eastAsia" w:ascii="宋体" w:hAnsi="宋体"/>
          <w:color w:val="010101"/>
          <w:sz w:val="30"/>
          <w:szCs w:val="30"/>
        </w:rPr>
        <w:t>，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推进新农村建设与美丽乡村建设。</w:t>
      </w:r>
    </w:p>
    <w:p w14:paraId="53B61A91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600" w:firstLineChars="200"/>
        <w:textAlignment w:val="auto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（8）负责民政工作，发展社会福利事业，做好社会保障工作，办理兵役事项。</w:t>
      </w:r>
    </w:p>
    <w:p w14:paraId="232EA4BA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600" w:firstLineChars="200"/>
        <w:textAlignment w:val="auto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（9）承办上级人民政府交办的其他事项。</w:t>
      </w:r>
    </w:p>
    <w:p w14:paraId="4FBF4979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right="11" w:firstLine="450" w:firstLineChars="15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  <w:lang w:eastAsia="zh-CN"/>
        </w:rPr>
        <w:t>.</w:t>
      </w:r>
      <w:r>
        <w:rPr>
          <w:rFonts w:hint="eastAsia" w:ascii="宋体" w:hAnsi="宋体"/>
          <w:sz w:val="30"/>
          <w:szCs w:val="30"/>
        </w:rPr>
        <w:t>机构情况，包括当年变动情况及原因。</w:t>
      </w:r>
    </w:p>
    <w:p w14:paraId="218F777F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600" w:firstLineChars="200"/>
        <w:textAlignment w:val="auto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道县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万家庄街道办事处</w:t>
      </w:r>
      <w:r>
        <w:rPr>
          <w:rFonts w:hint="eastAsia" w:ascii="宋体" w:hAnsi="宋体"/>
          <w:color w:val="010101"/>
          <w:sz w:val="30"/>
          <w:szCs w:val="30"/>
        </w:rPr>
        <w:t>单位</w:t>
      </w:r>
      <w:r>
        <w:rPr>
          <w:rFonts w:ascii="宋体" w:hAnsi="宋体"/>
          <w:color w:val="010101"/>
          <w:sz w:val="30"/>
          <w:szCs w:val="30"/>
        </w:rPr>
        <w:t>内设机构包括：</w:t>
      </w:r>
      <w:r>
        <w:rPr>
          <w:rFonts w:hint="eastAsia" w:ascii="宋体" w:hAnsi="宋体"/>
          <w:color w:val="010101"/>
          <w:sz w:val="30"/>
          <w:szCs w:val="30"/>
        </w:rPr>
        <w:t>党政综合办公室、社会治安和应急管理办公室、经济发展办公室、社会事务办公室、基层党建办公室、自然资源和生态环境办公室、乡财政所、退役军人服务站、综合行政执法大队、社会事业综合服务中心、农业综合服务中心、政务（便民）服务中心。</w:t>
      </w:r>
    </w:p>
    <w:p w14:paraId="23AAC0AC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right="11" w:firstLine="450" w:firstLineChars="15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  <w:lang w:eastAsia="zh-CN"/>
        </w:rPr>
        <w:t>.</w:t>
      </w:r>
      <w:r>
        <w:rPr>
          <w:rFonts w:hint="eastAsia" w:ascii="宋体" w:hAnsi="宋体"/>
          <w:sz w:val="30"/>
          <w:szCs w:val="30"/>
        </w:rPr>
        <w:t>人员情况，包括当年变动情况及原因。</w:t>
      </w:r>
    </w:p>
    <w:p w14:paraId="749A0C57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600" w:firstLineChars="200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现编人数行政</w:t>
      </w:r>
      <w:r>
        <w:rPr>
          <w:rFonts w:hint="eastAsia" w:ascii="仿宋_GB2312"/>
          <w:sz w:val="30"/>
          <w:szCs w:val="30"/>
          <w:lang w:val="en-US" w:eastAsia="zh-CN"/>
        </w:rPr>
        <w:t>30</w:t>
      </w:r>
      <w:r>
        <w:rPr>
          <w:rFonts w:hint="eastAsia" w:ascii="仿宋_GB2312"/>
          <w:sz w:val="30"/>
          <w:szCs w:val="30"/>
        </w:rPr>
        <w:t>人，事业</w:t>
      </w:r>
      <w:r>
        <w:rPr>
          <w:rFonts w:hint="eastAsia" w:ascii="仿宋_GB2312"/>
          <w:sz w:val="30"/>
          <w:szCs w:val="30"/>
          <w:lang w:val="en-US" w:eastAsia="zh-CN"/>
        </w:rPr>
        <w:t>36</w:t>
      </w:r>
      <w:r>
        <w:rPr>
          <w:rFonts w:hint="eastAsia" w:ascii="仿宋_GB2312"/>
          <w:sz w:val="30"/>
          <w:szCs w:val="30"/>
        </w:rPr>
        <w:t>人</w:t>
      </w:r>
      <w:r>
        <w:rPr>
          <w:rFonts w:hint="eastAsia" w:ascii="仿宋_GB2312"/>
          <w:sz w:val="30"/>
          <w:szCs w:val="30"/>
          <w:lang w:eastAsia="zh-CN"/>
        </w:rPr>
        <w:t>。</w:t>
      </w:r>
      <w:r>
        <w:rPr>
          <w:rFonts w:hint="eastAsia" w:ascii="仿宋_GB2312"/>
          <w:sz w:val="30"/>
          <w:szCs w:val="30"/>
        </w:rPr>
        <w:t>配有小车1辆</w:t>
      </w:r>
      <w:r>
        <w:rPr>
          <w:rFonts w:hint="eastAsia" w:ascii="仿宋_GB2312"/>
          <w:sz w:val="30"/>
          <w:szCs w:val="30"/>
        </w:rPr>
        <w:t>。现实有在编人数</w:t>
      </w:r>
      <w:r>
        <w:rPr>
          <w:rFonts w:hint="eastAsia" w:ascii="仿宋_GB2312"/>
          <w:sz w:val="30"/>
          <w:szCs w:val="30"/>
          <w:lang w:val="en-US" w:eastAsia="zh-CN"/>
        </w:rPr>
        <w:t>66</w:t>
      </w:r>
      <w:r>
        <w:rPr>
          <w:rFonts w:hint="eastAsia" w:ascii="仿宋_GB2312"/>
          <w:sz w:val="30"/>
          <w:szCs w:val="30"/>
        </w:rPr>
        <w:t>人，临时人员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人，配有小车一辆。</w:t>
      </w:r>
    </w:p>
    <w:p w14:paraId="33048388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right="11" w:firstLine="450" w:firstLineChars="15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4.</w:t>
      </w:r>
      <w:r>
        <w:rPr>
          <w:rFonts w:hint="eastAsia" w:ascii="宋体" w:hAnsi="宋体"/>
          <w:sz w:val="30"/>
          <w:szCs w:val="30"/>
        </w:rPr>
        <w:t>部门整体支出规模、使用方向和主要内容</w:t>
      </w:r>
    </w:p>
    <w:p w14:paraId="7930E68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textAlignment w:val="auto"/>
        <w:rPr>
          <w:rFonts w:hint="eastAsia" w:ascii="宋体" w:hAnsi="宋体" w:eastAsiaTheme="minorEastAsia" w:cstheme="minorBidi"/>
          <w:color w:val="010101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010101"/>
          <w:kern w:val="2"/>
          <w:sz w:val="30"/>
          <w:szCs w:val="30"/>
          <w:lang w:val="en-US" w:eastAsia="zh-CN" w:bidi="ar-SA"/>
        </w:rPr>
        <w:t>2024年度财政拨款支出1203.09万元，</w:t>
      </w:r>
      <w:bookmarkStart w:id="0" w:name="START_PAY_AMT_1"/>
      <w:bookmarkEnd w:id="0"/>
      <w:bookmarkStart w:id="1" w:name="DIS_MARK_PAY_AMT_1"/>
      <w:r>
        <w:rPr>
          <w:rFonts w:hint="eastAsia" w:ascii="宋体" w:hAnsi="宋体" w:eastAsiaTheme="minorEastAsia" w:cstheme="minorBidi"/>
          <w:color w:val="010101"/>
          <w:kern w:val="2"/>
          <w:sz w:val="30"/>
          <w:szCs w:val="30"/>
          <w:lang w:val="en-US" w:eastAsia="zh-CN" w:bidi="ar-SA"/>
        </w:rPr>
        <w:t>主要用于以下方面：一般公共服务支出766.61万元，占63.72%；社会保障和就业支出9.25万元，占比0.77%；农林水支出426.33万元，占比35.44%；灾害防治及应急管理支出0.9万元，占比0.001%。</w:t>
      </w:r>
      <w:bookmarkEnd w:id="1"/>
      <w:bookmarkStart w:id="2" w:name="START_PAY_ZYXZCZC_AMT_1"/>
      <w:bookmarkEnd w:id="2"/>
      <w:bookmarkStart w:id="3" w:name="END_PAY_ZWFXFZC_AMT_1"/>
      <w:bookmarkEnd w:id="3"/>
      <w:bookmarkStart w:id="4" w:name="END_PAY_KYTBGZAPDZC_AMT_1"/>
      <w:bookmarkEnd w:id="4"/>
      <w:bookmarkStart w:id="5" w:name="END_PAY_ZWFXZC_AMT_1"/>
      <w:bookmarkEnd w:id="5"/>
      <w:bookmarkStart w:id="6" w:name="END_PAY_QTZC_AMT_1"/>
      <w:bookmarkEnd w:id="6"/>
      <w:bookmarkStart w:id="7" w:name="START_PAY_QTZC_AMT_1"/>
      <w:bookmarkEnd w:id="7"/>
      <w:bookmarkStart w:id="8" w:name="DIS_MARK_PAY_ZYXZCZC_AMT_1"/>
      <w:bookmarkEnd w:id="8"/>
      <w:bookmarkStart w:id="9" w:name="START_PAY_ZWHBZC_AMT_1"/>
      <w:bookmarkEnd w:id="9"/>
      <w:bookmarkStart w:id="10" w:name="END_PAY_ZYXZCZC_AMT_1"/>
      <w:bookmarkEnd w:id="10"/>
      <w:bookmarkStart w:id="11" w:name="DIS_MARK_PAY_ZWFXZC_AMT_1"/>
      <w:bookmarkEnd w:id="11"/>
      <w:bookmarkStart w:id="12" w:name="END_PAY_ZHFZJYJGLZC_AMT_1"/>
      <w:bookmarkEnd w:id="12"/>
      <w:bookmarkStart w:id="13" w:name="START_PAY_YBF_AMT_1"/>
      <w:bookmarkEnd w:id="13"/>
      <w:bookmarkStart w:id="14" w:name="DIS_MARK_PAY_QTZC_AMT_1"/>
      <w:bookmarkEnd w:id="14"/>
      <w:bookmarkStart w:id="15" w:name="DIS_MARK_PAY_ZWFXFZC_AMT_1"/>
      <w:bookmarkEnd w:id="15"/>
      <w:bookmarkStart w:id="16" w:name="DIS_MARK_PAY_ZWHBZC_AMT_1"/>
      <w:bookmarkEnd w:id="16"/>
      <w:bookmarkStart w:id="17" w:name="START_PAY_ZWFXZC_AMT_1"/>
      <w:bookmarkEnd w:id="17"/>
      <w:bookmarkStart w:id="18" w:name="END_PAY_YBF_AMT_1"/>
      <w:bookmarkEnd w:id="18"/>
      <w:bookmarkStart w:id="19" w:name="END_PAY_ZWHBZC_AMT_1"/>
      <w:bookmarkEnd w:id="19"/>
      <w:bookmarkStart w:id="20" w:name="START_PAY_KYTBGZAPDZC_AMT_1"/>
      <w:bookmarkEnd w:id="20"/>
      <w:bookmarkStart w:id="21" w:name="DIS_MARK_PAY_KYTBGZAPDZC_AMT_1"/>
      <w:bookmarkEnd w:id="21"/>
      <w:bookmarkStart w:id="22" w:name="START_PAY_ZWFXFZC_AMT_1"/>
      <w:bookmarkEnd w:id="22"/>
      <w:bookmarkStart w:id="23" w:name="END_PAY_AMT_1"/>
      <w:bookmarkEnd w:id="23"/>
      <w:bookmarkStart w:id="24" w:name="DIS_MARK_PAY_YBF_AMT_1"/>
      <w:bookmarkEnd w:id="24"/>
    </w:p>
    <w:p w14:paraId="1FDE7153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spacing w:line="360" w:lineRule="auto"/>
        <w:ind w:right="11"/>
        <w:textAlignment w:val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一般公共预算支出情况</w:t>
      </w:r>
    </w:p>
    <w:p w14:paraId="6B14D588">
      <w:pPr>
        <w:keepNext w:val="0"/>
        <w:keepLines w:val="0"/>
        <w:pageBreakBefore w:val="0"/>
        <w:numPr>
          <w:ilvl w:val="0"/>
          <w:numId w:val="2"/>
        </w:numPr>
        <w:kinsoku/>
        <w:wordWrap/>
        <w:topLinePunct w:val="0"/>
        <w:bidi w:val="0"/>
        <w:spacing w:line="360" w:lineRule="auto"/>
        <w:ind w:left="901" w:right="11"/>
        <w:textAlignment w:val="auto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基本支出情况</w:t>
      </w:r>
    </w:p>
    <w:p w14:paraId="7ACB11C3">
      <w:pPr>
        <w:pStyle w:val="3"/>
        <w:keepNext w:val="0"/>
        <w:keepLines w:val="0"/>
        <w:pageBreakBefore w:val="0"/>
        <w:tabs>
          <w:tab w:val="left" w:pos="3864"/>
          <w:tab w:val="left" w:pos="6248"/>
          <w:tab w:val="left" w:pos="7386"/>
        </w:tabs>
        <w:kinsoku/>
        <w:wordWrap/>
        <w:overflowPunct w:val="0"/>
        <w:topLinePunct w:val="0"/>
        <w:bidi w:val="0"/>
        <w:spacing w:before="1" w:line="360" w:lineRule="auto"/>
        <w:ind w:right="420" w:firstLine="600" w:firstLineChars="200"/>
        <w:textAlignment w:val="auto"/>
        <w:rPr>
          <w:rFonts w:hint="eastAsia" w:ascii="宋体" w:hAnsi="宋体" w:eastAsiaTheme="minorEastAsia" w:cstheme="minorBidi"/>
          <w:color w:val="010101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/>
          <w:color w:val="010101"/>
          <w:sz w:val="30"/>
          <w:szCs w:val="30"/>
        </w:rPr>
        <w:t>用于为保障我单位正常运转、完成日常工作任务而发生的支出，包括人员经费和公用经费。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2024年</w:t>
      </w:r>
      <w:r>
        <w:rPr>
          <w:rFonts w:hint="eastAsia" w:ascii="宋体" w:hAnsi="宋体"/>
          <w:color w:val="010101"/>
          <w:sz w:val="30"/>
          <w:szCs w:val="30"/>
        </w:rPr>
        <w:t>一般公共预算拨款支出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1203.09</w:t>
      </w:r>
      <w:r>
        <w:rPr>
          <w:rFonts w:hint="eastAsia" w:ascii="宋体" w:hAnsi="宋体"/>
          <w:color w:val="010101"/>
          <w:sz w:val="30"/>
          <w:szCs w:val="30"/>
        </w:rPr>
        <w:t>万元，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其中</w:t>
      </w:r>
      <w:r>
        <w:rPr>
          <w:rFonts w:hint="eastAsia" w:ascii="宋体" w:hAnsi="宋体" w:eastAsiaTheme="minorEastAsia" w:cstheme="minorBidi"/>
          <w:color w:val="010101"/>
          <w:kern w:val="2"/>
          <w:sz w:val="30"/>
          <w:szCs w:val="30"/>
          <w:lang w:val="en-US" w:eastAsia="zh-CN" w:bidi="ar-SA"/>
        </w:rPr>
        <w:t>机关运行经费合计支出：310.46万元。</w:t>
      </w:r>
    </w:p>
    <w:p w14:paraId="37397078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right="11"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  <w:lang w:eastAsia="zh-CN"/>
        </w:rPr>
        <w:t>二</w:t>
      </w:r>
      <w:r>
        <w:rPr>
          <w:rFonts w:hint="eastAsia" w:ascii="宋体" w:hAnsi="宋体"/>
          <w:sz w:val="30"/>
          <w:szCs w:val="30"/>
        </w:rPr>
        <w:t>）“三公经费”预算与实际支出减少</w:t>
      </w:r>
    </w:p>
    <w:p w14:paraId="3A01B2AC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8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宋体" w:hAnsi="宋体" w:eastAsiaTheme="minorEastAsia" w:cstheme="minorBidi"/>
          <w:color w:val="010101"/>
          <w:kern w:val="2"/>
          <w:sz w:val="30"/>
          <w:szCs w:val="30"/>
          <w:lang w:val="en-US" w:eastAsia="zh-CN" w:bidi="ar-SA"/>
        </w:rPr>
        <w:t>2024年度本单位“三公”经费总额为5.98万元，其中公务用车运行及维护费用5.18万元，公务接待费0.8万元。2024年公务用车购置数0台，公务接待费支出决算为0.8万元，全年共接待来访团组7个，来宾80人次，主要是接待来宾，领导。</w:t>
      </w:r>
    </w:p>
    <w:p w14:paraId="251AABB5">
      <w:pPr>
        <w:pStyle w:val="4"/>
        <w:keepNext w:val="0"/>
        <w:keepLines w:val="0"/>
        <w:pageBreakBefore w:val="0"/>
        <w:widowControl/>
        <w:kinsoku/>
        <w:wordWrap/>
        <w:topLinePunct w:val="0"/>
        <w:bidi w:val="0"/>
        <w:spacing w:before="0" w:beforeAutospacing="0" w:after="0" w:afterAutospacing="0" w:line="360" w:lineRule="auto"/>
        <w:ind w:right="11" w:firstLine="600" w:firstLineChars="200"/>
        <w:textAlignment w:val="auto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三、政府性基金预算支出情况</w:t>
      </w:r>
    </w:p>
    <w:p w14:paraId="11518211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901" w:right="11"/>
        <w:textAlignment w:val="auto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道县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万家庄街道办事处2024年</w:t>
      </w:r>
      <w:r>
        <w:rPr>
          <w:rFonts w:hint="eastAsia" w:ascii="宋体" w:hAnsi="宋体"/>
          <w:color w:val="010101"/>
          <w:sz w:val="30"/>
          <w:szCs w:val="30"/>
        </w:rPr>
        <w:t>无政府性基金预算。</w:t>
      </w:r>
    </w:p>
    <w:p w14:paraId="0739CA5B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right="11" w:firstLine="600" w:firstLineChars="200"/>
        <w:textAlignment w:val="auto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四、</w:t>
      </w:r>
      <w:r>
        <w:rPr>
          <w:rFonts w:ascii="宋体" w:hAnsi="宋体"/>
          <w:b/>
          <w:bCs/>
          <w:color w:val="010101"/>
          <w:sz w:val="30"/>
          <w:szCs w:val="30"/>
        </w:rPr>
        <w:t>国有资本经营预算支出情况</w:t>
      </w:r>
    </w:p>
    <w:p w14:paraId="50EF329E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901" w:right="11"/>
        <w:textAlignment w:val="auto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道县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万家庄街道办事处2024年</w:t>
      </w:r>
      <w:r>
        <w:rPr>
          <w:rFonts w:hint="eastAsia" w:ascii="宋体" w:hAnsi="宋体"/>
          <w:color w:val="010101"/>
          <w:sz w:val="30"/>
          <w:szCs w:val="30"/>
        </w:rPr>
        <w:t>无国有资本经营预算支出。</w:t>
      </w:r>
    </w:p>
    <w:p w14:paraId="02E56154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right="11" w:firstLine="600" w:firstLineChars="200"/>
        <w:textAlignment w:val="auto"/>
        <w:rPr>
          <w:rFonts w:ascii="宋体" w:hAnsi="宋体"/>
          <w:b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五</w:t>
      </w:r>
      <w:r>
        <w:rPr>
          <w:rFonts w:hint="eastAsia" w:ascii="宋体" w:hAnsi="宋体"/>
          <w:bCs/>
          <w:color w:val="010101"/>
          <w:sz w:val="30"/>
          <w:szCs w:val="30"/>
        </w:rPr>
        <w:t>、</w:t>
      </w:r>
      <w:r>
        <w:rPr>
          <w:rFonts w:ascii="宋体" w:hAnsi="宋体"/>
          <w:b/>
          <w:color w:val="010101"/>
          <w:sz w:val="30"/>
          <w:szCs w:val="30"/>
        </w:rPr>
        <w:t>社会保险基金预算支出情况</w:t>
      </w:r>
    </w:p>
    <w:p w14:paraId="1A4D8333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901" w:right="11"/>
        <w:textAlignment w:val="auto"/>
        <w:rPr>
          <w:rFonts w:ascii="宋体" w:hAnsi="宋体"/>
          <w:bCs/>
          <w:color w:val="010101"/>
          <w:sz w:val="30"/>
          <w:szCs w:val="30"/>
        </w:rPr>
      </w:pPr>
      <w:r>
        <w:rPr>
          <w:rFonts w:ascii="宋体" w:hAnsi="宋体"/>
          <w:bCs/>
          <w:color w:val="010101"/>
          <w:sz w:val="30"/>
          <w:szCs w:val="30"/>
        </w:rPr>
        <w:t>道县</w:t>
      </w:r>
      <w:r>
        <w:rPr>
          <w:rFonts w:hint="eastAsia" w:ascii="宋体" w:hAnsi="宋体"/>
          <w:bCs/>
          <w:color w:val="010101"/>
          <w:sz w:val="30"/>
          <w:szCs w:val="30"/>
          <w:lang w:eastAsia="zh-CN"/>
        </w:rPr>
        <w:t>万家庄街道办事处2024年</w:t>
      </w:r>
      <w:r>
        <w:rPr>
          <w:rFonts w:ascii="宋体" w:hAnsi="宋体"/>
          <w:bCs/>
          <w:color w:val="010101"/>
          <w:sz w:val="30"/>
          <w:szCs w:val="30"/>
        </w:rPr>
        <w:t>无社会保险基金预算支出。</w:t>
      </w:r>
    </w:p>
    <w:p w14:paraId="110329C0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right="11" w:firstLine="600" w:firstLineChars="200"/>
        <w:textAlignment w:val="auto"/>
        <w:rPr>
          <w:rFonts w:ascii="宋体" w:hAnsi="宋体"/>
          <w:b/>
          <w:color w:val="010101"/>
          <w:sz w:val="30"/>
          <w:szCs w:val="30"/>
        </w:rPr>
      </w:pPr>
      <w:r>
        <w:rPr>
          <w:rFonts w:hint="eastAsia" w:ascii="宋体" w:hAnsi="宋体"/>
          <w:b/>
          <w:color w:val="010101"/>
          <w:sz w:val="30"/>
          <w:szCs w:val="30"/>
        </w:rPr>
        <w:t>六、部门整体支出绩效情况</w:t>
      </w:r>
    </w:p>
    <w:p w14:paraId="2098837F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600" w:firstLineChars="200"/>
        <w:textAlignment w:val="auto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1、确保了干部职工工资正常发放和机关的正常运转，有利于社会稳定</w:t>
      </w:r>
    </w:p>
    <w:p w14:paraId="741EF12C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600" w:firstLineChars="200"/>
        <w:textAlignment w:val="auto"/>
        <w:rPr>
          <w:rFonts w:hint="default" w:ascii="宋体" w:hAnsi="宋体" w:eastAsia="宋体"/>
          <w:color w:val="010101"/>
          <w:sz w:val="30"/>
          <w:szCs w:val="30"/>
          <w:lang w:val="en-US" w:eastAsia="zh-CN"/>
        </w:rPr>
      </w:pPr>
      <w:r>
        <w:rPr>
          <w:rFonts w:hint="eastAsia" w:ascii="宋体" w:hAnsi="宋体"/>
          <w:color w:val="010101"/>
          <w:sz w:val="30"/>
          <w:szCs w:val="30"/>
        </w:rPr>
        <w:t>2、</w:t>
      </w:r>
      <w:r>
        <w:rPr>
          <w:rFonts w:hint="eastAsia" w:cs="Times New Roman" w:asciiTheme="minorEastAsia" w:hAnsiTheme="minorEastAsia" w:eastAsiaTheme="minorEastAsia"/>
          <w:sz w:val="32"/>
          <w:szCs w:val="32"/>
          <w:lang w:val="en-US" w:eastAsia="zh-CN"/>
        </w:rPr>
        <w:t>善统筹，扎实推进“八城同创”工作。切实强化对“八城同创”工作的组织领导，层层压实责任，加强督查，加大投入，创建氛围逐渐浓厚，创建阵地日趋完善，创建活动深入开展。扎实开展十星文明户、道德模范、文明家庭评选活动，极大地发动广大群众参与八城联创的积极性和主动性。创文创卫工作水平进一步提升。</w:t>
      </w:r>
    </w:p>
    <w:p w14:paraId="6513C249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cs="Times New Roman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color w:val="010101"/>
          <w:sz w:val="30"/>
          <w:szCs w:val="30"/>
        </w:rPr>
        <w:t>3、</w:t>
      </w:r>
      <w:r>
        <w:rPr>
          <w:rFonts w:hint="eastAsia" w:cs="Times New Roman" w:asciiTheme="minorEastAsia" w:hAnsiTheme="minorEastAsia" w:eastAsiaTheme="minorEastAsia"/>
          <w:sz w:val="32"/>
          <w:szCs w:val="32"/>
          <w:lang w:val="en-US" w:eastAsia="zh-CN"/>
        </w:rPr>
        <w:t>保稳定，扎实做好综治信访维稳工作。深入开展平安创建活动，扎实推进信访维稳集中攻坚年活动，认真开展网上信访工作，抓实信访积案的化解，全面落实综合治理各项措施，不断健全各项制度，深入开展矛盾纠纷的排查化解，建立健全社会治安联防机制，深入开展扫黑除恶工作。</w:t>
      </w:r>
    </w:p>
    <w:p w14:paraId="0750CF88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600" w:firstLineChars="200"/>
        <w:textAlignment w:val="auto"/>
        <w:rPr>
          <w:rFonts w:hint="eastAsia" w:cs="Times New Roman" w:asciiTheme="minorEastAsia" w:hAnsiTheme="minorEastAsia" w:eastAsiaTheme="minorEastAsia"/>
          <w:color w:val="010101"/>
          <w:sz w:val="32"/>
          <w:szCs w:val="32"/>
          <w:lang w:val="en-US" w:eastAsia="zh-CN"/>
        </w:rPr>
      </w:pPr>
      <w:r>
        <w:rPr>
          <w:rFonts w:hint="eastAsia" w:ascii="宋体" w:hAnsi="宋体"/>
          <w:color w:val="010101"/>
          <w:sz w:val="30"/>
          <w:szCs w:val="30"/>
        </w:rPr>
        <w:t>4、</w:t>
      </w:r>
      <w:r>
        <w:rPr>
          <w:rFonts w:hint="eastAsia" w:cs="Times New Roman" w:asciiTheme="minorEastAsia" w:hAnsiTheme="minorEastAsia" w:eastAsiaTheme="minorEastAsia"/>
          <w:sz w:val="32"/>
          <w:szCs w:val="32"/>
          <w:lang w:val="en-US" w:eastAsia="zh-CN"/>
        </w:rPr>
        <w:t>我单位领导非常重视预算绩效管理工作，对该项工作给予大力支持,对上级做出的批示和下发的预算批发非常的关心。我单位严格按照上级的要求在规定的时间报送绩效目标。在</w:t>
      </w:r>
      <w:r>
        <w:rPr>
          <w:rFonts w:hint="eastAsia" w:cs="Times New Roman" w:asciiTheme="minorEastAsia" w:hAnsiTheme="minorEastAsia"/>
          <w:sz w:val="32"/>
          <w:szCs w:val="32"/>
          <w:lang w:val="en-US" w:eastAsia="zh-CN"/>
        </w:rPr>
        <w:t>2024年</w:t>
      </w:r>
      <w:r>
        <w:rPr>
          <w:rFonts w:hint="eastAsia" w:cs="Times New Roman" w:asciiTheme="minorEastAsia" w:hAnsiTheme="minorEastAsia" w:eastAsiaTheme="minorEastAsia"/>
          <w:sz w:val="32"/>
          <w:szCs w:val="32"/>
          <w:lang w:val="en-US" w:eastAsia="zh-CN"/>
        </w:rPr>
        <w:t>，本单位加强乡级财政的监督和管理,按计划组织、管理乡财政收入和支出，执行国家有关财经纪律和政策，保证国家财政收入的完成。严格支出管理，硬化预算约束。工作上做好了每年的预算与决算工作，管理上实现了严进严出。在资产管理方面全面落实县委县政府的严格管理，进行资产清理与处置，实现了资产的全面盘活。单位不断强化会计核算工作，延续全年使用了全新的府会计制度软件，如预算管理一体化。进行平行记账;顺利完成了软件革新等一系列工作。同时单位不断强化预算意识，结合单位业务情况，进行科学合理安排支出，降低预算支出的波动幅度，并及时与党政领导和相关科室进行反馈，促进预算目标的全面完成。</w:t>
      </w:r>
    </w:p>
    <w:p w14:paraId="7C9D285E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640" w:firstLineChars="200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七、部门整体支出管理情况</w:t>
      </w:r>
    </w:p>
    <w:p w14:paraId="1D8700E0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600" w:firstLineChars="200"/>
        <w:textAlignment w:val="auto"/>
        <w:rPr>
          <w:rFonts w:hint="eastAsia"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根据《会计法》、《预算法》、《行政单位会计制度》等法律和财政部及省财政厅有关财务规章的规定，乡政府先后制订了《财务管理制度》、《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万家庄街道</w:t>
      </w:r>
      <w:r>
        <w:rPr>
          <w:rFonts w:hint="eastAsia" w:ascii="宋体" w:hAnsi="宋体"/>
          <w:color w:val="010101"/>
          <w:sz w:val="30"/>
          <w:szCs w:val="30"/>
        </w:rPr>
        <w:t>政府事处公务接待管理办法》、《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万家庄街道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办</w:t>
      </w:r>
      <w:r>
        <w:rPr>
          <w:rFonts w:hint="eastAsia" w:ascii="宋体" w:hAnsi="宋体"/>
          <w:color w:val="010101"/>
          <w:sz w:val="30"/>
          <w:szCs w:val="30"/>
        </w:rPr>
        <w:t>事处差旅费管理办法》等制度，制度明确了经费审批权限及程序，经费预算、核算管理、资产购置与处置、财务监督等，针对“三公”经费建立公用经费标准定额体系，开展公用经费使用监督和绩效评估，领导重视，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干部</w:t>
      </w:r>
      <w:r>
        <w:rPr>
          <w:rFonts w:hint="eastAsia" w:ascii="宋体" w:hAnsi="宋体"/>
          <w:color w:val="010101"/>
          <w:sz w:val="30"/>
          <w:szCs w:val="30"/>
        </w:rPr>
        <w:t>参与，制度建立完善。</w:t>
      </w:r>
    </w:p>
    <w:p w14:paraId="54D7DC3B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八</w:t>
      </w:r>
      <w:r>
        <w:rPr>
          <w:rFonts w:hint="eastAsia" w:ascii="宋体" w:hAnsi="宋体"/>
          <w:b/>
          <w:sz w:val="32"/>
          <w:szCs w:val="32"/>
        </w:rPr>
        <w:t>、下一步改进措施和有关建议</w:t>
      </w:r>
    </w:p>
    <w:p w14:paraId="400EA926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800" w:firstLineChars="250"/>
        <w:textAlignment w:val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（一）规范账务处理，提高财务信息质量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cs="宋体"/>
          <w:sz w:val="32"/>
          <w:szCs w:val="32"/>
        </w:rPr>
        <w:t>严格按照《会计法》、《行政单位会计制度》、《行政单位财务规则》等规定执行财务核算，并结合实际情况，完整、准确地披露相关信息，做到决算与预算相衔接。</w:t>
      </w:r>
    </w:p>
    <w:p w14:paraId="38F83544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800" w:firstLineChars="250"/>
        <w:textAlignment w:val="auto"/>
        <w:rPr>
          <w:rFonts w:ascii="宋体" w:hAns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（二）落实管理制度，进一步加强接待管理。</w:t>
      </w:r>
      <w:r>
        <w:rPr>
          <w:rFonts w:hint="eastAsia" w:ascii="宋体" w:hAnsi="宋体"/>
          <w:sz w:val="32"/>
          <w:szCs w:val="32"/>
        </w:rPr>
        <w:t>按照《道县党政机关公务接待管理实施细则》的加强接待管理工作，对被接待单位人员要及时索取接待函，对存在的问题认真进行整改。</w:t>
      </w:r>
    </w:p>
    <w:p w14:paraId="43EAE7C1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360" w:lineRule="auto"/>
        <w:ind w:left="0" w:leftChars="0" w:firstLine="840" w:firstLineChars="0"/>
        <w:textAlignment w:val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（三）加强会计机构队伍建设</w:t>
      </w:r>
      <w:r>
        <w:rPr>
          <w:rFonts w:hint="eastAsia" w:ascii="宋体" w:hAnsi="宋体"/>
          <w:sz w:val="32"/>
          <w:szCs w:val="32"/>
          <w:lang w:eastAsia="zh-CN"/>
        </w:rPr>
        <w:t>。</w:t>
      </w:r>
      <w:r>
        <w:rPr>
          <w:rFonts w:hint="eastAsia" w:ascii="宋体" w:hAnsi="宋体"/>
          <w:sz w:val="32"/>
          <w:szCs w:val="32"/>
        </w:rPr>
        <w:t>按照《中华人民共和国会计法》要求建立会计机关，配备齐会计人员，做到不相容岗位分设，加强会计监督。</w:t>
      </w:r>
    </w:p>
    <w:p w14:paraId="3C9D5EE2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jc w:val="left"/>
        <w:textAlignment w:val="auto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（四）对大额无说明支出补充附件及说明，完善手续，各项专项资金纳入专项资金专户核算，工程项目按规定进行招投标。</w:t>
      </w:r>
    </w:p>
    <w:p w14:paraId="65DFFE08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0432E"/>
    <w:multiLevelType w:val="singleLevel"/>
    <w:tmpl w:val="4350432E"/>
    <w:lvl w:ilvl="0" w:tentative="0">
      <w:start w:val="2"/>
      <w:numFmt w:val="chineseCounting"/>
      <w:suff w:val="nothing"/>
      <w:lvlText w:val="%1、"/>
      <w:lvlJc w:val="left"/>
      <w:pPr>
        <w:ind w:left="901" w:firstLine="0"/>
      </w:pPr>
      <w:rPr>
        <w:rFonts w:hint="eastAsia"/>
      </w:rPr>
    </w:lvl>
  </w:abstractNum>
  <w:abstractNum w:abstractNumId="1">
    <w:nsid w:val="5E94AC96"/>
    <w:multiLevelType w:val="singleLevel"/>
    <w:tmpl w:val="5E94AC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039B0"/>
    <w:rsid w:val="25B22B52"/>
    <w:rsid w:val="7CE8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widowControl w:val="0"/>
      <w:ind w:firstLine="42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1"/>
    <w:pPr>
      <w:widowControl w:val="0"/>
      <w:jc w:val="both"/>
    </w:pPr>
    <w:rPr>
      <w:rFonts w:ascii="Calibri" w:hAnsi="Calibri" w:eastAsia="宋体"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2025-06-26T01:46:00Z</dcterms:created>
  <dc:creator>czs</dc:creator>
  <cp:lastModifiedBy>czs</cp:lastModifiedBy>
  <cp:lastPrinted>2025-07-21T03:01:00Z</cp:lastPrinted>
  <dcterms:modified xsi:type="dcterms:W3CDTF">2025-08-28T01:48:14Z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eyJoZGlkIjoiOGExMWI0Njc3NmI2ZmI4MTY4NTNhYjcyMzA5MGI2NTEifQ==</vt:lpwstr>
  </property>
  <property fmtid="{D5CDD505-2E9C-101B-9397-08002B2CF9AE}" pid="4" name="ICV">
    <vt:lpwstr>B917E0DF0F5C4FF798D1EF2D5BD0591F_12</vt:lpwstr>
  </property>
</Properties>
</file>