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36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  <w:lang w:val="en-US" w:eastAsia="zh-CN" w:bidi="ar-SA"/>
        </w:rPr>
      </w:pPr>
    </w:p>
    <w:p w14:paraId="0B83D0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840" w:firstLineChars="200"/>
        <w:jc w:val="center"/>
        <w:textAlignment w:val="auto"/>
        <w:rPr>
          <w:rFonts w:hint="eastAsia" w:eastAsia="方正小标宋简体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2"/>
          <w:sz w:val="44"/>
          <w:szCs w:val="44"/>
          <w:lang w:val="en-US" w:eastAsia="zh-CN" w:bidi="ar-SA"/>
        </w:rPr>
        <w:t>洪塘营瑶族乡人民政府2024年部门整体绩效自评报告</w:t>
      </w:r>
    </w:p>
    <w:p w14:paraId="68D57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  <w:lang w:val="en-US" w:eastAsia="zh-CN" w:bidi="ar-SA"/>
        </w:rPr>
      </w:pPr>
    </w:p>
    <w:p w14:paraId="64F1E814">
      <w:pPr>
        <w:adjustRightInd w:val="0"/>
        <w:snapToGrid w:val="0"/>
        <w:spacing w:line="60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一、部门概况</w:t>
      </w:r>
    </w:p>
    <w:p w14:paraId="5CF160D1">
      <w:pPr>
        <w:adjustRightInd w:val="0"/>
        <w:snapToGrid w:val="0"/>
        <w:spacing w:line="60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（一）、部门基本情况：</w:t>
      </w:r>
    </w:p>
    <w:p w14:paraId="2A02A6F2">
      <w:pPr>
        <w:widowControl/>
        <w:spacing w:line="600" w:lineRule="exact"/>
        <w:ind w:firstLine="562" w:firstLineChars="200"/>
        <w:rPr>
          <w:rFonts w:hint="eastAsia" w:ascii="宋体" w:hAnsi="宋体"/>
          <w:b/>
          <w:kern w:val="0"/>
          <w:sz w:val="28"/>
          <w:szCs w:val="28"/>
        </w:rPr>
      </w:pPr>
      <w:bookmarkStart w:id="0" w:name="_Hlk73825013"/>
      <w:r>
        <w:rPr>
          <w:rFonts w:hint="eastAsia" w:ascii="宋体" w:hAnsi="宋体"/>
          <w:b/>
          <w:kern w:val="0"/>
          <w:sz w:val="28"/>
          <w:szCs w:val="28"/>
        </w:rPr>
        <w:t>1、部门职责</w:t>
      </w:r>
    </w:p>
    <w:p w14:paraId="27D7845E">
      <w:pPr>
        <w:widowControl/>
        <w:spacing w:line="600" w:lineRule="exact"/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执行本级人民代表大会的决议和上级国家行政机关的决定和命令，发布决定和命令。</w:t>
      </w:r>
    </w:p>
    <w:p w14:paraId="42C55AC1">
      <w:pPr>
        <w:widowControl/>
        <w:spacing w:line="600" w:lineRule="exact"/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（2）</w:t>
      </w:r>
      <w:r>
        <w:rPr>
          <w:rFonts w:hint="eastAsia" w:ascii="宋体" w:hAnsi="宋体"/>
          <w:sz w:val="28"/>
          <w:szCs w:val="28"/>
        </w:rPr>
        <w:t>执行本行政区域内的经济和社会发展计划，加强公共设施的建设和管理，发展各项服务事业。</w:t>
      </w:r>
    </w:p>
    <w:p w14:paraId="4FCC9EA2">
      <w:pPr>
        <w:widowControl/>
        <w:spacing w:line="600" w:lineRule="exact"/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</w:rPr>
        <w:t>依法管理本级财政、执行本级预算。</w:t>
      </w:r>
    </w:p>
    <w:p w14:paraId="06374A19">
      <w:pPr>
        <w:widowControl/>
        <w:spacing w:line="600" w:lineRule="exact"/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（4）</w:t>
      </w:r>
      <w:r>
        <w:rPr>
          <w:rFonts w:hint="eastAsia" w:ascii="宋体" w:hAnsi="宋体"/>
          <w:sz w:val="28"/>
          <w:szCs w:val="28"/>
        </w:rPr>
        <w:t>为农民提供有效的科技、教育、文化、信息、卫生、体育、医疗、人才开发、劳动就业、安全生产等方面的服务。</w:t>
      </w:r>
    </w:p>
    <w:p w14:paraId="3F504CCC">
      <w:pPr>
        <w:widowControl/>
        <w:spacing w:line="600" w:lineRule="exact"/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（5）</w:t>
      </w:r>
      <w:r>
        <w:rPr>
          <w:rFonts w:hint="eastAsia" w:ascii="宋体" w:hAnsi="宋体"/>
          <w:sz w:val="28"/>
          <w:szCs w:val="28"/>
        </w:rPr>
        <w:t>保护国有资产和集体所有的财产，保护公民私人所有的合法财产、保障公民的人身权利、民主权利和其他权利，保护各种组织的合法权益。</w:t>
      </w:r>
    </w:p>
    <w:p w14:paraId="6936C847">
      <w:pPr>
        <w:widowControl/>
        <w:spacing w:line="600" w:lineRule="exact"/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（6）</w:t>
      </w:r>
      <w:r>
        <w:rPr>
          <w:rFonts w:hint="eastAsia" w:ascii="宋体" w:hAnsi="宋体"/>
          <w:sz w:val="28"/>
          <w:szCs w:val="28"/>
        </w:rPr>
        <w:t>开展社会主义民主与法制教育，加强社会治安综合治理，调解民事纠纷，维护社会秩序。</w:t>
      </w:r>
    </w:p>
    <w:p w14:paraId="290C7D74">
      <w:pPr>
        <w:widowControl/>
        <w:spacing w:line="600" w:lineRule="exact"/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（7）</w:t>
      </w:r>
      <w:r>
        <w:rPr>
          <w:rFonts w:hint="eastAsia" w:ascii="宋体" w:hAnsi="宋体"/>
          <w:sz w:val="28"/>
          <w:szCs w:val="28"/>
        </w:rPr>
        <w:t>推行计划生育，控制人口增长，保护妇女儿童和老人的合法权益。</w:t>
      </w:r>
    </w:p>
    <w:p w14:paraId="21F7341D">
      <w:pPr>
        <w:widowControl/>
        <w:spacing w:line="600" w:lineRule="exact"/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（8）</w:t>
      </w:r>
      <w:r>
        <w:rPr>
          <w:rFonts w:hint="eastAsia" w:ascii="宋体" w:hAnsi="宋体"/>
          <w:sz w:val="28"/>
          <w:szCs w:val="28"/>
        </w:rPr>
        <w:t>负责民政工作，发展社会福利事业，做好社会保障工作，办理兵役事项。</w:t>
      </w:r>
    </w:p>
    <w:p w14:paraId="1D4A9FF8">
      <w:pPr>
        <w:widowControl/>
        <w:spacing w:line="600" w:lineRule="exact"/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（9）</w:t>
      </w:r>
      <w:r>
        <w:rPr>
          <w:rFonts w:hint="eastAsia" w:ascii="宋体" w:hAnsi="宋体"/>
          <w:sz w:val="28"/>
          <w:szCs w:val="28"/>
        </w:rPr>
        <w:t>承办上级人民政府交办的其他事项。</w:t>
      </w:r>
    </w:p>
    <w:p w14:paraId="7C9C69C3">
      <w:pPr>
        <w:widowControl/>
        <w:spacing w:line="600" w:lineRule="exact"/>
        <w:ind w:firstLine="562" w:firstLineChars="200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二、机构设置及决算单位构成</w:t>
      </w:r>
    </w:p>
    <w:p w14:paraId="20C9B894">
      <w:pPr>
        <w:ind w:firstLine="562" w:firstLineChars="200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（一）内设机构设置。</w:t>
      </w:r>
      <w:r>
        <w:rPr>
          <w:rFonts w:hint="eastAsia" w:ascii="宋体" w:hAnsi="宋体" w:cs="宋体"/>
          <w:sz w:val="28"/>
          <w:szCs w:val="28"/>
        </w:rPr>
        <w:t>我单位为正科级全额拨款行政单位，内设党政综合办公室、基层党建办公室、经济发展办公室、社会事务办公室、自然资源和生态环境办公室、社会治安和应急管理办公室，社会事务综合服务中心、农业综合服务中心、政务服务中心，退役军人服务站，综合行政执法大队等11个办公室（事务中心、站、大队）。</w:t>
      </w:r>
    </w:p>
    <w:bookmarkEnd w:id="0"/>
    <w:p w14:paraId="70CE1549">
      <w:pPr>
        <w:widowControl/>
        <w:spacing w:line="600" w:lineRule="exact"/>
        <w:ind w:firstLine="562" w:firstLineChars="200"/>
        <w:rPr>
          <w:rStyle w:val="9"/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（二）决算单位构成。</w:t>
      </w:r>
      <w:r>
        <w:rPr>
          <w:rFonts w:hint="eastAsia" w:ascii="宋体" w:hAnsi="宋体"/>
          <w:sz w:val="28"/>
          <w:szCs w:val="28"/>
        </w:rPr>
        <w:t>道县</w:t>
      </w:r>
      <w:r>
        <w:rPr>
          <w:rFonts w:hint="eastAsia" w:ascii="宋体" w:hAnsi="宋体"/>
          <w:sz w:val="28"/>
          <w:szCs w:val="28"/>
          <w:lang w:eastAsia="zh-CN"/>
        </w:rPr>
        <w:t>洪塘营瑶族乡</w:t>
      </w:r>
      <w:r>
        <w:rPr>
          <w:rFonts w:hint="eastAsia" w:ascii="宋体" w:hAnsi="宋体"/>
          <w:sz w:val="28"/>
          <w:szCs w:val="28"/>
          <w:lang w:val="en-US" w:eastAsia="zh-CN"/>
        </w:rPr>
        <w:t>人民政府</w:t>
      </w:r>
      <w:r>
        <w:rPr>
          <w:rFonts w:hint="eastAsia" w:ascii="宋体" w:hAnsi="宋体"/>
          <w:sz w:val="28"/>
          <w:szCs w:val="28"/>
        </w:rPr>
        <w:t>单位</w:t>
      </w:r>
      <w:r>
        <w:rPr>
          <w:rFonts w:hint="eastAsia" w:ascii="宋体" w:hAnsi="宋体"/>
          <w:bCs/>
          <w:kern w:val="0"/>
          <w:sz w:val="28"/>
          <w:szCs w:val="28"/>
        </w:rPr>
        <w:t>20</w:t>
      </w:r>
      <w:r>
        <w:rPr>
          <w:rFonts w:ascii="宋体" w:hAnsi="宋体"/>
          <w:bCs/>
          <w:kern w:val="0"/>
          <w:sz w:val="28"/>
          <w:szCs w:val="28"/>
        </w:rPr>
        <w:t>2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Cs/>
          <w:kern w:val="0"/>
          <w:sz w:val="28"/>
          <w:szCs w:val="28"/>
        </w:rPr>
        <w:t>年部门决算汇总公开单位构成包括：</w:t>
      </w:r>
      <w:r>
        <w:rPr>
          <w:rFonts w:hint="eastAsia" w:ascii="宋体" w:hAnsi="宋体"/>
          <w:sz w:val="28"/>
          <w:szCs w:val="28"/>
        </w:rPr>
        <w:t>道县</w:t>
      </w:r>
      <w:r>
        <w:rPr>
          <w:rFonts w:hint="eastAsia" w:ascii="宋体" w:hAnsi="宋体"/>
          <w:sz w:val="28"/>
          <w:szCs w:val="28"/>
          <w:lang w:eastAsia="zh-CN"/>
        </w:rPr>
        <w:t>洪塘营瑶族乡</w:t>
      </w:r>
      <w:r>
        <w:rPr>
          <w:rFonts w:hint="eastAsia" w:ascii="宋体" w:hAnsi="宋体"/>
          <w:sz w:val="28"/>
          <w:szCs w:val="28"/>
          <w:lang w:val="en-US" w:eastAsia="zh-CN"/>
        </w:rPr>
        <w:t>人民政府</w:t>
      </w:r>
      <w:r>
        <w:rPr>
          <w:rFonts w:hint="eastAsia" w:ascii="宋体" w:hAnsi="宋体"/>
          <w:bCs/>
          <w:kern w:val="0"/>
          <w:sz w:val="28"/>
          <w:szCs w:val="28"/>
        </w:rPr>
        <w:t>单位本级</w:t>
      </w:r>
    </w:p>
    <w:p w14:paraId="204FE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00" w:firstLineChars="200"/>
        <w:jc w:val="both"/>
        <w:textAlignment w:val="auto"/>
        <w:rPr>
          <w:rStyle w:val="9"/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  <w:t>二、 2024年预算执行情况</w:t>
      </w:r>
    </w:p>
    <w:p w14:paraId="4D301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，在乡党委、政府和县财政局的统一领导下，在有关部门的大力支持下，乡财政所认真贯彻落实中央、省、市、县各级财政、经济、农业工作会议精神，尽心竭力抓收入、控支出、优存量、防风险，各项工作都取得重大进展，为全乡经济发展提供了坚实保障。现将我乡2024年度部门整体绩效自评情况报告如下：</w:t>
      </w:r>
    </w:p>
    <w:p w14:paraId="30CB6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楷体_GB2312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（一）一般公共预算</w:t>
      </w:r>
    </w:p>
    <w:p w14:paraId="35BC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完成一般公共预算收入共计569.65万元，增长9.42%。其中一般公共服务收入459.51万元，社会保障和就业收入25.34万元，农林水收入83.8万元；灾害防治及应急管理类收入1万元。一般公共预算支出569.65万元。其中工资福利支出386.46万元，一般商品和服务支出158.28万元，对个人和家庭的补助支出24.91万元。</w:t>
      </w:r>
    </w:p>
    <w:p w14:paraId="2D946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楷体_GB2312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eastAsia="楷体_GB2312" w:cs="Times New Roman"/>
          <w:b/>
          <w:bCs/>
          <w:kern w:val="2"/>
          <w:sz w:val="32"/>
          <w:szCs w:val="32"/>
          <w:lang w:val="en-US" w:eastAsia="zh-CN" w:bidi="ar-SA"/>
        </w:rPr>
        <w:t>政府性基金预算</w:t>
      </w:r>
    </w:p>
    <w:p w14:paraId="0861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2024年本乡政府性基金预算收入27万元。资金全部用于城乡社区支出。</w:t>
      </w:r>
    </w:p>
    <w:p w14:paraId="2E5DC4C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Style w:val="9"/>
          <w:rFonts w:hint="eastAsia" w:hAnsi="黑体" w:cs="黑体"/>
          <w:bCs/>
          <w:color w:val="auto"/>
          <w:kern w:val="2"/>
          <w:sz w:val="30"/>
          <w:szCs w:val="30"/>
          <w:lang w:val="en-US" w:eastAsia="zh-CN" w:bidi="ar-SA"/>
        </w:rPr>
        <w:t>（三）</w:t>
      </w:r>
      <w:r>
        <w:rPr>
          <w:rStyle w:val="9"/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  <w:t>一般公共预算财政拨款支出决算情况说明</w:t>
      </w:r>
    </w:p>
    <w:p w14:paraId="33ADD6C1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/>
          <w:sz w:val="32"/>
          <w:szCs w:val="32"/>
        </w:rPr>
        <w:t>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569.65</w:t>
      </w:r>
      <w:r>
        <w:rPr>
          <w:rFonts w:hint="eastAsia" w:ascii="Times New Roman" w:hAnsi="Times New Roman" w:eastAsia="仿宋_GB2312"/>
          <w:sz w:val="32"/>
          <w:szCs w:val="32"/>
        </w:rPr>
        <w:t>万元，主要用于以下方面：一般公共服务支出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459.51</w:t>
      </w:r>
      <w:r>
        <w:rPr>
          <w:rFonts w:hint="eastAsia" w:ascii="Times New Roman" w:hAnsi="Times New Roman" w:eastAsia="仿宋_GB2312"/>
          <w:sz w:val="32"/>
          <w:szCs w:val="32"/>
        </w:rPr>
        <w:t>万元；社会保障和就业支出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25.34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；农林水支出83.8万元；灾害防治及应急管理支出1万元。</w:t>
      </w:r>
    </w:p>
    <w:p w14:paraId="38B8ACEB">
      <w:pPr>
        <w:pStyle w:val="2"/>
        <w:numPr>
          <w:ilvl w:val="0"/>
          <w:numId w:val="1"/>
        </w:numPr>
        <w:rPr>
          <w:rStyle w:val="9"/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  <w:t>一般公共预算财政拨款基本支出决算情况说明</w:t>
      </w:r>
    </w:p>
    <w:p w14:paraId="038C3B9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</w:t>
      </w:r>
      <w:r>
        <w:rPr>
          <w:rFonts w:hint="eastAsia" w:ascii="Times New Roman" w:hAnsi="Times New Roman" w:eastAsia="仿宋_GB2312"/>
          <w:sz w:val="32"/>
          <w:szCs w:val="32"/>
        </w:rPr>
        <w:t>度财政拨款基本支出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569.65</w:t>
      </w:r>
      <w:r>
        <w:rPr>
          <w:rFonts w:hint="eastAsia" w:ascii="Times New Roman" w:hAnsi="Times New Roman" w:eastAsia="仿宋_GB2312"/>
          <w:sz w:val="32"/>
          <w:szCs w:val="32"/>
        </w:rPr>
        <w:t>万元，其中：人员经费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411.37</w:t>
      </w:r>
      <w:r>
        <w:rPr>
          <w:rFonts w:hint="eastAsia" w:ascii="Times New Roman" w:hAnsi="Times New Roman" w:eastAsia="仿宋_GB2312"/>
          <w:sz w:val="32"/>
          <w:szCs w:val="32"/>
        </w:rPr>
        <w:t>万元,主要包括基本工资、津贴补贴、奖金、伙食补助费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、机关事业单位基本养老保险缴费、职工基本医疗保险缴费、住房公积金、生活补助。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158.28</w:t>
      </w:r>
      <w:r>
        <w:rPr>
          <w:rFonts w:hint="eastAsia" w:ascii="Times New Roman" w:hAnsi="Times New Roman" w:eastAsia="仿宋_GB2312"/>
          <w:sz w:val="32"/>
          <w:szCs w:val="32"/>
        </w:rPr>
        <w:t>万元，主要包括办公费、印刷费、水费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电费、差旅费、会议费、培训费、公务用车运行维护费、其他交通费用、其他商品和服务支出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308085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textAlignment w:val="auto"/>
        <w:rPr>
          <w:rStyle w:val="9"/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  <w:t>三、部门整体支出绩效情况</w:t>
      </w:r>
    </w:p>
    <w:p w14:paraId="0ADC54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确保了干部职工工资正常发放和机关的正常运转，有利于社会稳定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D4912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入全年各项乡村振兴衔接项目资金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极大提升村民幸福度，修建机耕道简易桥等集体基础设施，方便群众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提升整体环境面貌和风气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民创造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更好的生活环境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4F7F5B7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保障民生支出。对民政资金和抚恤金要求及时、足额发放，并全程实施监管，保证民生资金安全。</w:t>
      </w:r>
    </w:p>
    <w:p w14:paraId="2E4B7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jc w:val="both"/>
        <w:textAlignment w:val="auto"/>
        <w:rPr>
          <w:rStyle w:val="9"/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Cs/>
          <w:color w:val="auto"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 w:ascii="宋体" w:hAnsi="宋体"/>
          <w:b/>
          <w:sz w:val="28"/>
          <w:szCs w:val="28"/>
        </w:rPr>
        <w:t>部门整体管理情况</w:t>
      </w:r>
    </w:p>
    <w:p w14:paraId="64B06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协调配合全乡有关部门，强化非税收入管理。非税收入足额征缴、上报并及时入库。做到账务清晰明了。强</w:t>
      </w:r>
      <w:bookmarkStart w:id="1" w:name="_GoBack"/>
      <w:bookmarkEnd w:id="1"/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化资金的收支两条线管理机制。统筹安排资金，专款专用，严格把控资金使用情况，积极联系有关部门，及时掌握资金拨付进度，合理调度资金。有效提高资金使用效益。为全乡经济发展提供前进动力。</w:t>
      </w:r>
    </w:p>
    <w:p w14:paraId="48D22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发挥财会监督在党和国家监督中的重要作用，以严明的纪律强化震慑、防范风险，扎实开展财会监督专项行动，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shd w:val="clear"/>
          <w:lang w:val="en-US" w:eastAsia="zh-CN" w:bidi="ar-SA"/>
        </w:rPr>
        <w:t>做到事前控制，事中查实，事后督查。</w:t>
      </w:r>
    </w:p>
    <w:p w14:paraId="381BE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新的一年，面对新形势、迎接新挑战，财政所将在乡党委、政府的领导下，在人大、政协的监督指导下，认真落实工作，拉高标杆、忠诚履职、主动谋划、善于作为，实现“快、准、稳、效”工作要求，以财政的平稳运行护航洪塘营乡发展大局。</w:t>
      </w:r>
    </w:p>
    <w:p w14:paraId="3AD6F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F29314-9796-46B2-A5F0-3285075AAF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70E3F2-1FA8-4580-AE29-7BF504ABA07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5199349-2E66-45E5-9221-81BEBE02B7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004F66F-7872-4B0E-A85F-F8D9E30C632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126A22E-1F20-49D5-927B-CAAC3938D7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E9A0B07-1B68-44B5-9791-6D4CA9F0F343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52B3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86FB4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586FB4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3E959"/>
    <w:multiLevelType w:val="singleLevel"/>
    <w:tmpl w:val="4C13E95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57016F"/>
    <w:multiLevelType w:val="singleLevel"/>
    <w:tmpl w:val="5957016F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YTE5NDNhZDljNjkxMzkxMGM1ZmM4NGNkNTgxNzMifQ=="/>
  </w:docVars>
  <w:rsids>
    <w:rsidRoot w:val="3E7F031E"/>
    <w:rsid w:val="000A06E8"/>
    <w:rsid w:val="077C043F"/>
    <w:rsid w:val="09532070"/>
    <w:rsid w:val="0E737995"/>
    <w:rsid w:val="118C2F9A"/>
    <w:rsid w:val="198D6B11"/>
    <w:rsid w:val="1A954C6D"/>
    <w:rsid w:val="22E22A19"/>
    <w:rsid w:val="2B2A22A2"/>
    <w:rsid w:val="30FF638E"/>
    <w:rsid w:val="37342E1F"/>
    <w:rsid w:val="3B3A6D0E"/>
    <w:rsid w:val="3B494F79"/>
    <w:rsid w:val="3E7F031E"/>
    <w:rsid w:val="455C158B"/>
    <w:rsid w:val="45F81B5F"/>
    <w:rsid w:val="49182423"/>
    <w:rsid w:val="4B83098E"/>
    <w:rsid w:val="579310CB"/>
    <w:rsid w:val="5E6463FD"/>
    <w:rsid w:val="70CB78B1"/>
    <w:rsid w:val="714F32B8"/>
    <w:rsid w:val="72677E12"/>
    <w:rsid w:val="7531421E"/>
    <w:rsid w:val="7DD31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widowControl w:val="0"/>
      <w:ind w:firstLine="42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99"/>
    <w:pPr>
      <w:spacing w:after="120" w:line="620" w:lineRule="exact"/>
      <w:ind w:firstLine="200" w:firstLineChars="200"/>
    </w:pPr>
    <w:rPr>
      <w:rFonts w:ascii="Calibri" w:hAnsi="Calibri"/>
      <w:color w:val="006600"/>
      <w:sz w:val="36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paragraph" w:styleId="6">
    <w:name w:val="Body Text First Indent"/>
    <w:basedOn w:val="3"/>
    <w:qFormat/>
    <w:uiPriority w:val="99"/>
    <w:pPr>
      <w:ind w:firstLine="420" w:firstLineChars="100"/>
    </w:pPr>
    <w:rPr>
      <w:rFonts w:ascii="Calibri" w:hAnsi="Calibri" w:eastAsia="微软雅黑" w:cs="Calibri"/>
    </w:rPr>
  </w:style>
  <w:style w:type="character" w:customStyle="1" w:styleId="9">
    <w:name w:val="NormalCharacter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667</Words>
  <Characters>726</Characters>
  <Lines>0</Lines>
  <Paragraphs>0</Paragraphs>
  <TotalTime>0</TotalTime>
  <ScaleCrop>false</ScaleCrop>
  <LinksUpToDate>false</LinksUpToDate>
  <CharactersWithSpaces>727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2023-02-16T07:00:00Z</dcterms:created>
  <dc:creator>哈哈大雄</dc:creator>
  <cp:lastModifiedBy>·</cp:lastModifiedBy>
  <cp:lastPrinted>2024-04-15T01:14:00Z</cp:lastPrinted>
  <dcterms:modified xsi:type="dcterms:W3CDTF">2025-08-27T07:54:41Z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0497CFF138E14D78A1999C374AB4E9D1_13</vt:lpwstr>
  </property>
  <property fmtid="{D5CDD505-2E9C-101B-9397-08002B2CF9AE}" pid="4" name="KSOTemplateDocerSaveRecord">
    <vt:lpwstr>eyJoZGlkIjoiMGM2M2UyNmY0NWZiNjg2NjIwMDBlMjQ0ZTJkZjk5NjgiLCJ1c2VySWQiOiIxMTQ3NjE1Mjk1In0=</vt:lpwstr>
  </property>
</Properties>
</file>