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rFonts w:hint="eastAsia"/>
          <w:sz w:val="56"/>
          <w:szCs w:val="56"/>
        </w:rPr>
      </w:pPr>
    </w:p>
    <w:p>
      <w:pPr>
        <w:pStyle w:val="12"/>
        <w:jc w:val="center"/>
        <w:rPr>
          <w:sz w:val="56"/>
          <w:szCs w:val="56"/>
        </w:rPr>
      </w:pPr>
    </w:p>
    <w:p>
      <w:pPr>
        <w:pStyle w:val="12"/>
        <w:jc w:val="center"/>
        <w:rPr>
          <w:sz w:val="84"/>
          <w:szCs w:val="84"/>
        </w:rPr>
      </w:pPr>
    </w:p>
    <w:p>
      <w:pPr>
        <w:pStyle w:val="12"/>
        <w:jc w:val="center"/>
        <w:rPr>
          <w:sz w:val="84"/>
          <w:szCs w:val="84"/>
        </w:rPr>
      </w:pPr>
    </w:p>
    <w:p>
      <w:pPr>
        <w:pStyle w:val="12"/>
        <w:jc w:val="both"/>
        <w:rPr>
          <w:sz w:val="84"/>
          <w:szCs w:val="84"/>
        </w:rPr>
      </w:pPr>
    </w:p>
    <w:p>
      <w:pPr>
        <w:pStyle w:val="12"/>
        <w:jc w:val="center"/>
        <w:rPr>
          <w:sz w:val="84"/>
          <w:szCs w:val="84"/>
        </w:rPr>
      </w:pPr>
      <w:r>
        <w:rPr>
          <w:rFonts w:hint="eastAsia"/>
          <w:sz w:val="84"/>
          <w:szCs w:val="84"/>
          <w:lang w:eastAsia="zh-CN"/>
        </w:rPr>
        <w:t>2024年</w:t>
      </w:r>
      <w:r>
        <w:rPr>
          <w:rFonts w:hint="eastAsia"/>
          <w:sz w:val="84"/>
          <w:szCs w:val="84"/>
        </w:rPr>
        <w:t>度</w:t>
      </w:r>
    </w:p>
    <w:p>
      <w:pPr>
        <w:pStyle w:val="12"/>
        <w:jc w:val="center"/>
        <w:rPr>
          <w:sz w:val="84"/>
          <w:szCs w:val="84"/>
        </w:rPr>
      </w:pPr>
      <w:r>
        <w:rPr>
          <w:rFonts w:hint="eastAsia"/>
          <w:sz w:val="84"/>
          <w:szCs w:val="84"/>
        </w:rPr>
        <w:t>陈树湘烈士纪念馆部门决算</w:t>
      </w: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spacing w:line="500" w:lineRule="exact"/>
        <w:jc w:val="both"/>
        <w:rPr>
          <w:b/>
          <w:sz w:val="36"/>
          <w:szCs w:val="28"/>
        </w:rPr>
      </w:pPr>
    </w:p>
    <w:p>
      <w:pPr>
        <w:pStyle w:val="12"/>
        <w:spacing w:line="500" w:lineRule="exact"/>
        <w:jc w:val="center"/>
        <w:rPr>
          <w:b/>
          <w:sz w:val="36"/>
          <w:szCs w:val="28"/>
        </w:rPr>
      </w:pPr>
    </w:p>
    <w:p>
      <w:pPr>
        <w:pStyle w:val="12"/>
        <w:spacing w:line="500" w:lineRule="exact"/>
        <w:jc w:val="center"/>
        <w:rPr>
          <w:b/>
          <w:sz w:val="36"/>
          <w:szCs w:val="28"/>
        </w:rPr>
      </w:pPr>
      <w:r>
        <w:rPr>
          <w:rFonts w:hint="eastAsia"/>
          <w:b/>
          <w:sz w:val="36"/>
          <w:szCs w:val="28"/>
        </w:rPr>
        <w:t>目录</w:t>
      </w:r>
    </w:p>
    <w:p>
      <w:pPr>
        <w:pStyle w:val="12"/>
        <w:spacing w:line="500" w:lineRule="exact"/>
        <w:rPr>
          <w:rFonts w:ascii="仿宋_GB2312" w:hAnsi="仿宋_GB2312" w:cs="仿宋_GB2312"/>
          <w:b/>
          <w:sz w:val="28"/>
          <w:szCs w:val="28"/>
        </w:rPr>
      </w:pPr>
      <w:r>
        <w:rPr>
          <w:rFonts w:hint="eastAsia"/>
          <w:b/>
          <w:sz w:val="28"/>
          <w:szCs w:val="28"/>
        </w:rPr>
        <w:t>第一部分陈树湘烈士纪念馆单位概况</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2"/>
        <w:spacing w:line="500" w:lineRule="exact"/>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eastAsia="zh-CN"/>
        </w:rPr>
        <w:t>2024年</w:t>
      </w:r>
      <w:r>
        <w:rPr>
          <w:rFonts w:hint="eastAsia" w:hAnsi="仿宋_GB2312"/>
          <w:b/>
          <w:sz w:val="28"/>
          <w:szCs w:val="28"/>
        </w:rPr>
        <w:t>度部门决算表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2"/>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2"/>
        <w:spacing w:line="500" w:lineRule="exact"/>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eastAsia="zh-CN"/>
        </w:rPr>
        <w:t>2024年</w:t>
      </w:r>
      <w:r>
        <w:rPr>
          <w:rFonts w:hint="eastAsia" w:hAnsi="仿宋_GB2312"/>
          <w:b/>
          <w:sz w:val="28"/>
          <w:szCs w:val="28"/>
        </w:rPr>
        <w:t>度部门决算情况说明</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12"/>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pPr>
        <w:pStyle w:val="12"/>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lang w:eastAsia="zh-CN"/>
        </w:rPr>
        <w:t>2024年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2"/>
        <w:jc w:val="center"/>
        <w:rPr>
          <w:sz w:val="84"/>
          <w:szCs w:val="84"/>
        </w:rPr>
      </w:pPr>
      <w:r>
        <w:rPr>
          <w:rFonts w:hint="eastAsia"/>
          <w:sz w:val="84"/>
          <w:szCs w:val="84"/>
        </w:rPr>
        <w:t>第一部分</w:t>
      </w:r>
      <w:r>
        <w:rPr>
          <w:sz w:val="84"/>
          <w:szCs w:val="84"/>
        </w:rPr>
        <w:t xml:space="preserve"> </w:t>
      </w:r>
    </w:p>
    <w:p>
      <w:pPr>
        <w:pStyle w:val="12"/>
        <w:jc w:val="center"/>
        <w:rPr>
          <w:sz w:val="84"/>
          <w:szCs w:val="84"/>
        </w:rPr>
      </w:pPr>
    </w:p>
    <w:p>
      <w:pPr>
        <w:pStyle w:val="12"/>
        <w:jc w:val="center"/>
        <w:rPr>
          <w:sz w:val="84"/>
          <w:szCs w:val="84"/>
        </w:rPr>
      </w:pPr>
      <w:r>
        <w:rPr>
          <w:rFonts w:hint="eastAsia"/>
          <w:sz w:val="84"/>
          <w:szCs w:val="84"/>
        </w:rPr>
        <w:t>陈树湘烈士纪念馆单位概况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3"/>
        <w:ind w:left="720" w:firstLine="0" w:firstLineChars="0"/>
        <w:jc w:val="left"/>
        <w:rPr>
          <w:rFonts w:ascii="黑体" w:hAnsi="黑体" w:eastAsia="黑体"/>
          <w:sz w:val="32"/>
          <w:szCs w:val="32"/>
        </w:rPr>
      </w:pPr>
    </w:p>
    <w:p>
      <w:pPr>
        <w:pStyle w:val="13"/>
        <w:ind w:left="720" w:firstLine="0" w:firstLineChars="0"/>
        <w:jc w:val="left"/>
        <w:rPr>
          <w:rFonts w:ascii="黑体" w:hAnsi="黑体" w:eastAsia="黑体"/>
          <w:sz w:val="32"/>
          <w:szCs w:val="32"/>
        </w:rPr>
      </w:pPr>
    </w:p>
    <w:p>
      <w:pPr>
        <w:pStyle w:val="13"/>
        <w:ind w:left="720" w:firstLine="0" w:firstLineChars="0"/>
        <w:jc w:val="left"/>
        <w:rPr>
          <w:rFonts w:ascii="黑体" w:hAnsi="黑体" w:eastAsia="黑体"/>
          <w:sz w:val="32"/>
          <w:szCs w:val="32"/>
        </w:rPr>
      </w:pPr>
    </w:p>
    <w:p>
      <w:pPr>
        <w:pStyle w:val="13"/>
        <w:numPr>
          <w:numId w:val="0"/>
        </w:numPr>
        <w:ind w:leftChars="200" w:firstLine="320" w:firstLineChars="100"/>
        <w:jc w:val="left"/>
        <w:rPr>
          <w:rFonts w:ascii="黑体" w:hAnsi="黑体" w:eastAsia="黑体"/>
          <w:sz w:val="32"/>
          <w:szCs w:val="32"/>
        </w:rPr>
      </w:pPr>
      <w:r>
        <w:rPr>
          <w:rFonts w:hint="eastAsia" w:ascii="黑体" w:hAnsi="黑体" w:eastAsia="黑体"/>
          <w:sz w:val="32"/>
          <w:szCs w:val="32"/>
          <w:lang w:eastAsia="zh-CN"/>
        </w:rPr>
        <w:t>一、</w:t>
      </w:r>
      <w:r>
        <w:rPr>
          <w:rFonts w:ascii="黑体" w:hAnsi="黑体" w:eastAsia="黑体"/>
          <w:sz w:val="32"/>
          <w:szCs w:val="32"/>
        </w:rPr>
        <w:t>部门职责</w:t>
      </w:r>
    </w:p>
    <w:p>
      <w:pPr>
        <w:widowControl/>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陈树湘烈士纪念馆是为纪念中国工农红军第五军团第三十四师师长陈树湘及红三十四师全体将士而建，为湖南省爱国主义教育基地、湖南省党性教育基地、湖南省华侨文化交流基地；陈树湘烈士墓为湖南省第十批省级文物保护单位。充分利用陈树湘烈士红色文化资源，打造成红色教育基地和红色文化景区，更多游人到景区接受红色教育。</w:t>
      </w:r>
    </w:p>
    <w:p>
      <w:pPr>
        <w:widowControl/>
        <w:spacing w:line="60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内设机构设置。内设4个部门，综合部、史料展</w:t>
      </w:r>
      <w:r>
        <w:rPr>
          <w:rFonts w:hint="eastAsia" w:ascii="仿宋_GB2312" w:hAnsi="仿宋_GB2312" w:eastAsia="仿宋_GB2312" w:cs="仿宋_GB2312"/>
          <w:sz w:val="32"/>
          <w:szCs w:val="32"/>
          <w:lang w:eastAsia="zh-CN"/>
        </w:rPr>
        <w:t>陈</w:t>
      </w:r>
      <w:r>
        <w:rPr>
          <w:rFonts w:hint="eastAsia" w:ascii="仿宋_GB2312" w:hAnsi="仿宋_GB2312" w:eastAsia="仿宋_GB2312" w:cs="仿宋_GB2312"/>
          <w:sz w:val="32"/>
          <w:szCs w:val="32"/>
        </w:rPr>
        <w:t>部、宣传教育部、文保后勤部。</w:t>
      </w:r>
    </w:p>
    <w:p>
      <w:pPr>
        <w:adjustRightInd w:val="0"/>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（二）决算单位构成。</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rPr>
        <w:t>部门决算汇总公开单位构成包括：陈树湘烈士纪念馆单位本级</w:t>
      </w:r>
      <w:r>
        <w:rPr>
          <w:rFonts w:hint="eastAsia" w:ascii="仿宋_GB2312" w:hAnsi="仿宋_GB2312" w:eastAsia="仿宋_GB2312" w:cs="仿宋_GB2312"/>
          <w:sz w:val="32"/>
          <w:szCs w:val="32"/>
          <w:lang w:eastAsia="zh-CN"/>
        </w:rPr>
        <w:t>。</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rFonts w:hint="eastAsia" w:ascii="黑体" w:eastAsia="黑体" w:cs="黑体" w:hAnsiTheme="minorHAnsi"/>
          <w:color w:val="000000"/>
          <w:kern w:val="0"/>
          <w:sz w:val="84"/>
          <w:szCs w:val="84"/>
          <w:lang w:val="en-US" w:eastAsia="zh-CN" w:bidi="ar-SA"/>
        </w:rPr>
      </w:pPr>
    </w:p>
    <w:p>
      <w:pPr>
        <w:jc w:val="center"/>
        <w:rPr>
          <w:rFonts w:hint="eastAsia" w:ascii="黑体" w:eastAsia="黑体" w:cs="黑体" w:hAnsiTheme="minorHAnsi"/>
          <w:color w:val="000000"/>
          <w:kern w:val="0"/>
          <w:sz w:val="84"/>
          <w:szCs w:val="84"/>
          <w:lang w:val="en-US" w:eastAsia="zh-CN" w:bidi="ar-SA"/>
        </w:rPr>
      </w:pPr>
      <w:r>
        <w:rPr>
          <w:rFonts w:hint="eastAsia" w:ascii="黑体" w:eastAsia="黑体" w:cs="黑体" w:hAnsiTheme="minorHAnsi"/>
          <w:color w:val="000000"/>
          <w:kern w:val="0"/>
          <w:sz w:val="84"/>
          <w:szCs w:val="84"/>
          <w:lang w:val="en-US" w:eastAsia="zh-CN" w:bidi="ar-SA"/>
        </w:rPr>
        <w:t>第二部分</w:t>
      </w:r>
    </w:p>
    <w:p>
      <w:pPr>
        <w:jc w:val="center"/>
        <w:rPr>
          <w:rFonts w:hint="eastAsia" w:ascii="黑体" w:eastAsia="黑体" w:cs="黑体" w:hAnsiTheme="minorHAnsi"/>
          <w:color w:val="000000"/>
          <w:kern w:val="0"/>
          <w:sz w:val="84"/>
          <w:szCs w:val="84"/>
          <w:lang w:val="en-US" w:eastAsia="zh-CN" w:bidi="ar-SA"/>
        </w:rPr>
      </w:pPr>
    </w:p>
    <w:p>
      <w:pPr>
        <w:jc w:val="center"/>
        <w:rPr>
          <w:rFonts w:hint="eastAsia" w:ascii="黑体" w:eastAsia="黑体" w:cs="黑体" w:hAnsiTheme="minorHAnsi"/>
          <w:color w:val="000000"/>
          <w:kern w:val="0"/>
          <w:sz w:val="84"/>
          <w:szCs w:val="84"/>
          <w:lang w:val="en-US" w:eastAsia="zh-CN" w:bidi="ar-SA"/>
        </w:rPr>
      </w:pPr>
      <w:r>
        <w:rPr>
          <w:rFonts w:hint="eastAsia" w:ascii="黑体" w:eastAsia="黑体" w:cs="黑体" w:hAnsiTheme="minorHAnsi"/>
          <w:color w:val="000000"/>
          <w:kern w:val="0"/>
          <w:sz w:val="84"/>
          <w:szCs w:val="84"/>
          <w:lang w:val="en-US" w:eastAsia="zh-CN" w:bidi="ar-SA"/>
        </w:rPr>
        <w:t>部门决算表</w:t>
      </w:r>
    </w:p>
    <w:p>
      <w:pPr>
        <w:jc w:val="center"/>
        <w:rPr>
          <w:rFonts w:hint="eastAsia" w:ascii="黑体" w:eastAsia="黑体" w:cs="黑体" w:hAnsiTheme="minorHAnsi"/>
          <w:color w:val="000000"/>
          <w:kern w:val="0"/>
          <w:sz w:val="84"/>
          <w:szCs w:val="84"/>
          <w:lang w:val="en-US" w:eastAsia="zh-CN" w:bidi="ar-SA"/>
        </w:rPr>
      </w:pPr>
    </w:p>
    <w:p>
      <w:pPr>
        <w:jc w:val="center"/>
        <w:rPr>
          <w:rFonts w:hint="eastAsia" w:ascii="黑体" w:eastAsia="黑体" w:cs="黑体" w:hAnsiTheme="minorHAnsi"/>
          <w:color w:val="000000"/>
          <w:kern w:val="0"/>
          <w:sz w:val="84"/>
          <w:szCs w:val="84"/>
          <w:lang w:val="en-US" w:eastAsia="zh-CN" w:bidi="ar-SA"/>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415.39</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367.24</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25.63</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11.33</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十六、金融支出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11.19</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jc w:val="center"/>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24</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25</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0"/>
                <w:szCs w:val="20"/>
                <w:u w:val="none"/>
                <w:lang w:val="en-US" w:eastAsia="zh-CN" w:bidi="ar"/>
              </w:rPr>
              <w:t>26</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415.39</w:t>
            </w: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415.39</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结余分配</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363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w:t>
            </w:r>
          </w:p>
        </w:tc>
        <w:tc>
          <w:tcPr>
            <w:tcW w:w="1230"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798" w:type="dxa"/>
            <w:gridSpan w:val="3"/>
            <w:tcBorders>
              <w:top w:val="nil"/>
              <w:left w:val="nil"/>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3633" w:type="dxa"/>
            <w:gridSpan w:val="3"/>
            <w:tcBorders>
              <w:top w:val="nil"/>
              <w:left w:val="nil"/>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449"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w:t>
            </w:r>
          </w:p>
        </w:tc>
        <w:tc>
          <w:tcPr>
            <w:tcW w:w="1230"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415.39</w:t>
            </w:r>
          </w:p>
        </w:tc>
        <w:tc>
          <w:tcPr>
            <w:tcW w:w="3798" w:type="dxa"/>
            <w:gridSpan w:val="3"/>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845" w:type="dxa"/>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363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415.39</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8"/>
        <w:tblW w:w="15521" w:type="dxa"/>
        <w:tblInd w:w="0" w:type="dxa"/>
        <w:tblLayout w:type="fixed"/>
        <w:tblCellMar>
          <w:top w:w="0" w:type="dxa"/>
          <w:left w:w="0" w:type="dxa"/>
          <w:bottom w:w="0" w:type="dxa"/>
          <w:right w:w="0" w:type="dxa"/>
        </w:tblCellMar>
      </w:tblPr>
      <w:tblGrid>
        <w:gridCol w:w="986"/>
        <w:gridCol w:w="43"/>
        <w:gridCol w:w="73"/>
        <w:gridCol w:w="688"/>
        <w:gridCol w:w="222"/>
        <w:gridCol w:w="1411"/>
        <w:gridCol w:w="172"/>
        <w:gridCol w:w="17"/>
        <w:gridCol w:w="419"/>
        <w:gridCol w:w="609"/>
        <w:gridCol w:w="429"/>
        <w:gridCol w:w="40"/>
        <w:gridCol w:w="1202"/>
        <w:gridCol w:w="437"/>
        <w:gridCol w:w="1234"/>
        <w:gridCol w:w="445"/>
        <w:gridCol w:w="93"/>
        <w:gridCol w:w="632"/>
        <w:gridCol w:w="435"/>
        <w:gridCol w:w="66"/>
        <w:gridCol w:w="453"/>
        <w:gridCol w:w="1054"/>
        <w:gridCol w:w="164"/>
        <w:gridCol w:w="461"/>
        <w:gridCol w:w="769"/>
        <w:gridCol w:w="441"/>
        <w:gridCol w:w="953"/>
        <w:gridCol w:w="145"/>
        <w:gridCol w:w="1276"/>
        <w:gridCol w:w="152"/>
      </w:tblGrid>
      <w:tr>
        <w:tblPrEx>
          <w:tblCellMar>
            <w:top w:w="0" w:type="dxa"/>
            <w:left w:w="0" w:type="dxa"/>
            <w:bottom w:w="0" w:type="dxa"/>
            <w:right w:w="0" w:type="dxa"/>
          </w:tblCellMar>
        </w:tblPrEx>
        <w:trPr>
          <w:gridAfter w:val="1"/>
          <w:wAfter w:w="152" w:type="dxa"/>
          <w:trHeight w:val="435" w:hRule="atLeast"/>
        </w:trPr>
        <w:tc>
          <w:tcPr>
            <w:tcW w:w="15369" w:type="dxa"/>
            <w:gridSpan w:val="29"/>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gridAfter w:val="1"/>
          <w:wAfter w:w="152" w:type="dxa"/>
          <w:trHeight w:val="285" w:hRule="atLeast"/>
        </w:trPr>
        <w:tc>
          <w:tcPr>
            <w:tcW w:w="1029"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510" w:type="dxa"/>
            <w:gridSpan w:val="5"/>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28"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gridSpan w:val="5"/>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4"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gridAfter w:val="1"/>
          <w:wAfter w:w="152" w:type="dxa"/>
          <w:trHeight w:val="285" w:hRule="atLeast"/>
        </w:trPr>
        <w:tc>
          <w:tcPr>
            <w:tcW w:w="1102"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2510" w:type="dxa"/>
            <w:gridSpan w:val="5"/>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28"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671" w:type="dxa"/>
            <w:gridSpan w:val="5"/>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71"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74" w:type="dxa"/>
            <w:gridSpan w:val="3"/>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gridAfter w:val="1"/>
          <w:wAfter w:w="152" w:type="dxa"/>
          <w:trHeight w:val="450" w:hRule="atLeast"/>
        </w:trPr>
        <w:tc>
          <w:tcPr>
            <w:tcW w:w="3612" w:type="dxa"/>
            <w:gridSpan w:val="8"/>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028"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671"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671"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671" w:type="dxa"/>
            <w:gridSpan w:val="5"/>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671"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671"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374"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gridAfter w:val="1"/>
          <w:wAfter w:w="152" w:type="dxa"/>
          <w:trHeight w:val="450" w:hRule="atLeast"/>
        </w:trPr>
        <w:tc>
          <w:tcPr>
            <w:tcW w:w="1102" w:type="dxa"/>
            <w:gridSpan w:val="3"/>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2510" w:type="dxa"/>
            <w:gridSpan w:val="5"/>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02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gridSpan w:val="5"/>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374"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After w:val="1"/>
          <w:wAfter w:w="152" w:type="dxa"/>
          <w:trHeight w:val="450" w:hRule="atLeast"/>
        </w:trPr>
        <w:tc>
          <w:tcPr>
            <w:tcW w:w="1102"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510" w:type="dxa"/>
            <w:gridSpan w:val="5"/>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28"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gridSpan w:val="5"/>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71"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374"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After w:val="1"/>
          <w:wAfter w:w="152" w:type="dxa"/>
          <w:trHeight w:val="450" w:hRule="atLeast"/>
        </w:trPr>
        <w:tc>
          <w:tcPr>
            <w:tcW w:w="3612" w:type="dxa"/>
            <w:gridSpan w:val="8"/>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028"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671"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671"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671" w:type="dxa"/>
            <w:gridSpan w:val="5"/>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671"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671"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374"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gridAfter w:val="1"/>
          <w:wAfter w:w="152" w:type="dxa"/>
          <w:trHeight w:val="450" w:hRule="atLeast"/>
        </w:trPr>
        <w:tc>
          <w:tcPr>
            <w:tcW w:w="3612" w:type="dxa"/>
            <w:gridSpan w:val="8"/>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02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415.39</w:t>
            </w: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415.39</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7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gridAfter w:val="1"/>
          <w:wAfter w:w="152" w:type="dxa"/>
          <w:trHeight w:val="450" w:hRule="atLeast"/>
        </w:trPr>
        <w:tc>
          <w:tcPr>
            <w:tcW w:w="10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207</w:t>
            </w:r>
          </w:p>
        </w:tc>
        <w:tc>
          <w:tcPr>
            <w:tcW w:w="2583"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02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367.24</w:t>
            </w: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367.24</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7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gridAfter w:val="1"/>
          <w:wAfter w:w="152" w:type="dxa"/>
          <w:trHeight w:val="450" w:hRule="atLeast"/>
        </w:trPr>
        <w:tc>
          <w:tcPr>
            <w:tcW w:w="10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20701</w:t>
            </w:r>
          </w:p>
        </w:tc>
        <w:tc>
          <w:tcPr>
            <w:tcW w:w="2583"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文化和旅游</w:t>
            </w:r>
          </w:p>
        </w:tc>
        <w:tc>
          <w:tcPr>
            <w:tcW w:w="102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367.24</w:t>
            </w: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367.24</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152" w:type="dxa"/>
          <w:trHeight w:val="450" w:hRule="atLeast"/>
        </w:trPr>
        <w:tc>
          <w:tcPr>
            <w:tcW w:w="10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2070105</w:t>
            </w:r>
          </w:p>
        </w:tc>
        <w:tc>
          <w:tcPr>
            <w:tcW w:w="2583"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文化展示及纪念机构</w:t>
            </w:r>
          </w:p>
        </w:tc>
        <w:tc>
          <w:tcPr>
            <w:tcW w:w="102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367.24</w:t>
            </w: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367.24</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152" w:type="dxa"/>
          <w:trHeight w:val="450" w:hRule="atLeast"/>
        </w:trPr>
        <w:tc>
          <w:tcPr>
            <w:tcW w:w="10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w:t>
            </w:r>
          </w:p>
        </w:tc>
        <w:tc>
          <w:tcPr>
            <w:tcW w:w="2583"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02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25.63</w:t>
            </w: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25.63</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152" w:type="dxa"/>
          <w:trHeight w:val="450" w:hRule="atLeast"/>
        </w:trPr>
        <w:tc>
          <w:tcPr>
            <w:tcW w:w="10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w:t>
            </w:r>
          </w:p>
        </w:tc>
        <w:tc>
          <w:tcPr>
            <w:tcW w:w="2583"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02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25.63</w:t>
            </w: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25.63</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152" w:type="dxa"/>
          <w:trHeight w:val="450" w:hRule="atLeast"/>
        </w:trPr>
        <w:tc>
          <w:tcPr>
            <w:tcW w:w="10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2080505</w:t>
            </w:r>
          </w:p>
        </w:tc>
        <w:tc>
          <w:tcPr>
            <w:tcW w:w="2583"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02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华文中宋" w:hAnsi="华文中宋" w:eastAsia="华文中宋"/>
              </w:rPr>
            </w:pPr>
            <w:r>
              <w:rPr>
                <w:rFonts w:hint="eastAsia" w:ascii="宋体" w:hAnsi="宋体" w:eastAsia="宋体" w:cs="宋体"/>
                <w:i w:val="0"/>
                <w:iCs w:val="0"/>
                <w:color w:val="000000"/>
                <w:kern w:val="0"/>
                <w:sz w:val="22"/>
                <w:szCs w:val="22"/>
                <w:u w:val="none"/>
                <w:lang w:val="en-US" w:eastAsia="zh-CN" w:bidi="ar"/>
              </w:rPr>
              <w:t>25.63</w:t>
            </w: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25.63</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37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gridAfter w:val="1"/>
          <w:wAfter w:w="152" w:type="dxa"/>
          <w:trHeight w:val="756" w:hRule="atLeast"/>
        </w:trPr>
        <w:tc>
          <w:tcPr>
            <w:tcW w:w="10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2583"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102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11.33</w:t>
            </w: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11.33</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7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gridAfter w:val="1"/>
          <w:wAfter w:w="152" w:type="dxa"/>
          <w:trHeight w:val="450" w:hRule="atLeast"/>
        </w:trPr>
        <w:tc>
          <w:tcPr>
            <w:tcW w:w="10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2583"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102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11.33</w:t>
            </w: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11.33</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7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gridAfter w:val="1"/>
          <w:wAfter w:w="152" w:type="dxa"/>
          <w:trHeight w:val="450" w:hRule="atLeast"/>
        </w:trPr>
        <w:tc>
          <w:tcPr>
            <w:tcW w:w="10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2101102</w:t>
            </w:r>
          </w:p>
        </w:tc>
        <w:tc>
          <w:tcPr>
            <w:tcW w:w="2583"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事业单位医疗</w:t>
            </w:r>
          </w:p>
        </w:tc>
        <w:tc>
          <w:tcPr>
            <w:tcW w:w="102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11.33</w:t>
            </w: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11.33</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7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gridAfter w:val="1"/>
          <w:wAfter w:w="152" w:type="dxa"/>
          <w:trHeight w:val="450" w:hRule="atLeast"/>
        </w:trPr>
        <w:tc>
          <w:tcPr>
            <w:tcW w:w="10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2583"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102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11.19</w:t>
            </w: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11.19</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7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gridAfter w:val="1"/>
          <w:wAfter w:w="152" w:type="dxa"/>
          <w:trHeight w:val="450" w:hRule="atLeast"/>
        </w:trPr>
        <w:tc>
          <w:tcPr>
            <w:tcW w:w="10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2583"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02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11.19</w:t>
            </w: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11.19</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7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gridAfter w:val="1"/>
          <w:wAfter w:w="152" w:type="dxa"/>
          <w:trHeight w:val="450" w:hRule="atLeast"/>
        </w:trPr>
        <w:tc>
          <w:tcPr>
            <w:tcW w:w="10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2583" w:type="dxa"/>
            <w:gridSpan w:val="6"/>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1028"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11.19</w:t>
            </w: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11.19</w:t>
            </w:r>
          </w:p>
        </w:tc>
        <w:tc>
          <w:tcPr>
            <w:tcW w:w="1671"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5"/>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1671"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c>
          <w:tcPr>
            <w:tcW w:w="2374"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p>
        </w:tc>
      </w:tr>
      <w:tr>
        <w:tblPrEx>
          <w:tblCellMar>
            <w:top w:w="0" w:type="dxa"/>
            <w:left w:w="0" w:type="dxa"/>
            <w:bottom w:w="0" w:type="dxa"/>
            <w:right w:w="0" w:type="dxa"/>
          </w:tblCellMar>
        </w:tblPrEx>
        <w:trPr>
          <w:gridAfter w:val="1"/>
          <w:wAfter w:w="152" w:type="dxa"/>
          <w:trHeight w:val="615" w:hRule="atLeast"/>
        </w:trPr>
        <w:tc>
          <w:tcPr>
            <w:tcW w:w="15369" w:type="dxa"/>
            <w:gridSpan w:val="29"/>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r>
        <w:tblPrEx>
          <w:tblCellMar>
            <w:top w:w="0" w:type="dxa"/>
            <w:left w:w="108" w:type="dxa"/>
            <w:bottom w:w="0" w:type="dxa"/>
            <w:right w:w="108" w:type="dxa"/>
          </w:tblCellMar>
        </w:tblPrEx>
        <w:trPr>
          <w:gridAfter w:val="2"/>
          <w:wAfter w:w="1428" w:type="dxa"/>
          <w:trHeight w:val="435" w:hRule="atLeast"/>
        </w:trPr>
        <w:tc>
          <w:tcPr>
            <w:tcW w:w="14093" w:type="dxa"/>
            <w:gridSpan w:val="2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gridAfter w:val="2"/>
          <w:wAfter w:w="1428" w:type="dxa"/>
          <w:trHeight w:val="285" w:hRule="atLeast"/>
        </w:trPr>
        <w:tc>
          <w:tcPr>
            <w:tcW w:w="1790"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gridAfter w:val="2"/>
          <w:wAfter w:w="1428" w:type="dxa"/>
          <w:trHeight w:val="285" w:hRule="atLeast"/>
        </w:trPr>
        <w:tc>
          <w:tcPr>
            <w:tcW w:w="1790" w:type="dxa"/>
            <w:gridSpan w:val="4"/>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1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46"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2"/>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gridSpan w:val="5"/>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gridSpan w:val="4"/>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gridAfter w:val="2"/>
          <w:wAfter w:w="1428" w:type="dxa"/>
          <w:trHeight w:val="450" w:hRule="atLeast"/>
        </w:trPr>
        <w:tc>
          <w:tcPr>
            <w:tcW w:w="3423"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646"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679"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7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79"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79"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308" w:type="dxa"/>
            <w:gridSpan w:val="4"/>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gridAfter w:val="2"/>
          <w:wAfter w:w="1428" w:type="dxa"/>
          <w:trHeight w:val="450" w:hRule="atLeast"/>
        </w:trPr>
        <w:tc>
          <w:tcPr>
            <w:tcW w:w="2012" w:type="dxa"/>
            <w:gridSpan w:val="5"/>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1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646"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08"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2"/>
          <w:wAfter w:w="1428" w:type="dxa"/>
          <w:trHeight w:val="450" w:hRule="atLeast"/>
        </w:trPr>
        <w:tc>
          <w:tcPr>
            <w:tcW w:w="2012"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1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46"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308"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2"/>
          <w:wAfter w:w="1428" w:type="dxa"/>
          <w:trHeight w:val="450" w:hRule="atLeast"/>
        </w:trPr>
        <w:tc>
          <w:tcPr>
            <w:tcW w:w="3423"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646" w:type="dxa"/>
            <w:gridSpan w:val="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79"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79"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79" w:type="dxa"/>
            <w:gridSpan w:val="5"/>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679"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308" w:type="dxa"/>
            <w:gridSpan w:val="4"/>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gridAfter w:val="2"/>
          <w:wAfter w:w="1428" w:type="dxa"/>
          <w:trHeight w:val="450" w:hRule="atLeast"/>
        </w:trPr>
        <w:tc>
          <w:tcPr>
            <w:tcW w:w="3423" w:type="dxa"/>
            <w:gridSpan w:val="6"/>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646"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b/>
                <w:bCs/>
                <w:i w:val="0"/>
                <w:iCs w:val="0"/>
                <w:color w:val="000000"/>
                <w:kern w:val="0"/>
                <w:sz w:val="22"/>
                <w:szCs w:val="22"/>
                <w:u w:val="none"/>
                <w:lang w:val="en-US" w:eastAsia="zh-CN" w:bidi="ar"/>
              </w:rPr>
              <w:t>415.39</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kern w:val="0"/>
                <w:sz w:val="24"/>
                <w:szCs w:val="24"/>
                <w:lang w:val="en-US"/>
              </w:rPr>
            </w:pPr>
            <w:r>
              <w:rPr>
                <w:rFonts w:hint="eastAsia" w:ascii="宋体" w:hAnsi="宋体" w:eastAsia="宋体" w:cs="宋体"/>
                <w:b/>
                <w:bCs/>
                <w:i w:val="0"/>
                <w:iCs w:val="0"/>
                <w:color w:val="000000"/>
                <w:kern w:val="0"/>
                <w:sz w:val="22"/>
                <w:szCs w:val="22"/>
                <w:u w:val="none"/>
                <w:lang w:val="en-US" w:eastAsia="zh-CN" w:bidi="ar"/>
              </w:rPr>
              <w:t>227.59</w:t>
            </w:r>
          </w:p>
        </w:tc>
        <w:tc>
          <w:tcPr>
            <w:tcW w:w="16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187.80</w:t>
            </w:r>
          </w:p>
        </w:tc>
        <w:tc>
          <w:tcPr>
            <w:tcW w:w="1679"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308"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2"/>
          <w:wAfter w:w="1428"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w:t>
            </w:r>
          </w:p>
        </w:tc>
        <w:tc>
          <w:tcPr>
            <w:tcW w:w="2437"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646"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367.24</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179.44</w:t>
            </w:r>
          </w:p>
        </w:tc>
        <w:tc>
          <w:tcPr>
            <w:tcW w:w="16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187.80</w:t>
            </w:r>
          </w:p>
        </w:tc>
        <w:tc>
          <w:tcPr>
            <w:tcW w:w="1679" w:type="dxa"/>
            <w:gridSpan w:val="5"/>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1679"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c>
          <w:tcPr>
            <w:tcW w:w="2308" w:type="dxa"/>
            <w:gridSpan w:val="4"/>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p>
        </w:tc>
      </w:tr>
      <w:tr>
        <w:tblPrEx>
          <w:tblCellMar>
            <w:top w:w="0" w:type="dxa"/>
            <w:left w:w="108" w:type="dxa"/>
            <w:bottom w:w="0" w:type="dxa"/>
            <w:right w:w="108" w:type="dxa"/>
          </w:tblCellMar>
        </w:tblPrEx>
        <w:trPr>
          <w:gridAfter w:val="2"/>
          <w:wAfter w:w="1428"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20701</w:t>
            </w:r>
          </w:p>
        </w:tc>
        <w:tc>
          <w:tcPr>
            <w:tcW w:w="2437"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文化和旅游</w:t>
            </w:r>
          </w:p>
        </w:tc>
        <w:tc>
          <w:tcPr>
            <w:tcW w:w="1646"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367.24</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179.44</w:t>
            </w:r>
          </w:p>
        </w:tc>
        <w:tc>
          <w:tcPr>
            <w:tcW w:w="16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187.80</w:t>
            </w:r>
          </w:p>
        </w:tc>
        <w:tc>
          <w:tcPr>
            <w:tcW w:w="1679"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2"/>
          <w:wAfter w:w="1428"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2070105</w:t>
            </w:r>
          </w:p>
        </w:tc>
        <w:tc>
          <w:tcPr>
            <w:tcW w:w="2437"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文化展示及纪念机构</w:t>
            </w:r>
          </w:p>
        </w:tc>
        <w:tc>
          <w:tcPr>
            <w:tcW w:w="1646"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367.24</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179.44</w:t>
            </w:r>
          </w:p>
        </w:tc>
        <w:tc>
          <w:tcPr>
            <w:tcW w:w="1679"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187.80</w:t>
            </w:r>
          </w:p>
        </w:tc>
        <w:tc>
          <w:tcPr>
            <w:tcW w:w="1679"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2"/>
          <w:wAfter w:w="1428"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2437"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46"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25.63</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25.63</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2"/>
          <w:wAfter w:w="1428"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2437"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46"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25.63</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25.63</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2"/>
          <w:wAfter w:w="1428"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2437"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46"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25.63</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25.63</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2"/>
          <w:wAfter w:w="1428"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2437"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1646"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11.33</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11.33</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2"/>
          <w:wAfter w:w="1428"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2437"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1646"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11.33</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11.33</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2"/>
          <w:wAfter w:w="1428"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2101102</w:t>
            </w:r>
          </w:p>
        </w:tc>
        <w:tc>
          <w:tcPr>
            <w:tcW w:w="2437"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事业单位医疗</w:t>
            </w:r>
          </w:p>
        </w:tc>
        <w:tc>
          <w:tcPr>
            <w:tcW w:w="1646"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11.33</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11.33</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2"/>
          <w:wAfter w:w="1428"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2437"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1646"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11.19</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11.19</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2"/>
          <w:wAfter w:w="1428"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2437"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646"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11.19</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11.19</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2"/>
          <w:wAfter w:w="1428" w:type="dxa"/>
          <w:trHeight w:val="450" w:hRule="atLeast"/>
        </w:trPr>
        <w:tc>
          <w:tcPr>
            <w:tcW w:w="986"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2437" w:type="dxa"/>
            <w:gridSpan w:val="5"/>
            <w:tcBorders>
              <w:top w:val="nil"/>
              <w:left w:val="nil"/>
              <w:bottom w:val="single" w:color="auto" w:sz="4" w:space="0"/>
              <w:right w:val="single" w:color="auto" w:sz="4" w:space="0"/>
            </w:tcBorders>
            <w:shd w:val="clear" w:color="000000"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1646"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11.19</w:t>
            </w:r>
          </w:p>
        </w:tc>
        <w:tc>
          <w:tcPr>
            <w:tcW w:w="1679"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11.19</w:t>
            </w:r>
          </w:p>
        </w:tc>
        <w:tc>
          <w:tcPr>
            <w:tcW w:w="1679"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5"/>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1679"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c>
          <w:tcPr>
            <w:tcW w:w="2308" w:type="dxa"/>
            <w:gridSpan w:val="4"/>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gridAfter w:val="2"/>
          <w:wAfter w:w="1428" w:type="dxa"/>
          <w:trHeight w:val="630" w:hRule="atLeast"/>
        </w:trPr>
        <w:tc>
          <w:tcPr>
            <w:tcW w:w="14093" w:type="dxa"/>
            <w:gridSpan w:val="28"/>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r>
        <w:tblPrEx>
          <w:tblCellMar>
            <w:top w:w="0" w:type="dxa"/>
            <w:left w:w="108" w:type="dxa"/>
            <w:bottom w:w="0" w:type="dxa"/>
            <w:right w:w="108" w:type="dxa"/>
          </w:tblCellMar>
        </w:tblPrEx>
        <w:trPr>
          <w:trHeight w:val="360" w:hRule="atLeast"/>
        </w:trPr>
        <w:tc>
          <w:tcPr>
            <w:tcW w:w="15521" w:type="dxa"/>
            <w:gridSpan w:val="30"/>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bookmarkStart w:id="0" w:name="RANGE!A1:F16"/>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gridSpan w:val="7"/>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6"/>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5" w:type="dxa"/>
            <w:gridSpan w:val="7"/>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6"/>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1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1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5"/>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07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415.39</w:t>
            </w: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157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367.24</w:t>
            </w:r>
          </w:p>
        </w:tc>
        <w:tc>
          <w:tcPr>
            <w:tcW w:w="139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367.24</w:t>
            </w: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157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25.63</w:t>
            </w:r>
          </w:p>
        </w:tc>
        <w:tc>
          <w:tcPr>
            <w:tcW w:w="139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25.63</w:t>
            </w: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157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11.33</w:t>
            </w:r>
          </w:p>
        </w:tc>
        <w:tc>
          <w:tcPr>
            <w:tcW w:w="139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11.33</w:t>
            </w: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十六、金融支出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157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11.19</w:t>
            </w:r>
          </w:p>
        </w:tc>
        <w:tc>
          <w:tcPr>
            <w:tcW w:w="139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11.19</w:t>
            </w: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25</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jc w:val="left"/>
              <w:rPr>
                <w:rFonts w:hint="eastAsia" w:ascii="宋体" w:hAnsi="宋体" w:eastAsia="宋体" w:cs="宋体"/>
                <w:kern w:val="0"/>
                <w:sz w:val="22"/>
              </w:rPr>
            </w:pP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26</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w:t>
            </w:r>
          </w:p>
        </w:tc>
        <w:tc>
          <w:tcPr>
            <w:tcW w:w="107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415.39</w:t>
            </w: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157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415.39</w:t>
            </w:r>
          </w:p>
        </w:tc>
        <w:tc>
          <w:tcPr>
            <w:tcW w:w="139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415.39</w:t>
            </w: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b/>
                <w:bCs/>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b/>
                <w:bCs/>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w:t>
            </w:r>
          </w:p>
        </w:tc>
        <w:tc>
          <w:tcPr>
            <w:tcW w:w="1078"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3411" w:type="dxa"/>
            <w:gridSpan w:val="5"/>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63</w:t>
            </w: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gridSpan w:val="7"/>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436"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1078"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415.39</w:t>
            </w:r>
          </w:p>
        </w:tc>
        <w:tc>
          <w:tcPr>
            <w:tcW w:w="341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1067" w:type="dxa"/>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w:t>
            </w:r>
          </w:p>
        </w:tc>
        <w:tc>
          <w:tcPr>
            <w:tcW w:w="1573"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415.39</w:t>
            </w:r>
          </w:p>
        </w:tc>
        <w:tc>
          <w:tcPr>
            <w:tcW w:w="1394" w:type="dxa"/>
            <w:gridSpan w:val="3"/>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415.39</w:t>
            </w:r>
          </w:p>
        </w:tc>
        <w:tc>
          <w:tcPr>
            <w:tcW w:w="1394" w:type="dxa"/>
            <w:gridSpan w:val="2"/>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c>
          <w:tcPr>
            <w:tcW w:w="1573" w:type="dxa"/>
            <w:gridSpan w:val="3"/>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2"/>
              </w:rPr>
            </w:pPr>
          </w:p>
        </w:tc>
      </w:tr>
      <w:tr>
        <w:tblPrEx>
          <w:tblCellMar>
            <w:top w:w="0" w:type="dxa"/>
            <w:left w:w="108" w:type="dxa"/>
            <w:bottom w:w="0" w:type="dxa"/>
            <w:right w:w="108" w:type="dxa"/>
          </w:tblCellMar>
        </w:tblPrEx>
        <w:trPr>
          <w:trHeight w:val="585" w:hRule="atLeast"/>
        </w:trPr>
        <w:tc>
          <w:tcPr>
            <w:tcW w:w="15521" w:type="dxa"/>
            <w:gridSpan w:val="30"/>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Layout w:type="autofit"/>
        <w:tblCellMar>
          <w:top w:w="0" w:type="dxa"/>
          <w:left w:w="108" w:type="dxa"/>
          <w:bottom w:w="0" w:type="dxa"/>
          <w:right w:w="108" w:type="dxa"/>
        </w:tblCellMar>
      </w:tblPr>
      <w:tblGrid>
        <w:gridCol w:w="986"/>
        <w:gridCol w:w="975"/>
        <w:gridCol w:w="3290"/>
        <w:gridCol w:w="2838"/>
        <w:gridCol w:w="3292"/>
        <w:gridCol w:w="2838"/>
      </w:tblGrid>
      <w:tr>
        <w:tblPrEx>
          <w:tblCellMar>
            <w:top w:w="0" w:type="dxa"/>
            <w:left w:w="108" w:type="dxa"/>
            <w:bottom w:w="0" w:type="dxa"/>
            <w:right w:w="108" w:type="dxa"/>
          </w:tblCellMar>
        </w:tblPrEx>
        <w:trPr>
          <w:trHeight w:val="405" w:hRule="atLeast"/>
          <w:jc w:val="center"/>
        </w:trPr>
        <w:tc>
          <w:tcPr>
            <w:tcW w:w="5251" w:type="dxa"/>
            <w:gridSpan w:val="3"/>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968"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961"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29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83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2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838"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961"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9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3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38"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961"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9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3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2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838"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5251"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83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2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838"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5251" w:type="dxa"/>
            <w:gridSpan w:val="3"/>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合计</w:t>
            </w:r>
          </w:p>
        </w:tc>
        <w:tc>
          <w:tcPr>
            <w:tcW w:w="283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bCs/>
                <w:i w:val="0"/>
                <w:iCs w:val="0"/>
                <w:color w:val="000000"/>
                <w:kern w:val="0"/>
                <w:sz w:val="22"/>
                <w:szCs w:val="22"/>
                <w:u w:val="none"/>
                <w:lang w:val="en-US" w:eastAsia="zh-CN" w:bidi="ar"/>
              </w:rPr>
              <w:t>415.39</w:t>
            </w:r>
          </w:p>
        </w:tc>
        <w:tc>
          <w:tcPr>
            <w:tcW w:w="32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bCs/>
                <w:i w:val="0"/>
                <w:iCs w:val="0"/>
                <w:color w:val="000000"/>
                <w:kern w:val="0"/>
                <w:sz w:val="22"/>
                <w:szCs w:val="22"/>
                <w:u w:val="none"/>
                <w:lang w:val="en-US" w:eastAsia="zh-CN" w:bidi="ar"/>
              </w:rPr>
              <w:t>227.59</w:t>
            </w:r>
          </w:p>
        </w:tc>
        <w:tc>
          <w:tcPr>
            <w:tcW w:w="2838"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187.80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w:t>
            </w:r>
          </w:p>
        </w:tc>
        <w:tc>
          <w:tcPr>
            <w:tcW w:w="426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283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367.24</w:t>
            </w:r>
          </w:p>
        </w:tc>
        <w:tc>
          <w:tcPr>
            <w:tcW w:w="32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179.44</w:t>
            </w:r>
          </w:p>
        </w:tc>
        <w:tc>
          <w:tcPr>
            <w:tcW w:w="2838"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187.80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w:t>
            </w:r>
          </w:p>
        </w:tc>
        <w:tc>
          <w:tcPr>
            <w:tcW w:w="426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文化和旅游</w:t>
            </w:r>
          </w:p>
        </w:tc>
        <w:tc>
          <w:tcPr>
            <w:tcW w:w="283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367.24</w:t>
            </w:r>
          </w:p>
        </w:tc>
        <w:tc>
          <w:tcPr>
            <w:tcW w:w="32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179.44</w:t>
            </w:r>
          </w:p>
        </w:tc>
        <w:tc>
          <w:tcPr>
            <w:tcW w:w="2838"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187.80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2070105</w:t>
            </w:r>
          </w:p>
        </w:tc>
        <w:tc>
          <w:tcPr>
            <w:tcW w:w="426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文化展示及纪念机构</w:t>
            </w:r>
          </w:p>
        </w:tc>
        <w:tc>
          <w:tcPr>
            <w:tcW w:w="283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367.24</w:t>
            </w:r>
          </w:p>
        </w:tc>
        <w:tc>
          <w:tcPr>
            <w:tcW w:w="32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179.44</w:t>
            </w:r>
          </w:p>
        </w:tc>
        <w:tc>
          <w:tcPr>
            <w:tcW w:w="2838"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187.80</w:t>
            </w: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426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83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25.63</w:t>
            </w:r>
          </w:p>
        </w:tc>
        <w:tc>
          <w:tcPr>
            <w:tcW w:w="32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25.63</w:t>
            </w:r>
          </w:p>
        </w:tc>
        <w:tc>
          <w:tcPr>
            <w:tcW w:w="2838"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426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83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25.63</w:t>
            </w:r>
          </w:p>
        </w:tc>
        <w:tc>
          <w:tcPr>
            <w:tcW w:w="32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25.63</w:t>
            </w:r>
          </w:p>
        </w:tc>
        <w:tc>
          <w:tcPr>
            <w:tcW w:w="2838"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426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83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25.63</w:t>
            </w:r>
          </w:p>
        </w:tc>
        <w:tc>
          <w:tcPr>
            <w:tcW w:w="32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25.63</w:t>
            </w:r>
          </w:p>
        </w:tc>
        <w:tc>
          <w:tcPr>
            <w:tcW w:w="2838"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426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283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11.33</w:t>
            </w:r>
          </w:p>
        </w:tc>
        <w:tc>
          <w:tcPr>
            <w:tcW w:w="32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11.33</w:t>
            </w:r>
          </w:p>
        </w:tc>
        <w:tc>
          <w:tcPr>
            <w:tcW w:w="2838"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w:t>
            </w:r>
          </w:p>
        </w:tc>
        <w:tc>
          <w:tcPr>
            <w:tcW w:w="426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283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11.33</w:t>
            </w:r>
          </w:p>
        </w:tc>
        <w:tc>
          <w:tcPr>
            <w:tcW w:w="32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11.33</w:t>
            </w:r>
          </w:p>
        </w:tc>
        <w:tc>
          <w:tcPr>
            <w:tcW w:w="2838"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2101102</w:t>
            </w:r>
          </w:p>
        </w:tc>
        <w:tc>
          <w:tcPr>
            <w:tcW w:w="426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事业单位医疗</w:t>
            </w:r>
          </w:p>
        </w:tc>
        <w:tc>
          <w:tcPr>
            <w:tcW w:w="283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11.33</w:t>
            </w:r>
          </w:p>
        </w:tc>
        <w:tc>
          <w:tcPr>
            <w:tcW w:w="32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11.33</w:t>
            </w:r>
          </w:p>
        </w:tc>
        <w:tc>
          <w:tcPr>
            <w:tcW w:w="2838"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426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住房保障支出</w:t>
            </w:r>
          </w:p>
        </w:tc>
        <w:tc>
          <w:tcPr>
            <w:tcW w:w="283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11.19</w:t>
            </w:r>
          </w:p>
        </w:tc>
        <w:tc>
          <w:tcPr>
            <w:tcW w:w="32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11.19</w:t>
            </w:r>
          </w:p>
        </w:tc>
        <w:tc>
          <w:tcPr>
            <w:tcW w:w="2838"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426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283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11.19</w:t>
            </w:r>
          </w:p>
        </w:tc>
        <w:tc>
          <w:tcPr>
            <w:tcW w:w="32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11.19</w:t>
            </w:r>
          </w:p>
        </w:tc>
        <w:tc>
          <w:tcPr>
            <w:tcW w:w="2838"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986"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4265"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283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11.19</w:t>
            </w:r>
          </w:p>
        </w:tc>
        <w:tc>
          <w:tcPr>
            <w:tcW w:w="32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11.19</w:t>
            </w:r>
          </w:p>
        </w:tc>
        <w:tc>
          <w:tcPr>
            <w:tcW w:w="2838" w:type="dxa"/>
            <w:tcBorders>
              <w:top w:val="nil"/>
              <w:left w:val="nil"/>
              <w:bottom w:val="single" w:color="auto" w:sz="4" w:space="0"/>
              <w:right w:val="single" w:color="auto" w:sz="8" w:space="0"/>
            </w:tcBorders>
            <w:shd w:val="clear" w:color="auto" w:fill="auto"/>
            <w:vAlign w:val="center"/>
          </w:tcPr>
          <w:p>
            <w:pPr>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6"/>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tbl>
      <w:tblPr>
        <w:tblStyle w:val="8"/>
        <w:tblW w:w="15627" w:type="dxa"/>
        <w:tblInd w:w="0" w:type="dxa"/>
        <w:tblLayout w:type="fixed"/>
        <w:tblCellMar>
          <w:top w:w="0" w:type="dxa"/>
          <w:left w:w="108" w:type="dxa"/>
          <w:bottom w:w="0" w:type="dxa"/>
          <w:right w:w="108" w:type="dxa"/>
        </w:tblCellMar>
      </w:tblPr>
      <w:tblGrid>
        <w:gridCol w:w="1294"/>
        <w:gridCol w:w="3242"/>
        <w:gridCol w:w="875"/>
        <w:gridCol w:w="977"/>
        <w:gridCol w:w="2468"/>
        <w:gridCol w:w="894"/>
        <w:gridCol w:w="954"/>
        <w:gridCol w:w="4048"/>
        <w:gridCol w:w="875"/>
      </w:tblGrid>
      <w:tr>
        <w:tblPrEx>
          <w:tblCellMar>
            <w:top w:w="0" w:type="dxa"/>
            <w:left w:w="108" w:type="dxa"/>
            <w:bottom w:w="0" w:type="dxa"/>
            <w:right w:w="108" w:type="dxa"/>
          </w:tblCellMar>
        </w:tblPrEx>
        <w:trPr>
          <w:trHeight w:val="113" w:hRule="atLeast"/>
        </w:trPr>
        <w:tc>
          <w:tcPr>
            <w:tcW w:w="15627"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1" w:name="RANGE!A1:I34"/>
            <w:r>
              <w:rPr>
                <w:rFonts w:hint="eastAsia" w:ascii="华文中宋" w:hAnsi="华文中宋" w:eastAsia="华文中宋" w:cs="宋体"/>
                <w:color w:val="000000"/>
                <w:kern w:val="0"/>
                <w:szCs w:val="32"/>
              </w:rPr>
              <w:t>一般公共预算财政拨款基本支出决算明细表</w:t>
            </w:r>
            <w:bookmarkEnd w:id="1"/>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2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4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5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04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60" w:hRule="exact"/>
        </w:trPr>
        <w:tc>
          <w:tcPr>
            <w:tcW w:w="12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w:t>
            </w:r>
          </w:p>
        </w:tc>
        <w:tc>
          <w:tcPr>
            <w:tcW w:w="32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工资福利支出</w:t>
            </w:r>
          </w:p>
        </w:tc>
        <w:tc>
          <w:tcPr>
            <w:tcW w:w="8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196.80</w:t>
            </w:r>
          </w:p>
        </w:tc>
        <w:tc>
          <w:tcPr>
            <w:tcW w:w="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w:t>
            </w:r>
          </w:p>
        </w:tc>
        <w:tc>
          <w:tcPr>
            <w:tcW w:w="24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商品和服务支出</w:t>
            </w:r>
          </w:p>
        </w:tc>
        <w:tc>
          <w:tcPr>
            <w:tcW w:w="8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30.79</w:t>
            </w: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w:t>
            </w:r>
          </w:p>
        </w:tc>
        <w:tc>
          <w:tcPr>
            <w:tcW w:w="40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30101</w:t>
            </w:r>
          </w:p>
        </w:tc>
        <w:tc>
          <w:tcPr>
            <w:tcW w:w="32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8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64.97</w:t>
            </w:r>
          </w:p>
        </w:tc>
        <w:tc>
          <w:tcPr>
            <w:tcW w:w="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30201</w:t>
            </w:r>
          </w:p>
        </w:tc>
        <w:tc>
          <w:tcPr>
            <w:tcW w:w="24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8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7.56</w:t>
            </w: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30701</w:t>
            </w:r>
          </w:p>
        </w:tc>
        <w:tc>
          <w:tcPr>
            <w:tcW w:w="40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30102</w:t>
            </w:r>
          </w:p>
        </w:tc>
        <w:tc>
          <w:tcPr>
            <w:tcW w:w="32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8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30.64</w:t>
            </w:r>
          </w:p>
        </w:tc>
        <w:tc>
          <w:tcPr>
            <w:tcW w:w="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30202</w:t>
            </w:r>
          </w:p>
        </w:tc>
        <w:tc>
          <w:tcPr>
            <w:tcW w:w="24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8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2.05</w:t>
            </w: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30702</w:t>
            </w:r>
          </w:p>
        </w:tc>
        <w:tc>
          <w:tcPr>
            <w:tcW w:w="40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30103</w:t>
            </w:r>
          </w:p>
        </w:tc>
        <w:tc>
          <w:tcPr>
            <w:tcW w:w="32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奖金</w:t>
            </w:r>
          </w:p>
        </w:tc>
        <w:tc>
          <w:tcPr>
            <w:tcW w:w="8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40.63</w:t>
            </w:r>
          </w:p>
        </w:tc>
        <w:tc>
          <w:tcPr>
            <w:tcW w:w="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30203</w:t>
            </w:r>
          </w:p>
        </w:tc>
        <w:tc>
          <w:tcPr>
            <w:tcW w:w="24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8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w:t>
            </w:r>
          </w:p>
        </w:tc>
        <w:tc>
          <w:tcPr>
            <w:tcW w:w="40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资本性支出</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30106</w:t>
            </w:r>
          </w:p>
        </w:tc>
        <w:tc>
          <w:tcPr>
            <w:tcW w:w="32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30204</w:t>
            </w:r>
          </w:p>
        </w:tc>
        <w:tc>
          <w:tcPr>
            <w:tcW w:w="24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8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31001</w:t>
            </w:r>
          </w:p>
        </w:tc>
        <w:tc>
          <w:tcPr>
            <w:tcW w:w="40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30107</w:t>
            </w:r>
          </w:p>
        </w:tc>
        <w:tc>
          <w:tcPr>
            <w:tcW w:w="32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8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12.41</w:t>
            </w:r>
          </w:p>
        </w:tc>
        <w:tc>
          <w:tcPr>
            <w:tcW w:w="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30205</w:t>
            </w:r>
          </w:p>
        </w:tc>
        <w:tc>
          <w:tcPr>
            <w:tcW w:w="24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水费</w:t>
            </w:r>
          </w:p>
        </w:tc>
        <w:tc>
          <w:tcPr>
            <w:tcW w:w="8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1.25</w:t>
            </w: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31002</w:t>
            </w:r>
          </w:p>
        </w:tc>
        <w:tc>
          <w:tcPr>
            <w:tcW w:w="40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30108</w:t>
            </w:r>
          </w:p>
        </w:tc>
        <w:tc>
          <w:tcPr>
            <w:tcW w:w="32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8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25.63</w:t>
            </w:r>
          </w:p>
        </w:tc>
        <w:tc>
          <w:tcPr>
            <w:tcW w:w="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30206</w:t>
            </w:r>
          </w:p>
        </w:tc>
        <w:tc>
          <w:tcPr>
            <w:tcW w:w="24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电费</w:t>
            </w:r>
          </w:p>
        </w:tc>
        <w:tc>
          <w:tcPr>
            <w:tcW w:w="8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1.30</w:t>
            </w: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31003</w:t>
            </w:r>
          </w:p>
        </w:tc>
        <w:tc>
          <w:tcPr>
            <w:tcW w:w="40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30109</w:t>
            </w:r>
          </w:p>
        </w:tc>
        <w:tc>
          <w:tcPr>
            <w:tcW w:w="32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30207</w:t>
            </w:r>
          </w:p>
        </w:tc>
        <w:tc>
          <w:tcPr>
            <w:tcW w:w="24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8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31005</w:t>
            </w:r>
          </w:p>
        </w:tc>
        <w:tc>
          <w:tcPr>
            <w:tcW w:w="40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30110</w:t>
            </w:r>
          </w:p>
        </w:tc>
        <w:tc>
          <w:tcPr>
            <w:tcW w:w="32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8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11.33</w:t>
            </w:r>
          </w:p>
        </w:tc>
        <w:tc>
          <w:tcPr>
            <w:tcW w:w="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30208</w:t>
            </w:r>
          </w:p>
        </w:tc>
        <w:tc>
          <w:tcPr>
            <w:tcW w:w="24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8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31006</w:t>
            </w:r>
          </w:p>
        </w:tc>
        <w:tc>
          <w:tcPr>
            <w:tcW w:w="40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30111</w:t>
            </w:r>
          </w:p>
        </w:tc>
        <w:tc>
          <w:tcPr>
            <w:tcW w:w="32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30209</w:t>
            </w:r>
          </w:p>
        </w:tc>
        <w:tc>
          <w:tcPr>
            <w:tcW w:w="24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8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31007</w:t>
            </w:r>
          </w:p>
        </w:tc>
        <w:tc>
          <w:tcPr>
            <w:tcW w:w="40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30112</w:t>
            </w:r>
          </w:p>
        </w:tc>
        <w:tc>
          <w:tcPr>
            <w:tcW w:w="32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30211</w:t>
            </w:r>
          </w:p>
        </w:tc>
        <w:tc>
          <w:tcPr>
            <w:tcW w:w="24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8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31008</w:t>
            </w:r>
          </w:p>
        </w:tc>
        <w:tc>
          <w:tcPr>
            <w:tcW w:w="40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30113</w:t>
            </w:r>
          </w:p>
        </w:tc>
        <w:tc>
          <w:tcPr>
            <w:tcW w:w="32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8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11.19</w:t>
            </w:r>
          </w:p>
        </w:tc>
        <w:tc>
          <w:tcPr>
            <w:tcW w:w="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30212</w:t>
            </w:r>
          </w:p>
        </w:tc>
        <w:tc>
          <w:tcPr>
            <w:tcW w:w="24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8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31009</w:t>
            </w:r>
          </w:p>
        </w:tc>
        <w:tc>
          <w:tcPr>
            <w:tcW w:w="40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30114</w:t>
            </w:r>
          </w:p>
        </w:tc>
        <w:tc>
          <w:tcPr>
            <w:tcW w:w="32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30213</w:t>
            </w:r>
          </w:p>
        </w:tc>
        <w:tc>
          <w:tcPr>
            <w:tcW w:w="24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8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31010</w:t>
            </w:r>
          </w:p>
        </w:tc>
        <w:tc>
          <w:tcPr>
            <w:tcW w:w="40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30199</w:t>
            </w:r>
          </w:p>
        </w:tc>
        <w:tc>
          <w:tcPr>
            <w:tcW w:w="32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30214</w:t>
            </w:r>
          </w:p>
        </w:tc>
        <w:tc>
          <w:tcPr>
            <w:tcW w:w="24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8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31011</w:t>
            </w:r>
          </w:p>
        </w:tc>
        <w:tc>
          <w:tcPr>
            <w:tcW w:w="40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w:t>
            </w:r>
          </w:p>
        </w:tc>
        <w:tc>
          <w:tcPr>
            <w:tcW w:w="32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30215</w:t>
            </w:r>
          </w:p>
        </w:tc>
        <w:tc>
          <w:tcPr>
            <w:tcW w:w="24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8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31012</w:t>
            </w:r>
          </w:p>
        </w:tc>
        <w:tc>
          <w:tcPr>
            <w:tcW w:w="40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30301</w:t>
            </w:r>
          </w:p>
        </w:tc>
        <w:tc>
          <w:tcPr>
            <w:tcW w:w="32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30216</w:t>
            </w:r>
          </w:p>
        </w:tc>
        <w:tc>
          <w:tcPr>
            <w:tcW w:w="24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8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31013</w:t>
            </w:r>
          </w:p>
        </w:tc>
        <w:tc>
          <w:tcPr>
            <w:tcW w:w="40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30302</w:t>
            </w:r>
          </w:p>
        </w:tc>
        <w:tc>
          <w:tcPr>
            <w:tcW w:w="32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30217</w:t>
            </w:r>
          </w:p>
        </w:tc>
        <w:tc>
          <w:tcPr>
            <w:tcW w:w="24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8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2.59</w:t>
            </w: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31019</w:t>
            </w:r>
          </w:p>
        </w:tc>
        <w:tc>
          <w:tcPr>
            <w:tcW w:w="40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30303</w:t>
            </w:r>
          </w:p>
        </w:tc>
        <w:tc>
          <w:tcPr>
            <w:tcW w:w="32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30218</w:t>
            </w:r>
          </w:p>
        </w:tc>
        <w:tc>
          <w:tcPr>
            <w:tcW w:w="24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8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31021</w:t>
            </w:r>
          </w:p>
        </w:tc>
        <w:tc>
          <w:tcPr>
            <w:tcW w:w="40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30304</w:t>
            </w:r>
          </w:p>
        </w:tc>
        <w:tc>
          <w:tcPr>
            <w:tcW w:w="32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30224</w:t>
            </w:r>
          </w:p>
        </w:tc>
        <w:tc>
          <w:tcPr>
            <w:tcW w:w="24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8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31022</w:t>
            </w:r>
          </w:p>
        </w:tc>
        <w:tc>
          <w:tcPr>
            <w:tcW w:w="40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30305</w:t>
            </w:r>
          </w:p>
        </w:tc>
        <w:tc>
          <w:tcPr>
            <w:tcW w:w="32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30225</w:t>
            </w:r>
          </w:p>
        </w:tc>
        <w:tc>
          <w:tcPr>
            <w:tcW w:w="24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8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31099</w:t>
            </w:r>
          </w:p>
        </w:tc>
        <w:tc>
          <w:tcPr>
            <w:tcW w:w="40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30306</w:t>
            </w:r>
          </w:p>
        </w:tc>
        <w:tc>
          <w:tcPr>
            <w:tcW w:w="32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30226</w:t>
            </w:r>
          </w:p>
        </w:tc>
        <w:tc>
          <w:tcPr>
            <w:tcW w:w="24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8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w:t>
            </w:r>
          </w:p>
        </w:tc>
        <w:tc>
          <w:tcPr>
            <w:tcW w:w="40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其他支出</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30307</w:t>
            </w:r>
          </w:p>
        </w:tc>
        <w:tc>
          <w:tcPr>
            <w:tcW w:w="32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30227</w:t>
            </w:r>
          </w:p>
        </w:tc>
        <w:tc>
          <w:tcPr>
            <w:tcW w:w="24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8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39906</w:t>
            </w:r>
          </w:p>
        </w:tc>
        <w:tc>
          <w:tcPr>
            <w:tcW w:w="40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赠与</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30308</w:t>
            </w:r>
          </w:p>
        </w:tc>
        <w:tc>
          <w:tcPr>
            <w:tcW w:w="32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30228</w:t>
            </w:r>
          </w:p>
        </w:tc>
        <w:tc>
          <w:tcPr>
            <w:tcW w:w="24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8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6.00</w:t>
            </w: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39907</w:t>
            </w:r>
          </w:p>
        </w:tc>
        <w:tc>
          <w:tcPr>
            <w:tcW w:w="40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30309</w:t>
            </w:r>
          </w:p>
        </w:tc>
        <w:tc>
          <w:tcPr>
            <w:tcW w:w="32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30229</w:t>
            </w:r>
          </w:p>
        </w:tc>
        <w:tc>
          <w:tcPr>
            <w:tcW w:w="24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8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2.75</w:t>
            </w: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39908</w:t>
            </w:r>
          </w:p>
        </w:tc>
        <w:tc>
          <w:tcPr>
            <w:tcW w:w="40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30310</w:t>
            </w:r>
          </w:p>
        </w:tc>
        <w:tc>
          <w:tcPr>
            <w:tcW w:w="32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30231</w:t>
            </w:r>
          </w:p>
        </w:tc>
        <w:tc>
          <w:tcPr>
            <w:tcW w:w="24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8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5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39999</w:t>
            </w:r>
          </w:p>
        </w:tc>
        <w:tc>
          <w:tcPr>
            <w:tcW w:w="404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30311</w:t>
            </w:r>
          </w:p>
        </w:tc>
        <w:tc>
          <w:tcPr>
            <w:tcW w:w="32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30239</w:t>
            </w:r>
          </w:p>
        </w:tc>
        <w:tc>
          <w:tcPr>
            <w:tcW w:w="24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8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5.29</w:t>
            </w:r>
          </w:p>
        </w:tc>
        <w:tc>
          <w:tcPr>
            <w:tcW w:w="954"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4048"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4"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30399</w:t>
            </w:r>
          </w:p>
        </w:tc>
        <w:tc>
          <w:tcPr>
            <w:tcW w:w="32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30240</w:t>
            </w:r>
          </w:p>
        </w:tc>
        <w:tc>
          <w:tcPr>
            <w:tcW w:w="24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894"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54"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4048"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1294" w:type="dxa"/>
            <w:tcBorders>
              <w:top w:val="nil"/>
              <w:left w:val="single" w:color="auto" w:sz="4" w:space="0"/>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20"/>
              </w:rPr>
            </w:pPr>
          </w:p>
        </w:tc>
        <w:tc>
          <w:tcPr>
            <w:tcW w:w="3242"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20"/>
              </w:rPr>
            </w:pP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c>
          <w:tcPr>
            <w:tcW w:w="97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30299</w:t>
            </w:r>
          </w:p>
        </w:tc>
        <w:tc>
          <w:tcPr>
            <w:tcW w:w="2468"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89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2.00</w:t>
            </w:r>
          </w:p>
        </w:tc>
        <w:tc>
          <w:tcPr>
            <w:tcW w:w="954"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4048" w:type="dxa"/>
            <w:tcBorders>
              <w:top w:val="nil"/>
              <w:left w:val="nil"/>
              <w:bottom w:val="single" w:color="auto" w:sz="4" w:space="0"/>
              <w:right w:val="single" w:color="auto" w:sz="4" w:space="0"/>
            </w:tcBorders>
            <w:shd w:val="clear" w:color="auto" w:fill="auto"/>
            <w:noWrap/>
            <w:vAlign w:val="center"/>
          </w:tcPr>
          <w:p>
            <w:pPr>
              <w:jc w:val="left"/>
              <w:rPr>
                <w:rFonts w:ascii="宋体" w:hAnsi="宋体" w:eastAsia="宋体" w:cs="宋体"/>
                <w:color w:val="000000"/>
                <w:kern w:val="0"/>
                <w:szCs w:val="18"/>
              </w:rPr>
            </w:pPr>
          </w:p>
        </w:tc>
        <w:tc>
          <w:tcPr>
            <w:tcW w:w="875"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color w:val="000000"/>
                <w:kern w:val="0"/>
                <w:szCs w:val="20"/>
              </w:rPr>
            </w:pPr>
          </w:p>
        </w:tc>
      </w:tr>
      <w:tr>
        <w:tblPrEx>
          <w:tblCellMar>
            <w:top w:w="0" w:type="dxa"/>
            <w:left w:w="108" w:type="dxa"/>
            <w:bottom w:w="0" w:type="dxa"/>
            <w:right w:w="108" w:type="dxa"/>
          </w:tblCellMar>
        </w:tblPrEx>
        <w:trPr>
          <w:trHeight w:val="284" w:hRule="exact"/>
        </w:trPr>
        <w:tc>
          <w:tcPr>
            <w:tcW w:w="4536" w:type="dxa"/>
            <w:gridSpan w:val="2"/>
            <w:tcBorders>
              <w:top w:val="nil"/>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人员经费合计</w:t>
            </w:r>
          </w:p>
        </w:tc>
        <w:tc>
          <w:tcPr>
            <w:tcW w:w="8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196.80</w:t>
            </w:r>
          </w:p>
        </w:tc>
        <w:tc>
          <w:tcPr>
            <w:tcW w:w="9341" w:type="dxa"/>
            <w:gridSpan w:val="5"/>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kern w:val="0"/>
                <w:szCs w:val="18"/>
              </w:rPr>
            </w:pPr>
            <w:r>
              <w:rPr>
                <w:rFonts w:hint="eastAsia" w:ascii="宋体" w:hAnsi="宋体" w:eastAsia="宋体" w:cs="宋体"/>
                <w:i w:val="0"/>
                <w:iCs w:val="0"/>
                <w:color w:val="000000"/>
                <w:kern w:val="0"/>
                <w:sz w:val="22"/>
                <w:szCs w:val="22"/>
                <w:u w:val="none"/>
                <w:lang w:val="en-US" w:eastAsia="zh-CN" w:bidi="ar"/>
              </w:rPr>
              <w:t>公用经费合计</w:t>
            </w:r>
          </w:p>
        </w:tc>
        <w:tc>
          <w:tcPr>
            <w:tcW w:w="8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default" w:ascii="宋体" w:hAnsi="宋体" w:eastAsia="宋体" w:cs="宋体"/>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30.799</w:t>
            </w:r>
          </w:p>
        </w:tc>
      </w:tr>
      <w:tr>
        <w:tblPrEx>
          <w:tblCellMar>
            <w:top w:w="0" w:type="dxa"/>
            <w:left w:w="108" w:type="dxa"/>
            <w:bottom w:w="0" w:type="dxa"/>
            <w:right w:w="108" w:type="dxa"/>
          </w:tblCellMar>
        </w:tblPrEx>
        <w:trPr>
          <w:trHeight w:val="284" w:hRule="exact"/>
        </w:trPr>
        <w:tc>
          <w:tcPr>
            <w:tcW w:w="15627" w:type="dxa"/>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2.59</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2.59</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2.59</w:t>
            </w: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single" w:color="auto" w:sz="4" w:space="0"/>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nil"/>
              <w:bottom w:val="single" w:color="auto" w:sz="8" w:space="0"/>
              <w:right w:val="nil"/>
            </w:tcBorders>
            <w:shd w:val="clear" w:color="auto" w:fill="auto"/>
            <w:vAlign w:val="center"/>
          </w:tcPr>
          <w:p>
            <w:pPr>
              <w:jc w:val="right"/>
              <w:rPr>
                <w:rFonts w:ascii="Times New Roman" w:hAnsi="Times New Roman" w:eastAsia="仿宋_GB2312" w:cs="Times New Roman"/>
                <w:kern w:val="0"/>
                <w:szCs w:val="21"/>
              </w:rPr>
            </w:pPr>
          </w:p>
        </w:tc>
        <w:tc>
          <w:tcPr>
            <w:tcW w:w="1220"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2.59</w:t>
            </w:r>
          </w:p>
        </w:tc>
      </w:tr>
    </w:tbl>
    <w:p>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r>
        <w:rPr>
          <w:rFonts w:ascii="Times New Roman" w:hAnsi="Times New Roman" w:eastAsia="仿宋_GB2312" w:cs="Times New Roman"/>
          <w:kern w:val="0"/>
          <w:szCs w:val="21"/>
        </w:rPr>
        <w:t>)。</w:t>
      </w:r>
    </w:p>
    <w:p>
      <w:pPr>
        <w:widowControl/>
        <w:jc w:val="left"/>
        <w:rPr>
          <w:rFonts w:ascii="黑体" w:hAnsi="黑体" w:eastAsia="黑体"/>
          <w:szCs w:val="21"/>
        </w:rPr>
      </w:pPr>
      <w:r>
        <w:rPr>
          <w:rFonts w:ascii="黑体" w:hAnsi="黑体" w:eastAsia="黑体"/>
          <w:szCs w:val="21"/>
        </w:rPr>
        <w:br w:type="page"/>
      </w:r>
    </w:p>
    <w:tbl>
      <w:tblPr>
        <w:tblStyle w:val="8"/>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pPr>
        <w:pStyle w:val="12"/>
        <w:rPr>
          <w:sz w:val="72"/>
          <w:szCs w:val="72"/>
        </w:rPr>
        <w:sectPr>
          <w:pgSz w:w="16838" w:h="11906" w:orient="landscape"/>
          <w:pgMar w:top="720" w:right="720" w:bottom="720" w:left="720" w:header="851" w:footer="992" w:gutter="0"/>
          <w:cols w:space="425" w:num="1"/>
          <w:docGrid w:type="lines" w:linePitch="312" w:charSpace="0"/>
        </w:sectPr>
      </w:pP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r>
        <w:rPr>
          <w:rFonts w:hint="eastAsia"/>
          <w:sz w:val="72"/>
          <w:szCs w:val="72"/>
        </w:rPr>
        <w:t>第三部分</w:t>
      </w:r>
    </w:p>
    <w:p>
      <w:pPr>
        <w:pStyle w:val="12"/>
        <w:jc w:val="center"/>
        <w:rPr>
          <w:sz w:val="70"/>
          <w:szCs w:val="70"/>
        </w:rPr>
      </w:pPr>
    </w:p>
    <w:p>
      <w:pPr>
        <w:pStyle w:val="12"/>
        <w:jc w:val="center"/>
        <w:rPr>
          <w:sz w:val="70"/>
          <w:szCs w:val="70"/>
        </w:rPr>
      </w:pPr>
      <w:r>
        <w:rPr>
          <w:rFonts w:hint="eastAsia"/>
          <w:sz w:val="70"/>
          <w:szCs w:val="70"/>
          <w:lang w:eastAsia="zh-CN"/>
        </w:rPr>
        <w:t>2024年</w:t>
      </w:r>
      <w:r>
        <w:rPr>
          <w:rFonts w:hint="eastAsia"/>
          <w:sz w:val="70"/>
          <w:szCs w:val="70"/>
        </w:rPr>
        <w:t>度部门决算情况说明</w:t>
      </w:r>
    </w:p>
    <w:p>
      <w:pPr>
        <w:widowControl/>
        <w:jc w:val="left"/>
        <w:rPr>
          <w:rFonts w:ascii="黑体" w:eastAsia="黑体" w:cs="黑体"/>
          <w:color w:val="000000"/>
          <w:kern w:val="0"/>
          <w:sz w:val="70"/>
          <w:szCs w:val="70"/>
        </w:rPr>
      </w:pPr>
      <w:r>
        <w:rPr>
          <w:sz w:val="70"/>
          <w:szCs w:val="70"/>
        </w:rPr>
        <w:br w:type="page"/>
      </w:r>
    </w:p>
    <w:p>
      <w:pPr>
        <w:pStyle w:val="12"/>
        <w:rPr>
          <w:rFonts w:asciiTheme="minorEastAsia" w:hAnsiTheme="minorEastAsia" w:eastAsiaTheme="minorEastAsia"/>
          <w:sz w:val="32"/>
          <w:szCs w:val="32"/>
        </w:rPr>
      </w:pP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2024年度收、支总计</w:t>
      </w:r>
      <w:r>
        <w:rPr>
          <w:rFonts w:hint="eastAsia" w:ascii="Times New Roman" w:hAnsi="Times New Roman" w:eastAsia="仿宋_GB2312"/>
          <w:sz w:val="32"/>
          <w:szCs w:val="32"/>
          <w:lang w:val="en-US" w:eastAsia="zh-CN"/>
        </w:rPr>
        <w:t>415.39</w:t>
      </w:r>
      <w:r>
        <w:rPr>
          <w:rFonts w:hint="eastAsia" w:ascii="Times New Roman" w:hAnsi="Times New Roman" w:eastAsia="仿宋_GB2312"/>
          <w:sz w:val="32"/>
          <w:szCs w:val="32"/>
          <w:lang w:eastAsia="zh-CN"/>
        </w:rPr>
        <w:t>万元。与上年相比，增加</w:t>
      </w:r>
      <w:r>
        <w:rPr>
          <w:rFonts w:hint="eastAsia" w:ascii="Times New Roman" w:hAnsi="Times New Roman" w:eastAsia="仿宋_GB2312"/>
          <w:sz w:val="32"/>
          <w:szCs w:val="32"/>
          <w:lang w:val="en-US" w:eastAsia="zh-CN"/>
        </w:rPr>
        <w:t>14.31</w:t>
      </w:r>
      <w:r>
        <w:rPr>
          <w:rFonts w:hint="eastAsia" w:ascii="Times New Roman" w:hAnsi="Times New Roman" w:eastAsia="仿宋_GB2312"/>
          <w:sz w:val="32"/>
          <w:szCs w:val="32"/>
          <w:lang w:eastAsia="zh-CN"/>
        </w:rPr>
        <w:t>万元，增长</w:t>
      </w:r>
      <w:r>
        <w:rPr>
          <w:rFonts w:hint="eastAsia" w:ascii="Times New Roman" w:hAnsi="Times New Roman" w:eastAsia="仿宋_GB2312"/>
          <w:sz w:val="32"/>
          <w:szCs w:val="32"/>
          <w:lang w:val="en-US" w:eastAsia="zh-CN"/>
        </w:rPr>
        <w:t>3.57</w:t>
      </w:r>
      <w:r>
        <w:rPr>
          <w:rFonts w:hint="eastAsia" w:ascii="Times New Roman" w:hAnsi="Times New Roman" w:eastAsia="仿宋_GB2312"/>
          <w:sz w:val="32"/>
          <w:szCs w:val="32"/>
          <w:lang w:eastAsia="zh-CN"/>
        </w:rPr>
        <w:t>%，主要是因为人员及业务活动增加。</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2024年度收入合计415.39万元，其中：财政拨款收入415.39万元，占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lang w:eastAsia="zh-CN"/>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2024年度支出合计</w:t>
      </w:r>
      <w:r>
        <w:rPr>
          <w:rFonts w:hint="eastAsia" w:ascii="Times New Roman" w:hAnsi="Times New Roman" w:eastAsia="仿宋_GB2312"/>
          <w:sz w:val="32"/>
          <w:szCs w:val="32"/>
          <w:lang w:val="en-US" w:eastAsia="zh-CN"/>
        </w:rPr>
        <w:t>415.39</w:t>
      </w:r>
      <w:r>
        <w:rPr>
          <w:rFonts w:hint="eastAsia" w:ascii="Times New Roman" w:hAnsi="Times New Roman" w:eastAsia="仿宋_GB2312"/>
          <w:sz w:val="32"/>
          <w:szCs w:val="32"/>
          <w:lang w:eastAsia="zh-CN"/>
        </w:rPr>
        <w:t>万元，其中：基本支出</w:t>
      </w:r>
      <w:r>
        <w:rPr>
          <w:rFonts w:hint="eastAsia" w:ascii="Times New Roman" w:hAnsi="Times New Roman" w:eastAsia="仿宋_GB2312"/>
          <w:sz w:val="32"/>
          <w:szCs w:val="32"/>
          <w:lang w:val="en-US" w:eastAsia="zh-CN"/>
        </w:rPr>
        <w:t>227.59</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54.79</w:t>
      </w:r>
      <w:r>
        <w:rPr>
          <w:rFonts w:hint="eastAsia" w:ascii="Times New Roman" w:hAnsi="Times New Roman" w:eastAsia="仿宋_GB2312"/>
          <w:sz w:val="32"/>
          <w:szCs w:val="32"/>
          <w:lang w:eastAsia="zh-CN"/>
        </w:rPr>
        <w:t>%；项目支出</w:t>
      </w:r>
      <w:r>
        <w:rPr>
          <w:rFonts w:hint="eastAsia" w:ascii="Times New Roman" w:hAnsi="Times New Roman" w:eastAsia="仿宋_GB2312"/>
          <w:sz w:val="32"/>
          <w:szCs w:val="32"/>
          <w:lang w:val="en-US" w:eastAsia="zh-CN"/>
        </w:rPr>
        <w:t>199.7</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45.21</w:t>
      </w:r>
      <w:r>
        <w:rPr>
          <w:rFonts w:hint="eastAsia" w:ascii="Times New Roman" w:hAnsi="Times New Roman" w:eastAsia="仿宋_GB2312"/>
          <w:sz w:val="32"/>
          <w:szCs w:val="32"/>
          <w:lang w:eastAsia="zh-CN"/>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四、</w:t>
      </w:r>
      <w:r>
        <w:rPr>
          <w:rFonts w:hint="eastAsia" w:ascii="黑体" w:hAnsi="黑体" w:eastAsia="黑体" w:cs="黑体"/>
          <w:b w:val="0"/>
          <w:bCs/>
          <w:sz w:val="32"/>
          <w:szCs w:val="32"/>
        </w:rPr>
        <w:t>财政拨款收入支出决算总体情况说明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2024年度财政拨款收、支总计415.39万元。与上年相比，增加</w:t>
      </w:r>
      <w:r>
        <w:rPr>
          <w:rFonts w:hint="eastAsia" w:ascii="Times New Roman" w:hAnsi="Times New Roman" w:eastAsia="仿宋_GB2312"/>
          <w:sz w:val="32"/>
          <w:szCs w:val="32"/>
          <w:lang w:val="en-US" w:eastAsia="zh-CN"/>
        </w:rPr>
        <w:t>14.31</w:t>
      </w:r>
      <w:r>
        <w:rPr>
          <w:rFonts w:hint="eastAsia" w:ascii="Times New Roman" w:hAnsi="Times New Roman" w:eastAsia="仿宋_GB2312"/>
          <w:sz w:val="32"/>
          <w:szCs w:val="32"/>
          <w:lang w:eastAsia="zh-CN"/>
        </w:rPr>
        <w:t>万元，增长</w:t>
      </w:r>
      <w:r>
        <w:rPr>
          <w:rFonts w:hint="eastAsia" w:ascii="Times New Roman" w:hAnsi="Times New Roman" w:eastAsia="仿宋_GB2312"/>
          <w:sz w:val="32"/>
          <w:szCs w:val="32"/>
          <w:lang w:val="en-US" w:eastAsia="zh-CN"/>
        </w:rPr>
        <w:t>3.57</w:t>
      </w:r>
      <w:r>
        <w:rPr>
          <w:rFonts w:hint="eastAsia" w:ascii="Times New Roman" w:hAnsi="Times New Roman" w:eastAsia="仿宋_GB2312"/>
          <w:sz w:val="32"/>
          <w:szCs w:val="32"/>
          <w:lang w:eastAsia="zh-CN"/>
        </w:rPr>
        <w:t>%，主要是因为人员及业务活动增加。</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（一）财政拨款支出决算总体情况</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2024年度财政拨款支出</w:t>
      </w:r>
      <w:r>
        <w:rPr>
          <w:rFonts w:hint="eastAsia" w:ascii="Times New Roman" w:hAnsi="Times New Roman" w:eastAsia="仿宋_GB2312"/>
          <w:sz w:val="32"/>
          <w:szCs w:val="32"/>
          <w:lang w:val="en-US" w:eastAsia="zh-CN"/>
        </w:rPr>
        <w:t>415.39</w:t>
      </w:r>
      <w:r>
        <w:rPr>
          <w:rFonts w:hint="eastAsia" w:ascii="Times New Roman" w:hAnsi="Times New Roman" w:eastAsia="仿宋_GB2312"/>
          <w:sz w:val="32"/>
          <w:szCs w:val="32"/>
          <w:lang w:eastAsia="zh-CN"/>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lang w:eastAsia="zh-CN"/>
        </w:rPr>
        <w:t>%，与上年相比，财政拨款支出增加</w:t>
      </w:r>
      <w:r>
        <w:rPr>
          <w:rFonts w:hint="eastAsia" w:ascii="Times New Roman" w:hAnsi="Times New Roman" w:eastAsia="仿宋_GB2312"/>
          <w:sz w:val="32"/>
          <w:szCs w:val="32"/>
          <w:lang w:val="en-US" w:eastAsia="zh-CN"/>
        </w:rPr>
        <w:t>14.31</w:t>
      </w:r>
      <w:r>
        <w:rPr>
          <w:rFonts w:hint="eastAsia" w:ascii="Times New Roman" w:hAnsi="Times New Roman" w:eastAsia="仿宋_GB2312"/>
          <w:sz w:val="32"/>
          <w:szCs w:val="32"/>
          <w:lang w:eastAsia="zh-CN"/>
        </w:rPr>
        <w:t>万元，增长</w:t>
      </w:r>
      <w:r>
        <w:rPr>
          <w:rFonts w:hint="eastAsia" w:ascii="Times New Roman" w:hAnsi="Times New Roman" w:eastAsia="仿宋_GB2312"/>
          <w:sz w:val="32"/>
          <w:szCs w:val="32"/>
          <w:lang w:val="en-US" w:eastAsia="zh-CN"/>
        </w:rPr>
        <w:t>3.57</w:t>
      </w:r>
      <w:r>
        <w:rPr>
          <w:rFonts w:hint="eastAsia" w:ascii="Times New Roman" w:hAnsi="Times New Roman" w:eastAsia="仿宋_GB2312"/>
          <w:sz w:val="32"/>
          <w:szCs w:val="32"/>
          <w:lang w:eastAsia="zh-CN"/>
        </w:rPr>
        <w:t>%，主要是因为人员及业务活动增加。</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（二）财政拨款支出决算结构情况</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2024年度财政拨款支出</w:t>
      </w:r>
      <w:r>
        <w:rPr>
          <w:rFonts w:hint="eastAsia" w:ascii="Times New Roman" w:hAnsi="Times New Roman" w:eastAsia="仿宋_GB2312"/>
          <w:sz w:val="32"/>
          <w:szCs w:val="32"/>
          <w:lang w:val="en-US" w:eastAsia="zh-CN"/>
        </w:rPr>
        <w:t>415.39</w:t>
      </w:r>
      <w:r>
        <w:rPr>
          <w:rFonts w:hint="eastAsia" w:ascii="Times New Roman" w:hAnsi="Times New Roman" w:eastAsia="仿宋_GB2312"/>
          <w:sz w:val="32"/>
          <w:szCs w:val="32"/>
          <w:lang w:eastAsia="zh-CN"/>
        </w:rPr>
        <w:t>万元，主要用于以下方面：文化旅游体育与传媒支出文化旅游体育与传媒支出支出</w:t>
      </w:r>
      <w:r>
        <w:rPr>
          <w:rFonts w:hint="eastAsia" w:ascii="Times New Roman" w:hAnsi="Times New Roman" w:eastAsia="仿宋_GB2312"/>
          <w:sz w:val="32"/>
          <w:szCs w:val="32"/>
          <w:lang w:val="en-US" w:eastAsia="zh-CN"/>
        </w:rPr>
        <w:t>367.24</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88.41</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lang w:val="en-US" w:eastAsia="zh-CN"/>
        </w:rPr>
        <w:t>25.63</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6.17</w:t>
      </w:r>
      <w:r>
        <w:rPr>
          <w:rFonts w:hint="eastAsia" w:ascii="Times New Roman" w:hAnsi="Times New Roman" w:eastAsia="仿宋_GB2312"/>
          <w:sz w:val="32"/>
          <w:szCs w:val="32"/>
          <w:lang w:eastAsia="zh-CN"/>
        </w:rPr>
        <w:t>%;卫生健康支出</w:t>
      </w:r>
      <w:r>
        <w:rPr>
          <w:rFonts w:hint="eastAsia" w:ascii="Times New Roman" w:hAnsi="Times New Roman" w:eastAsia="仿宋_GB2312"/>
          <w:sz w:val="32"/>
          <w:szCs w:val="32"/>
          <w:lang w:val="en-US" w:eastAsia="zh-CN"/>
        </w:rPr>
        <w:t>11.33</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2.73</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住房保障支出11.19万元，占比2.69%</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（三）财政拨款支出决算具体情况</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2024年度财政拨款支出年初预算数为</w:t>
      </w:r>
      <w:r>
        <w:rPr>
          <w:rFonts w:hint="eastAsia" w:ascii="Times New Roman" w:hAnsi="Times New Roman" w:eastAsia="仿宋_GB2312"/>
          <w:sz w:val="32"/>
          <w:szCs w:val="32"/>
          <w:lang w:val="en-US" w:eastAsia="zh-CN"/>
        </w:rPr>
        <w:t>397.28</w:t>
      </w:r>
      <w:r>
        <w:rPr>
          <w:rFonts w:hint="eastAsia" w:ascii="Times New Roman" w:hAnsi="Times New Roman" w:eastAsia="仿宋_GB2312"/>
          <w:sz w:val="32"/>
          <w:szCs w:val="32"/>
          <w:lang w:eastAsia="zh-CN"/>
        </w:rPr>
        <w:t>万元，支出决算数为</w:t>
      </w:r>
      <w:r>
        <w:rPr>
          <w:rFonts w:hint="eastAsia" w:ascii="Times New Roman" w:hAnsi="Times New Roman" w:eastAsia="仿宋_GB2312"/>
          <w:sz w:val="32"/>
          <w:szCs w:val="32"/>
          <w:lang w:val="en-US" w:eastAsia="zh-CN"/>
        </w:rPr>
        <w:t>415.39</w:t>
      </w:r>
      <w:r>
        <w:rPr>
          <w:rFonts w:hint="eastAsia" w:ascii="Times New Roman" w:hAnsi="Times New Roman" w:eastAsia="仿宋_GB2312"/>
          <w:sz w:val="32"/>
          <w:szCs w:val="32"/>
          <w:lang w:eastAsia="zh-CN"/>
        </w:rPr>
        <w:t>万元，完成年初预算的</w:t>
      </w:r>
      <w:r>
        <w:rPr>
          <w:rFonts w:hint="eastAsia" w:ascii="Times New Roman" w:hAnsi="Times New Roman" w:eastAsia="仿宋_GB2312"/>
          <w:sz w:val="32"/>
          <w:szCs w:val="32"/>
          <w:lang w:val="en-US" w:eastAsia="zh-CN"/>
        </w:rPr>
        <w:t>104.56</w:t>
      </w:r>
      <w:r>
        <w:rPr>
          <w:rFonts w:hint="eastAsia" w:ascii="Times New Roman" w:hAnsi="Times New Roman" w:eastAsia="仿宋_GB2312"/>
          <w:sz w:val="32"/>
          <w:szCs w:val="32"/>
          <w:lang w:eastAsia="zh-CN"/>
        </w:rPr>
        <w:t>%，其中：</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lang w:eastAsia="zh-CN"/>
        </w:rPr>
        <w:t>、文化旅游体育与传媒支出（类）文化和旅游（款）文化展示及纪念机构（项）。</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360.67</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367.24</w:t>
      </w:r>
      <w:r>
        <w:rPr>
          <w:rFonts w:hint="eastAsia" w:ascii="Times New Roman" w:hAnsi="Times New Roman" w:eastAsia="仿宋_GB2312"/>
          <w:sz w:val="32"/>
          <w:szCs w:val="32"/>
          <w:lang w:eastAsia="zh-CN"/>
        </w:rPr>
        <w:t>万元，完成年初预算的</w:t>
      </w:r>
      <w:r>
        <w:rPr>
          <w:rFonts w:hint="eastAsia" w:ascii="Times New Roman" w:hAnsi="Times New Roman" w:eastAsia="仿宋_GB2312"/>
          <w:sz w:val="32"/>
          <w:szCs w:val="32"/>
          <w:lang w:val="en-US" w:eastAsia="zh-CN"/>
        </w:rPr>
        <w:t>101.82</w:t>
      </w:r>
      <w:r>
        <w:rPr>
          <w:rFonts w:hint="eastAsia" w:ascii="Times New Roman" w:hAnsi="Times New Roman" w:eastAsia="仿宋_GB2312"/>
          <w:sz w:val="32"/>
          <w:szCs w:val="32"/>
          <w:lang w:eastAsia="zh-CN"/>
        </w:rPr>
        <w:t>%。支出决算大于年初预算主要是由于工资福利支出增加。</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lang w:eastAsia="zh-CN"/>
        </w:rPr>
        <w:t>社会保障和就业支出（类）行政事业单位养老支出（款）机关事业单位基本养老保险缴费支出（项）</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15.98</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25.63</w:t>
      </w:r>
      <w:r>
        <w:rPr>
          <w:rFonts w:hint="eastAsia" w:ascii="Times New Roman" w:hAnsi="Times New Roman" w:eastAsia="仿宋_GB2312"/>
          <w:sz w:val="32"/>
          <w:szCs w:val="32"/>
          <w:lang w:eastAsia="zh-CN"/>
        </w:rPr>
        <w:t>万元。完成年初预算的</w:t>
      </w:r>
      <w:r>
        <w:rPr>
          <w:rFonts w:hint="eastAsia" w:ascii="Times New Roman" w:hAnsi="Times New Roman" w:eastAsia="仿宋_GB2312"/>
          <w:sz w:val="32"/>
          <w:szCs w:val="32"/>
          <w:lang w:val="en-US" w:eastAsia="zh-CN"/>
        </w:rPr>
        <w:t>160.39%。支出决算大于年初预算是缴费工资基数调整。</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卫生健康支出</w:t>
      </w:r>
      <w:r>
        <w:rPr>
          <w:rFonts w:hint="eastAsia" w:ascii="Times New Roman" w:hAnsi="Times New Roman" w:eastAsia="仿宋_GB2312"/>
          <w:sz w:val="32"/>
          <w:szCs w:val="32"/>
          <w:lang w:val="en-US" w:eastAsia="zh-CN"/>
        </w:rPr>
        <w:t>（类）行政事业单位医疗（款）事业单位医疗（项）</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8.68</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11.33</w:t>
      </w:r>
      <w:r>
        <w:rPr>
          <w:rFonts w:hint="eastAsia" w:ascii="Times New Roman" w:hAnsi="Times New Roman" w:eastAsia="仿宋_GB2312"/>
          <w:sz w:val="32"/>
          <w:szCs w:val="32"/>
          <w:lang w:eastAsia="zh-CN"/>
        </w:rPr>
        <w:t>万元，完成年初预算的</w:t>
      </w:r>
      <w:r>
        <w:rPr>
          <w:rFonts w:hint="eastAsia" w:ascii="Times New Roman" w:hAnsi="Times New Roman" w:eastAsia="仿宋_GB2312"/>
          <w:sz w:val="32"/>
          <w:szCs w:val="32"/>
          <w:lang w:val="en-US" w:eastAsia="zh-CN"/>
        </w:rPr>
        <w:t>130.53%。支出决算大于年初预算是缴费工资基数调整。</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住房保障支出</w:t>
      </w:r>
      <w:r>
        <w:rPr>
          <w:rFonts w:hint="eastAsia" w:ascii="Times New Roman" w:hAnsi="Times New Roman" w:eastAsia="仿宋_GB2312"/>
          <w:sz w:val="32"/>
          <w:szCs w:val="32"/>
          <w:lang w:val="en-US" w:eastAsia="zh-CN"/>
        </w:rPr>
        <w:t>（类）</w:t>
      </w:r>
      <w:r>
        <w:rPr>
          <w:rFonts w:hint="eastAsia" w:ascii="Times New Roman" w:hAnsi="Times New Roman" w:eastAsia="仿宋_GB2312"/>
          <w:sz w:val="32"/>
          <w:szCs w:val="32"/>
          <w:lang w:eastAsia="zh-CN"/>
        </w:rPr>
        <w:t>住房改革支出</w:t>
      </w:r>
      <w:r>
        <w:rPr>
          <w:rFonts w:hint="eastAsia" w:ascii="Times New Roman" w:hAnsi="Times New Roman" w:eastAsia="仿宋_GB2312"/>
          <w:sz w:val="32"/>
          <w:szCs w:val="32"/>
          <w:lang w:val="en-US" w:eastAsia="zh-CN"/>
        </w:rPr>
        <w:t>（款）住房公积金（项）</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11.95</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11.19</w:t>
      </w:r>
      <w:r>
        <w:rPr>
          <w:rFonts w:hint="eastAsia" w:ascii="Times New Roman" w:hAnsi="Times New Roman" w:eastAsia="仿宋_GB2312"/>
          <w:sz w:val="32"/>
          <w:szCs w:val="32"/>
          <w:lang w:eastAsia="zh-CN"/>
        </w:rPr>
        <w:t>万元，完成年初预算的</w:t>
      </w:r>
      <w:r>
        <w:rPr>
          <w:rFonts w:hint="eastAsia" w:ascii="Times New Roman" w:hAnsi="Times New Roman" w:eastAsia="仿宋_GB2312"/>
          <w:sz w:val="32"/>
          <w:szCs w:val="32"/>
          <w:lang w:val="en-US" w:eastAsia="zh-CN"/>
        </w:rPr>
        <w:t>93.64%。支出决算小于年初预算是缴费工资基数调整。</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2024年度财政拨款基本支出</w:t>
      </w:r>
      <w:r>
        <w:rPr>
          <w:rFonts w:hint="eastAsia" w:ascii="Times New Roman" w:hAnsi="Times New Roman" w:eastAsia="仿宋_GB2312"/>
          <w:sz w:val="32"/>
          <w:szCs w:val="32"/>
          <w:lang w:val="en-US" w:eastAsia="zh-CN"/>
        </w:rPr>
        <w:t>227.59</w:t>
      </w:r>
      <w:r>
        <w:rPr>
          <w:rFonts w:hint="eastAsia" w:ascii="Times New Roman" w:hAnsi="Times New Roman" w:eastAsia="仿宋_GB2312"/>
          <w:sz w:val="32"/>
          <w:szCs w:val="32"/>
          <w:lang w:eastAsia="zh-CN"/>
        </w:rPr>
        <w:t>万元，其中：人员经费</w:t>
      </w:r>
      <w:r>
        <w:rPr>
          <w:rFonts w:hint="eastAsia" w:ascii="Times New Roman" w:hAnsi="Times New Roman" w:eastAsia="仿宋_GB2312"/>
          <w:sz w:val="32"/>
          <w:szCs w:val="32"/>
          <w:lang w:val="en-US" w:eastAsia="zh-CN"/>
        </w:rPr>
        <w:t>196.8</w:t>
      </w:r>
      <w:r>
        <w:rPr>
          <w:rFonts w:hint="eastAsia" w:ascii="Times New Roman" w:hAnsi="Times New Roman" w:eastAsia="仿宋_GB2312"/>
          <w:sz w:val="32"/>
          <w:szCs w:val="32"/>
          <w:lang w:eastAsia="zh-CN"/>
        </w:rPr>
        <w:t>万元，占基本支出的</w:t>
      </w:r>
      <w:r>
        <w:rPr>
          <w:rFonts w:hint="eastAsia" w:ascii="Times New Roman" w:hAnsi="Times New Roman" w:eastAsia="仿宋_GB2312"/>
          <w:sz w:val="32"/>
          <w:szCs w:val="32"/>
          <w:lang w:val="en-US" w:eastAsia="zh-CN"/>
        </w:rPr>
        <w:t>86.47</w:t>
      </w:r>
      <w:r>
        <w:rPr>
          <w:rFonts w:hint="eastAsia" w:ascii="Times New Roman" w:hAnsi="Times New Roman" w:eastAsia="仿宋_GB2312"/>
          <w:sz w:val="32"/>
          <w:szCs w:val="32"/>
          <w:lang w:eastAsia="zh-CN"/>
        </w:rPr>
        <w:t>%,主要包括基本工资、津贴补贴、奖金、伙食补助费等；公用经费</w:t>
      </w:r>
      <w:r>
        <w:rPr>
          <w:rFonts w:hint="eastAsia" w:ascii="Times New Roman" w:hAnsi="Times New Roman" w:eastAsia="仿宋_GB2312"/>
          <w:sz w:val="32"/>
          <w:szCs w:val="32"/>
          <w:lang w:val="en-US" w:eastAsia="zh-CN"/>
        </w:rPr>
        <w:t>30.79</w:t>
      </w:r>
      <w:r>
        <w:rPr>
          <w:rFonts w:hint="eastAsia" w:ascii="Times New Roman" w:hAnsi="Times New Roman" w:eastAsia="仿宋_GB2312"/>
          <w:sz w:val="32"/>
          <w:szCs w:val="32"/>
          <w:lang w:eastAsia="zh-CN"/>
        </w:rPr>
        <w:t>万元，占基本支出的</w:t>
      </w:r>
      <w:r>
        <w:rPr>
          <w:rFonts w:hint="eastAsia" w:ascii="Times New Roman" w:hAnsi="Times New Roman" w:eastAsia="仿宋_GB2312"/>
          <w:sz w:val="32"/>
          <w:szCs w:val="32"/>
          <w:lang w:val="en-US" w:eastAsia="zh-CN"/>
        </w:rPr>
        <w:t>13.53</w:t>
      </w:r>
      <w:r>
        <w:rPr>
          <w:rFonts w:hint="eastAsia" w:ascii="Times New Roman" w:hAnsi="Times New Roman" w:eastAsia="仿宋_GB2312"/>
          <w:sz w:val="32"/>
          <w:szCs w:val="32"/>
          <w:lang w:eastAsia="zh-CN"/>
        </w:rPr>
        <w:t>%，主要包括办公费、印刷费、咨询费、手续费等。</w:t>
      </w:r>
    </w:p>
    <w:p>
      <w:pPr>
        <w:pStyle w:val="12"/>
        <w:ind w:firstLine="640" w:firstLineChars="200"/>
        <w:rPr>
          <w:rFonts w:hAnsi="黑体"/>
          <w:b/>
          <w:sz w:val="32"/>
          <w:szCs w:val="32"/>
        </w:rPr>
      </w:pPr>
      <w:r>
        <w:rPr>
          <w:rFonts w:hint="eastAsia" w:ascii="黑体" w:hAnsi="黑体" w:eastAsia="黑体" w:cs="黑体"/>
          <w:b w:val="0"/>
          <w:bCs/>
          <w:sz w:val="32"/>
          <w:szCs w:val="32"/>
        </w:rPr>
        <w:t>七、一般公共预算财政拨款“三公”经费支出决算情况说明</w:t>
      </w:r>
    </w:p>
    <w:p>
      <w:pPr>
        <w:pStyle w:val="12"/>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2024年度“三公”经费财政拨款支出预算为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2.59</w:t>
      </w:r>
      <w:r>
        <w:rPr>
          <w:rFonts w:hint="eastAsia" w:ascii="Times New Roman" w:hAnsi="Times New Roman" w:eastAsia="仿宋_GB2312"/>
          <w:sz w:val="32"/>
          <w:szCs w:val="32"/>
          <w:lang w:eastAsia="zh-CN"/>
        </w:rPr>
        <w:t>万元，完成预算的</w:t>
      </w:r>
      <w:r>
        <w:rPr>
          <w:rFonts w:hint="eastAsia" w:ascii="Times New Roman" w:hAnsi="Times New Roman" w:eastAsia="仿宋_GB2312"/>
          <w:sz w:val="32"/>
          <w:szCs w:val="32"/>
          <w:lang w:val="en-US" w:eastAsia="zh-CN"/>
        </w:rPr>
        <w:t>86.33</w:t>
      </w:r>
      <w:r>
        <w:rPr>
          <w:rFonts w:hint="eastAsia" w:ascii="Times New Roman" w:hAnsi="Times New Roman" w:eastAsia="仿宋_GB2312"/>
          <w:sz w:val="32"/>
          <w:szCs w:val="32"/>
          <w:lang w:eastAsia="zh-CN"/>
        </w:rPr>
        <w:t>%，其中：</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公务接待费支出预算为</w:t>
      </w:r>
      <w:r>
        <w:rPr>
          <w:rFonts w:hint="eastAsia" w:ascii="Times New Roman" w:hAnsi="Times New Roman" w:eastAsia="仿宋_GB2312"/>
          <w:sz w:val="32"/>
          <w:szCs w:val="32"/>
          <w:lang w:val="en-US" w:eastAsia="zh-CN"/>
        </w:rPr>
        <w:t>2.59</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2.59</w:t>
      </w:r>
      <w:r>
        <w:rPr>
          <w:rFonts w:hint="eastAsia" w:ascii="Times New Roman" w:hAnsi="Times New Roman" w:eastAsia="仿宋_GB2312"/>
          <w:sz w:val="32"/>
          <w:szCs w:val="32"/>
          <w:lang w:eastAsia="zh-CN"/>
        </w:rPr>
        <w:t>万元，与预算持平。</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asciiTheme="minorEastAsia" w:hAnsiTheme="minorEastAsia" w:eastAsiaTheme="minorEastAsia"/>
          <w:sz w:val="32"/>
          <w:szCs w:val="32"/>
        </w:rPr>
      </w:pPr>
      <w:r>
        <w:rPr>
          <w:rFonts w:hint="eastAsia" w:ascii="Times New Roman" w:hAnsi="Times New Roman" w:eastAsia="仿宋_GB2312"/>
          <w:sz w:val="32"/>
          <w:szCs w:val="32"/>
          <w:lang w:eastAsia="zh-CN"/>
        </w:rPr>
        <w:t>公务用车运行维护费支出预算为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元。</w:t>
      </w:r>
    </w:p>
    <w:p>
      <w:pPr>
        <w:pStyle w:val="12"/>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2024年度“三公”经费财政拨款支出决算中，公务接待费支出决算</w:t>
      </w:r>
      <w:r>
        <w:rPr>
          <w:rFonts w:hint="eastAsia" w:ascii="Times New Roman" w:hAnsi="Times New Roman" w:eastAsia="仿宋_GB2312"/>
          <w:sz w:val="32"/>
          <w:szCs w:val="32"/>
          <w:lang w:val="en-US" w:eastAsia="zh-CN"/>
        </w:rPr>
        <w:t>2.59</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lang w:eastAsia="zh-CN"/>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%。其中：</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1、因公出国（境）费支出决算为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人次。</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2、公务接待费支出决算为</w:t>
      </w:r>
      <w:r>
        <w:rPr>
          <w:rFonts w:hint="eastAsia" w:ascii="Times New Roman" w:hAnsi="Times New Roman" w:eastAsia="仿宋_GB2312"/>
          <w:sz w:val="32"/>
          <w:szCs w:val="32"/>
          <w:lang w:val="en-US" w:eastAsia="zh-CN"/>
        </w:rPr>
        <w:t>2.59</w:t>
      </w:r>
      <w:r>
        <w:rPr>
          <w:rFonts w:hint="eastAsia" w:ascii="Times New Roman" w:hAnsi="Times New Roman" w:eastAsia="仿宋_GB2312"/>
          <w:sz w:val="32"/>
          <w:szCs w:val="32"/>
          <w:lang w:eastAsia="zh-CN"/>
        </w:rPr>
        <w:t>万元，全年共接待来访团组</w:t>
      </w:r>
      <w:r>
        <w:rPr>
          <w:rFonts w:hint="eastAsia" w:ascii="Times New Roman" w:hAnsi="Times New Roman" w:eastAsia="仿宋_GB2312"/>
          <w:sz w:val="32"/>
          <w:szCs w:val="32"/>
          <w:lang w:val="en-US" w:eastAsia="zh-CN"/>
        </w:rPr>
        <w:t>24</w:t>
      </w:r>
      <w:r>
        <w:rPr>
          <w:rFonts w:hint="eastAsia" w:ascii="Times New Roman" w:hAnsi="Times New Roman" w:eastAsia="仿宋_GB2312"/>
          <w:sz w:val="32"/>
          <w:szCs w:val="32"/>
          <w:lang w:eastAsia="zh-CN"/>
        </w:rPr>
        <w:t>个、来宾</w:t>
      </w:r>
      <w:r>
        <w:rPr>
          <w:rFonts w:hint="eastAsia" w:ascii="Times New Roman" w:hAnsi="Times New Roman" w:eastAsia="仿宋_GB2312"/>
          <w:sz w:val="32"/>
          <w:szCs w:val="32"/>
          <w:lang w:val="en-US" w:eastAsia="zh-CN"/>
        </w:rPr>
        <w:t>251</w:t>
      </w:r>
      <w:r>
        <w:rPr>
          <w:rFonts w:hint="eastAsia" w:ascii="Times New Roman" w:hAnsi="Times New Roman" w:eastAsia="仿宋_GB2312"/>
          <w:sz w:val="32"/>
          <w:szCs w:val="32"/>
          <w:lang w:eastAsia="zh-CN"/>
        </w:rPr>
        <w:t>人次，主要是红色旅游经验交流等发生的接待支出。</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辆。公务用车运行维护费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万元，截止2024年12月31日，我单位开支财政拨款的公务用车保有量为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辆。</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2"/>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2024年度政府性基金预算财政拨款收入0万元；年初结转和结余0万元；支出0万元，其中基本支出0万元，项目支出0万元；年末结转和结余0万元。具体情况如下：本单位无政府性基金收支。</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九、机关运行经费支出说明</w:t>
      </w:r>
    </w:p>
    <w:p>
      <w:pPr>
        <w:pStyle w:val="12"/>
        <w:ind w:left="319" w:leftChars="152" w:firstLine="640" w:firstLineChars="200"/>
        <w:rPr>
          <w:rFonts w:hint="eastAsia" w:asciiTheme="minorEastAsia" w:hAnsiTheme="minorEastAsia" w:eastAsiaTheme="minorEastAsia"/>
          <w:sz w:val="32"/>
          <w:szCs w:val="32"/>
          <w:lang w:val="en-US" w:eastAsia="zh-CN"/>
        </w:rPr>
      </w:pPr>
      <w:r>
        <w:rPr>
          <w:rFonts w:hint="eastAsia" w:ascii="Times New Roman" w:hAnsi="Times New Roman" w:eastAsia="仿宋_GB2312"/>
          <w:sz w:val="32"/>
          <w:szCs w:val="32"/>
          <w:lang w:eastAsia="zh-CN"/>
        </w:rPr>
        <w:t>本部门2024年度机关运行经费支出</w:t>
      </w:r>
      <w:r>
        <w:rPr>
          <w:rFonts w:hint="eastAsia" w:ascii="Times New Roman" w:hAnsi="Times New Roman" w:eastAsia="仿宋_GB2312"/>
          <w:sz w:val="32"/>
          <w:szCs w:val="32"/>
          <w:lang w:val="en-US" w:eastAsia="zh-CN"/>
        </w:rPr>
        <w:t>30.79</w:t>
      </w:r>
      <w:r>
        <w:rPr>
          <w:rFonts w:hint="eastAsia" w:ascii="Times New Roman" w:hAnsi="Times New Roman" w:eastAsia="仿宋_GB2312"/>
          <w:sz w:val="32"/>
          <w:szCs w:val="32"/>
          <w:lang w:eastAsia="zh-CN"/>
        </w:rPr>
        <w:t>万元，与去年持平。</w:t>
      </w:r>
      <w:r>
        <w:rPr>
          <w:rFonts w:hint="eastAsia" w:asciiTheme="minorEastAsia" w:hAnsiTheme="minorEastAsia" w:eastAsiaTheme="minorEastAsia"/>
          <w:sz w:val="32"/>
          <w:szCs w:val="32"/>
          <w:lang w:val="en-US" w:eastAsia="zh-CN"/>
        </w:rPr>
        <w:t xml:space="preserve">            </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万元，人数</w:t>
      </w:r>
      <w:r>
        <w:rPr>
          <w:rFonts w:hint="eastAsia" w:ascii="Times New Roman" w:hAnsi="Times New Roman" w:eastAsia="仿宋_GB2312"/>
          <w:sz w:val="32"/>
          <w:szCs w:val="32"/>
          <w:lang w:val="en-US" w:eastAsia="zh-CN"/>
        </w:rPr>
        <w:t>0人。</w:t>
      </w:r>
      <w:r>
        <w:rPr>
          <w:rFonts w:hint="eastAsia" w:ascii="Times New Roman" w:hAnsi="Times New Roman" w:eastAsia="仿宋_GB2312"/>
          <w:sz w:val="32"/>
          <w:szCs w:val="32"/>
          <w:lang w:eastAsia="zh-CN"/>
        </w:rPr>
        <w:t>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万元人数</w:t>
      </w:r>
      <w:r>
        <w:rPr>
          <w:rFonts w:hint="eastAsia" w:ascii="Times New Roman" w:hAnsi="Times New Roman" w:eastAsia="仿宋_GB2312"/>
          <w:sz w:val="32"/>
          <w:szCs w:val="32"/>
          <w:lang w:val="en-US" w:eastAsia="zh-CN"/>
        </w:rPr>
        <w:t>0人</w:t>
      </w:r>
      <w:r>
        <w:rPr>
          <w:rFonts w:hint="eastAsia" w:ascii="Times New Roman" w:hAnsi="Times New Roman" w:eastAsia="仿宋_GB2312"/>
          <w:sz w:val="32"/>
          <w:szCs w:val="32"/>
          <w:lang w:eastAsia="zh-CN"/>
        </w:rPr>
        <w:t>。</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十一、政府采购支出说明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本部门2024年度政府采购支出总额</w:t>
      </w:r>
      <w:r>
        <w:rPr>
          <w:rFonts w:hint="eastAsia" w:ascii="Times New Roman" w:hAnsi="Times New Roman" w:eastAsia="仿宋_GB2312"/>
          <w:sz w:val="32"/>
          <w:szCs w:val="32"/>
          <w:lang w:val="en-US" w:eastAsia="zh-CN"/>
        </w:rPr>
        <w:t>187.8</w:t>
      </w:r>
      <w:r>
        <w:rPr>
          <w:rFonts w:hint="eastAsia" w:ascii="Times New Roman" w:hAnsi="Times New Roman" w:eastAsia="仿宋_GB2312"/>
          <w:sz w:val="32"/>
          <w:szCs w:val="32"/>
          <w:lang w:eastAsia="zh-CN"/>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万元、政府采购工程支出</w:t>
      </w:r>
      <w:r>
        <w:rPr>
          <w:rFonts w:hint="eastAsia" w:ascii="Times New Roman" w:hAnsi="Times New Roman" w:eastAsia="仿宋_GB2312"/>
          <w:sz w:val="32"/>
          <w:szCs w:val="32"/>
          <w:lang w:val="en-US" w:eastAsia="zh-CN"/>
        </w:rPr>
        <w:t>187.8</w:t>
      </w:r>
      <w:r>
        <w:rPr>
          <w:rFonts w:hint="eastAsia" w:ascii="Times New Roman" w:hAnsi="Times New Roman" w:eastAsia="仿宋_GB2312"/>
          <w:sz w:val="32"/>
          <w:szCs w:val="32"/>
          <w:lang w:eastAsia="zh-CN"/>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万元。授予中小企业合同金额</w:t>
      </w:r>
      <w:r>
        <w:rPr>
          <w:rFonts w:hint="eastAsia" w:ascii="Times New Roman" w:hAnsi="Times New Roman" w:eastAsia="仿宋_GB2312"/>
          <w:sz w:val="32"/>
          <w:szCs w:val="32"/>
          <w:lang w:val="en-US" w:eastAsia="zh-CN"/>
        </w:rPr>
        <w:t>187.8</w:t>
      </w:r>
      <w:r>
        <w:rPr>
          <w:rFonts w:hint="eastAsia" w:ascii="Times New Roman" w:hAnsi="Times New Roman" w:eastAsia="仿宋_GB2312"/>
          <w:sz w:val="32"/>
          <w:szCs w:val="32"/>
          <w:lang w:eastAsia="zh-CN"/>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lang w:eastAsia="zh-CN"/>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万元，占授予中小企业合同金额的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%；货物采购授予中小企业合同金额占货物支出金额的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%，工程采购授予中小企业合同金额占工程支出金额的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lang w:eastAsia="zh-CN"/>
        </w:rPr>
        <w:t>%，服务采购授予中小企业合同金额占服务支出金额的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w:t>
      </w:r>
    </w:p>
    <w:p>
      <w:pPr>
        <w:pStyle w:val="12"/>
        <w:ind w:firstLine="640" w:firstLineChars="200"/>
        <w:rPr>
          <w:rFonts w:hAnsi="黑体"/>
          <w:b w:val="0"/>
          <w:bCs/>
          <w:sz w:val="32"/>
          <w:szCs w:val="32"/>
        </w:rPr>
      </w:pPr>
      <w:r>
        <w:rPr>
          <w:rFonts w:hint="eastAsia" w:hAnsi="黑体"/>
          <w:b w:val="0"/>
          <w:bCs/>
          <w:sz w:val="32"/>
          <w:szCs w:val="32"/>
        </w:rPr>
        <w:t>十二、国有资产占用情况说明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截至2024年12月31日，部门（单位）共有车辆</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lang w:eastAsia="zh-CN"/>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辆、其他用车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辆；单位价值50万元以上通用设备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台（套）；单位价值100万元以上专用设备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台（套）。</w:t>
      </w:r>
    </w:p>
    <w:p>
      <w:pPr>
        <w:pStyle w:val="12"/>
        <w:ind w:firstLine="640" w:firstLineChars="200"/>
        <w:rPr>
          <w:rFonts w:hAnsi="黑体"/>
          <w:b w:val="0"/>
          <w:bCs/>
          <w:sz w:val="32"/>
          <w:szCs w:val="32"/>
        </w:rPr>
      </w:pPr>
      <w:r>
        <w:rPr>
          <w:rFonts w:hint="eastAsia" w:hAnsi="黑体"/>
          <w:b w:val="0"/>
          <w:bCs/>
          <w:sz w:val="32"/>
          <w:szCs w:val="32"/>
        </w:rPr>
        <w:t>十三、</w:t>
      </w:r>
      <w:r>
        <w:rPr>
          <w:rFonts w:hint="eastAsia" w:hAnsi="黑体"/>
          <w:b w:val="0"/>
          <w:bCs/>
          <w:sz w:val="32"/>
          <w:szCs w:val="32"/>
          <w:lang w:eastAsia="zh-CN"/>
        </w:rPr>
        <w:t>2024年</w:t>
      </w:r>
      <w:r>
        <w:rPr>
          <w:rFonts w:hint="eastAsia" w:hAnsi="黑体"/>
          <w:b w:val="0"/>
          <w:bCs/>
          <w:sz w:val="32"/>
          <w:szCs w:val="32"/>
        </w:rPr>
        <w:t>度预算绩效情况说明</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本部门预算绩效管理开展情况、绩效目标和绩效评价报告等见附件。</w:t>
      </w: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pStyle w:val="12"/>
        <w:jc w:val="center"/>
        <w:rPr>
          <w:sz w:val="72"/>
          <w:szCs w:val="72"/>
        </w:rPr>
      </w:pPr>
      <w:r>
        <w:rPr>
          <w:rFonts w:hint="eastAsia" w:ascii="黑体" w:eastAsia="黑体" w:cs="黑体"/>
          <w:color w:val="000000"/>
          <w:kern w:val="0"/>
          <w:sz w:val="70"/>
          <w:szCs w:val="70"/>
        </w:rPr>
        <w:t>名词解释</w:t>
      </w: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both"/>
        <w:rPr>
          <w:sz w:val="72"/>
          <w:szCs w:val="72"/>
        </w:rPr>
      </w:pPr>
    </w:p>
    <w:p>
      <w:pPr>
        <w:pStyle w:val="12"/>
        <w:jc w:val="both"/>
        <w:rPr>
          <w:sz w:val="72"/>
          <w:szCs w:val="72"/>
        </w:rPr>
      </w:pPr>
    </w:p>
    <w:p>
      <w:pPr>
        <w:pStyle w:val="12"/>
        <w:jc w:val="center"/>
        <w:rPr>
          <w:sz w:val="72"/>
          <w:szCs w:val="72"/>
        </w:rPr>
      </w:pP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w:t>
      </w:r>
      <w:r>
        <w:rPr>
          <w:rFonts w:hint="default" w:ascii="Times New Roman" w:hAnsi="Times New Roman" w:eastAsia="仿宋_GB2312"/>
          <w:sz w:val="32"/>
          <w:szCs w:val="32"/>
          <w:lang w:val="en-US" w:eastAsia="zh-CN"/>
        </w:rPr>
        <w:t>财政拨款收入：指单位本年度从同级财政部门取得的各类财政拨款。</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eastAsia="zh-CN"/>
        </w:rPr>
      </w:pPr>
      <w:r>
        <w:rPr>
          <w:rFonts w:hint="default" w:ascii="Times New Roman" w:hAnsi="Times New Roman" w:eastAsia="仿宋_GB2312"/>
          <w:sz w:val="32"/>
          <w:szCs w:val="32"/>
          <w:lang w:val="en-US" w:eastAsia="zh-CN"/>
        </w:rPr>
        <w:t>2．上级补助收入：指事业单位从主管部门和上级单位取得的非财政补助收入。</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eastAsia="zh-CN"/>
        </w:rPr>
      </w:pPr>
      <w:r>
        <w:rPr>
          <w:rFonts w:hint="default" w:ascii="Times New Roman" w:hAnsi="Times New Roman" w:eastAsia="仿宋_GB2312"/>
          <w:sz w:val="32"/>
          <w:szCs w:val="32"/>
          <w:lang w:val="en-US" w:eastAsia="zh-CN"/>
        </w:rPr>
        <w:t>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eastAsia="zh-CN"/>
        </w:rPr>
      </w:pPr>
      <w:r>
        <w:rPr>
          <w:rFonts w:hint="default" w:ascii="Times New Roman" w:hAnsi="Times New Roman" w:eastAsia="仿宋_GB2312"/>
          <w:sz w:val="32"/>
          <w:szCs w:val="32"/>
          <w:lang w:val="en-US" w:eastAsia="zh-CN"/>
        </w:rPr>
        <w:t>4．“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eastAsia="zh-CN"/>
        </w:rPr>
      </w:pPr>
      <w:r>
        <w:rPr>
          <w:rFonts w:hint="default" w:ascii="Times New Roman" w:hAnsi="Times New Roman" w:eastAsia="仿宋_GB2312"/>
          <w:sz w:val="32"/>
          <w:szCs w:val="32"/>
          <w:lang w:val="en-US" w:eastAsia="zh-CN"/>
        </w:rPr>
        <w:t>5．对附属单位补助支出：指事业单位用财政拨款收入之外的收入对附属单位补助发生的支出。</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eastAsia="zh-CN"/>
        </w:rPr>
      </w:pPr>
      <w:r>
        <w:rPr>
          <w:rFonts w:hint="default" w:ascii="Times New Roman" w:hAnsi="Times New Roman" w:eastAsia="仿宋_GB2312"/>
          <w:sz w:val="32"/>
          <w:szCs w:val="32"/>
          <w:lang w:val="en-US" w:eastAsia="zh-CN"/>
        </w:rPr>
        <w:t>6．经营支出：指事业单位在专业业务活动及其辅助活动之外开展非独立核算经营活动发生的支出。</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eastAsia="zh-CN"/>
        </w:rPr>
      </w:pPr>
      <w:r>
        <w:rPr>
          <w:rFonts w:hint="default" w:ascii="Times New Roman" w:hAnsi="Times New Roman" w:eastAsia="仿宋_GB2312"/>
          <w:sz w:val="32"/>
          <w:szCs w:val="32"/>
          <w:lang w:val="en-US" w:eastAsia="zh-CN"/>
        </w:rPr>
        <w:t>7</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事业收入：指事业单位开展专业业务活动及其辅助活动取得的</w:t>
      </w:r>
      <w:bookmarkStart w:id="2" w:name="28"/>
      <w:bookmarkEnd w:id="2"/>
      <w:r>
        <w:rPr>
          <w:rFonts w:hint="default" w:ascii="Times New Roman" w:hAnsi="Times New Roman" w:eastAsia="仿宋_GB2312"/>
          <w:sz w:val="32"/>
          <w:szCs w:val="32"/>
          <w:lang w:val="en-US" w:eastAsia="zh-CN"/>
        </w:rPr>
        <w:t>收入，事业单位收到的财政专户实际核拨的教育收费等资金在此反映。</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eastAsia="zh-CN"/>
        </w:rPr>
      </w:pPr>
      <w:r>
        <w:rPr>
          <w:rFonts w:hint="default" w:ascii="Times New Roman" w:hAnsi="Times New Roman" w:eastAsia="仿宋_GB2312"/>
          <w:sz w:val="32"/>
          <w:szCs w:val="32"/>
          <w:lang w:val="en-US" w:eastAsia="zh-CN"/>
        </w:rPr>
        <w:t>8．经营收入：指事业单位在专业业务活动及其辅助活动之外开展</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eastAsia="zh-CN"/>
        </w:rPr>
      </w:pPr>
      <w:r>
        <w:rPr>
          <w:rFonts w:hint="default" w:ascii="Times New Roman" w:hAnsi="Times New Roman" w:eastAsia="仿宋_GB2312"/>
          <w:sz w:val="32"/>
          <w:szCs w:val="32"/>
          <w:lang w:val="en-US" w:eastAsia="zh-CN"/>
        </w:rPr>
        <w:t>非独立核算经营活动取得的收入。</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eastAsia="zh-CN"/>
        </w:rPr>
      </w:pPr>
      <w:r>
        <w:rPr>
          <w:rFonts w:hint="default" w:ascii="Times New Roman" w:hAnsi="Times New Roman" w:eastAsia="仿宋_GB2312"/>
          <w:sz w:val="32"/>
          <w:szCs w:val="32"/>
          <w:lang w:val="en-US" w:eastAsia="zh-CN"/>
        </w:rPr>
        <w:t>9．附属单位上缴收入：指事业单位附属独立核算单位按照有关规</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eastAsia="zh-CN"/>
        </w:rPr>
      </w:pPr>
      <w:r>
        <w:rPr>
          <w:rFonts w:hint="default" w:ascii="Times New Roman" w:hAnsi="Times New Roman" w:eastAsia="仿宋_GB2312"/>
          <w:sz w:val="32"/>
          <w:szCs w:val="32"/>
          <w:lang w:val="en-US" w:eastAsia="zh-CN"/>
        </w:rPr>
        <w:t>定上缴的收入。</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eastAsia="zh-CN"/>
        </w:rPr>
      </w:pPr>
      <w:r>
        <w:rPr>
          <w:rFonts w:hint="default" w:ascii="Times New Roman" w:hAnsi="Times New Roman" w:eastAsia="仿宋_GB2312"/>
          <w:sz w:val="32"/>
          <w:szCs w:val="32"/>
          <w:lang w:val="en-US" w:eastAsia="zh-CN"/>
        </w:rPr>
        <w:t>10．其他收入：指单位取得的除上述“财政拨款收入”、“事业收入”、“经营收入”等以外的各项收入。</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eastAsia="zh-CN"/>
        </w:rPr>
      </w:pPr>
      <w:r>
        <w:rPr>
          <w:rFonts w:hint="default" w:ascii="Times New Roman" w:hAnsi="Times New Roman" w:eastAsia="仿宋_GB2312"/>
          <w:sz w:val="32"/>
          <w:szCs w:val="32"/>
          <w:lang w:val="en-US" w:eastAsia="zh-CN"/>
        </w:rPr>
        <w:t>11．使用非财政拨款结余：指事业单位使用非财政拨款结余（原事业基金）弥补当年收支差额的数额。</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eastAsia="zh-CN"/>
        </w:rPr>
      </w:pPr>
      <w:r>
        <w:rPr>
          <w:rFonts w:hint="default" w:ascii="Times New Roman" w:hAnsi="Times New Roman" w:eastAsia="仿宋_GB2312"/>
          <w:sz w:val="32"/>
          <w:szCs w:val="32"/>
          <w:lang w:val="en-US" w:eastAsia="zh-CN"/>
        </w:rPr>
        <w:t>12．年初结转和结余：指单位上年结转本年使用的基本支出结转、项目支出结转和结余和经营结余。</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eastAsia="zh-CN"/>
        </w:rPr>
      </w:pPr>
      <w:r>
        <w:rPr>
          <w:rFonts w:hint="default" w:ascii="Times New Roman" w:hAnsi="Times New Roman" w:eastAsia="仿宋_GB2312"/>
          <w:sz w:val="32"/>
          <w:szCs w:val="32"/>
          <w:lang w:val="en-US" w:eastAsia="zh-CN"/>
        </w:rPr>
        <w:t>13．结余分配：指事业单位按规定对非财政拨款结余资金提取的专用基金、缴纳的所得税和转入非财政拨款结余等。</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eastAsia="zh-CN"/>
        </w:rPr>
      </w:pPr>
      <w:r>
        <w:rPr>
          <w:rFonts w:hint="default" w:ascii="Times New Roman" w:hAnsi="Times New Roman" w:eastAsia="仿宋_GB2312"/>
          <w:sz w:val="32"/>
          <w:szCs w:val="32"/>
          <w:lang w:val="en-US" w:eastAsia="zh-CN"/>
        </w:rPr>
        <w:t>14．年末结转和结余资金：指本年度或以前年度预算安排、因客观条件发生变化无法按原计划实施，需要延迟到以后年度按有关规定继续使用的资金。</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eastAsia="zh-CN"/>
        </w:rPr>
      </w:pPr>
      <w:r>
        <w:rPr>
          <w:rFonts w:hint="default" w:ascii="Times New Roman" w:hAnsi="Times New Roman" w:eastAsia="仿宋_GB2312"/>
          <w:sz w:val="32"/>
          <w:szCs w:val="32"/>
          <w:lang w:val="en-US" w:eastAsia="zh-CN"/>
        </w:rPr>
        <w:t>15．基本支出：指为保障机构正常运转、完成日常工作任务而发生的支出，包括人员经费和公用经费。</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eastAsia="zh-CN"/>
        </w:rPr>
      </w:pPr>
      <w:r>
        <w:rPr>
          <w:rFonts w:hint="default" w:ascii="Times New Roman" w:hAnsi="Times New Roman" w:eastAsia="仿宋_GB2312"/>
          <w:sz w:val="32"/>
          <w:szCs w:val="32"/>
          <w:lang w:val="en-US" w:eastAsia="zh-CN"/>
        </w:rPr>
        <w:t>16．项目支出：指在为完成特定的工作任务和事业发展目标所发生的支出。</w:t>
      </w:r>
    </w:p>
    <w:p>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eastAsia="zh-CN"/>
        </w:rPr>
      </w:pPr>
      <w:r>
        <w:rPr>
          <w:rFonts w:hint="default" w:ascii="Times New Roman" w:hAnsi="Times New Roman" w:eastAsia="仿宋_GB2312"/>
          <w:sz w:val="32"/>
          <w:szCs w:val="32"/>
          <w:lang w:val="en-US" w:eastAsia="zh-CN"/>
        </w:rPr>
        <w:t>17．上缴上级支出：指事业单位按照财政部门和主管部门的规定上缴上级单位的支出。</w:t>
      </w:r>
    </w:p>
    <w:p>
      <w:pPr>
        <w:pStyle w:val="12"/>
        <w:jc w:val="both"/>
        <w:rPr>
          <w:sz w:val="72"/>
          <w:szCs w:val="72"/>
        </w:rPr>
      </w:pPr>
      <w:bookmarkStart w:id="3" w:name="29"/>
      <w:bookmarkEnd w:id="3"/>
    </w:p>
    <w:p>
      <w:pPr>
        <w:pStyle w:val="12"/>
        <w:jc w:val="both"/>
        <w:rPr>
          <w:sz w:val="72"/>
          <w:szCs w:val="72"/>
        </w:rPr>
      </w:pPr>
    </w:p>
    <w:p>
      <w:pPr>
        <w:pStyle w:val="12"/>
        <w:jc w:val="both"/>
        <w:rPr>
          <w:sz w:val="72"/>
          <w:szCs w:val="72"/>
        </w:rPr>
      </w:pPr>
    </w:p>
    <w:p>
      <w:pPr>
        <w:pStyle w:val="12"/>
        <w:jc w:val="both"/>
        <w:rPr>
          <w:sz w:val="72"/>
          <w:szCs w:val="72"/>
        </w:rPr>
      </w:pPr>
    </w:p>
    <w:p>
      <w:pPr>
        <w:pStyle w:val="12"/>
        <w:jc w:val="both"/>
        <w:rPr>
          <w:sz w:val="72"/>
          <w:szCs w:val="72"/>
        </w:rPr>
      </w:pPr>
    </w:p>
    <w:p>
      <w:pPr>
        <w:pStyle w:val="12"/>
        <w:jc w:val="both"/>
        <w:rPr>
          <w:sz w:val="72"/>
          <w:szCs w:val="72"/>
        </w:rPr>
      </w:pPr>
    </w:p>
    <w:p>
      <w:pPr>
        <w:pStyle w:val="12"/>
        <w:jc w:val="both"/>
        <w:rPr>
          <w:sz w:val="72"/>
          <w:szCs w:val="72"/>
        </w:rPr>
      </w:pPr>
    </w:p>
    <w:p>
      <w:pPr>
        <w:pStyle w:val="12"/>
        <w:jc w:val="both"/>
        <w:rPr>
          <w:sz w:val="72"/>
          <w:szCs w:val="72"/>
        </w:rPr>
      </w:pPr>
    </w:p>
    <w:p>
      <w:pPr>
        <w:pStyle w:val="12"/>
        <w:jc w:val="both"/>
        <w:rPr>
          <w:sz w:val="72"/>
          <w:szCs w:val="72"/>
        </w:rPr>
      </w:pPr>
    </w:p>
    <w:p>
      <w:pPr>
        <w:pStyle w:val="12"/>
        <w:jc w:val="both"/>
        <w:rPr>
          <w:sz w:val="72"/>
          <w:szCs w:val="72"/>
        </w:rPr>
      </w:pPr>
    </w:p>
    <w:p>
      <w:pPr>
        <w:ind w:firstLine="640" w:firstLineChars="200"/>
        <w:jc w:val="left"/>
        <w:rPr>
          <w:rFonts w:cs="黑体" w:asciiTheme="minorEastAsia" w:hAnsiTheme="minorEastAsia"/>
          <w:color w:val="000000"/>
          <w:kern w:val="0"/>
          <w:sz w:val="32"/>
          <w:szCs w:val="32"/>
        </w:rPr>
      </w:pPr>
    </w:p>
    <w:p>
      <w:pPr>
        <w:pStyle w:val="12"/>
        <w:ind w:firstLine="3600" w:firstLineChars="500"/>
        <w:jc w:val="both"/>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p>
    <w:p>
      <w:pPr>
        <w:ind w:firstLine="880" w:firstLineChars="20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2024年道县</w:t>
      </w:r>
      <w:r>
        <w:rPr>
          <w:rFonts w:hint="eastAsia" w:ascii="方正小标宋简体" w:hAnsi="方正小标宋简体" w:eastAsia="方正小标宋简体" w:cs="方正小标宋简体"/>
          <w:b w:val="0"/>
          <w:bCs w:val="0"/>
          <w:sz w:val="44"/>
          <w:szCs w:val="44"/>
        </w:rPr>
        <w:t>陈树湘烈士纪念馆</w:t>
      </w:r>
    </w:p>
    <w:p>
      <w:pPr>
        <w:ind w:firstLine="880" w:firstLineChars="200"/>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val="0"/>
          <w:bCs w:val="0"/>
          <w:sz w:val="44"/>
          <w:szCs w:val="44"/>
          <w:lang w:eastAsia="zh-CN"/>
        </w:rPr>
        <w:t>整体支出</w:t>
      </w:r>
      <w:r>
        <w:rPr>
          <w:rFonts w:hint="eastAsia" w:ascii="方正小标宋简体" w:hAnsi="方正小标宋简体" w:eastAsia="方正小标宋简体" w:cs="方正小标宋简体"/>
          <w:b w:val="0"/>
          <w:bCs w:val="0"/>
          <w:sz w:val="44"/>
          <w:szCs w:val="44"/>
        </w:rPr>
        <w:t>绩效自评报告</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一、基本情况</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(一）部门（单位）基本情况</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陈树湘烈士纪念馆为副处级公益一类事业单位，内设4个部门，综合部、史料展陈部、宣传教育部、文保后勤部。在职人数17人，其中副处级1人，正副科级6人，其他人员10人。</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主要职能 ：</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陈树湘烈士纪念馆是为纪念中国工农红军第五军团第三十四师师长陈树湘及红三十四师全体将士而建，为湖南省爱国主义教育基地、湖南省党性教育基地、湖南省华侨文化交流基地；陈树湘烈士墓为湖南省第十批省级文物保护单位。充分利用陈树湘烈士红色文化资源，打造成红色教育基地和红色文化景区，更多游人到景区接受红色教育。 </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（二）部门（单位）年度整体支出绩效目标，省级专项资金绩效目标、其他项目支出（除省级专项资金以外）绩效目标</w:t>
      </w:r>
    </w:p>
    <w:p>
      <w:pPr>
        <w:keepNext w:val="0"/>
        <w:keepLines w:val="0"/>
        <w:pageBreakBefore w:val="0"/>
        <w:widowControl w:val="0"/>
        <w:kinsoku/>
        <w:wordWrap/>
        <w:overflowPunct/>
        <w:topLinePunct w:val="0"/>
        <w:autoSpaceDE/>
        <w:autoSpaceDN/>
        <w:bidi w:val="0"/>
        <w:spacing w:line="500" w:lineRule="exact"/>
        <w:ind w:left="15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年度总体支出绩效目标：</w:t>
      </w:r>
    </w:p>
    <w:p>
      <w:pPr>
        <w:pStyle w:val="13"/>
        <w:keepNext w:val="0"/>
        <w:keepLines w:val="0"/>
        <w:pageBreakBefore w:val="0"/>
        <w:widowControl w:val="0"/>
        <w:kinsoku/>
        <w:wordWrap/>
        <w:overflowPunct/>
        <w:topLinePunct w:val="0"/>
        <w:autoSpaceDE/>
        <w:autoSpaceDN/>
        <w:bidi w:val="0"/>
        <w:spacing w:line="500" w:lineRule="exact"/>
        <w:ind w:left="42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1、开展清明祭树湘纪念活动；</w:t>
      </w:r>
    </w:p>
    <w:p>
      <w:pPr>
        <w:pStyle w:val="13"/>
        <w:keepNext w:val="0"/>
        <w:keepLines w:val="0"/>
        <w:pageBreakBefore w:val="0"/>
        <w:widowControl w:val="0"/>
        <w:kinsoku/>
        <w:wordWrap/>
        <w:overflowPunct/>
        <w:topLinePunct w:val="0"/>
        <w:autoSpaceDE/>
        <w:autoSpaceDN/>
        <w:bidi w:val="0"/>
        <w:spacing w:line="500" w:lineRule="exact"/>
        <w:ind w:left="42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2、陈树湘烈士纪念馆基建；</w:t>
      </w:r>
    </w:p>
    <w:p>
      <w:pPr>
        <w:pStyle w:val="13"/>
        <w:keepNext w:val="0"/>
        <w:keepLines w:val="0"/>
        <w:pageBreakBefore w:val="0"/>
        <w:widowControl w:val="0"/>
        <w:kinsoku/>
        <w:wordWrap/>
        <w:overflowPunct/>
        <w:topLinePunct w:val="0"/>
        <w:autoSpaceDE/>
        <w:autoSpaceDN/>
        <w:bidi w:val="0"/>
        <w:spacing w:line="500" w:lineRule="exact"/>
        <w:ind w:left="42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3、举行9.30国家烈士公祭仪式；</w:t>
      </w:r>
    </w:p>
    <w:p>
      <w:pPr>
        <w:pStyle w:val="13"/>
        <w:keepNext w:val="0"/>
        <w:keepLines w:val="0"/>
        <w:pageBreakBefore w:val="0"/>
        <w:widowControl w:val="0"/>
        <w:kinsoku/>
        <w:wordWrap/>
        <w:overflowPunct/>
        <w:topLinePunct w:val="0"/>
        <w:autoSpaceDE/>
        <w:autoSpaceDN/>
        <w:bidi w:val="0"/>
        <w:spacing w:line="500" w:lineRule="exact"/>
        <w:ind w:left="42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4、开展纪念馆宣传广告；</w:t>
      </w:r>
    </w:p>
    <w:p>
      <w:pPr>
        <w:pStyle w:val="13"/>
        <w:keepNext w:val="0"/>
        <w:keepLines w:val="0"/>
        <w:pageBreakBefore w:val="0"/>
        <w:widowControl w:val="0"/>
        <w:kinsoku/>
        <w:wordWrap/>
        <w:overflowPunct/>
        <w:topLinePunct w:val="0"/>
        <w:autoSpaceDE/>
        <w:autoSpaceDN/>
        <w:bidi w:val="0"/>
        <w:spacing w:line="500" w:lineRule="exact"/>
        <w:ind w:left="42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5、进行陈树湘红色文化园维护养护；</w:t>
      </w:r>
    </w:p>
    <w:p>
      <w:pPr>
        <w:pStyle w:val="13"/>
        <w:keepNext w:val="0"/>
        <w:keepLines w:val="0"/>
        <w:pageBreakBefore w:val="0"/>
        <w:widowControl w:val="0"/>
        <w:kinsoku/>
        <w:wordWrap/>
        <w:overflowPunct/>
        <w:topLinePunct w:val="0"/>
        <w:autoSpaceDE/>
        <w:autoSpaceDN/>
        <w:bidi w:val="0"/>
        <w:spacing w:line="500" w:lineRule="exact"/>
        <w:ind w:left="42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6、陈树湘烈士牺牲地维护养护。</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二、一般公共预算支出情况</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2024年陈树湘纪念馆整体支出415.40万元。一般公共预算财政拨款收入415.40万元。</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一）基本支出情况：基本支出227.60万元，其中：基本工资支出64.97万元,津贴补贴30.64万元，奖金40.63万元，绩效工资12.41万元，基本养老保险25.63万元，医疗保险经费11.33，住房公积金11.19万元。一般商品服务支出30.79万元:办公费7.56万元；印刷费2.05万元；水费1.25万元；电费1.30万元；公务接待费2.59万元；工会经费6万元；福利费2.75万元；其他交通费5.29万元；其它商品和服务支出2万元。</w:t>
      </w:r>
    </w:p>
    <w:p>
      <w:pPr>
        <w:keepNext w:val="0"/>
        <w:keepLines w:val="0"/>
        <w:pageBreakBefore w:val="0"/>
        <w:widowControl w:val="0"/>
        <w:kinsoku/>
        <w:wordWrap/>
        <w:overflowPunct/>
        <w:topLinePunct w:val="0"/>
        <w:autoSpaceDE/>
        <w:autoSpaceDN/>
        <w:bidi w:val="0"/>
        <w:spacing w:line="500" w:lineRule="exact"/>
        <w:ind w:left="14" w:leftChars="7"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项目支出情况：2024年年初预算数为187.80万元，其中：纪念馆运营管理费113.40万元；文旅及各类节庆活动（专批）30.70万元；陈树湘新增游客中心生态停车场运营管理费（核拨）16.8万元；陈树湘烈士牺牲地（石马神村）运营管理费10万元；申报全国爱国主义教育示范基地工作经费10万元；花篮及鲜花（核拨）5万元；陈树湘智慧景区云主机租赁费（核拨）1.9万元。</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三、政府性基金预算支出情况</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陈树湘烈士纪念馆2024年无政府性基金预算。</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四、国有资本经营预算支出情况</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黑体" w:hAnsi="黑体" w:eastAsia="黑体" w:cs="黑体"/>
          <w:b/>
          <w:bCs/>
          <w:sz w:val="32"/>
          <w:szCs w:val="32"/>
          <w:lang w:val="en-US" w:eastAsia="zh-CN"/>
        </w:rPr>
      </w:pPr>
      <w:r>
        <w:rPr>
          <w:rFonts w:hint="eastAsia" w:ascii="仿宋_GB2312" w:hAnsi="仿宋_GB2312" w:eastAsia="仿宋_GB2312" w:cs="仿宋_GB2312"/>
          <w:color w:val="auto"/>
          <w:kern w:val="2"/>
          <w:sz w:val="32"/>
          <w:szCs w:val="32"/>
          <w:highlight w:val="none"/>
          <w:lang w:val="en-US" w:eastAsia="zh-CN" w:bidi="ar-SA"/>
        </w:rPr>
        <w:t>陈树湘烈士纪念馆2024年无国有资本经营预算支出。</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五、社会保险基金预算支出情况</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陈树湘烈士纪念馆2024年无社会保险基金预算支出。</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六、部门整体支出绩效情况</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陈树湘烈士纪念馆在县委、县政府的坚强领导下，在各部门的大力支持下，通过深入贯彻习近平文化思想和习近平总书记考察湖南时的重要讲话精神，依托道县深厚的红色文化底蕴，立足工作实际，发挥资源优势，在建阵地、富馆藏、抓宣教、促传承、强服务等方面取得比较好的工作成效。</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1.树湘馆成功获评湖南省社会科学普及基地（2024年全市1个）,并获永州市社会科学普及基地考核优秀等次（全市共3个）。</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2.树湘馆成功获评湖南省少先队校外实践教育营地（全市共3个）。</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3.成功接待包括共青团中央书记处第一书记阿东，中国社会科学院原院长王伟光，省政协副主席赖明勇、何寄华和省人大常委会原副主任谢勇等在内的多位重宾，收到了良好效果。</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4.永州职业技术学院、永州师范高等专科学校思政课教学基地在树湘馆挂牌；广东省能源集团贵州有限公司华中分公司党员教育基地在树湘馆挂牌。</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5.积极配合中央广播电视总台综合频道《国家荣光-陈树湘》专题片拍摄，2024年</w:t>
      </w:r>
      <w:r>
        <w:rPr>
          <w:rFonts w:hint="default" w:ascii="仿宋_GB2312" w:hAnsi="仿宋_GB2312" w:eastAsia="仿宋_GB2312" w:cs="仿宋_GB2312"/>
          <w:color w:val="auto"/>
          <w:sz w:val="32"/>
          <w:szCs w:val="32"/>
          <w:highlight w:val="none"/>
          <w:lang w:val="en-US" w:eastAsia="zh-CN"/>
        </w:rPr>
        <w:t>11月21日在央视综合频道（CCTV-1）播出</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时长45分钟</w:t>
      </w:r>
      <w:r>
        <w:rPr>
          <w:rFonts w:hint="eastAsia" w:ascii="仿宋_GB2312" w:hAnsi="仿宋_GB2312" w:eastAsia="仿宋_GB2312" w:cs="仿宋_GB2312"/>
          <w:color w:val="auto"/>
          <w:sz w:val="32"/>
          <w:szCs w:val="32"/>
          <w:highlight w:val="none"/>
          <w:lang w:val="en-US" w:eastAsia="zh-CN"/>
        </w:rPr>
        <w:t>。</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6.2024年，共免费讲解600余场，宣讲红色微党课90余场，共接待游客56万余人，机关团体700余个，红色研学人员2万余人，特别在国庆假期期间共接待游客29894人，日均2000余人，并在湖南新闻联播播出报道。</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7.精心组织“清明祭英烈”专项活动、“9.30”公祭活动、“传承红色文化 倡导文明新风”有奖互动贺新春系列活动、农村留守儿童暑假红色夏令营活动，获得良好反响，得到了社会各界的充分肯定。</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8.2024年4月1日，红34师烈士后代向树湘馆捐赠5件珍贵历史文物。</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9.结合文明创建“德润人心”行动，开展“忠诚正道”红领巾红色微宣讲讲解员培训工作，选拔了10名中小学生参加讲解培训和义务讲解工作。</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10.提拔重用4名干部，另有1名干部到乡镇挂职锻炼，4名干部进入全县优秀年轻干部后备库。3月份，完成陈树湘烈士纪念馆党支部换届工作。</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七、存在</w:t>
      </w:r>
      <w:bookmarkStart w:id="4" w:name="_GoBack"/>
      <w:bookmarkEnd w:id="4"/>
      <w:r>
        <w:rPr>
          <w:rFonts w:hint="eastAsia" w:ascii="黑体" w:hAnsi="黑体" w:eastAsia="黑体" w:cs="黑体"/>
          <w:b/>
          <w:bCs/>
          <w:sz w:val="32"/>
          <w:szCs w:val="32"/>
        </w:rPr>
        <w:t>的问题及原因分析</w:t>
      </w:r>
    </w:p>
    <w:p>
      <w:pPr>
        <w:pStyle w:val="3"/>
        <w:keepNext w:val="0"/>
        <w:keepLines w:val="0"/>
        <w:pageBreakBefore w:val="0"/>
        <w:widowControl w:val="0"/>
        <w:kinsoku/>
        <w:wordWrap/>
        <w:overflowPunct/>
        <w:topLinePunct w:val="0"/>
        <w:autoSpaceDE/>
        <w:autoSpaceDN/>
        <w:bidi w:val="0"/>
        <w:adjustRightInd/>
        <w:snapToGrid/>
        <w:spacing w:after="0"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rPr>
        <w:t>理论武装有待加强;专业人才比较缺乏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运营管理不够规范，接待能力有所不足，景观质量仍需提升</w:t>
      </w:r>
      <w:r>
        <w:rPr>
          <w:rFonts w:hint="eastAsia" w:ascii="仿宋_GB2312" w:hAnsi="仿宋_GB2312" w:eastAsia="仿宋_GB2312" w:cs="仿宋_GB2312"/>
          <w:color w:val="auto"/>
          <w:sz w:val="32"/>
          <w:szCs w:val="32"/>
        </w:rPr>
        <w:t>等短板。</w:t>
      </w:r>
      <w:r>
        <w:rPr>
          <w:rFonts w:hint="eastAsia" w:ascii="仿宋_GB2312" w:hAnsi="仿宋_GB2312" w:eastAsia="仿宋_GB2312" w:cs="仿宋_GB2312"/>
          <w:color w:val="auto"/>
          <w:kern w:val="2"/>
          <w:sz w:val="32"/>
          <w:szCs w:val="32"/>
          <w:highlight w:val="none"/>
          <w:lang w:val="en-US" w:eastAsia="zh-CN" w:bidi="ar-SA"/>
        </w:rPr>
        <w:t>专项资金拨付不及时，资金使用与专项工作运行时间不对口，凸显出账目不规范。</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八、下一步改进措施</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1、严格按照《会计法》、《行政事业单位会计制度》等规定执行财务核算，结合实际情况，完整、准确披露相关信息，做到决算和预算相结合。</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2、加强资金的使用管理，让各类资金用到实处。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3、加强队伍建设，抓好绩效评价管理部门的队伍建设和业务指导，培养部门的绩效管理队伍，建立绩效评价的长期机制。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九、绩效自评结果拟应用和公开情况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本年度绩效自评结果为95分。按规定时间内将2024年度专项资金绩效自评报告、整体部门支出绩效自评报告在本部门门户网站公开，并接受社会监督。</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陈树湘烈士纪念馆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2025年6月18日</w:t>
      </w:r>
    </w:p>
    <w:p>
      <w:pPr>
        <w:ind w:firstLine="640" w:firstLineChars="200"/>
        <w:jc w:val="left"/>
        <w:rPr>
          <w:rFonts w:cs="黑体" w:asciiTheme="minorEastAsia" w:hAnsiTheme="minorEastAsia"/>
          <w:color w:val="000000"/>
          <w:kern w:val="0"/>
          <w:sz w:val="32"/>
          <w:szCs w:val="32"/>
        </w:rPr>
      </w:pPr>
    </w:p>
    <w:sectPr>
      <w:pgSz w:w="11906" w:h="16838"/>
      <w:pgMar w:top="720" w:right="720" w:bottom="567"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wMDM0ZTY2M2MzOTgzMzg4MDJlMmEyZGNhMTdhOGI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30A05D4"/>
    <w:rsid w:val="11F1104F"/>
    <w:rsid w:val="16473CF8"/>
    <w:rsid w:val="16834396"/>
    <w:rsid w:val="17D03743"/>
    <w:rsid w:val="1C533032"/>
    <w:rsid w:val="1D99667B"/>
    <w:rsid w:val="1EAF7992"/>
    <w:rsid w:val="20CC5B0E"/>
    <w:rsid w:val="221C27B9"/>
    <w:rsid w:val="2A005E38"/>
    <w:rsid w:val="2C853F11"/>
    <w:rsid w:val="2FB14C9D"/>
    <w:rsid w:val="30CC0162"/>
    <w:rsid w:val="31A90E35"/>
    <w:rsid w:val="347D25A2"/>
    <w:rsid w:val="36501413"/>
    <w:rsid w:val="372907BF"/>
    <w:rsid w:val="3A2636DC"/>
    <w:rsid w:val="3AAE1F12"/>
    <w:rsid w:val="3BFA59F5"/>
    <w:rsid w:val="3C93043D"/>
    <w:rsid w:val="3D152858"/>
    <w:rsid w:val="3F301F5C"/>
    <w:rsid w:val="42997C24"/>
    <w:rsid w:val="43792ACE"/>
    <w:rsid w:val="459F0951"/>
    <w:rsid w:val="47585FA5"/>
    <w:rsid w:val="53300DE6"/>
    <w:rsid w:val="54324CFF"/>
    <w:rsid w:val="54870940"/>
    <w:rsid w:val="54B24092"/>
    <w:rsid w:val="552F6557"/>
    <w:rsid w:val="55B55BE8"/>
    <w:rsid w:val="55F14746"/>
    <w:rsid w:val="571B7CCD"/>
    <w:rsid w:val="57F81DBC"/>
    <w:rsid w:val="5D9231A4"/>
    <w:rsid w:val="5DFD637E"/>
    <w:rsid w:val="5E0A2849"/>
    <w:rsid w:val="61875944"/>
    <w:rsid w:val="623D1284"/>
    <w:rsid w:val="64E5191A"/>
    <w:rsid w:val="65A802BC"/>
    <w:rsid w:val="6759039D"/>
    <w:rsid w:val="69D97048"/>
    <w:rsid w:val="6E844BCD"/>
    <w:rsid w:val="6F3D09AC"/>
    <w:rsid w:val="6F991755"/>
    <w:rsid w:val="702C73BF"/>
    <w:rsid w:val="71246B35"/>
    <w:rsid w:val="7487654A"/>
    <w:rsid w:val="765326EA"/>
    <w:rsid w:val="794E1CDB"/>
    <w:rsid w:val="7A165705"/>
    <w:rsid w:val="7A225FF7"/>
    <w:rsid w:val="7C6F6241"/>
    <w:rsid w:val="7D222E16"/>
    <w:rsid w:val="7DC91981"/>
    <w:rsid w:val="7DCA301C"/>
    <w:rsid w:val="7E7D1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pPr>
    <w:rPr>
      <w:szCs w:val="20"/>
    </w:rPr>
  </w:style>
  <w:style w:type="paragraph" w:styleId="3">
    <w:name w:val="Body Text"/>
    <w:basedOn w:val="1"/>
    <w:next w:val="4"/>
    <w:unhideWhenUsed/>
    <w:qFormat/>
    <w:uiPriority w:val="99"/>
    <w:pPr>
      <w:spacing w:after="120"/>
    </w:pPr>
  </w:style>
  <w:style w:type="paragraph" w:styleId="4">
    <w:name w:val="Body Text First Indent"/>
    <w:basedOn w:val="3"/>
    <w:qFormat/>
    <w:uiPriority w:val="0"/>
    <w:pPr>
      <w:widowControl w:val="0"/>
      <w:autoSpaceDE w:val="0"/>
      <w:autoSpaceDN w:val="0"/>
      <w:ind w:left="112" w:firstLine="420" w:firstLineChars="100"/>
      <w:jc w:val="both"/>
    </w:pPr>
    <w:rPr>
      <w:rFonts w:ascii="Calibri" w:hAnsi="Calibri" w:eastAsia="微软雅黑" w:cs="Times New Roman"/>
      <w:kern w:val="2"/>
      <w:sz w:val="28"/>
      <w:szCs w:val="28"/>
      <w:lang w:val="en-US" w:eastAsia="zh-CN" w:bidi="ar-SA"/>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paragraph" w:customStyle="1" w:styleId="15">
    <w:name w:val="列出段落1"/>
    <w:qFormat/>
    <w:uiPriority w:val="0"/>
    <w:pPr>
      <w:widowControl w:val="0"/>
      <w:ind w:firstLine="420"/>
      <w:jc w:val="both"/>
    </w:pPr>
    <w:rPr>
      <w:rFonts w:ascii="Times New Roman" w:hAnsi="Times New Roman"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1464</Words>
  <Characters>1701</Characters>
  <Lines>69</Lines>
  <Paragraphs>19</Paragraphs>
  <TotalTime>3</TotalTime>
  <ScaleCrop>false</ScaleCrop>
  <LinksUpToDate>false</LinksUpToDate>
  <CharactersWithSpaces>1768</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MR</cp:lastModifiedBy>
  <cp:lastPrinted>2023-09-08T11:01:00Z</cp:lastPrinted>
  <dcterms:modified xsi:type="dcterms:W3CDTF">2025-08-28T00:41:54Z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33798F5AB3F240F5ACAF3BFC1B47D565</vt:lpwstr>
  </property>
  <property fmtid="{D5CDD505-2E9C-101B-9397-08002B2CF9AE}" pid="4" name="KSOTemplateDocerSaveRecord">
    <vt:lpwstr>eyJoZGlkIjoiYzYxN2RkYTBhNDA4MWUzNzRmMDdiN2FlZjRjZGVhMTQifQ==</vt:lpwstr>
  </property>
</Properties>
</file>