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E6FE">
      <w:pPr>
        <w:ind w:firstLine="964" w:firstLineChars="200"/>
        <w:rPr>
          <w:rFonts w:hint="eastAsia" w:ascii="仿宋" w:hAnsi="仿宋" w:eastAsia="仿宋"/>
          <w:b/>
          <w:sz w:val="48"/>
          <w:szCs w:val="30"/>
        </w:rPr>
      </w:pPr>
    </w:p>
    <w:p w14:paraId="10A489BB">
      <w:pPr>
        <w:ind w:left="0" w:leftChars="0" w:firstLine="0" w:firstLineChars="0"/>
        <w:jc w:val="center"/>
        <w:rPr>
          <w:rFonts w:hint="eastAsia" w:ascii="仿宋" w:hAnsi="仿宋" w:eastAsia="仿宋"/>
          <w:b/>
          <w:bCs/>
          <w:sz w:val="40"/>
          <w:szCs w:val="30"/>
          <w:lang w:val="en-US" w:eastAsia="zh-CN"/>
        </w:rPr>
      </w:pPr>
      <w:bookmarkStart w:id="3" w:name="_GoBack"/>
      <w:bookmarkEnd w:id="3"/>
      <w:r>
        <w:rPr>
          <w:rFonts w:hint="eastAsia" w:ascii="仿宋" w:hAnsi="仿宋" w:eastAsia="仿宋"/>
          <w:b/>
          <w:bCs/>
          <w:sz w:val="40"/>
          <w:szCs w:val="30"/>
          <w:lang w:val="en-US" w:eastAsia="zh-CN"/>
        </w:rPr>
        <w:t>2024年度永州市生态环境局道县分局</w:t>
      </w:r>
    </w:p>
    <w:p w14:paraId="4B679E37">
      <w:pPr>
        <w:ind w:left="0" w:leftChars="0" w:firstLine="0" w:firstLineChars="0"/>
        <w:jc w:val="center"/>
        <w:rPr>
          <w:rFonts w:ascii="仿宋" w:hAnsi="仿宋" w:eastAsia="仿宋"/>
          <w:b/>
          <w:bCs/>
          <w:sz w:val="40"/>
          <w:szCs w:val="30"/>
        </w:rPr>
      </w:pPr>
      <w:r>
        <w:rPr>
          <w:rFonts w:hint="eastAsia" w:ascii="仿宋" w:hAnsi="仿宋" w:eastAsia="仿宋"/>
          <w:b/>
          <w:bCs/>
          <w:sz w:val="40"/>
          <w:szCs w:val="30"/>
          <w:lang w:val="en-US" w:eastAsia="zh-CN"/>
        </w:rPr>
        <w:t>整体支出绩效自评报告</w:t>
      </w:r>
    </w:p>
    <w:p w14:paraId="38DCEADF">
      <w:pPr>
        <w:ind w:firstLine="301" w:firstLineChars="100"/>
        <w:rPr>
          <w:rFonts w:hint="eastAsia" w:ascii="仿宋" w:hAnsi="仿宋" w:eastAsia="仿宋" w:cs="仿宋"/>
          <w:b/>
          <w:sz w:val="30"/>
          <w:szCs w:val="30"/>
        </w:rPr>
      </w:pPr>
      <w:r>
        <w:rPr>
          <w:rFonts w:hint="eastAsia" w:ascii="仿宋" w:hAnsi="仿宋" w:eastAsia="仿宋" w:cs="仿宋"/>
          <w:b/>
          <w:sz w:val="30"/>
          <w:szCs w:val="30"/>
        </w:rPr>
        <w:t>一、单位情况</w:t>
      </w:r>
    </w:p>
    <w:p w14:paraId="2E69AFF9">
      <w:pPr>
        <w:snapToGrid w:val="0"/>
        <w:spacing w:line="52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（一）基本情况。</w:t>
      </w:r>
    </w:p>
    <w:p w14:paraId="34FA9DB2">
      <w:pPr>
        <w:ind w:firstLine="602" w:firstLineChars="200"/>
        <w:rPr>
          <w:rFonts w:hint="eastAsia" w:ascii="仿宋" w:hAnsi="仿宋" w:eastAsia="仿宋" w:cs="仿宋"/>
          <w:sz w:val="30"/>
          <w:szCs w:val="30"/>
        </w:rPr>
      </w:pPr>
      <w:r>
        <w:rPr>
          <w:rFonts w:hint="eastAsia" w:ascii="仿宋" w:hAnsi="仿宋" w:eastAsia="仿宋" w:cs="仿宋"/>
          <w:b/>
          <w:sz w:val="30"/>
          <w:szCs w:val="30"/>
        </w:rPr>
        <w:t>1．主要职能。</w:t>
      </w:r>
      <w:r>
        <w:rPr>
          <w:rFonts w:hint="eastAsia" w:ascii="仿宋" w:hAnsi="仿宋" w:eastAsia="仿宋" w:cs="仿宋"/>
          <w:sz w:val="30"/>
          <w:szCs w:val="30"/>
        </w:rPr>
        <w:t>永州市生态环境局道县分局是永州市生态环境局正科级派出行政机构。主要职责如下：</w:t>
      </w:r>
    </w:p>
    <w:p w14:paraId="49F0EA5C">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（1）贯彻执行国家、省和市有关生态环境的法律法规和政策，负责生态环境保护方面的制度建设。</w:t>
      </w:r>
      <w:r>
        <w:rPr>
          <w:rFonts w:hint="eastAsia" w:ascii="仿宋" w:hAnsi="仿宋" w:eastAsia="仿宋" w:cs="仿宋"/>
          <w:sz w:val="30"/>
          <w:szCs w:val="30"/>
          <w:lang w:eastAsia="zh-CN"/>
        </w:rPr>
        <w:t>会同同级有关部门制定辖区内生态环境规划、规范，并组织实施。会同同级有关部门编制并监督实施辖区内重点区域、流域、饮用水水源地生态环境规划和水功能区划分。</w:t>
      </w:r>
    </w:p>
    <w:p w14:paraId="46CCD6B3">
      <w:pPr>
        <w:ind w:firstLine="600" w:firstLineChars="200"/>
        <w:rPr>
          <w:rFonts w:hint="eastAsia" w:ascii="仿宋" w:hAnsi="仿宋" w:eastAsia="仿宋" w:cs="仿宋"/>
          <w:sz w:val="30"/>
          <w:szCs w:val="30"/>
        </w:rPr>
      </w:pPr>
      <w:r>
        <w:rPr>
          <w:rFonts w:hint="eastAsia" w:ascii="仿宋" w:hAnsi="仿宋" w:eastAsia="仿宋" w:cs="仿宋"/>
          <w:sz w:val="30"/>
          <w:szCs w:val="30"/>
        </w:rPr>
        <w:t>（2）统筹协调和监督管理生态环境保护工作。组织协调辖区内环境污染事故和生态存款事件的调查处理，指导协调辖区内突发生态环境事件的应急、预警工作，参与实施生态环境损害赔偿制度。</w:t>
      </w:r>
    </w:p>
    <w:p w14:paraId="273CC7B8">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（3）监督管理减排目标的落实，根据国家、省、市核定的污染物减排指标，组织制定并监督实施本辖区内污染物排放总量控制计划及相关措施，监督实施排污许可制度，监督检查污染物减排任务完成情况。</w:t>
      </w:r>
      <w:r>
        <w:rPr>
          <w:rFonts w:hint="eastAsia" w:ascii="仿宋" w:hAnsi="仿宋" w:eastAsia="仿宋" w:cs="仿宋"/>
          <w:sz w:val="30"/>
          <w:szCs w:val="30"/>
          <w:lang w:eastAsia="zh-CN"/>
        </w:rPr>
        <w:t>实施生态环境保护目标责任制。</w:t>
      </w:r>
    </w:p>
    <w:p w14:paraId="6333D71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（4）负责环境污染防治的监督管理。</w:t>
      </w:r>
      <w:r>
        <w:rPr>
          <w:rFonts w:hint="eastAsia" w:ascii="仿宋" w:hAnsi="仿宋" w:eastAsia="仿宋" w:cs="仿宋"/>
          <w:sz w:val="30"/>
          <w:szCs w:val="30"/>
          <w:lang w:eastAsia="zh-CN"/>
        </w:rPr>
        <w:t>组织拟订本辖区大气、水、土壤、噪声、光、恶臭、固体废物、化学品、机动车等的污染防治管理制度并监督实施。会同有关部门监督管理饮用水源地生态环境保护工作，组织指导城乡生态环境综合整治工作，监督指导农业面源污染治理工作。监督指导区域大气环境保护工作，组织协调区域大气污染联防联控工作。</w:t>
      </w:r>
    </w:p>
    <w:p w14:paraId="3BE1FF27">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（5）</w:t>
      </w:r>
      <w:r>
        <w:rPr>
          <w:rFonts w:hint="eastAsia" w:ascii="仿宋" w:hAnsi="仿宋" w:eastAsia="仿宋" w:cs="仿宋"/>
          <w:sz w:val="30"/>
          <w:szCs w:val="30"/>
          <w:lang w:eastAsia="zh-CN"/>
        </w:rPr>
        <w:t>指导协调和监督生态保护修复工作</w:t>
      </w:r>
      <w:r>
        <w:rPr>
          <w:rFonts w:hint="eastAsia" w:ascii="仿宋" w:hAnsi="仿宋" w:eastAsia="仿宋" w:cs="仿宋"/>
          <w:sz w:val="30"/>
          <w:szCs w:val="30"/>
        </w:rPr>
        <w:t>。</w:t>
      </w:r>
      <w:r>
        <w:rPr>
          <w:rFonts w:hint="eastAsia" w:ascii="仿宋" w:hAnsi="仿宋" w:eastAsia="仿宋" w:cs="仿宋"/>
          <w:sz w:val="30"/>
          <w:szCs w:val="30"/>
          <w:lang w:eastAsia="zh-CN"/>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14:paraId="174ECBE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6）负责核与辐射安全的监管工作。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r>
        <w:rPr>
          <w:rFonts w:hint="eastAsia" w:ascii="仿宋" w:hAnsi="仿宋" w:eastAsia="仿宋" w:cs="仿宋"/>
          <w:sz w:val="30"/>
          <w:szCs w:val="30"/>
          <w:lang w:eastAsia="zh-CN"/>
        </w:rPr>
        <w:t>。</w:t>
      </w:r>
    </w:p>
    <w:p w14:paraId="3F4D57DE">
      <w:pPr>
        <w:ind w:firstLine="600" w:firstLineChars="200"/>
        <w:rPr>
          <w:rFonts w:hint="eastAsia" w:ascii="仿宋" w:hAnsi="仿宋" w:eastAsia="仿宋" w:cs="仿宋"/>
          <w:sz w:val="30"/>
          <w:szCs w:val="30"/>
        </w:rPr>
      </w:pPr>
      <w:r>
        <w:rPr>
          <w:rFonts w:hint="eastAsia" w:ascii="仿宋" w:hAnsi="仿宋" w:eastAsia="仿宋" w:cs="仿宋"/>
          <w:sz w:val="30"/>
          <w:szCs w:val="30"/>
        </w:rPr>
        <w:t>（7）负责生态环境准入的监督管理。组织实施生态环境准入清单。按规定审批或审查开发建设区域、规划、项目环境影响评价文件。</w:t>
      </w:r>
    </w:p>
    <w:p w14:paraId="34FEF8AD">
      <w:pPr>
        <w:ind w:firstLine="600" w:firstLineChars="200"/>
        <w:rPr>
          <w:rFonts w:hint="eastAsia" w:ascii="仿宋" w:hAnsi="仿宋" w:eastAsia="仿宋" w:cs="仿宋"/>
          <w:sz w:val="30"/>
          <w:szCs w:val="30"/>
        </w:rPr>
      </w:pPr>
      <w:r>
        <w:rPr>
          <w:rFonts w:hint="eastAsia" w:ascii="仿宋" w:hAnsi="仿宋" w:eastAsia="仿宋" w:cs="仿宋"/>
          <w:sz w:val="30"/>
          <w:szCs w:val="30"/>
        </w:rPr>
        <w:t>（8）负责生态环境监测工作。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14:paraId="19DC4FF6">
      <w:pPr>
        <w:ind w:firstLine="600" w:firstLineChars="200"/>
        <w:rPr>
          <w:rFonts w:hint="eastAsia" w:ascii="仿宋" w:hAnsi="仿宋" w:eastAsia="仿宋" w:cs="仿宋"/>
          <w:sz w:val="30"/>
          <w:szCs w:val="30"/>
        </w:rPr>
      </w:pPr>
      <w:r>
        <w:rPr>
          <w:rFonts w:hint="eastAsia" w:ascii="仿宋" w:hAnsi="仿宋" w:eastAsia="仿宋" w:cs="仿宋"/>
          <w:sz w:val="30"/>
          <w:szCs w:val="30"/>
        </w:rPr>
        <w:t>（9）协调配合生态环境保护督察。组织协调配合中央、省生态环境保护督查工作</w:t>
      </w:r>
      <w:r>
        <w:rPr>
          <w:rFonts w:hint="eastAsia" w:ascii="仿宋" w:hAnsi="仿宋" w:eastAsia="仿宋" w:cs="仿宋"/>
          <w:sz w:val="30"/>
          <w:szCs w:val="30"/>
          <w:lang w:eastAsia="zh-CN"/>
        </w:rPr>
        <w:t>；</w:t>
      </w:r>
      <w:r>
        <w:rPr>
          <w:rFonts w:hint="eastAsia" w:ascii="仿宋" w:hAnsi="仿宋" w:eastAsia="仿宋" w:cs="仿宋"/>
          <w:sz w:val="30"/>
          <w:szCs w:val="30"/>
        </w:rPr>
        <w:t>对生态环境保护督察反馈问题整改情况进行跟踪督办，对贯彻落实不到位，整改不力的提请问责。</w:t>
      </w:r>
    </w:p>
    <w:p w14:paraId="3CE0C23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（10）组织指导协调生态环境宣传教育工作。推动社会组织和公众参与生态环境保护。开展生态环境科技工作，组织生态环境科学研究和技术工程示范，推动生态环境技术管理体系建设</w:t>
      </w:r>
      <w:r>
        <w:rPr>
          <w:rFonts w:hint="eastAsia" w:ascii="仿宋" w:hAnsi="仿宋" w:eastAsia="仿宋" w:cs="仿宋"/>
          <w:sz w:val="30"/>
          <w:szCs w:val="30"/>
          <w:lang w:eastAsia="zh-CN"/>
        </w:rPr>
        <w:t>。</w:t>
      </w:r>
    </w:p>
    <w:p w14:paraId="0B92AA4C">
      <w:pPr>
        <w:ind w:firstLine="600" w:firstLineChars="200"/>
        <w:rPr>
          <w:rFonts w:hint="eastAsia" w:ascii="仿宋" w:hAnsi="仿宋" w:eastAsia="仿宋" w:cs="仿宋"/>
          <w:sz w:val="30"/>
          <w:szCs w:val="30"/>
        </w:rPr>
      </w:pPr>
      <w:r>
        <w:rPr>
          <w:rFonts w:hint="eastAsia" w:ascii="仿宋" w:hAnsi="仿宋" w:eastAsia="仿宋" w:cs="仿宋"/>
          <w:sz w:val="30"/>
          <w:szCs w:val="30"/>
        </w:rPr>
        <w:t>（11）</w:t>
      </w:r>
      <w:r>
        <w:rPr>
          <w:rFonts w:hint="eastAsia" w:ascii="仿宋" w:hAnsi="仿宋" w:eastAsia="仿宋" w:cs="仿宋"/>
          <w:sz w:val="30"/>
          <w:szCs w:val="30"/>
          <w:lang w:eastAsia="zh-CN"/>
        </w:rPr>
        <w:t>县</w:t>
      </w:r>
      <w:r>
        <w:rPr>
          <w:rFonts w:hint="eastAsia" w:ascii="仿宋" w:hAnsi="仿宋" w:eastAsia="仿宋" w:cs="仿宋"/>
          <w:sz w:val="30"/>
          <w:szCs w:val="30"/>
        </w:rPr>
        <w:t>生态环境保护综合行政执法局负责辖区内生态环境保护综合行政执法，依法统一行使污染防治、生态保护、核与辐射安全的行政处罚权以及与行政处罚相关的行政检查、行政强制权等执法职能。</w:t>
      </w:r>
    </w:p>
    <w:p w14:paraId="44B6912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（12）完成市</w:t>
      </w:r>
      <w:r>
        <w:rPr>
          <w:rFonts w:hint="eastAsia" w:ascii="仿宋" w:hAnsi="仿宋" w:eastAsia="仿宋" w:cs="仿宋"/>
          <w:sz w:val="30"/>
          <w:szCs w:val="30"/>
          <w:lang w:eastAsia="zh-CN"/>
        </w:rPr>
        <w:t>生态环境局</w:t>
      </w:r>
      <w:r>
        <w:rPr>
          <w:rFonts w:hint="eastAsia" w:ascii="仿宋" w:hAnsi="仿宋" w:eastAsia="仿宋" w:cs="仿宋"/>
          <w:sz w:val="30"/>
          <w:szCs w:val="30"/>
        </w:rPr>
        <w:t>交办的其他任务，协助县</w:t>
      </w:r>
      <w:r>
        <w:rPr>
          <w:rFonts w:hint="eastAsia" w:ascii="仿宋" w:hAnsi="仿宋" w:eastAsia="仿宋" w:cs="仿宋"/>
          <w:sz w:val="30"/>
          <w:szCs w:val="30"/>
          <w:lang w:eastAsia="zh-CN"/>
        </w:rPr>
        <w:t>委、县</w:t>
      </w:r>
      <w:r>
        <w:rPr>
          <w:rFonts w:hint="eastAsia" w:ascii="仿宋" w:hAnsi="仿宋" w:eastAsia="仿宋" w:cs="仿宋"/>
          <w:sz w:val="30"/>
          <w:szCs w:val="30"/>
        </w:rPr>
        <w:t>政府开展生态环境保护工作，指导乡镇（街道）的生态环境保护工作</w:t>
      </w:r>
      <w:r>
        <w:rPr>
          <w:rFonts w:hint="eastAsia" w:ascii="仿宋" w:hAnsi="仿宋" w:eastAsia="仿宋" w:cs="仿宋"/>
          <w:sz w:val="30"/>
          <w:szCs w:val="30"/>
          <w:lang w:eastAsia="zh-CN"/>
        </w:rPr>
        <w:t>。</w:t>
      </w:r>
    </w:p>
    <w:p w14:paraId="6B877C6B">
      <w:pPr>
        <w:ind w:firstLine="602" w:firstLineChars="200"/>
        <w:rPr>
          <w:rFonts w:hint="eastAsia" w:ascii="仿宋" w:hAnsi="仿宋" w:eastAsia="仿宋" w:cs="仿宋"/>
          <w:sz w:val="30"/>
          <w:szCs w:val="30"/>
        </w:rPr>
      </w:pPr>
      <w:r>
        <w:rPr>
          <w:rFonts w:hint="eastAsia" w:ascii="仿宋" w:hAnsi="仿宋" w:eastAsia="仿宋" w:cs="仿宋"/>
          <w:b/>
          <w:sz w:val="30"/>
          <w:szCs w:val="30"/>
        </w:rPr>
        <w:t>2．机构情况</w:t>
      </w:r>
      <w:r>
        <w:rPr>
          <w:rFonts w:hint="eastAsia" w:ascii="仿宋" w:hAnsi="仿宋" w:eastAsia="仿宋" w:cs="仿宋"/>
          <w:sz w:val="30"/>
          <w:szCs w:val="30"/>
        </w:rPr>
        <w:t>：独立编制机构数与独立核算机构数均为1个。</w:t>
      </w:r>
    </w:p>
    <w:p w14:paraId="0BDAD449">
      <w:pPr>
        <w:snapToGrid w:val="0"/>
        <w:spacing w:line="52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3．人员情况</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年末在职人数</w:t>
      </w:r>
      <w:r>
        <w:rPr>
          <w:rFonts w:hint="eastAsia" w:ascii="仿宋" w:hAnsi="仿宋" w:eastAsia="仿宋" w:cs="仿宋"/>
          <w:color w:val="000000" w:themeColor="text1"/>
          <w:sz w:val="30"/>
          <w:szCs w:val="30"/>
          <w:lang w:val="en-US" w:eastAsia="zh-CN"/>
          <w14:textFill>
            <w14:solidFill>
              <w14:schemeClr w14:val="tx1"/>
            </w14:solidFill>
          </w14:textFill>
        </w:rPr>
        <w:t>43</w:t>
      </w:r>
      <w:r>
        <w:rPr>
          <w:rFonts w:hint="eastAsia" w:ascii="仿宋" w:hAnsi="仿宋" w:eastAsia="仿宋" w:cs="仿宋"/>
          <w:color w:val="000000" w:themeColor="text1"/>
          <w:sz w:val="30"/>
          <w:szCs w:val="30"/>
          <w14:textFill>
            <w14:solidFill>
              <w14:schemeClr w14:val="tx1"/>
            </w14:solidFill>
          </w14:textFill>
        </w:rPr>
        <w:t>人，其中行政编制人数</w:t>
      </w:r>
      <w:r>
        <w:rPr>
          <w:rFonts w:hint="eastAsia" w:ascii="仿宋" w:hAnsi="仿宋" w:eastAsia="仿宋" w:cs="仿宋"/>
          <w:color w:val="000000" w:themeColor="text1"/>
          <w:sz w:val="30"/>
          <w:szCs w:val="30"/>
          <w:u w:val="none"/>
          <w:lang w:val="en-US" w:eastAsia="zh-CN"/>
          <w14:textFill>
            <w14:solidFill>
              <w14:schemeClr w14:val="tx1"/>
            </w14:solidFill>
          </w14:textFill>
        </w:rPr>
        <w:t>14</w:t>
      </w:r>
      <w:r>
        <w:rPr>
          <w:rFonts w:hint="eastAsia" w:ascii="仿宋" w:hAnsi="仿宋" w:eastAsia="仿宋" w:cs="仿宋"/>
          <w:color w:val="000000" w:themeColor="text1"/>
          <w:sz w:val="30"/>
          <w:szCs w:val="30"/>
          <w14:textFill>
            <w14:solidFill>
              <w14:schemeClr w14:val="tx1"/>
            </w14:solidFill>
          </w14:textFill>
        </w:rPr>
        <w:t>人，</w:t>
      </w:r>
      <w:r>
        <w:rPr>
          <w:rFonts w:hint="eastAsia" w:ascii="仿宋" w:hAnsi="仿宋" w:eastAsia="仿宋" w:cs="仿宋"/>
          <w:color w:val="000000" w:themeColor="text1"/>
          <w:sz w:val="30"/>
          <w:szCs w:val="30"/>
          <w:lang w:eastAsia="zh-CN"/>
          <w14:textFill>
            <w14:solidFill>
              <w14:schemeClr w14:val="tx1"/>
            </w14:solidFill>
          </w14:textFill>
        </w:rPr>
        <w:t>参照公务法事业人员</w:t>
      </w:r>
      <w:r>
        <w:rPr>
          <w:rFonts w:hint="eastAsia" w:ascii="仿宋" w:hAnsi="仿宋" w:eastAsia="仿宋" w:cs="仿宋"/>
          <w:color w:val="000000" w:themeColor="text1"/>
          <w:sz w:val="30"/>
          <w:szCs w:val="30"/>
          <w:lang w:val="en-US" w:eastAsia="zh-CN"/>
          <w14:textFill>
            <w14:solidFill>
              <w14:schemeClr w14:val="tx1"/>
            </w14:solidFill>
          </w14:textFill>
        </w:rPr>
        <w:t>19人，专业技术人员3人，参公</w:t>
      </w:r>
      <w:r>
        <w:rPr>
          <w:rFonts w:hint="eastAsia" w:ascii="仿宋" w:hAnsi="仿宋" w:eastAsia="仿宋" w:cs="仿宋"/>
          <w:color w:val="000000" w:themeColor="text1"/>
          <w:sz w:val="30"/>
          <w:szCs w:val="30"/>
          <w14:textFill>
            <w14:solidFill>
              <w14:schemeClr w14:val="tx1"/>
            </w14:solidFill>
          </w14:textFill>
        </w:rPr>
        <w:t>事业</w:t>
      </w:r>
      <w:r>
        <w:rPr>
          <w:rFonts w:hint="eastAsia" w:ascii="仿宋" w:hAnsi="仿宋" w:eastAsia="仿宋" w:cs="仿宋"/>
          <w:color w:val="000000" w:themeColor="text1"/>
          <w:sz w:val="30"/>
          <w:szCs w:val="30"/>
          <w:lang w:eastAsia="zh-CN"/>
          <w14:textFill>
            <w14:solidFill>
              <w14:schemeClr w14:val="tx1"/>
            </w14:solidFill>
          </w14:textFill>
        </w:rPr>
        <w:t>管理人员</w:t>
      </w: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人。</w:t>
      </w:r>
    </w:p>
    <w:p w14:paraId="2E892C53">
      <w:pPr>
        <w:ind w:firstLine="301" w:firstLineChars="100"/>
        <w:rPr>
          <w:rFonts w:hint="eastAsia" w:ascii="仿宋" w:hAnsi="仿宋" w:eastAsia="仿宋" w:cs="仿宋"/>
          <w:b/>
          <w:bCs/>
          <w:sz w:val="30"/>
          <w:szCs w:val="30"/>
          <w:lang w:eastAsia="zh-CN"/>
        </w:rPr>
      </w:pPr>
      <w:r>
        <w:rPr>
          <w:rFonts w:hint="eastAsia" w:ascii="仿宋" w:hAnsi="仿宋" w:eastAsia="仿宋" w:cs="仿宋"/>
          <w:b/>
          <w:bCs/>
          <w:sz w:val="30"/>
          <w:szCs w:val="30"/>
        </w:rPr>
        <w:t>（二）主要工作情况</w:t>
      </w:r>
      <w:r>
        <w:rPr>
          <w:rFonts w:hint="eastAsia" w:ascii="仿宋" w:hAnsi="仿宋" w:eastAsia="仿宋" w:cs="仿宋"/>
          <w:b/>
          <w:bCs/>
          <w:sz w:val="30"/>
          <w:szCs w:val="30"/>
          <w:lang w:eastAsia="zh-CN"/>
        </w:rPr>
        <w:t>及成效</w:t>
      </w:r>
    </w:p>
    <w:p w14:paraId="52705347">
      <w:pPr>
        <w:keepNext w:val="0"/>
        <w:keepLines w:val="0"/>
        <w:pageBreakBefore w:val="0"/>
        <w:widowControl w:val="0"/>
        <w:kinsoku/>
        <w:wordWrap/>
        <w:overflowPunct/>
        <w:topLinePunct w:val="0"/>
        <w:autoSpaceDE/>
        <w:autoSpaceDN/>
        <w:bidi w:val="0"/>
        <w:adjustRightInd/>
        <w:snapToGrid/>
        <w:spacing w:line="560" w:lineRule="exact"/>
        <w:ind w:left="0" w:right="0" w:firstLine="602"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b/>
          <w:bCs/>
          <w:color w:val="auto"/>
          <w:kern w:val="0"/>
          <w:sz w:val="30"/>
          <w:szCs w:val="30"/>
          <w:u w:val="none"/>
          <w:lang w:val="en-US" w:eastAsia="zh-CN" w:bidi="ar-SA"/>
        </w:rPr>
        <w:t>1.生态环境质量目标完成情况。</w:t>
      </w:r>
      <w:r>
        <w:rPr>
          <w:rFonts w:hint="eastAsia" w:ascii="仿宋" w:hAnsi="仿宋" w:eastAsia="仿宋" w:cs="仿宋"/>
          <w:b w:val="0"/>
          <w:bCs w:val="0"/>
          <w:color w:val="auto"/>
          <w:kern w:val="0"/>
          <w:sz w:val="30"/>
          <w:szCs w:val="30"/>
          <w:u w:val="none"/>
          <w:lang w:val="en-US" w:eastAsia="zh-CN" w:bidi="ar-SA"/>
        </w:rPr>
        <w:t>（</w:t>
      </w:r>
      <w:r>
        <w:rPr>
          <w:rFonts w:hint="eastAsia" w:ascii="仿宋" w:hAnsi="仿宋" w:eastAsia="仿宋" w:cs="仿宋"/>
          <w:kern w:val="2"/>
          <w:sz w:val="30"/>
          <w:szCs w:val="30"/>
          <w:lang w:val="en-US" w:eastAsia="zh-CN" w:bidi="ar-SA"/>
        </w:rPr>
        <w:t>1）空气环境质量方面：1-12月，大气综合指数2.697，同比上年改善2.43%，全市排名第5，改善排名7；优良率97.0%，同比上年变差0.5%，全市排名第3，改善排名第3。PM2.5浓度25.92μg/m3，PM10浓度42μg/m3。（2）水环境质量方面：1-12月，全县饮用水和出境断面水质均保持II类及以上，水质检测达标率100%，59个千人以上乡镇集中式饮用水水源地水质各项指标均达标。全县无黑臭水体。（3）土壤环境质量方面：全县土壤环境质量总体安全稳定，重点建设用地安全利用率达100％，耕地安全利用率稳定保持在93％。全年未发生重大及以上突发环境事件和核与辐射事故。</w:t>
      </w:r>
    </w:p>
    <w:p w14:paraId="424D3E54">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color w:val="auto"/>
          <w:kern w:val="0"/>
          <w:sz w:val="30"/>
          <w:szCs w:val="30"/>
          <w:u w:val="none"/>
          <w:lang w:val="en-US" w:eastAsia="zh-CN" w:bidi="ar-SA"/>
        </w:rPr>
      </w:pPr>
      <w:r>
        <w:rPr>
          <w:rFonts w:hint="eastAsia" w:ascii="仿宋" w:hAnsi="仿宋" w:eastAsia="仿宋" w:cs="仿宋"/>
          <w:b/>
          <w:bCs/>
          <w:color w:val="auto"/>
          <w:kern w:val="0"/>
          <w:sz w:val="30"/>
          <w:szCs w:val="30"/>
          <w:u w:val="none"/>
          <w:lang w:val="en-US" w:eastAsia="zh-CN" w:bidi="ar-SA"/>
        </w:rPr>
        <w:t>2.重点工作任务完成情况。</w:t>
      </w:r>
    </w:p>
    <w:p w14:paraId="629170B2">
      <w:pPr>
        <w:keepNext w:val="0"/>
        <w:keepLines w:val="0"/>
        <w:pageBreakBefore w:val="0"/>
        <w:kinsoku/>
        <w:wordWrap/>
        <w:overflowPunct/>
        <w:autoSpaceDE/>
        <w:autoSpaceDN/>
        <w:bidi w:val="0"/>
        <w:adjustRightInd/>
        <w:snapToGrid/>
        <w:spacing w:line="560" w:lineRule="exact"/>
        <w:ind w:firstLine="602" w:firstLineChars="200"/>
        <w:jc w:val="both"/>
        <w:textAlignment w:val="auto"/>
        <w:rPr>
          <w:rFonts w:hint="eastAsia" w:ascii="仿宋" w:hAnsi="仿宋" w:eastAsia="仿宋" w:cs="仿宋"/>
          <w:color w:val="FF0000"/>
          <w:sz w:val="30"/>
          <w:szCs w:val="30"/>
          <w:lang w:val="en-US" w:eastAsia="zh-CN"/>
        </w:rPr>
      </w:pPr>
      <w:r>
        <w:rPr>
          <w:rFonts w:hint="eastAsia" w:ascii="仿宋" w:hAnsi="仿宋" w:eastAsia="仿宋" w:cs="仿宋"/>
          <w:b/>
          <w:bCs/>
          <w:sz w:val="30"/>
          <w:szCs w:val="30"/>
          <w:lang w:val="en-US" w:eastAsia="zh-CN"/>
        </w:rPr>
        <w:t>（1）坚持因地施策，大力提升生态环境质量。一是</w:t>
      </w:r>
      <w:r>
        <w:rPr>
          <w:rFonts w:hint="eastAsia" w:ascii="仿宋" w:hAnsi="仿宋" w:eastAsia="仿宋" w:cs="仿宋"/>
          <w:b/>
          <w:bCs/>
          <w:kern w:val="2"/>
          <w:sz w:val="30"/>
          <w:szCs w:val="30"/>
          <w:lang w:val="en-US" w:eastAsia="zh-CN" w:bidi="ar-SA"/>
        </w:rPr>
        <w:t>加强涉水企业监管。</w:t>
      </w:r>
      <w:r>
        <w:rPr>
          <w:rFonts w:hint="eastAsia" w:ascii="仿宋" w:hAnsi="仿宋" w:eastAsia="仿宋" w:cs="仿宋"/>
          <w:b w:val="0"/>
          <w:bCs w:val="0"/>
          <w:color w:val="000000"/>
          <w:kern w:val="2"/>
          <w:sz w:val="30"/>
          <w:szCs w:val="30"/>
          <w:lang w:val="en-US" w:eastAsia="zh-CN" w:bidi="ar-SA"/>
        </w:rPr>
        <w:t>对工业园区涉水企业、工业园污水处理厂进行监督性检查，通过现场检查、监测报告审查、危废转运台账联动审查等方式，严控企业污水管理，降低水环境污染风险。</w:t>
      </w:r>
      <w:r>
        <w:rPr>
          <w:rFonts w:hint="eastAsia" w:ascii="仿宋" w:hAnsi="仿宋" w:eastAsia="仿宋" w:cs="仿宋"/>
          <w:b/>
          <w:bCs/>
          <w:sz w:val="30"/>
          <w:szCs w:val="30"/>
          <w:lang w:val="en-US" w:eastAsia="zh-CN"/>
        </w:rPr>
        <w:t>二是</w:t>
      </w:r>
      <w:r>
        <w:rPr>
          <w:rFonts w:hint="eastAsia" w:ascii="仿宋" w:hAnsi="仿宋" w:eastAsia="仿宋" w:cs="仿宋"/>
          <w:b/>
          <w:bCs/>
          <w:color w:val="000000"/>
          <w:kern w:val="2"/>
          <w:sz w:val="30"/>
          <w:szCs w:val="30"/>
          <w:u w:val="none"/>
          <w:shd w:val="clear" w:color="auto" w:fill="auto"/>
          <w:lang w:val="en-US" w:eastAsia="zh-CN" w:bidi="ar-SA"/>
        </w:rPr>
        <w:t>加强扬尘污染防治</w:t>
      </w:r>
      <w:r>
        <w:rPr>
          <w:rFonts w:hint="eastAsia" w:ascii="仿宋" w:hAnsi="仿宋" w:eastAsia="仿宋" w:cs="仿宋"/>
          <w:bCs w:val="0"/>
          <w:color w:val="000000"/>
          <w:kern w:val="2"/>
          <w:sz w:val="30"/>
          <w:szCs w:val="30"/>
          <w:u w:val="none"/>
          <w:shd w:val="clear" w:color="auto" w:fill="auto"/>
          <w:lang w:val="en-US" w:eastAsia="zh-CN" w:bidi="ar-SA"/>
        </w:rPr>
        <w:t>。严格按照扬尘治理的工作要求，县住建局、县城管局加强了建筑工地施工监管，对硬化道路接口的卫生整治力度和在建工地的监管力度，对企业周边的道路加强整治，强化辖区扬尘治理。</w:t>
      </w:r>
      <w:r>
        <w:rPr>
          <w:rFonts w:hint="eastAsia" w:ascii="仿宋" w:hAnsi="仿宋" w:eastAsia="仿宋" w:cs="仿宋"/>
          <w:b/>
          <w:bCs/>
          <w:color w:val="000000"/>
          <w:kern w:val="2"/>
          <w:sz w:val="30"/>
          <w:szCs w:val="30"/>
          <w:u w:val="none"/>
          <w:shd w:val="clear" w:color="auto" w:fill="auto"/>
          <w:lang w:val="en-US" w:eastAsia="zh-CN" w:bidi="ar-SA"/>
        </w:rPr>
        <w:t>三是加强秸秆焚烧监管。</w:t>
      </w:r>
      <w:r>
        <w:rPr>
          <w:rFonts w:hint="eastAsia" w:ascii="仿宋" w:hAnsi="仿宋" w:eastAsia="仿宋" w:cs="仿宋"/>
          <w:b w:val="0"/>
          <w:bCs w:val="0"/>
          <w:color w:val="000000"/>
          <w:kern w:val="2"/>
          <w:sz w:val="30"/>
          <w:szCs w:val="30"/>
          <w:u w:val="none"/>
          <w:shd w:val="clear" w:color="auto" w:fill="auto"/>
          <w:lang w:val="en-US" w:eastAsia="zh-CN" w:bidi="ar-SA"/>
        </w:rPr>
        <w:t>我局</w:t>
      </w:r>
      <w:r>
        <w:rPr>
          <w:rFonts w:hint="eastAsia" w:ascii="仿宋" w:hAnsi="仿宋" w:eastAsia="仿宋" w:cs="仿宋"/>
          <w:bCs w:val="0"/>
          <w:color w:val="000000"/>
          <w:kern w:val="2"/>
          <w:sz w:val="30"/>
          <w:szCs w:val="30"/>
          <w:u w:val="none"/>
          <w:shd w:val="clear" w:color="auto" w:fill="auto"/>
          <w:lang w:val="en-US" w:eastAsia="zh-CN" w:bidi="ar-SA"/>
        </w:rPr>
        <w:t>联合县农业农村局、各乡镇街道开展秸秆禁烧监管工作，共出动检查车辆89车次，检查人员198人次，发现露天焚烧66起，其中现场制止30起，通知辖区内乡镇、村社处置36起。</w:t>
      </w:r>
    </w:p>
    <w:p w14:paraId="53EC64EE">
      <w:pPr>
        <w:ind w:firstLine="602" w:firstLineChars="200"/>
        <w:rPr>
          <w:rFonts w:hint="eastAsia" w:ascii="仿宋" w:hAnsi="仿宋" w:eastAsia="仿宋" w:cs="仿宋"/>
          <w:sz w:val="30"/>
          <w:szCs w:val="30"/>
          <w:lang w:val="en-US" w:eastAsia="zh-CN"/>
        </w:rPr>
      </w:pPr>
      <w:r>
        <w:rPr>
          <w:rFonts w:hint="eastAsia" w:ascii="仿宋" w:hAnsi="仿宋" w:eastAsia="仿宋" w:cs="仿宋"/>
          <w:b/>
          <w:bCs/>
          <w:color w:val="000000"/>
          <w:kern w:val="2"/>
          <w:sz w:val="30"/>
          <w:szCs w:val="30"/>
          <w:u w:val="none"/>
          <w:shd w:val="clear" w:color="auto" w:fill="auto"/>
          <w:lang w:val="en-US" w:eastAsia="zh-CN" w:bidi="ar-SA"/>
        </w:rPr>
        <w:t>（2）坚持源头管控，深入打好污染防治攻坚战。2</w:t>
      </w:r>
      <w:r>
        <w:rPr>
          <w:rFonts w:hint="eastAsia" w:ascii="仿宋" w:hAnsi="仿宋" w:eastAsia="仿宋" w:cs="仿宋"/>
          <w:color w:val="000000" w:themeColor="text1"/>
          <w:sz w:val="30"/>
          <w:szCs w:val="30"/>
          <w:lang w:val="en-US" w:eastAsia="zh-CN"/>
          <w14:textFill>
            <w14:solidFill>
              <w14:schemeClr w14:val="tx1"/>
            </w14:solidFill>
          </w14:textFill>
        </w:rPr>
        <w:t>024年道县污染防治攻坚战“夏季攻势”任务清单共84项任务，其中省“夏季攻势”任务66项，市“夏季攻势”任务18项。“夏季攻势”任务已全部完成，完成率100%。</w:t>
      </w:r>
      <w:r>
        <w:rPr>
          <w:rFonts w:hint="eastAsia" w:ascii="仿宋" w:hAnsi="仿宋" w:eastAsia="仿宋" w:cs="仿宋"/>
          <w:b/>
          <w:bCs/>
          <w:color w:val="000000"/>
          <w:kern w:val="2"/>
          <w:sz w:val="30"/>
          <w:szCs w:val="30"/>
          <w:u w:val="none"/>
          <w:shd w:val="clear" w:color="auto" w:fill="auto"/>
          <w:lang w:val="en-US" w:eastAsia="zh-CN" w:bidi="ar-SA"/>
        </w:rPr>
        <w:t>一是打好蓝天保卫战。</w:t>
      </w:r>
      <w:r>
        <w:rPr>
          <w:rFonts w:hint="eastAsia" w:ascii="仿宋" w:hAnsi="仿宋" w:eastAsia="仿宋" w:cs="仿宋"/>
          <w:b w:val="0"/>
          <w:bCs w:val="0"/>
          <w:color w:val="000000"/>
          <w:kern w:val="2"/>
          <w:sz w:val="30"/>
          <w:szCs w:val="30"/>
          <w:u w:val="none"/>
          <w:shd w:val="clear" w:color="auto" w:fill="auto"/>
          <w:lang w:val="en-US" w:eastAsia="zh-CN" w:bidi="ar-SA"/>
        </w:rPr>
        <w:t>加快推进老旧机动车淘汰和柴油货车、非道路移动机械抽查工作。按年度目标任务，已完成老旧机动车淘汰任务115台，完成抽检柴油货车180台，非道路移动机械80台，非道路移动机械挂牌275台</w:t>
      </w:r>
      <w:r>
        <w:rPr>
          <w:rFonts w:hint="eastAsia" w:ascii="仿宋" w:hAnsi="仿宋" w:eastAsia="仿宋" w:cs="仿宋"/>
          <w:bCs w:val="0"/>
          <w:color w:val="000000"/>
          <w:kern w:val="2"/>
          <w:sz w:val="30"/>
          <w:szCs w:val="30"/>
          <w:u w:val="none"/>
          <w:shd w:val="clear" w:color="auto" w:fill="auto"/>
          <w:lang w:val="en-US" w:eastAsia="zh-CN" w:bidi="ar-SA"/>
        </w:rPr>
        <w:t>。</w:t>
      </w:r>
      <w:r>
        <w:rPr>
          <w:rFonts w:hint="eastAsia" w:ascii="仿宋" w:hAnsi="仿宋" w:eastAsia="仿宋" w:cs="仿宋"/>
          <w:b/>
          <w:bCs/>
          <w:color w:val="000000"/>
          <w:kern w:val="2"/>
          <w:sz w:val="30"/>
          <w:szCs w:val="30"/>
          <w:u w:val="none"/>
          <w:shd w:val="clear" w:color="auto" w:fill="auto"/>
          <w:lang w:val="en-US" w:eastAsia="zh-CN" w:bidi="ar-SA"/>
        </w:rPr>
        <w:t>二是打好碧水保卫战。</w:t>
      </w:r>
      <w:r>
        <w:rPr>
          <w:rFonts w:hint="eastAsia" w:ascii="仿宋" w:hAnsi="仿宋" w:eastAsia="仿宋" w:cs="仿宋"/>
          <w:b w:val="0"/>
          <w:bCs w:val="0"/>
          <w:sz w:val="30"/>
          <w:szCs w:val="30"/>
          <w:lang w:val="en-US" w:eastAsia="zh-CN"/>
        </w:rPr>
        <w:t>加强</w:t>
      </w:r>
      <w:r>
        <w:rPr>
          <w:rFonts w:hint="eastAsia" w:ascii="仿宋" w:hAnsi="仿宋" w:eastAsia="仿宋" w:cs="仿宋"/>
          <w:b w:val="0"/>
          <w:bCs w:val="0"/>
          <w:color w:val="000000"/>
          <w:kern w:val="2"/>
          <w:sz w:val="30"/>
          <w:szCs w:val="30"/>
          <w:lang w:val="en-US" w:eastAsia="zh-CN" w:bidi="ar-SA"/>
        </w:rPr>
        <w:t>对工业园区涉水企业、工业园污水处理厂进行常态化监督检查，严控企业污水管理。</w:t>
      </w:r>
      <w:r>
        <w:rPr>
          <w:rFonts w:hint="eastAsia" w:ascii="仿宋" w:hAnsi="仿宋" w:eastAsia="仿宋" w:cs="仿宋"/>
          <w:sz w:val="30"/>
          <w:szCs w:val="30"/>
        </w:rPr>
        <w:t>统筹推进饮用水、黑臭水体、工业废水、城镇污水、农村污水“五水同治”，</w:t>
      </w:r>
      <w:r>
        <w:rPr>
          <w:rFonts w:hint="eastAsia" w:ascii="仿宋" w:hAnsi="仿宋" w:eastAsia="仿宋" w:cs="仿宋"/>
          <w:b w:val="0"/>
          <w:bCs w:val="0"/>
          <w:color w:val="auto"/>
          <w:kern w:val="2"/>
          <w:sz w:val="30"/>
          <w:szCs w:val="30"/>
          <w:u w:val="none"/>
          <w:shd w:val="clear" w:color="auto" w:fill="auto"/>
          <w:lang w:val="en-US" w:eastAsia="zh-CN" w:bidi="ar-SA"/>
        </w:rPr>
        <w:t>已完成了清塘镇孟家村、清塘镇清塘村、上关街道日星村、上关街道齐心村、仙子脚镇岭背村、白芒铺镇住兴村等6个农村生活污水治理任务，</w:t>
      </w:r>
      <w:r>
        <w:rPr>
          <w:rFonts w:hint="eastAsia" w:ascii="仿宋" w:hAnsi="仿宋" w:eastAsia="仿宋" w:cs="仿宋"/>
          <w:sz w:val="30"/>
          <w:szCs w:val="30"/>
          <w:lang w:eastAsia="zh-CN"/>
        </w:rPr>
        <w:t>全县水环境质量总体稳定向好</w:t>
      </w:r>
      <w:r>
        <w:rPr>
          <w:rFonts w:hint="eastAsia" w:ascii="仿宋" w:hAnsi="仿宋" w:eastAsia="仿宋" w:cs="仿宋"/>
          <w:b w:val="0"/>
          <w:bCs w:val="0"/>
          <w:color w:val="000000"/>
          <w:kern w:val="2"/>
          <w:sz w:val="30"/>
          <w:szCs w:val="30"/>
          <w:u w:val="none"/>
          <w:shd w:val="clear" w:color="auto" w:fill="auto"/>
          <w:lang w:val="en-US" w:eastAsia="zh-CN" w:bidi="ar-SA"/>
        </w:rPr>
        <w:t>。</w:t>
      </w:r>
      <w:r>
        <w:rPr>
          <w:rFonts w:hint="eastAsia" w:ascii="仿宋" w:hAnsi="仿宋" w:eastAsia="仿宋" w:cs="仿宋"/>
          <w:b/>
          <w:bCs/>
          <w:color w:val="000000"/>
          <w:kern w:val="2"/>
          <w:sz w:val="30"/>
          <w:szCs w:val="30"/>
          <w:u w:val="none"/>
          <w:shd w:val="clear" w:color="auto" w:fill="auto"/>
          <w:lang w:val="en-US" w:eastAsia="zh-CN" w:bidi="ar-SA"/>
        </w:rPr>
        <w:t>三是打好净土保卫战。</w:t>
      </w:r>
      <w:r>
        <w:rPr>
          <w:rFonts w:hint="eastAsia" w:ascii="仿宋" w:hAnsi="仿宋" w:eastAsia="仿宋" w:cs="仿宋"/>
          <w:sz w:val="30"/>
          <w:szCs w:val="30"/>
          <w:lang w:val="en-US" w:eastAsia="zh-CN"/>
        </w:rPr>
        <w:t>完成了市里交办的“库存”</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sz w:val="30"/>
          <w:szCs w:val="30"/>
          <w:lang w:val="en-US" w:eastAsia="zh-CN"/>
        </w:rPr>
        <w:t>个地块污染调查工作。</w:t>
      </w:r>
      <w:r>
        <w:rPr>
          <w:rFonts w:hint="eastAsia" w:ascii="仿宋" w:hAnsi="仿宋" w:eastAsia="仿宋" w:cs="仿宋"/>
          <w:sz w:val="30"/>
          <w:szCs w:val="30"/>
          <w:lang w:eastAsia="zh-CN"/>
        </w:rPr>
        <w:t>原道县惠民矿业有限公司、道县鑫利锰业有限公司已按风险管控方案实施制度管控，</w:t>
      </w:r>
      <w:r>
        <w:rPr>
          <w:rFonts w:hint="eastAsia" w:ascii="仿宋" w:hAnsi="仿宋" w:eastAsia="仿宋" w:cs="仿宋"/>
          <w:sz w:val="30"/>
          <w:szCs w:val="30"/>
          <w:lang w:val="en-US" w:eastAsia="zh-CN"/>
        </w:rPr>
        <w:t>已上报市局完成销号。</w:t>
      </w:r>
      <w:r>
        <w:rPr>
          <w:rFonts w:hint="eastAsia" w:ascii="仿宋" w:hAnsi="仿宋" w:eastAsia="仿宋" w:cs="仿宋"/>
          <w:sz w:val="30"/>
          <w:szCs w:val="30"/>
        </w:rPr>
        <w:t>原道县化工厂土壤污染</w:t>
      </w:r>
      <w:r>
        <w:rPr>
          <w:rFonts w:hint="eastAsia" w:ascii="仿宋" w:hAnsi="仿宋" w:eastAsia="仿宋" w:cs="仿宋"/>
          <w:sz w:val="30"/>
          <w:szCs w:val="30"/>
          <w:lang w:eastAsia="zh-CN"/>
        </w:rPr>
        <w:t>生态修复</w:t>
      </w:r>
      <w:r>
        <w:rPr>
          <w:rFonts w:hint="eastAsia" w:ascii="仿宋" w:hAnsi="仿宋" w:eastAsia="仿宋" w:cs="仿宋"/>
          <w:sz w:val="30"/>
          <w:szCs w:val="30"/>
        </w:rPr>
        <w:t>治理项目</w:t>
      </w:r>
      <w:r>
        <w:rPr>
          <w:rFonts w:hint="eastAsia" w:ascii="仿宋" w:hAnsi="仿宋" w:eastAsia="仿宋" w:cs="仿宋"/>
          <w:sz w:val="30"/>
          <w:szCs w:val="30"/>
          <w:lang w:eastAsia="zh-CN"/>
        </w:rPr>
        <w:t>已开工建设，前期拆迁工作已完成</w:t>
      </w:r>
      <w:r>
        <w:rPr>
          <w:rFonts w:hint="eastAsia" w:ascii="仿宋" w:hAnsi="仿宋" w:eastAsia="仿宋" w:cs="仿宋"/>
          <w:sz w:val="30"/>
          <w:szCs w:val="30"/>
        </w:rPr>
        <w:t>。</w:t>
      </w:r>
      <w:r>
        <w:rPr>
          <w:rFonts w:hint="eastAsia" w:ascii="仿宋" w:hAnsi="仿宋" w:eastAsia="仿宋" w:cs="仿宋"/>
          <w:sz w:val="30"/>
          <w:szCs w:val="30"/>
          <w:lang w:val="en-US" w:eastAsia="zh-CN"/>
        </w:rPr>
        <w:t>道县远华矿业、道县华鑫冶炼土壤污染隐患排查，已通过专家评审。完成道县东特能源环保有限公司省级环保督查反馈问题销号。对道县精神病医院违规供地进行现场核查，移交执法大队立案查处。</w:t>
      </w:r>
    </w:p>
    <w:p w14:paraId="4E197E1D">
      <w:pPr>
        <w:keepNext w:val="0"/>
        <w:keepLines w:val="0"/>
        <w:pageBreakBefore w:val="0"/>
        <w:kinsoku/>
        <w:wordWrap/>
        <w:overflowPunct/>
        <w:autoSpaceDE/>
        <w:autoSpaceDN/>
        <w:bidi w:val="0"/>
        <w:adjustRightInd/>
        <w:snapToGrid/>
        <w:spacing w:line="560" w:lineRule="exact"/>
        <w:ind w:firstLine="602" w:firstLineChars="200"/>
        <w:jc w:val="both"/>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）坚持从严从实，持续提升生态环境治理能力。</w:t>
      </w:r>
      <w:r>
        <w:rPr>
          <w:rFonts w:hint="eastAsia" w:ascii="仿宋" w:hAnsi="仿宋" w:eastAsia="仿宋" w:cs="仿宋"/>
          <w:b/>
          <w:bCs/>
          <w:sz w:val="30"/>
          <w:szCs w:val="30"/>
          <w:lang w:val="en-US" w:eastAsia="zh-CN"/>
        </w:rPr>
        <w:t>一是</w:t>
      </w:r>
      <w:r>
        <w:rPr>
          <w:rFonts w:hint="eastAsia" w:ascii="仿宋" w:hAnsi="仿宋" w:eastAsia="仿宋" w:cs="仿宋"/>
          <w:b/>
          <w:bCs/>
          <w:color w:val="000000" w:themeColor="text1"/>
          <w:sz w:val="30"/>
          <w:szCs w:val="30"/>
          <w14:textFill>
            <w14:solidFill>
              <w14:schemeClr w14:val="tx1"/>
            </w14:solidFill>
          </w14:textFill>
        </w:rPr>
        <w:t>严惩环境违法违规行为</w:t>
      </w:r>
      <w:r>
        <w:rPr>
          <w:rFonts w:hint="eastAsia" w:ascii="仿宋" w:hAnsi="仿宋" w:eastAsia="仿宋" w:cs="仿宋"/>
          <w:b/>
          <w:bCs/>
          <w:color w:val="000000" w:themeColor="text1"/>
          <w:sz w:val="30"/>
          <w:szCs w:val="30"/>
          <w:lang w:eastAsia="zh-CN"/>
          <w14:textFill>
            <w14:solidFill>
              <w14:schemeClr w14:val="tx1"/>
            </w14:solidFill>
          </w14:textFill>
        </w:rPr>
        <w:t>。</w:t>
      </w:r>
      <w:r>
        <w:rPr>
          <w:rFonts w:hint="eastAsia" w:ascii="仿宋" w:hAnsi="仿宋" w:eastAsia="仿宋" w:cs="仿宋"/>
          <w:kern w:val="2"/>
          <w:sz w:val="30"/>
          <w:szCs w:val="30"/>
          <w:lang w:val="en-US" w:eastAsia="zh-CN" w:bidi="ar-SA"/>
        </w:rPr>
        <w:t>今年以来，道县生态环境综合行政执法大队共出动执法人员约</w:t>
      </w:r>
      <w:r>
        <w:rPr>
          <w:rFonts w:hint="eastAsia" w:ascii="仿宋" w:hAnsi="仿宋" w:eastAsia="仿宋" w:cs="仿宋"/>
          <w:sz w:val="30"/>
          <w:szCs w:val="30"/>
          <w:lang w:val="en-US" w:eastAsia="zh-CN"/>
        </w:rPr>
        <w:t>1112</w:t>
      </w:r>
      <w:r>
        <w:rPr>
          <w:rFonts w:hint="eastAsia" w:ascii="仿宋" w:hAnsi="仿宋" w:eastAsia="仿宋" w:cs="仿宋"/>
          <w:kern w:val="2"/>
          <w:sz w:val="30"/>
          <w:szCs w:val="30"/>
          <w:lang w:val="en-US" w:eastAsia="zh-CN" w:bidi="ar-SA"/>
        </w:rPr>
        <w:t>余人次，共对辖区范围内企业下达责令改正通知99份，下达处罚决定书26份。受理环境信访件68件，按要求进行了现场调查处理，信访处置率100%，对发现的环境违法行为依法责令企业进行了整改。</w:t>
      </w:r>
      <w:r>
        <w:rPr>
          <w:rFonts w:hint="eastAsia" w:ascii="仿宋" w:hAnsi="仿宋" w:eastAsia="仿宋" w:cs="仿宋"/>
          <w:b/>
          <w:bCs/>
          <w:kern w:val="2"/>
          <w:sz w:val="30"/>
          <w:szCs w:val="30"/>
          <w:lang w:val="en-US" w:eastAsia="zh-CN" w:bidi="ar-SA"/>
        </w:rPr>
        <w:t>二是</w:t>
      </w:r>
      <w:r>
        <w:rPr>
          <w:rFonts w:hint="eastAsia" w:ascii="仿宋" w:hAnsi="仿宋" w:eastAsia="仿宋" w:cs="仿宋"/>
          <w:b/>
          <w:bCs/>
          <w:color w:val="auto"/>
          <w:sz w:val="30"/>
          <w:szCs w:val="30"/>
          <w:lang w:val="en-US" w:eastAsia="zh-CN"/>
        </w:rPr>
        <w:t>持续开展“利剑”行动。</w:t>
      </w:r>
      <w:r>
        <w:rPr>
          <w:rFonts w:hint="eastAsia" w:ascii="仿宋" w:hAnsi="仿宋" w:eastAsia="仿宋" w:cs="仿宋"/>
          <w:color w:val="auto"/>
          <w:sz w:val="30"/>
          <w:szCs w:val="30"/>
          <w:lang w:val="en-US" w:eastAsia="zh-CN"/>
        </w:rPr>
        <w:t>联合</w:t>
      </w:r>
      <w:r>
        <w:rPr>
          <w:rFonts w:hint="eastAsia" w:ascii="仿宋" w:hAnsi="仿宋" w:eastAsia="仿宋" w:cs="仿宋"/>
          <w:sz w:val="30"/>
          <w:szCs w:val="30"/>
        </w:rPr>
        <w:t>有关职能</w:t>
      </w:r>
      <w:r>
        <w:rPr>
          <w:rFonts w:hint="eastAsia" w:ascii="仿宋" w:hAnsi="仿宋" w:eastAsia="仿宋" w:cs="仿宋"/>
          <w:color w:val="auto"/>
          <w:sz w:val="30"/>
          <w:szCs w:val="30"/>
        </w:rPr>
        <w:t>部门</w:t>
      </w:r>
      <w:r>
        <w:rPr>
          <w:rFonts w:hint="eastAsia" w:ascii="仿宋" w:hAnsi="仿宋" w:eastAsia="仿宋" w:cs="仿宋"/>
          <w:color w:val="auto"/>
          <w:sz w:val="30"/>
          <w:szCs w:val="30"/>
          <w:lang w:eastAsia="zh-CN"/>
        </w:rPr>
        <w:t>、乡镇街道</w:t>
      </w:r>
      <w:r>
        <w:rPr>
          <w:rFonts w:hint="eastAsia" w:ascii="仿宋" w:hAnsi="仿宋" w:eastAsia="仿宋" w:cs="仿宋"/>
          <w:color w:val="auto"/>
          <w:sz w:val="30"/>
          <w:szCs w:val="30"/>
          <w:lang w:val="en-US" w:eastAsia="zh-CN"/>
        </w:rPr>
        <w:t>继续</w:t>
      </w:r>
      <w:r>
        <w:rPr>
          <w:rFonts w:hint="eastAsia" w:ascii="仿宋" w:hAnsi="仿宋" w:eastAsia="仿宋" w:cs="仿宋"/>
          <w:color w:val="auto"/>
          <w:sz w:val="30"/>
          <w:szCs w:val="30"/>
        </w:rPr>
        <w:t>开展常态</w:t>
      </w:r>
      <w:r>
        <w:rPr>
          <w:rFonts w:hint="eastAsia" w:ascii="仿宋" w:hAnsi="仿宋" w:eastAsia="仿宋" w:cs="仿宋"/>
          <w:sz w:val="30"/>
          <w:szCs w:val="30"/>
        </w:rPr>
        <w:t>化</w:t>
      </w:r>
      <w:r>
        <w:rPr>
          <w:rFonts w:hint="eastAsia" w:ascii="仿宋" w:hAnsi="仿宋" w:eastAsia="仿宋" w:cs="仿宋"/>
          <w:sz w:val="30"/>
          <w:szCs w:val="30"/>
          <w:lang w:val="en"/>
        </w:rPr>
        <w:t>排查，</w:t>
      </w:r>
      <w:r>
        <w:rPr>
          <w:rFonts w:hint="eastAsia" w:ascii="仿宋" w:hAnsi="仿宋" w:eastAsia="仿宋" w:cs="仿宋"/>
          <w:sz w:val="30"/>
          <w:szCs w:val="30"/>
        </w:rPr>
        <w:t>对辖区内或所监管行业领域内的生态环境风险隐患问题</w:t>
      </w:r>
      <w:r>
        <w:rPr>
          <w:rFonts w:hint="eastAsia" w:ascii="仿宋" w:hAnsi="仿宋" w:eastAsia="仿宋" w:cs="仿宋"/>
          <w:sz w:val="30"/>
          <w:szCs w:val="30"/>
          <w:lang w:eastAsia="zh-CN"/>
        </w:rPr>
        <w:t>持续</w:t>
      </w:r>
      <w:r>
        <w:rPr>
          <w:rFonts w:hint="eastAsia" w:ascii="仿宋" w:hAnsi="仿宋" w:eastAsia="仿宋" w:cs="仿宋"/>
          <w:sz w:val="30"/>
          <w:szCs w:val="30"/>
        </w:rPr>
        <w:t>进行动态排查。</w:t>
      </w:r>
      <w:r>
        <w:rPr>
          <w:rFonts w:hint="eastAsia" w:ascii="仿宋" w:hAnsi="仿宋" w:eastAsia="仿宋" w:cs="仿宋"/>
          <w:sz w:val="30"/>
          <w:szCs w:val="30"/>
          <w:lang w:val="en-US" w:eastAsia="zh-CN"/>
        </w:rPr>
        <w:t>全年共</w:t>
      </w:r>
      <w:r>
        <w:rPr>
          <w:rFonts w:hint="eastAsia" w:ascii="仿宋" w:hAnsi="仿宋" w:eastAsia="仿宋" w:cs="仿宋"/>
          <w:sz w:val="30"/>
          <w:szCs w:val="30"/>
        </w:rPr>
        <w:t>排查涉及12大类生态环境风险隐患问题</w:t>
      </w:r>
      <w:r>
        <w:rPr>
          <w:rFonts w:hint="eastAsia" w:ascii="仿宋" w:hAnsi="仿宋" w:eastAsia="仿宋" w:cs="仿宋"/>
          <w:sz w:val="30"/>
          <w:szCs w:val="30"/>
          <w:lang w:val="en-US" w:eastAsia="zh-CN"/>
        </w:rPr>
        <w:t>122</w:t>
      </w:r>
      <w:r>
        <w:rPr>
          <w:rFonts w:hint="eastAsia" w:ascii="仿宋" w:hAnsi="仿宋" w:eastAsia="仿宋" w:cs="仿宋"/>
          <w:sz w:val="30"/>
          <w:szCs w:val="30"/>
        </w:rPr>
        <w:t>个，已整改到位</w:t>
      </w:r>
      <w:r>
        <w:rPr>
          <w:rFonts w:hint="eastAsia" w:ascii="仿宋" w:hAnsi="仿宋" w:eastAsia="仿宋" w:cs="仿宋"/>
          <w:sz w:val="30"/>
          <w:szCs w:val="30"/>
          <w:lang w:val="en-US" w:eastAsia="zh-CN"/>
        </w:rPr>
        <w:t>119</w:t>
      </w:r>
      <w:r>
        <w:rPr>
          <w:rFonts w:hint="eastAsia" w:ascii="仿宋" w:hAnsi="仿宋" w:eastAsia="仿宋" w:cs="仿宋"/>
          <w:sz w:val="30"/>
          <w:szCs w:val="30"/>
        </w:rPr>
        <w:t>个，整改完成率</w:t>
      </w:r>
      <w:r>
        <w:rPr>
          <w:rFonts w:hint="eastAsia" w:ascii="仿宋" w:hAnsi="仿宋" w:eastAsia="仿宋" w:cs="仿宋"/>
          <w:sz w:val="30"/>
          <w:szCs w:val="30"/>
          <w:lang w:val="en-US" w:eastAsia="zh-CN"/>
        </w:rPr>
        <w:t>97.54</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b/>
          <w:bCs/>
          <w:color w:val="auto"/>
          <w:sz w:val="30"/>
          <w:szCs w:val="30"/>
          <w:lang w:val="en-US" w:eastAsia="zh-CN"/>
        </w:rPr>
        <w:t>三是推进执法机构规范化建设。</w:t>
      </w:r>
      <w:r>
        <w:rPr>
          <w:rFonts w:hint="eastAsia" w:ascii="仿宋" w:hAnsi="仿宋" w:eastAsia="仿宋" w:cs="仿宋"/>
          <w:kern w:val="2"/>
          <w:sz w:val="30"/>
          <w:szCs w:val="30"/>
          <w:lang w:val="en-US" w:eastAsia="zh-CN" w:bidi="ar-SA"/>
        </w:rPr>
        <w:t>新购置一辆执法车辆，投入27.1489万元资金，新配备了执法记录仪、测距仪器、多参数气体检测仪、热成像仪等执法装备，强化了装备能力，提升了执法效能和执法监管能力。</w:t>
      </w:r>
      <w:r>
        <w:rPr>
          <w:rFonts w:hint="eastAsia" w:ascii="仿宋" w:hAnsi="仿宋" w:eastAsia="仿宋" w:cs="仿宋"/>
          <w:b/>
          <w:bCs/>
          <w:sz w:val="30"/>
          <w:szCs w:val="30"/>
          <w:lang w:val="en-US" w:eastAsia="zh-CN"/>
        </w:rPr>
        <w:t>四是</w:t>
      </w:r>
      <w:r>
        <w:rPr>
          <w:rFonts w:hint="eastAsia" w:ascii="仿宋" w:hAnsi="仿宋" w:eastAsia="仿宋" w:cs="仿宋"/>
          <w:b/>
          <w:bCs/>
          <w:sz w:val="30"/>
          <w:szCs w:val="30"/>
        </w:rPr>
        <w:t>持续深化“放管服”改革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我局</w:t>
      </w:r>
      <w:r>
        <w:rPr>
          <w:rFonts w:hint="eastAsia" w:ascii="仿宋" w:hAnsi="仿宋" w:eastAsia="仿宋" w:cs="仿宋"/>
          <w:kern w:val="2"/>
          <w:sz w:val="30"/>
          <w:szCs w:val="30"/>
          <w:lang w:val="en-US" w:eastAsia="zh-CN" w:bidi="ar-SA"/>
        </w:rPr>
        <w:t>持续加大对企业的帮扶力度，</w:t>
      </w:r>
      <w:r>
        <w:rPr>
          <w:rFonts w:hint="eastAsia" w:ascii="仿宋" w:hAnsi="仿宋" w:eastAsia="仿宋" w:cs="仿宋"/>
          <w:color w:val="000000"/>
          <w:kern w:val="2"/>
          <w:sz w:val="30"/>
          <w:szCs w:val="30"/>
          <w:lang w:val="en-US" w:eastAsia="zh-CN" w:bidi="ar-SA"/>
        </w:rPr>
        <w:t>积极主动服务省重点项目——湖南紫金锂业采选冶产业链，3月份，湖南紫金锂多金属新材料有限公司在办理年产6万吨碳酸锂（电池级）项目一期工程环评手续时，我局积极向省市主管部门汇报，使企业在最短时间内拿到了市局的环评批复。今年</w:t>
      </w:r>
      <w:r>
        <w:rPr>
          <w:rFonts w:hint="eastAsia" w:ascii="仿宋" w:hAnsi="仿宋" w:eastAsia="仿宋" w:cs="仿宋"/>
          <w:sz w:val="30"/>
          <w:szCs w:val="30"/>
          <w:lang w:val="en-US" w:eastAsia="zh-CN"/>
        </w:rPr>
        <w:t>环评审批项目22个，排污许可证审批23家。</w:t>
      </w:r>
    </w:p>
    <w:p w14:paraId="6D8C04D5">
      <w:pPr>
        <w:keepNext w:val="0"/>
        <w:keepLines w:val="0"/>
        <w:pageBreakBefore w:val="0"/>
        <w:widowControl w:val="0"/>
        <w:numPr>
          <w:ilvl w:val="0"/>
          <w:numId w:val="0"/>
        </w:numPr>
        <w:kinsoku/>
        <w:wordWrap/>
        <w:overflowPunct/>
        <w:autoSpaceDE/>
        <w:autoSpaceDN/>
        <w:bidi w:val="0"/>
        <w:adjustRightInd/>
        <w:snapToGrid/>
        <w:spacing w:line="560" w:lineRule="exact"/>
        <w:ind w:firstLine="602"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）坚持问题导向，狠抓生态环境问题整改。</w:t>
      </w:r>
      <w:r>
        <w:rPr>
          <w:rFonts w:hint="eastAsia" w:ascii="仿宋" w:hAnsi="仿宋" w:eastAsia="仿宋" w:cs="仿宋"/>
          <w:b/>
          <w:bCs/>
          <w:kern w:val="0"/>
          <w:sz w:val="30"/>
          <w:szCs w:val="30"/>
          <w:lang w:val="en-US" w:eastAsia="zh-CN" w:bidi="ar"/>
        </w:rPr>
        <w:t>一是抓实</w:t>
      </w:r>
      <w:r>
        <w:rPr>
          <w:rFonts w:hint="eastAsia" w:ascii="仿宋" w:hAnsi="仿宋" w:eastAsia="仿宋" w:cs="仿宋"/>
          <w:b/>
          <w:bCs/>
          <w:color w:val="000000"/>
          <w:sz w:val="30"/>
          <w:szCs w:val="30"/>
          <w:lang w:val="en-US" w:eastAsia="zh-CN"/>
        </w:rPr>
        <w:t>中央、省环保督察问题整改。</w:t>
      </w:r>
      <w:r>
        <w:rPr>
          <w:rFonts w:hint="eastAsia" w:ascii="仿宋" w:hAnsi="仿宋" w:eastAsia="仿宋" w:cs="仿宋"/>
          <w:color w:val="000000"/>
          <w:sz w:val="30"/>
          <w:szCs w:val="30"/>
          <w:lang w:val="en-US" w:eastAsia="zh-CN"/>
        </w:rPr>
        <w:t>今年，我县省环保督察暗访和信访件共25件，已办结23件，其余2件已上报阶段性办结。中央环保督察信访件17件，涉及紫金矿业、上关东进、华新水泥厂等多个企业和项目的环境问题，现已办结16件，其余1件“宁远、道县污水处理厂未正常运行”的问题已制定整改方案并上报阶段性办结。中央环保督察反馈问题11件，正在有序推进中。</w:t>
      </w:r>
      <w:r>
        <w:rPr>
          <w:rFonts w:hint="eastAsia" w:ascii="仿宋" w:hAnsi="仿宋" w:eastAsia="仿宋" w:cs="仿宋"/>
          <w:b/>
          <w:bCs/>
          <w:color w:val="000000"/>
          <w:sz w:val="30"/>
          <w:szCs w:val="30"/>
          <w:lang w:val="en-US" w:eastAsia="zh-CN"/>
        </w:rPr>
        <w:t>二是认真配合省厅党组专项巡察。</w:t>
      </w:r>
      <w:r>
        <w:rPr>
          <w:rFonts w:hint="eastAsia" w:ascii="仿宋" w:hAnsi="仿宋" w:eastAsia="仿宋" w:cs="仿宋"/>
          <w:color w:val="000000"/>
          <w:sz w:val="30"/>
          <w:szCs w:val="30"/>
          <w:lang w:val="en-US" w:eastAsia="zh-CN"/>
        </w:rPr>
        <w:t>8月23日，省生态环境厅党组第十一巡察组第二小组进驻我局开展专项巡察，我局积极配合巡察小组工作，对2022年以来的执法案卷、党建、财务、党组会议等资料进行重点调阅，对巡察组交办的2个工会福利发放问题进行立行立改，并按要求及时上报销号。</w:t>
      </w:r>
    </w:p>
    <w:p w14:paraId="5FE936BF">
      <w:pPr>
        <w:keepNext w:val="0"/>
        <w:keepLines w:val="0"/>
        <w:pageBreakBefore w:val="0"/>
        <w:widowControl w:val="0"/>
        <w:numPr>
          <w:ilvl w:val="0"/>
          <w:numId w:val="0"/>
        </w:numPr>
        <w:kinsoku/>
        <w:wordWrap/>
        <w:overflowPunct/>
        <w:autoSpaceDE/>
        <w:autoSpaceDN/>
        <w:bidi w:val="0"/>
        <w:adjustRightInd/>
        <w:snapToGrid/>
        <w:spacing w:line="560" w:lineRule="exact"/>
        <w:ind w:firstLine="602"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b/>
          <w:bCs/>
          <w:color w:val="000000"/>
          <w:sz w:val="30"/>
          <w:szCs w:val="30"/>
          <w:lang w:val="en-US" w:eastAsia="zh-CN"/>
        </w:rPr>
        <w:t>（5）坚持项目为先，全力跑项争资。</w:t>
      </w:r>
      <w:r>
        <w:rPr>
          <w:rFonts w:hint="eastAsia" w:ascii="仿宋" w:hAnsi="仿宋" w:eastAsia="仿宋" w:cs="仿宋"/>
          <w:color w:val="000000"/>
          <w:sz w:val="30"/>
          <w:szCs w:val="30"/>
          <w:lang w:val="en-US" w:eastAsia="zh-CN"/>
        </w:rPr>
        <w:t>全年争取到位资金6400万元，完成年度任务的200%，其中：道县潇水流域水生态综合治理及修复工程资金2640万元，原道县化工厂地块土壤污染治理项目资金2160万元，道县潇水流城下游片区农村生活污水治理工程资金1200万元，道县寿雁镇农村环境整治示范乡(镇)项目资金400万元，道县潇水流域下游片区农村生活污水治理工程资金750万元。</w:t>
      </w:r>
    </w:p>
    <w:p w14:paraId="33E757C0">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b/>
          <w:bCs/>
          <w:sz w:val="30"/>
          <w:szCs w:val="30"/>
          <w:lang w:val="en-US" w:eastAsia="zh-CN"/>
        </w:rPr>
        <w:t>（6）坚持党建引领，着力打造生态环境铁军队伍。一</w:t>
      </w:r>
      <w:r>
        <w:rPr>
          <w:rFonts w:hint="eastAsia" w:ascii="仿宋" w:hAnsi="仿宋" w:eastAsia="仿宋" w:cs="仿宋"/>
          <w:b/>
          <w:bCs/>
          <w:sz w:val="30"/>
          <w:szCs w:val="30"/>
          <w:u w:val="none"/>
          <w:lang w:val="en-US" w:eastAsia="zh-CN"/>
        </w:rPr>
        <w:t>是扎实开展党纪学习教育。</w:t>
      </w:r>
      <w:r>
        <w:rPr>
          <w:rFonts w:hint="eastAsia" w:ascii="仿宋" w:hAnsi="仿宋" w:eastAsia="仿宋" w:cs="仿宋"/>
          <w:sz w:val="30"/>
          <w:szCs w:val="30"/>
          <w:u w:val="none"/>
          <w:lang w:val="en-US" w:eastAsia="zh-CN"/>
        </w:rPr>
        <w:t>从4月起组织开展党纪学习教育活动，先后开展了纪律处分条例研讨，政治纪律组织纪律研讨，廉洁纪律群众纪律研讨，工作纪律生活纪律研讨，已召开理论中心组集体学习会议12次。</w:t>
      </w:r>
      <w:r>
        <w:rPr>
          <w:rFonts w:hint="eastAsia" w:ascii="仿宋" w:hAnsi="仿宋" w:eastAsia="仿宋" w:cs="仿宋"/>
          <w:sz w:val="30"/>
          <w:szCs w:val="30"/>
          <w:u w:val="none"/>
          <w:lang w:val="en-US" w:eastAsia="en-US"/>
        </w:rPr>
        <w:t>6月</w:t>
      </w:r>
      <w:r>
        <w:rPr>
          <w:rFonts w:hint="eastAsia" w:ascii="仿宋" w:hAnsi="仿宋" w:eastAsia="仿宋" w:cs="仿宋"/>
          <w:sz w:val="30"/>
          <w:szCs w:val="30"/>
          <w:u w:val="none"/>
          <w:lang w:val="en-US" w:eastAsia="zh-CN"/>
        </w:rPr>
        <w:t>份，我局</w:t>
      </w:r>
      <w:r>
        <w:rPr>
          <w:rFonts w:hint="eastAsia" w:ascii="仿宋" w:hAnsi="仿宋" w:eastAsia="仿宋" w:cs="仿宋"/>
          <w:sz w:val="30"/>
          <w:szCs w:val="30"/>
          <w:u w:val="none"/>
          <w:lang w:val="en-US" w:eastAsia="en-US"/>
        </w:rPr>
        <w:t>组织全体干部职工赴</w:t>
      </w:r>
      <w:r>
        <w:rPr>
          <w:rFonts w:hint="eastAsia" w:ascii="仿宋" w:hAnsi="仿宋" w:eastAsia="仿宋" w:cs="仿宋"/>
          <w:sz w:val="30"/>
          <w:szCs w:val="30"/>
          <w:u w:val="none"/>
          <w:lang w:val="en-US" w:eastAsia="zh-CN"/>
        </w:rPr>
        <w:t>县</w:t>
      </w:r>
      <w:r>
        <w:rPr>
          <w:rFonts w:hint="eastAsia" w:ascii="仿宋" w:hAnsi="仿宋" w:eastAsia="仿宋" w:cs="仿宋"/>
          <w:sz w:val="30"/>
          <w:szCs w:val="30"/>
          <w:u w:val="none"/>
          <w:lang w:val="en-US" w:eastAsia="en-US"/>
        </w:rPr>
        <w:t>看守所开展警示教育活动</w:t>
      </w:r>
      <w:r>
        <w:rPr>
          <w:rFonts w:hint="eastAsia" w:ascii="仿宋" w:hAnsi="仿宋" w:eastAsia="仿宋" w:cs="仿宋"/>
          <w:sz w:val="30"/>
          <w:szCs w:val="30"/>
          <w:u w:val="none"/>
          <w:lang w:val="en-US" w:eastAsia="zh-CN"/>
        </w:rPr>
        <w:t>。通过党纪学习教育，</w:t>
      </w:r>
      <w:r>
        <w:rPr>
          <w:rFonts w:hint="eastAsia" w:ascii="仿宋" w:hAnsi="仿宋" w:eastAsia="仿宋" w:cs="仿宋"/>
          <w:sz w:val="30"/>
          <w:szCs w:val="30"/>
          <w:u w:val="none"/>
          <w:lang w:val="en-US" w:eastAsia="en-US"/>
        </w:rPr>
        <w:t>进一步</w:t>
      </w:r>
      <w:r>
        <w:rPr>
          <w:rFonts w:hint="eastAsia" w:ascii="仿宋" w:hAnsi="仿宋" w:eastAsia="仿宋" w:cs="仿宋"/>
          <w:sz w:val="30"/>
          <w:szCs w:val="30"/>
          <w:u w:val="none"/>
          <w:lang w:val="en-US" w:eastAsia="zh-CN"/>
        </w:rPr>
        <w:t>增强党员同志的</w:t>
      </w:r>
      <w:r>
        <w:rPr>
          <w:rFonts w:hint="eastAsia" w:ascii="仿宋" w:hAnsi="仿宋" w:eastAsia="仿宋" w:cs="仿宋"/>
          <w:sz w:val="30"/>
          <w:szCs w:val="30"/>
          <w:u w:val="none"/>
          <w:lang w:val="en-US" w:eastAsia="en-US"/>
        </w:rPr>
        <w:t>政治定力、纪律定力、道德定力、抵腐定力</w:t>
      </w:r>
      <w:r>
        <w:rPr>
          <w:rFonts w:hint="eastAsia" w:ascii="仿宋" w:hAnsi="仿宋" w:eastAsia="仿宋" w:cs="仿宋"/>
          <w:sz w:val="30"/>
          <w:szCs w:val="30"/>
          <w:u w:val="none"/>
          <w:lang w:val="en-US" w:eastAsia="zh-CN"/>
        </w:rPr>
        <w:t>和廉洁自律意识。</w:t>
      </w:r>
      <w:r>
        <w:rPr>
          <w:rFonts w:hint="eastAsia" w:ascii="仿宋" w:hAnsi="仿宋" w:eastAsia="仿宋" w:cs="仿宋"/>
          <w:b/>
          <w:bCs/>
          <w:sz w:val="30"/>
          <w:szCs w:val="30"/>
          <w:u w:val="none"/>
          <w:lang w:val="en-US" w:eastAsia="zh-CN"/>
        </w:rPr>
        <w:t>二是深入开展群腐工作。</w:t>
      </w:r>
      <w:r>
        <w:rPr>
          <w:rFonts w:hint="eastAsia" w:ascii="仿宋" w:hAnsi="仿宋" w:eastAsia="仿宋" w:cs="仿宋"/>
          <w:b w:val="0"/>
          <w:bCs w:val="0"/>
          <w:i w:val="0"/>
          <w:iCs w:val="0"/>
          <w:caps w:val="0"/>
          <w:color w:val="000000" w:themeColor="text1"/>
          <w:spacing w:val="0"/>
          <w:sz w:val="30"/>
          <w:szCs w:val="30"/>
          <w:u w:val="none"/>
          <w:shd w:val="clear" w:fill="FFFFFF"/>
          <w:lang w:val="en-US" w:eastAsia="zh-CN"/>
          <w14:textFill>
            <w14:solidFill>
              <w14:schemeClr w14:val="tx1"/>
            </w14:solidFill>
          </w14:textFill>
        </w:rPr>
        <w:t>我局制定了《2024年生态环境领域不正之风和腐败问题专项整治实施方案》，建立道县生态环保领域集中整治工作成果指标汇总台账、中央及省环保领域问题台账、为民办实事认领台账及集中整治建章立制台账。目前，共移交生态环境领域问题线</w:t>
      </w:r>
      <w:r>
        <w:rPr>
          <w:rFonts w:hint="eastAsia" w:ascii="仿宋" w:hAnsi="仿宋" w:eastAsia="仿宋" w:cs="仿宋"/>
          <w:color w:val="000000" w:themeColor="text1"/>
          <w:kern w:val="2"/>
          <w:sz w:val="30"/>
          <w:szCs w:val="30"/>
          <w:lang w:val="en-US" w:eastAsia="zh-CN" w:bidi="ar-SA"/>
          <w14:textFill>
            <w14:solidFill>
              <w14:schemeClr w14:val="tx1"/>
            </w14:solidFill>
          </w14:textFill>
        </w:rPr>
        <w:t>索11个，立案3起。</w:t>
      </w:r>
      <w:r>
        <w:rPr>
          <w:rFonts w:hint="eastAsia" w:ascii="仿宋" w:hAnsi="仿宋" w:eastAsia="仿宋" w:cs="仿宋"/>
          <w:b/>
          <w:bCs/>
          <w:sz w:val="30"/>
          <w:szCs w:val="30"/>
          <w:u w:val="none"/>
          <w:lang w:val="en-US" w:eastAsia="zh-CN"/>
        </w:rPr>
        <w:t>三是全面纠治“一刀切”工作。</w:t>
      </w:r>
      <w:r>
        <w:rPr>
          <w:rFonts w:hint="eastAsia" w:ascii="仿宋" w:hAnsi="仿宋" w:eastAsia="仿宋" w:cs="仿宋"/>
          <w:i w:val="0"/>
          <w:color w:val="000000"/>
          <w:spacing w:val="0"/>
          <w:kern w:val="0"/>
          <w:sz w:val="30"/>
          <w:szCs w:val="30"/>
          <w:lang w:val="en-US" w:eastAsia="zh-CN" w:bidi="ar"/>
        </w:rPr>
        <w:t>9月</w:t>
      </w:r>
      <w:r>
        <w:rPr>
          <w:rFonts w:hint="eastAsia" w:ascii="仿宋" w:hAnsi="仿宋" w:eastAsia="仿宋" w:cs="仿宋"/>
          <w:color w:val="000000"/>
          <w:kern w:val="2"/>
          <w:sz w:val="30"/>
          <w:szCs w:val="30"/>
          <w:lang w:val="en-US" w:eastAsia="zh-CN" w:bidi="ar-SA"/>
        </w:rPr>
        <w:t>份，全面开展了</w:t>
      </w:r>
      <w:r>
        <w:rPr>
          <w:rFonts w:hint="eastAsia" w:ascii="仿宋" w:hAnsi="仿宋" w:eastAsia="仿宋" w:cs="仿宋"/>
          <w:sz w:val="30"/>
          <w:szCs w:val="30"/>
          <w:lang w:val="en-US" w:eastAsia="zh-CN"/>
        </w:rPr>
        <w:t>纠治打着环保幌子搞“一刀切”问题集中整治</w:t>
      </w:r>
      <w:r>
        <w:rPr>
          <w:rFonts w:hint="eastAsia" w:ascii="仿宋" w:hAnsi="仿宋" w:eastAsia="仿宋" w:cs="仿宋"/>
          <w:color w:val="000000"/>
          <w:kern w:val="2"/>
          <w:sz w:val="30"/>
          <w:szCs w:val="30"/>
          <w:lang w:val="en-US" w:eastAsia="zh-CN" w:bidi="ar-SA"/>
        </w:rPr>
        <w:t>，上报问题线索2个。分别是</w:t>
      </w:r>
      <w:r>
        <w:rPr>
          <w:rFonts w:hint="eastAsia" w:ascii="仿宋" w:hAnsi="仿宋" w:eastAsia="仿宋" w:cs="仿宋"/>
          <w:b w:val="0"/>
          <w:bCs w:val="0"/>
          <w:color w:val="000000"/>
          <w:kern w:val="2"/>
          <w:sz w:val="30"/>
          <w:szCs w:val="30"/>
          <w:lang w:val="en-US" w:eastAsia="zh-CN" w:bidi="ar-SA"/>
        </w:rPr>
        <w:t>：</w:t>
      </w:r>
      <w:r>
        <w:rPr>
          <w:rFonts w:hint="eastAsia" w:ascii="仿宋" w:hAnsi="仿宋" w:eastAsia="仿宋" w:cs="仿宋"/>
          <w:b w:val="0"/>
          <w:bCs w:val="0"/>
          <w:sz w:val="30"/>
          <w:szCs w:val="30"/>
          <w:lang w:val="en-US" w:eastAsia="zh-CN"/>
        </w:rPr>
        <w:t>①县城及各乡镇秸秆禁烧存在“一刀切”问题；②华新水泥（道县）有限公司大气特护期道县区域空气质量未达到停窑情况下停窑。</w:t>
      </w:r>
      <w:r>
        <w:rPr>
          <w:rFonts w:hint="eastAsia" w:ascii="仿宋" w:hAnsi="仿宋" w:eastAsia="仿宋" w:cs="仿宋"/>
          <w:color w:val="000000"/>
          <w:kern w:val="2"/>
          <w:sz w:val="30"/>
          <w:szCs w:val="30"/>
          <w:lang w:val="en-US" w:eastAsia="zh-CN" w:bidi="ar-SA"/>
        </w:rPr>
        <w:t>同时制定了为民办实事清单，局领导班子成员带头领办涉及养殖污染，噪声扰民和改善环境质量等民生实事共10件</w:t>
      </w:r>
      <w:r>
        <w:rPr>
          <w:rFonts w:hint="eastAsia" w:ascii="仿宋" w:hAnsi="仿宋" w:eastAsia="仿宋" w:cs="仿宋"/>
          <w:color w:val="000000"/>
          <w:kern w:val="2"/>
          <w:sz w:val="30"/>
          <w:szCs w:val="30"/>
          <w:lang w:val="en" w:eastAsia="zh-CN" w:bidi="ar-SA"/>
        </w:rPr>
        <w:t>，</w:t>
      </w:r>
      <w:r>
        <w:rPr>
          <w:rFonts w:hint="eastAsia" w:ascii="仿宋" w:hAnsi="仿宋" w:eastAsia="仿宋" w:cs="仿宋"/>
          <w:color w:val="000000"/>
          <w:kern w:val="2"/>
          <w:sz w:val="30"/>
          <w:szCs w:val="30"/>
          <w:lang w:val="en-US" w:eastAsia="zh-CN" w:bidi="ar-SA"/>
        </w:rPr>
        <w:t>已全部办结。</w:t>
      </w:r>
    </w:p>
    <w:p w14:paraId="1E19FB10">
      <w:pPr>
        <w:pBdr>
          <w:bottom w:val="single" w:color="FFFFFF" w:sz="4" w:space="20"/>
        </w:pBdr>
        <w:topLinePunct/>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二、收入支出预算执行情况分析</w:t>
      </w:r>
    </w:p>
    <w:p w14:paraId="7188E68E">
      <w:pPr>
        <w:pBdr>
          <w:bottom w:val="single" w:color="FFFFFF" w:sz="4" w:space="20"/>
        </w:pBdr>
        <w:topLinePunct/>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（一）收入支出预算安排情况</w:t>
      </w:r>
    </w:p>
    <w:p w14:paraId="09227A63">
      <w:p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w:t>
      </w:r>
      <w:r>
        <w:rPr>
          <w:rFonts w:hint="eastAsia" w:ascii="仿宋" w:hAnsi="仿宋" w:eastAsia="仿宋" w:cs="仿宋"/>
          <w:sz w:val="30"/>
          <w:szCs w:val="30"/>
          <w:lang w:eastAsia="zh-CN"/>
        </w:rPr>
        <w:t>收入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664.86</w:t>
      </w:r>
      <w:r>
        <w:rPr>
          <w:rFonts w:hint="eastAsia" w:ascii="仿宋" w:hAnsi="仿宋" w:eastAsia="仿宋" w:cs="仿宋"/>
          <w:sz w:val="30"/>
          <w:szCs w:val="30"/>
        </w:rPr>
        <w:t>万元，其中，一般公共预算拨款</w:t>
      </w:r>
      <w:r>
        <w:rPr>
          <w:rFonts w:hint="eastAsia" w:ascii="仿宋" w:hAnsi="仿宋" w:eastAsia="仿宋" w:cs="仿宋"/>
          <w:sz w:val="30"/>
          <w:szCs w:val="30"/>
          <w:u w:val="single"/>
          <w:lang w:val="en-US" w:eastAsia="zh-CN"/>
        </w:rPr>
        <w:t xml:space="preserve"> 583.26</w:t>
      </w:r>
      <w:r>
        <w:rPr>
          <w:rFonts w:hint="eastAsia" w:ascii="仿宋" w:hAnsi="仿宋" w:eastAsia="仿宋" w:cs="仿宋"/>
          <w:sz w:val="30"/>
          <w:szCs w:val="30"/>
          <w:u w:val="single"/>
        </w:rPr>
        <w:t xml:space="preserve"> </w:t>
      </w:r>
      <w:r>
        <w:rPr>
          <w:rFonts w:hint="eastAsia" w:ascii="仿宋" w:hAnsi="仿宋" w:eastAsia="仿宋" w:cs="仿宋"/>
          <w:sz w:val="30"/>
          <w:szCs w:val="30"/>
        </w:rPr>
        <w:t>万元，政府性基金预算财政拨款</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 81.6</w:t>
      </w:r>
      <w:r>
        <w:rPr>
          <w:rFonts w:hint="eastAsia" w:ascii="仿宋" w:hAnsi="仿宋" w:eastAsia="仿宋" w:cs="仿宋"/>
          <w:sz w:val="30"/>
          <w:szCs w:val="30"/>
          <w:u w:val="single"/>
        </w:rPr>
        <w:t xml:space="preserve"> </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w:t>
      </w:r>
      <w:r>
        <w:rPr>
          <w:rFonts w:hint="eastAsia" w:ascii="仿宋" w:hAnsi="仿宋" w:eastAsia="仿宋" w:cs="仿宋"/>
          <w:sz w:val="30"/>
          <w:szCs w:val="30"/>
          <w:lang w:eastAsia="zh-CN"/>
        </w:rPr>
        <w:t>支出</w:t>
      </w:r>
      <w:r>
        <w:rPr>
          <w:rFonts w:hint="eastAsia" w:ascii="仿宋" w:hAnsi="仿宋" w:eastAsia="仿宋" w:cs="仿宋"/>
          <w:sz w:val="30"/>
          <w:szCs w:val="30"/>
          <w:u w:val="single"/>
          <w:lang w:val="en-US" w:eastAsia="zh-CN"/>
        </w:rPr>
        <w:t xml:space="preserve"> 664.86</w:t>
      </w:r>
      <w:r>
        <w:rPr>
          <w:rFonts w:hint="eastAsia" w:ascii="仿宋" w:hAnsi="仿宋" w:eastAsia="仿宋" w:cs="仿宋"/>
          <w:sz w:val="30"/>
          <w:szCs w:val="30"/>
        </w:rPr>
        <w:t>万元，其中</w:t>
      </w:r>
      <w:r>
        <w:rPr>
          <w:rFonts w:hint="eastAsia" w:ascii="仿宋" w:hAnsi="仿宋" w:eastAsia="仿宋" w:cs="仿宋"/>
          <w:sz w:val="30"/>
          <w:szCs w:val="30"/>
          <w:lang w:eastAsia="zh-CN"/>
        </w:rPr>
        <w:t>：</w:t>
      </w:r>
      <w:r>
        <w:rPr>
          <w:rFonts w:hint="eastAsia" w:ascii="仿宋" w:hAnsi="仿宋" w:eastAsia="仿宋" w:cs="仿宋"/>
          <w:sz w:val="30"/>
          <w:szCs w:val="30"/>
        </w:rPr>
        <w:t>节能环保支出</w:t>
      </w:r>
      <w:r>
        <w:rPr>
          <w:rFonts w:hint="eastAsia" w:ascii="仿宋" w:hAnsi="仿宋" w:eastAsia="仿宋" w:cs="仿宋"/>
          <w:sz w:val="30"/>
          <w:szCs w:val="30"/>
          <w:u w:val="single"/>
          <w:lang w:val="en-US" w:eastAsia="zh-CN"/>
        </w:rPr>
        <w:t>511.19</w:t>
      </w:r>
      <w:r>
        <w:rPr>
          <w:rFonts w:hint="eastAsia" w:ascii="仿宋" w:hAnsi="仿宋" w:eastAsia="仿宋" w:cs="仿宋"/>
          <w:sz w:val="30"/>
          <w:szCs w:val="30"/>
        </w:rPr>
        <w:t>万元，</w:t>
      </w:r>
      <w:r>
        <w:rPr>
          <w:rFonts w:hint="eastAsia" w:ascii="仿宋" w:hAnsi="仿宋" w:eastAsia="仿宋" w:cs="仿宋"/>
          <w:sz w:val="30"/>
          <w:szCs w:val="30"/>
          <w:lang w:eastAsia="zh-CN"/>
        </w:rPr>
        <w:t>城乡社区</w:t>
      </w:r>
      <w:r>
        <w:rPr>
          <w:rFonts w:hint="eastAsia" w:ascii="仿宋" w:hAnsi="仿宋" w:eastAsia="仿宋" w:cs="仿宋"/>
          <w:sz w:val="30"/>
          <w:szCs w:val="30"/>
        </w:rPr>
        <w:t>支出</w:t>
      </w:r>
      <w:r>
        <w:rPr>
          <w:rFonts w:hint="eastAsia" w:ascii="仿宋" w:hAnsi="仿宋" w:eastAsia="仿宋" w:cs="仿宋"/>
          <w:sz w:val="30"/>
          <w:szCs w:val="30"/>
          <w:u w:val="single"/>
          <w:lang w:val="en-US" w:eastAsia="zh-CN"/>
        </w:rPr>
        <w:t xml:space="preserve"> 153.67</w:t>
      </w:r>
      <w:r>
        <w:rPr>
          <w:rFonts w:hint="eastAsia" w:ascii="仿宋" w:hAnsi="仿宋" w:eastAsia="仿宋" w:cs="仿宋"/>
          <w:sz w:val="30"/>
          <w:szCs w:val="30"/>
        </w:rPr>
        <w:t>万元。</w:t>
      </w:r>
    </w:p>
    <w:p w14:paraId="341ED587">
      <w:pPr>
        <w:numPr>
          <w:ilvl w:val="0"/>
          <w:numId w:val="1"/>
        </w:numPr>
        <w:pBdr>
          <w:bottom w:val="single" w:color="FFFFFF" w:sz="4" w:space="20"/>
        </w:pBdr>
        <w:topLinePunct/>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收入支出预算执行情况。</w:t>
      </w:r>
    </w:p>
    <w:p w14:paraId="053218DD">
      <w:p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本</w:t>
      </w:r>
      <w:r>
        <w:rPr>
          <w:rFonts w:hint="eastAsia" w:ascii="仿宋" w:hAnsi="仿宋" w:eastAsia="仿宋" w:cs="仿宋"/>
          <w:sz w:val="30"/>
          <w:szCs w:val="30"/>
        </w:rPr>
        <w:t>单位</w:t>
      </w:r>
      <w:r>
        <w:rPr>
          <w:rFonts w:hint="eastAsia" w:ascii="仿宋" w:hAnsi="仿宋" w:eastAsia="仿宋" w:cs="仿宋"/>
          <w:sz w:val="30"/>
          <w:szCs w:val="30"/>
          <w:lang w:val="en-US" w:eastAsia="zh-CN"/>
        </w:rPr>
        <w:t>2024</w:t>
      </w:r>
      <w:r>
        <w:rPr>
          <w:rFonts w:hint="eastAsia" w:ascii="仿宋" w:hAnsi="仿宋" w:eastAsia="仿宋" w:cs="仿宋"/>
          <w:sz w:val="30"/>
          <w:szCs w:val="30"/>
        </w:rPr>
        <w:t>年度实际收到的一般公共预算财政拨款收入</w:t>
      </w:r>
      <w:r>
        <w:rPr>
          <w:rFonts w:hint="eastAsia" w:ascii="仿宋" w:hAnsi="仿宋" w:eastAsia="仿宋" w:cs="仿宋"/>
          <w:sz w:val="30"/>
          <w:szCs w:val="30"/>
          <w:u w:val="single"/>
          <w:lang w:val="en-US" w:eastAsia="zh-CN"/>
        </w:rPr>
        <w:t xml:space="preserve"> 583.26</w:t>
      </w:r>
      <w:r>
        <w:rPr>
          <w:rFonts w:hint="eastAsia" w:ascii="仿宋" w:hAnsi="仿宋" w:eastAsia="仿宋" w:cs="仿宋"/>
          <w:sz w:val="30"/>
          <w:szCs w:val="30"/>
        </w:rPr>
        <w:t>万元，政府性基金预算财政拨款</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 81.6</w:t>
      </w:r>
      <w:r>
        <w:rPr>
          <w:rFonts w:hint="eastAsia" w:ascii="仿宋" w:hAnsi="仿宋" w:eastAsia="仿宋" w:cs="仿宋"/>
          <w:sz w:val="30"/>
          <w:szCs w:val="30"/>
          <w:u w:val="single"/>
        </w:rPr>
        <w:t xml:space="preserve"> </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财政部门拨款对账单</w:t>
      </w:r>
      <w:r>
        <w:rPr>
          <w:rFonts w:hint="eastAsia" w:ascii="仿宋" w:hAnsi="仿宋" w:eastAsia="仿宋" w:cs="仿宋"/>
          <w:sz w:val="30"/>
          <w:szCs w:val="30"/>
          <w:u w:val="single"/>
          <w:lang w:val="en-US" w:eastAsia="zh-CN"/>
        </w:rPr>
        <w:t xml:space="preserve"> 664.86</w:t>
      </w:r>
      <w:r>
        <w:rPr>
          <w:rFonts w:hint="eastAsia" w:ascii="仿宋" w:hAnsi="仿宋" w:eastAsia="仿宋" w:cs="仿宋"/>
          <w:sz w:val="30"/>
          <w:szCs w:val="30"/>
        </w:rPr>
        <w:t>万元，差额 0万元</w:t>
      </w:r>
      <w:r>
        <w:rPr>
          <w:rFonts w:hint="eastAsia" w:ascii="仿宋" w:hAnsi="仿宋" w:eastAsia="仿宋" w:cs="仿宋"/>
          <w:sz w:val="30"/>
          <w:szCs w:val="30"/>
          <w:lang w:eastAsia="zh-CN"/>
        </w:rPr>
        <w:t>；</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eastAsia="zh-CN"/>
        </w:rPr>
        <w:t>实际支出</w:t>
      </w:r>
      <w:r>
        <w:rPr>
          <w:rFonts w:hint="eastAsia" w:ascii="仿宋" w:hAnsi="仿宋" w:eastAsia="仿宋" w:cs="仿宋"/>
          <w:sz w:val="30"/>
          <w:szCs w:val="30"/>
        </w:rPr>
        <w:t>数</w:t>
      </w:r>
      <w:r>
        <w:rPr>
          <w:rFonts w:hint="eastAsia" w:ascii="仿宋" w:hAnsi="仿宋" w:eastAsia="仿宋" w:cs="仿宋"/>
          <w:sz w:val="30"/>
          <w:szCs w:val="30"/>
          <w:u w:val="single"/>
          <w:lang w:val="en-US" w:eastAsia="zh-CN"/>
        </w:rPr>
        <w:t>583.26</w:t>
      </w:r>
      <w:r>
        <w:rPr>
          <w:rFonts w:hint="eastAsia" w:ascii="仿宋" w:hAnsi="仿宋" w:eastAsia="仿宋" w:cs="仿宋"/>
          <w:sz w:val="30"/>
          <w:szCs w:val="30"/>
        </w:rPr>
        <w:t>万元，其中</w:t>
      </w:r>
      <w:r>
        <w:rPr>
          <w:rFonts w:hint="eastAsia" w:ascii="仿宋" w:hAnsi="仿宋" w:eastAsia="仿宋" w:cs="仿宋"/>
          <w:sz w:val="30"/>
          <w:szCs w:val="30"/>
          <w:lang w:eastAsia="zh-CN"/>
        </w:rPr>
        <w:t>：</w:t>
      </w:r>
      <w:r>
        <w:rPr>
          <w:rFonts w:hint="eastAsia" w:ascii="仿宋" w:hAnsi="仿宋" w:eastAsia="仿宋" w:cs="仿宋"/>
          <w:sz w:val="30"/>
          <w:szCs w:val="30"/>
        </w:rPr>
        <w:t>节能环保支出</w:t>
      </w:r>
      <w:r>
        <w:rPr>
          <w:rFonts w:hint="eastAsia" w:ascii="仿宋" w:hAnsi="仿宋" w:eastAsia="仿宋" w:cs="仿宋"/>
          <w:sz w:val="30"/>
          <w:szCs w:val="30"/>
          <w:u w:val="single"/>
          <w:lang w:val="en-US" w:eastAsia="zh-CN"/>
        </w:rPr>
        <w:t>511.19</w:t>
      </w:r>
      <w:r>
        <w:rPr>
          <w:rFonts w:hint="eastAsia" w:ascii="仿宋" w:hAnsi="仿宋" w:eastAsia="仿宋" w:cs="仿宋"/>
          <w:sz w:val="30"/>
          <w:szCs w:val="30"/>
        </w:rPr>
        <w:t>万元，</w:t>
      </w:r>
      <w:r>
        <w:rPr>
          <w:rFonts w:hint="eastAsia" w:ascii="仿宋" w:hAnsi="仿宋" w:eastAsia="仿宋" w:cs="仿宋"/>
          <w:sz w:val="30"/>
          <w:szCs w:val="30"/>
          <w:lang w:eastAsia="zh-CN"/>
        </w:rPr>
        <w:t>城乡社区</w:t>
      </w:r>
      <w:r>
        <w:rPr>
          <w:rFonts w:hint="eastAsia" w:ascii="仿宋" w:hAnsi="仿宋" w:eastAsia="仿宋" w:cs="仿宋"/>
          <w:sz w:val="30"/>
          <w:szCs w:val="30"/>
        </w:rPr>
        <w:t>支出</w:t>
      </w:r>
      <w:r>
        <w:rPr>
          <w:rFonts w:hint="eastAsia" w:ascii="仿宋" w:hAnsi="仿宋" w:eastAsia="仿宋" w:cs="仿宋"/>
          <w:sz w:val="30"/>
          <w:szCs w:val="30"/>
          <w:u w:val="single"/>
          <w:lang w:val="en-US" w:eastAsia="zh-CN"/>
        </w:rPr>
        <w:t xml:space="preserve"> 153.67</w:t>
      </w:r>
      <w:r>
        <w:rPr>
          <w:rFonts w:hint="eastAsia" w:ascii="仿宋" w:hAnsi="仿宋" w:eastAsia="仿宋" w:cs="仿宋"/>
          <w:sz w:val="30"/>
          <w:szCs w:val="30"/>
        </w:rPr>
        <w:t>万元。</w:t>
      </w:r>
    </w:p>
    <w:p w14:paraId="0621C93E">
      <w:pPr>
        <w:pBdr>
          <w:bottom w:val="single" w:color="FFFFFF" w:sz="4" w:space="20"/>
        </w:pBdr>
        <w:topLinePunct/>
        <w:spacing w:line="560" w:lineRule="exact"/>
        <w:ind w:firstLine="301" w:firstLineChars="100"/>
        <w:rPr>
          <w:rFonts w:hint="eastAsia" w:ascii="仿宋" w:hAnsi="仿宋" w:eastAsia="仿宋" w:cs="仿宋"/>
          <w:b/>
          <w:bCs/>
          <w:sz w:val="30"/>
          <w:szCs w:val="30"/>
        </w:rPr>
      </w:pPr>
      <w:r>
        <w:rPr>
          <w:rFonts w:hint="eastAsia" w:ascii="仿宋" w:hAnsi="仿宋" w:eastAsia="仿宋" w:cs="仿宋"/>
          <w:b/>
          <w:bCs/>
          <w:sz w:val="30"/>
          <w:szCs w:val="30"/>
        </w:rPr>
        <w:t xml:space="preserve">  1.收入支出与预算对比分析。</w:t>
      </w:r>
    </w:p>
    <w:p w14:paraId="78393A51">
      <w:pPr>
        <w:pBdr>
          <w:bottom w:val="single" w:color="FFFFFF" w:sz="4" w:space="20"/>
        </w:pBdr>
        <w:topLinePunct/>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预、决算差异情况</w:t>
      </w:r>
      <w:r>
        <w:rPr>
          <w:rFonts w:hint="eastAsia" w:ascii="仿宋" w:hAnsi="仿宋" w:eastAsia="仿宋" w:cs="仿宋"/>
          <w:sz w:val="30"/>
          <w:szCs w:val="30"/>
          <w:lang w:eastAsia="zh-CN"/>
        </w:rPr>
        <w:t>：本单位</w:t>
      </w:r>
      <w:r>
        <w:rPr>
          <w:rFonts w:hint="eastAsia" w:ascii="仿宋" w:hAnsi="仿宋" w:eastAsia="仿宋" w:cs="仿宋"/>
          <w:sz w:val="30"/>
          <w:szCs w:val="30"/>
          <w:lang w:val="en-US" w:eastAsia="zh-CN"/>
        </w:rPr>
        <w:t>2024年决算数与预算数持平。</w:t>
      </w:r>
    </w:p>
    <w:p w14:paraId="4BA38874">
      <w:pPr>
        <w:pBdr>
          <w:bottom w:val="single" w:color="FFFFFF" w:sz="4" w:space="20"/>
        </w:pBdr>
        <w:topLinePunct/>
        <w:spacing w:line="560" w:lineRule="exact"/>
        <w:ind w:firstLine="602" w:firstLineChars="200"/>
        <w:rPr>
          <w:rFonts w:hint="eastAsia" w:ascii="仿宋" w:hAnsi="仿宋" w:eastAsia="仿宋" w:cs="仿宋"/>
          <w:sz w:val="30"/>
          <w:szCs w:val="30"/>
          <w:lang w:val="en-US" w:eastAsia="zh-CN"/>
        </w:rPr>
      </w:pPr>
      <w:r>
        <w:rPr>
          <w:rFonts w:hint="eastAsia" w:ascii="仿宋" w:hAnsi="仿宋" w:eastAsia="仿宋" w:cs="仿宋"/>
          <w:b/>
          <w:bCs/>
          <w:sz w:val="30"/>
          <w:szCs w:val="30"/>
        </w:rPr>
        <w:t>2．收入支出结构分析。</w:t>
      </w:r>
      <w:r>
        <w:rPr>
          <w:rFonts w:hint="eastAsia" w:ascii="仿宋" w:hAnsi="仿宋" w:eastAsia="仿宋" w:cs="仿宋"/>
          <w:sz w:val="30"/>
          <w:szCs w:val="30"/>
          <w:lang w:eastAsia="zh-CN"/>
        </w:rPr>
        <w:t>本单位收入来源主要是一般公共预算财政拨款，</w:t>
      </w:r>
      <w:r>
        <w:rPr>
          <w:rFonts w:hint="eastAsia" w:ascii="仿宋" w:hAnsi="仿宋" w:eastAsia="仿宋" w:cs="仿宋"/>
          <w:sz w:val="30"/>
          <w:szCs w:val="30"/>
        </w:rPr>
        <w:t>政府性基金预算财政拨款</w:t>
      </w:r>
      <w:r>
        <w:rPr>
          <w:rFonts w:hint="eastAsia" w:ascii="仿宋" w:hAnsi="仿宋" w:eastAsia="仿宋" w:cs="仿宋"/>
          <w:sz w:val="30"/>
          <w:szCs w:val="30"/>
          <w:lang w:val="en-US" w:eastAsia="zh-CN"/>
        </w:rPr>
        <w:t>。</w:t>
      </w:r>
    </w:p>
    <w:p w14:paraId="43548A94">
      <w:p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（1）“三公”经费支出情况：</w:t>
      </w:r>
      <w:r>
        <w:rPr>
          <w:rFonts w:hint="eastAsia" w:ascii="仿宋" w:hAnsi="仿宋" w:eastAsia="仿宋" w:cs="仿宋"/>
          <w:sz w:val="30"/>
          <w:szCs w:val="30"/>
          <w:lang w:eastAsia="zh-CN"/>
        </w:rPr>
        <w:t>本单位年初预算“三公”经费</w:t>
      </w:r>
      <w:r>
        <w:rPr>
          <w:rFonts w:hint="eastAsia" w:ascii="仿宋" w:hAnsi="仿宋" w:eastAsia="仿宋" w:cs="仿宋"/>
          <w:sz w:val="30"/>
          <w:szCs w:val="30"/>
          <w:lang w:val="en-US" w:eastAsia="zh-CN"/>
        </w:rPr>
        <w:t>12.4万元，年终决算</w:t>
      </w:r>
      <w:r>
        <w:rPr>
          <w:rFonts w:hint="eastAsia" w:ascii="仿宋" w:hAnsi="仿宋" w:eastAsia="仿宋" w:cs="仿宋"/>
          <w:sz w:val="30"/>
          <w:szCs w:val="30"/>
          <w:lang w:eastAsia="zh-CN"/>
        </w:rPr>
        <w:t>“三公”经费</w:t>
      </w:r>
      <w:r>
        <w:rPr>
          <w:rFonts w:hint="eastAsia" w:ascii="仿宋" w:hAnsi="仿宋" w:eastAsia="仿宋" w:cs="仿宋"/>
          <w:sz w:val="30"/>
          <w:szCs w:val="30"/>
          <w:lang w:val="en-US" w:eastAsia="zh-CN"/>
        </w:rPr>
        <w:t>12.4万元，全年</w:t>
      </w:r>
      <w:r>
        <w:rPr>
          <w:rFonts w:hint="eastAsia" w:ascii="仿宋" w:hAnsi="仿宋" w:eastAsia="仿宋" w:cs="仿宋"/>
          <w:sz w:val="30"/>
          <w:szCs w:val="30"/>
        </w:rPr>
        <w:t>公务接待批次</w:t>
      </w:r>
      <w:r>
        <w:rPr>
          <w:rFonts w:hint="eastAsia" w:ascii="仿宋" w:hAnsi="仿宋" w:eastAsia="仿宋" w:cs="仿宋"/>
          <w:sz w:val="30"/>
          <w:szCs w:val="30"/>
          <w:lang w:val="en-US" w:eastAsia="zh-CN"/>
        </w:rPr>
        <w:t>207批1553人次（三公经费支出由市财政保障）</w:t>
      </w:r>
      <w:r>
        <w:rPr>
          <w:rFonts w:hint="eastAsia" w:ascii="仿宋" w:hAnsi="仿宋" w:eastAsia="仿宋" w:cs="仿宋"/>
          <w:sz w:val="30"/>
          <w:szCs w:val="30"/>
        </w:rPr>
        <w:t>。</w:t>
      </w:r>
    </w:p>
    <w:p w14:paraId="3B6E6A9A">
      <w:pPr>
        <w:pBdr>
          <w:bottom w:val="single" w:color="FFFFFF" w:sz="4" w:space="20"/>
        </w:pBdr>
        <w:topLinePunct/>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（2）会议费支出情况：</w:t>
      </w:r>
      <w:r>
        <w:rPr>
          <w:rFonts w:hint="eastAsia" w:ascii="仿宋" w:hAnsi="仿宋" w:eastAsia="仿宋" w:cs="仿宋"/>
          <w:sz w:val="30"/>
          <w:szCs w:val="30"/>
          <w:lang w:eastAsia="zh-CN"/>
        </w:rPr>
        <w:t>无</w:t>
      </w:r>
      <w:r>
        <w:rPr>
          <w:rFonts w:hint="eastAsia" w:ascii="仿宋" w:hAnsi="仿宋" w:eastAsia="仿宋" w:cs="仿宋"/>
          <w:sz w:val="30"/>
          <w:szCs w:val="30"/>
          <w:lang w:val="en-US" w:eastAsia="zh-CN"/>
        </w:rPr>
        <w:t>。</w:t>
      </w:r>
    </w:p>
    <w:p w14:paraId="0102F652">
      <w:pPr>
        <w:pBdr>
          <w:bottom w:val="single" w:color="FFFFFF" w:sz="4" w:space="20"/>
        </w:pBdr>
        <w:topLinePunct/>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（3）培训费支出情况：</w:t>
      </w:r>
      <w:r>
        <w:rPr>
          <w:rFonts w:hint="eastAsia" w:ascii="仿宋" w:hAnsi="仿宋" w:eastAsia="仿宋" w:cs="仿宋"/>
          <w:sz w:val="30"/>
          <w:szCs w:val="30"/>
          <w:lang w:eastAsia="zh-CN"/>
        </w:rPr>
        <w:t>无</w:t>
      </w:r>
      <w:r>
        <w:rPr>
          <w:rFonts w:hint="eastAsia" w:ascii="仿宋" w:hAnsi="仿宋" w:eastAsia="仿宋" w:cs="仿宋"/>
          <w:sz w:val="30"/>
          <w:szCs w:val="30"/>
          <w:lang w:val="en-US" w:eastAsia="zh-CN"/>
        </w:rPr>
        <w:t>。</w:t>
      </w:r>
    </w:p>
    <w:p w14:paraId="3D891CCE">
      <w:pPr>
        <w:pBdr>
          <w:bottom w:val="single" w:color="FFFFFF" w:sz="4" w:space="20"/>
        </w:pBdr>
        <w:topLinePunct/>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（4）其他对单位影响较大的支出情况</w:t>
      </w:r>
      <w:r>
        <w:rPr>
          <w:rFonts w:hint="eastAsia" w:ascii="仿宋" w:hAnsi="仿宋" w:eastAsia="仿宋" w:cs="仿宋"/>
          <w:sz w:val="30"/>
          <w:szCs w:val="30"/>
          <w:lang w:eastAsia="zh-CN"/>
        </w:rPr>
        <w:t>：无</w:t>
      </w:r>
    </w:p>
    <w:p w14:paraId="08FCB155">
      <w:pPr>
        <w:pBdr>
          <w:bottom w:val="single" w:color="FFFFFF" w:sz="4" w:space="20"/>
        </w:pBdr>
        <w:topLinePunct/>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（5）重点经济分类支出中存在的问题及改进措施</w:t>
      </w:r>
      <w:r>
        <w:rPr>
          <w:rFonts w:hint="eastAsia" w:ascii="仿宋" w:hAnsi="仿宋" w:eastAsia="仿宋" w:cs="仿宋"/>
          <w:sz w:val="30"/>
          <w:szCs w:val="30"/>
          <w:lang w:eastAsia="zh-CN"/>
        </w:rPr>
        <w:t>：无</w:t>
      </w:r>
    </w:p>
    <w:p w14:paraId="14B20879">
      <w:pPr>
        <w:pBdr>
          <w:bottom w:val="single" w:color="FFFFFF" w:sz="4" w:space="20"/>
        </w:pBdr>
        <w:topLinePunct/>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．财政拨款收入、支出分析。</w:t>
      </w:r>
    </w:p>
    <w:p w14:paraId="26D439DC">
      <w:p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根据报表项目分析财政拨款收入、支出情况，支出要按照基本支出和项目支出分析具体构成及特点。</w:t>
      </w:r>
    </w:p>
    <w:p w14:paraId="5C107AB0">
      <w:pPr>
        <w:pBdr>
          <w:bottom w:val="single" w:color="FFFFFF" w:sz="4" w:space="20"/>
        </w:pBdr>
        <w:topLinePunct/>
        <w:spacing w:line="560" w:lineRule="exact"/>
        <w:ind w:firstLine="904" w:firstLineChars="300"/>
        <w:rPr>
          <w:rFonts w:hint="eastAsia" w:ascii="仿宋" w:hAnsi="仿宋" w:eastAsia="仿宋" w:cs="仿宋"/>
          <w:b/>
          <w:bCs/>
          <w:color w:val="FF0000"/>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绩效目标完成情况</w:t>
      </w:r>
    </w:p>
    <w:p w14:paraId="5F32063A">
      <w:pPr>
        <w:numPr>
          <w:ilvl w:val="0"/>
          <w:numId w:val="0"/>
        </w:numPr>
        <w:pBdr>
          <w:bottom w:val="single" w:color="FFFFFF" w:sz="4" w:space="20"/>
        </w:pBdr>
        <w:topLinePunct/>
        <w:spacing w:line="56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年，在</w:t>
      </w:r>
      <w:r>
        <w:rPr>
          <w:rFonts w:hint="eastAsia" w:ascii="仿宋" w:hAnsi="仿宋" w:eastAsia="仿宋" w:cs="仿宋"/>
          <w:sz w:val="30"/>
          <w:szCs w:val="30"/>
          <w:lang w:eastAsia="zh-CN"/>
        </w:rPr>
        <w:t>县委、县政府的坚强领导下，</w:t>
      </w:r>
      <w:r>
        <w:rPr>
          <w:rFonts w:hint="eastAsia" w:ascii="仿宋" w:hAnsi="仿宋" w:eastAsia="仿宋" w:cs="仿宋"/>
          <w:sz w:val="30"/>
          <w:szCs w:val="30"/>
        </w:rPr>
        <w:t>我局深入贯彻落实习近平生态文明思想和党中央、国务院及省委、省政府关于深入打好污染防治攻坚战的决策部署，以持续改善</w:t>
      </w:r>
      <w:r>
        <w:rPr>
          <w:rFonts w:hint="eastAsia" w:ascii="仿宋" w:hAnsi="仿宋" w:eastAsia="仿宋" w:cs="仿宋"/>
          <w:kern w:val="24"/>
          <w:sz w:val="30"/>
          <w:szCs w:val="30"/>
        </w:rPr>
        <w:t>生态环境质量、为人民群众提供良好生态环境为目标，扎实</w:t>
      </w:r>
      <w:r>
        <w:rPr>
          <w:rFonts w:hint="eastAsia" w:ascii="仿宋" w:hAnsi="仿宋" w:eastAsia="仿宋" w:cs="仿宋"/>
          <w:kern w:val="24"/>
          <w:sz w:val="30"/>
          <w:szCs w:val="30"/>
          <w:lang w:eastAsia="zh-CN"/>
        </w:rPr>
        <w:t>推进生态环境保护</w:t>
      </w:r>
      <w:r>
        <w:rPr>
          <w:rFonts w:hint="eastAsia" w:ascii="仿宋" w:hAnsi="仿宋" w:eastAsia="仿宋" w:cs="仿宋"/>
          <w:kern w:val="24"/>
          <w:sz w:val="30"/>
          <w:szCs w:val="30"/>
        </w:rPr>
        <w:t>工作，各项目标任务到达预期，取得了较好成效。</w:t>
      </w:r>
      <w:r>
        <w:rPr>
          <w:rFonts w:hint="eastAsia" w:ascii="仿宋" w:hAnsi="仿宋" w:eastAsia="仿宋" w:cs="仿宋"/>
          <w:sz w:val="30"/>
          <w:szCs w:val="30"/>
        </w:rPr>
        <w:t>　</w:t>
      </w:r>
    </w:p>
    <w:p w14:paraId="248EE164">
      <w:pPr>
        <w:numPr>
          <w:ilvl w:val="0"/>
          <w:numId w:val="0"/>
        </w:numPr>
        <w:pBdr>
          <w:bottom w:val="single" w:color="FFFFFF" w:sz="4" w:space="20"/>
        </w:pBdr>
        <w:topLinePunct/>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当年预算执行及绩效管理中存在问题、原因及改进措施。</w:t>
      </w:r>
    </w:p>
    <w:p w14:paraId="5B48D732">
      <w:pPr>
        <w:numPr>
          <w:ilvl w:val="0"/>
          <w:numId w:val="0"/>
        </w:numPr>
        <w:pBdr>
          <w:bottom w:val="single" w:color="FFFFFF" w:sz="4" w:space="20"/>
        </w:pBdr>
        <w:topLinePunct/>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本年度部门决算等财务工作开展情况</w:t>
      </w:r>
    </w:p>
    <w:p w14:paraId="093D11C3">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（一）本单位财务管理、绩效管理、决算组织、编报、审核情况。</w:t>
      </w:r>
    </w:p>
    <w:p w14:paraId="67F090EA">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（二）本单位决算及绩效信息公开工作开展情况。</w:t>
      </w:r>
    </w:p>
    <w:p w14:paraId="5AAD37E6">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（三）对部门决算管理工作的意见和建议。</w:t>
      </w:r>
    </w:p>
    <w:p w14:paraId="0BE2D813">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1．自行增加的审核公式和模板，请说明设置依据。</w:t>
      </w:r>
    </w:p>
    <w:p w14:paraId="171A8CFF">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2．对部门决算报表修订设计的意见和建议，包括表样、指标设置、软件、审核公式、模板和编审问答等，请列出并说明修改意见。</w:t>
      </w:r>
    </w:p>
    <w:p w14:paraId="06FDC0CE">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3．对部门决算其他管理工作的建议。例如对加强部门决算数据分析利用工作、部门决算信息化建设等建议。</w:t>
      </w:r>
    </w:p>
    <w:p w14:paraId="62455B28">
      <w:pPr>
        <w:numPr>
          <w:ilvl w:val="0"/>
          <w:numId w:val="0"/>
        </w:numPr>
        <w:pBdr>
          <w:bottom w:val="single" w:color="FFFFFF" w:sz="4" w:space="20"/>
        </w:pBdr>
        <w:topLinePunct/>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注：收入支出预算执行情况分析可参考部门决算分析评价表（见软件查询模板）及行政事业单位财务分析指标（附后）。</w:t>
      </w:r>
    </w:p>
    <w:p w14:paraId="5DDE0F73">
      <w:pPr>
        <w:rPr>
          <w:rFonts w:hint="eastAsia" w:ascii="仿宋" w:hAnsi="仿宋" w:eastAsia="仿宋" w:cs="仿宋"/>
          <w:sz w:val="30"/>
          <w:szCs w:val="30"/>
        </w:rPr>
      </w:pPr>
    </w:p>
    <w:p w14:paraId="1DD56132">
      <w:pPr>
        <w:rPr>
          <w:rFonts w:hint="eastAsia" w:ascii="仿宋" w:hAnsi="仿宋" w:eastAsia="仿宋" w:cs="仿宋"/>
          <w:sz w:val="30"/>
          <w:szCs w:val="30"/>
        </w:rPr>
      </w:pPr>
    </w:p>
    <w:p w14:paraId="123325B1">
      <w:pPr>
        <w:snapToGrid w:val="0"/>
        <w:rPr>
          <w:rFonts w:hint="eastAsia" w:ascii="仿宋" w:hAnsi="仿宋" w:eastAsia="仿宋" w:cs="仿宋"/>
          <w:sz w:val="30"/>
          <w:szCs w:val="30"/>
        </w:rPr>
      </w:pPr>
    </w:p>
    <w:p w14:paraId="78203CE0">
      <w:pPr>
        <w:snapToGrid w:val="0"/>
        <w:rPr>
          <w:rFonts w:hint="eastAsia" w:ascii="仿宋" w:hAnsi="仿宋" w:eastAsia="仿宋" w:cs="仿宋"/>
          <w:sz w:val="30"/>
          <w:szCs w:val="30"/>
        </w:rPr>
      </w:pPr>
    </w:p>
    <w:p w14:paraId="690B7B62">
      <w:pPr>
        <w:snapToGrid w:val="0"/>
        <w:rPr>
          <w:rFonts w:hint="eastAsia" w:ascii="仿宋" w:hAnsi="仿宋" w:eastAsia="仿宋" w:cs="仿宋"/>
          <w:sz w:val="30"/>
          <w:szCs w:val="30"/>
        </w:rPr>
      </w:pPr>
    </w:p>
    <w:p w14:paraId="48BB9EFB">
      <w:pPr>
        <w:snapToGrid w:val="0"/>
        <w:rPr>
          <w:rFonts w:hint="eastAsia" w:ascii="仿宋" w:hAnsi="仿宋" w:eastAsia="仿宋" w:cs="仿宋"/>
          <w:sz w:val="30"/>
          <w:szCs w:val="30"/>
        </w:rPr>
      </w:pPr>
    </w:p>
    <w:p w14:paraId="220A6105">
      <w:pPr>
        <w:snapToGrid w:val="0"/>
        <w:rPr>
          <w:rFonts w:hint="eastAsia" w:ascii="仿宋" w:hAnsi="仿宋" w:eastAsia="仿宋" w:cs="仿宋"/>
          <w:sz w:val="30"/>
          <w:szCs w:val="30"/>
        </w:rPr>
      </w:pPr>
    </w:p>
    <w:p w14:paraId="7ADFDFBF">
      <w:pPr>
        <w:snapToGrid w:val="0"/>
        <w:rPr>
          <w:rFonts w:hint="eastAsia" w:ascii="仿宋" w:hAnsi="仿宋" w:eastAsia="仿宋" w:cs="仿宋"/>
          <w:sz w:val="30"/>
          <w:szCs w:val="30"/>
        </w:rPr>
      </w:pPr>
    </w:p>
    <w:p w14:paraId="7F37B134">
      <w:pPr>
        <w:snapToGrid w:val="0"/>
        <w:rPr>
          <w:rFonts w:hint="eastAsia" w:ascii="仿宋" w:hAnsi="仿宋" w:eastAsia="仿宋" w:cs="仿宋"/>
          <w:sz w:val="30"/>
          <w:szCs w:val="30"/>
        </w:rPr>
      </w:pPr>
    </w:p>
    <w:p w14:paraId="73CD4AD2">
      <w:pPr>
        <w:snapToGrid w:val="0"/>
        <w:rPr>
          <w:rFonts w:hint="eastAsia" w:ascii="仿宋" w:hAnsi="仿宋" w:eastAsia="仿宋" w:cs="仿宋"/>
          <w:sz w:val="30"/>
          <w:szCs w:val="30"/>
        </w:rPr>
      </w:pPr>
    </w:p>
    <w:p w14:paraId="64F8C7B1">
      <w:pPr>
        <w:snapToGrid w:val="0"/>
        <w:rPr>
          <w:rFonts w:hint="eastAsia" w:ascii="仿宋" w:hAnsi="仿宋" w:eastAsia="仿宋" w:cs="仿宋"/>
          <w:sz w:val="30"/>
          <w:szCs w:val="30"/>
        </w:rPr>
      </w:pPr>
    </w:p>
    <w:p w14:paraId="02906CC9">
      <w:pPr>
        <w:snapToGrid w:val="0"/>
        <w:rPr>
          <w:rFonts w:hint="eastAsia" w:ascii="仿宋" w:hAnsi="仿宋" w:eastAsia="仿宋" w:cs="仿宋"/>
          <w:sz w:val="30"/>
          <w:szCs w:val="30"/>
        </w:rPr>
      </w:pPr>
    </w:p>
    <w:p w14:paraId="6DB5D422">
      <w:pPr>
        <w:snapToGrid w:val="0"/>
        <w:rPr>
          <w:rFonts w:hint="eastAsia" w:ascii="仿宋" w:hAnsi="仿宋" w:eastAsia="仿宋" w:cs="仿宋"/>
          <w:sz w:val="30"/>
          <w:szCs w:val="30"/>
        </w:rPr>
      </w:pPr>
    </w:p>
    <w:p w14:paraId="38A18521">
      <w:pPr>
        <w:snapToGrid w:val="0"/>
        <w:rPr>
          <w:rFonts w:hint="eastAsia" w:ascii="仿宋" w:hAnsi="仿宋" w:eastAsia="仿宋" w:cs="仿宋"/>
          <w:sz w:val="30"/>
          <w:szCs w:val="30"/>
        </w:rPr>
      </w:pPr>
    </w:p>
    <w:p w14:paraId="38C8809A">
      <w:pPr>
        <w:snapToGrid w:val="0"/>
        <w:rPr>
          <w:rFonts w:hint="eastAsia" w:ascii="仿宋" w:hAnsi="仿宋" w:eastAsia="仿宋" w:cs="仿宋"/>
          <w:sz w:val="30"/>
          <w:szCs w:val="30"/>
        </w:rPr>
      </w:pPr>
    </w:p>
    <w:p w14:paraId="3DB730B5">
      <w:pPr>
        <w:snapToGrid w:val="0"/>
        <w:rPr>
          <w:rFonts w:hint="eastAsia" w:ascii="仿宋" w:hAnsi="仿宋" w:eastAsia="仿宋" w:cs="仿宋"/>
          <w:sz w:val="30"/>
          <w:szCs w:val="30"/>
        </w:rPr>
      </w:pPr>
    </w:p>
    <w:p w14:paraId="6A14C0FC">
      <w:pPr>
        <w:snapToGrid w:val="0"/>
        <w:rPr>
          <w:rFonts w:hint="eastAsia" w:ascii="仿宋" w:hAnsi="仿宋" w:eastAsia="仿宋" w:cs="仿宋"/>
          <w:sz w:val="30"/>
          <w:szCs w:val="30"/>
        </w:rPr>
      </w:pPr>
    </w:p>
    <w:p w14:paraId="16A559A8">
      <w:pPr>
        <w:snapToGrid w:val="0"/>
        <w:rPr>
          <w:rFonts w:hint="eastAsia" w:ascii="仿宋" w:hAnsi="仿宋" w:eastAsia="仿宋" w:cs="仿宋"/>
          <w:sz w:val="30"/>
          <w:szCs w:val="30"/>
        </w:rPr>
      </w:pPr>
    </w:p>
    <w:p w14:paraId="05D1C23B">
      <w:pPr>
        <w:snapToGrid w:val="0"/>
        <w:rPr>
          <w:rFonts w:hint="eastAsia" w:ascii="仿宋" w:hAnsi="仿宋" w:eastAsia="仿宋" w:cs="仿宋"/>
          <w:sz w:val="30"/>
          <w:szCs w:val="30"/>
        </w:rPr>
      </w:pPr>
    </w:p>
    <w:p w14:paraId="007F9F24">
      <w:pPr>
        <w:snapToGrid w:val="0"/>
        <w:rPr>
          <w:rFonts w:hint="eastAsia" w:ascii="仿宋" w:hAnsi="仿宋" w:eastAsia="仿宋" w:cs="仿宋"/>
          <w:sz w:val="30"/>
          <w:szCs w:val="30"/>
        </w:rPr>
      </w:pPr>
      <w:r>
        <w:rPr>
          <w:rFonts w:hint="eastAsia" w:ascii="仿宋" w:hAnsi="仿宋" w:eastAsia="仿宋" w:cs="仿宋"/>
          <w:sz w:val="30"/>
          <w:szCs w:val="30"/>
        </w:rPr>
        <w:t>附：</w:t>
      </w:r>
    </w:p>
    <w:p w14:paraId="4C9CE28A">
      <w:pPr>
        <w:snapToGrid w:val="0"/>
        <w:ind w:firstLine="600" w:firstLineChars="200"/>
        <w:jc w:val="center"/>
        <w:rPr>
          <w:rFonts w:hint="eastAsia" w:ascii="仿宋" w:hAnsi="仿宋" w:eastAsia="仿宋" w:cs="仿宋"/>
          <w:sz w:val="30"/>
          <w:szCs w:val="30"/>
        </w:rPr>
      </w:pPr>
      <w:bookmarkStart w:id="0" w:name="YS060200"/>
    </w:p>
    <w:p w14:paraId="6504D34C">
      <w:pPr>
        <w:snapToGrid w:val="0"/>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行政事业单位财务分析指标</w:t>
      </w:r>
    </w:p>
    <w:bookmarkEnd w:id="0"/>
    <w:p w14:paraId="7527B747">
      <w:pPr>
        <w:snapToGrid w:val="0"/>
        <w:ind w:firstLine="600" w:firstLineChars="200"/>
        <w:rPr>
          <w:rFonts w:hint="eastAsia" w:ascii="仿宋" w:hAnsi="仿宋" w:eastAsia="仿宋" w:cs="仿宋"/>
          <w:sz w:val="30"/>
          <w:szCs w:val="30"/>
        </w:rPr>
      </w:pPr>
    </w:p>
    <w:p w14:paraId="40AE5384">
      <w:pPr>
        <w:snapToGrid w:val="0"/>
        <w:ind w:firstLine="600" w:firstLineChars="200"/>
        <w:rPr>
          <w:rFonts w:hint="eastAsia" w:ascii="仿宋" w:hAnsi="仿宋" w:eastAsia="仿宋" w:cs="仿宋"/>
          <w:sz w:val="30"/>
          <w:szCs w:val="30"/>
        </w:rPr>
      </w:pPr>
      <w:bookmarkStart w:id="1" w:name="YS060201"/>
      <w:r>
        <w:rPr>
          <w:rFonts w:hint="eastAsia" w:ascii="仿宋" w:hAnsi="仿宋" w:eastAsia="仿宋" w:cs="仿宋"/>
          <w:sz w:val="30"/>
          <w:szCs w:val="30"/>
        </w:rPr>
        <w:t>一、行政单位财务分析指标</w:t>
      </w:r>
    </w:p>
    <w:bookmarkEnd w:id="1"/>
    <w:p w14:paraId="26C13CB9">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1.支出增长率，衡量行政单位支出的增长水平。计算公式为：</w:t>
      </w:r>
    </w:p>
    <w:p w14:paraId="6C3F1266">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支出增长率＝</w:t>
      </w:r>
      <w:r>
        <w:rPr>
          <w:rFonts w:hint="eastAsia" w:ascii="仿宋" w:hAnsi="仿宋" w:eastAsia="仿宋" w:cs="仿宋"/>
          <w:sz w:val="30"/>
          <w:szCs w:val="30"/>
          <w:lang w:eastAsia="zh-CN"/>
        </w:rPr>
        <w:t>（</w:t>
      </w:r>
      <w:r>
        <w:rPr>
          <w:rFonts w:hint="eastAsia" w:ascii="仿宋" w:hAnsi="仿宋" w:eastAsia="仿宋" w:cs="仿宋"/>
          <w:sz w:val="30"/>
          <w:szCs w:val="30"/>
        </w:rPr>
        <w:t>(本期支出总额</w:t>
      </w:r>
      <w:r>
        <w:rPr>
          <w:rFonts w:hint="eastAsia" w:ascii="仿宋" w:hAnsi="仿宋" w:eastAsia="仿宋" w:cs="仿宋"/>
          <w:sz w:val="30"/>
          <w:szCs w:val="30"/>
          <w:lang w:val="en-US" w:eastAsia="zh-CN"/>
        </w:rPr>
        <w:t>-</w:t>
      </w:r>
      <w:r>
        <w:rPr>
          <w:rFonts w:hint="eastAsia" w:ascii="仿宋" w:hAnsi="仿宋" w:eastAsia="仿宋" w:cs="仿宋"/>
          <w:sz w:val="30"/>
          <w:szCs w:val="30"/>
        </w:rPr>
        <w:t>上期支出总额</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w:t>
      </w:r>
      <w:r>
        <w:rPr>
          <w:rFonts w:hint="eastAsia" w:ascii="仿宋" w:hAnsi="仿宋" w:eastAsia="仿宋" w:cs="仿宋"/>
          <w:sz w:val="30"/>
          <w:szCs w:val="30"/>
        </w:rPr>
        <w:t>上期支出总额)×100%</w:t>
      </w:r>
    </w:p>
    <w:p w14:paraId="33E54A02">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2.当年预算支出完成率，衡量行政单位当年支出总预算及分项预算完成的程度。计算公式为：</w:t>
      </w:r>
    </w:p>
    <w:p w14:paraId="2324E7A1">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当年预算支出完成率＝年终执行数÷</w:t>
      </w:r>
      <w:r>
        <w:rPr>
          <w:rFonts w:hint="eastAsia" w:ascii="仿宋" w:hAnsi="仿宋" w:eastAsia="仿宋" w:cs="仿宋"/>
          <w:sz w:val="30"/>
          <w:szCs w:val="30"/>
          <w:lang w:eastAsia="zh-CN"/>
        </w:rPr>
        <w:t>全年预</w:t>
      </w:r>
      <w:r>
        <w:rPr>
          <w:rFonts w:hint="eastAsia" w:ascii="仿宋" w:hAnsi="仿宋" w:eastAsia="仿宋" w:cs="仿宋"/>
          <w:sz w:val="30"/>
          <w:szCs w:val="30"/>
        </w:rPr>
        <w:t>算数×100%</w:t>
      </w:r>
    </w:p>
    <w:p w14:paraId="6C975E95">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年终执行数不含上年结转和结余支出数。</w:t>
      </w:r>
    </w:p>
    <w:p w14:paraId="0D1814BC">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3.人均开支，衡量行政单位人均年消耗经费水平。计算公式为：</w:t>
      </w:r>
    </w:p>
    <w:p w14:paraId="185AAAC7">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人均开支＝本期支出数÷本期平均在职人员数×100%</w:t>
      </w:r>
    </w:p>
    <w:p w14:paraId="38F50744">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4.项目支出占总支出的比率，衡量行政单位的支出结构。计算公式为：</w:t>
      </w:r>
    </w:p>
    <w:p w14:paraId="124B950E">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项目支出比率=本期项目支出数÷本期支出总数×100%</w:t>
      </w:r>
    </w:p>
    <w:p w14:paraId="4A6E43EE">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5.人员支出、公用支出占总支出的比率，衡量行政单位的支出结构。计算公式为：</w:t>
      </w:r>
    </w:p>
    <w:p w14:paraId="733ECF3E">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人员支出比率=本期人员支出数÷本期支出总数×100%</w:t>
      </w:r>
    </w:p>
    <w:p w14:paraId="20827D47">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公用支出比率=本期公用支出数÷本期支出总数×100%</w:t>
      </w:r>
    </w:p>
    <w:p w14:paraId="4A25D02E">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6.人均办公使用面积，衡量行政单位办公用房配备情况。计算公式为：</w:t>
      </w:r>
    </w:p>
    <w:p w14:paraId="276FA005">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人均办公使用面积=本期末单位办公用房使用面积÷本期末在职人员数</w:t>
      </w:r>
    </w:p>
    <w:p w14:paraId="4400B6C7">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7.人车比例，衡量行政单位公务用车配备情况。计算公式为：</w:t>
      </w:r>
    </w:p>
    <w:p w14:paraId="4088F371">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人车比例=本期末在职人员数÷本期末公务用车实有数:1</w:t>
      </w:r>
    </w:p>
    <w:p w14:paraId="71C568F2">
      <w:pPr>
        <w:snapToGrid w:val="0"/>
        <w:ind w:firstLine="600" w:firstLineChars="200"/>
        <w:rPr>
          <w:rFonts w:hint="eastAsia" w:ascii="仿宋" w:hAnsi="仿宋" w:eastAsia="仿宋" w:cs="仿宋"/>
          <w:sz w:val="30"/>
          <w:szCs w:val="30"/>
        </w:rPr>
      </w:pPr>
    </w:p>
    <w:p w14:paraId="68760659">
      <w:pPr>
        <w:snapToGrid w:val="0"/>
        <w:ind w:firstLine="600" w:firstLineChars="200"/>
        <w:rPr>
          <w:rFonts w:hint="eastAsia" w:ascii="仿宋" w:hAnsi="仿宋" w:eastAsia="仿宋" w:cs="仿宋"/>
          <w:sz w:val="30"/>
          <w:szCs w:val="30"/>
        </w:rPr>
      </w:pPr>
      <w:bookmarkStart w:id="2" w:name="YS060202"/>
      <w:r>
        <w:rPr>
          <w:rFonts w:hint="eastAsia" w:ascii="仿宋" w:hAnsi="仿宋" w:eastAsia="仿宋" w:cs="仿宋"/>
          <w:sz w:val="30"/>
          <w:szCs w:val="30"/>
        </w:rPr>
        <w:t>二、事业单位财务分析指标</w:t>
      </w:r>
    </w:p>
    <w:bookmarkEnd w:id="2"/>
    <w:p w14:paraId="0D0005BD">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1.预算收入和支出完成率，衡量事业单位收入和支出总预算及分项预算完成的程度。计算公式为：</w:t>
      </w:r>
    </w:p>
    <w:p w14:paraId="4E02A631">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预算收入完成率＝年终执行数÷</w:t>
      </w:r>
      <w:r>
        <w:rPr>
          <w:rFonts w:hint="eastAsia" w:ascii="仿宋" w:hAnsi="仿宋" w:eastAsia="仿宋" w:cs="仿宋"/>
          <w:sz w:val="30"/>
          <w:szCs w:val="30"/>
          <w:lang w:eastAsia="zh-CN"/>
        </w:rPr>
        <w:t>全年</w:t>
      </w:r>
      <w:r>
        <w:rPr>
          <w:rFonts w:hint="eastAsia" w:ascii="仿宋" w:hAnsi="仿宋" w:eastAsia="仿宋" w:cs="仿宋"/>
          <w:sz w:val="30"/>
          <w:szCs w:val="30"/>
        </w:rPr>
        <w:t>预算数×100%</w:t>
      </w:r>
    </w:p>
    <w:p w14:paraId="337C4AE6">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年终执行数不含上年结转和结余收入数</w:t>
      </w:r>
    </w:p>
    <w:p w14:paraId="4F7E56F9">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预算支出完成率＝年终执行数÷</w:t>
      </w:r>
      <w:r>
        <w:rPr>
          <w:rFonts w:hint="eastAsia" w:ascii="仿宋" w:hAnsi="仿宋" w:eastAsia="仿宋" w:cs="仿宋"/>
          <w:sz w:val="30"/>
          <w:szCs w:val="30"/>
          <w:lang w:eastAsia="zh-CN"/>
        </w:rPr>
        <w:t>全年</w:t>
      </w:r>
      <w:r>
        <w:rPr>
          <w:rFonts w:hint="eastAsia" w:ascii="仿宋" w:hAnsi="仿宋" w:eastAsia="仿宋" w:cs="仿宋"/>
          <w:sz w:val="30"/>
          <w:szCs w:val="30"/>
        </w:rPr>
        <w:t>预算数×100%</w:t>
      </w:r>
    </w:p>
    <w:p w14:paraId="14C76B5B">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年终执行数不含上年结转和结余支出数</w:t>
      </w:r>
    </w:p>
    <w:p w14:paraId="7DFA751E">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2.人员支出、公用支出占事业支出的比率，衡量事业单位事业支出结构。计算公式为：</w:t>
      </w:r>
    </w:p>
    <w:p w14:paraId="229D5582">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人员支出比率＝人员支出÷事业支出×100%</w:t>
      </w:r>
    </w:p>
    <w:p w14:paraId="6E50D92C">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公用支出比率＝公用支出÷事业支出×100%</w:t>
      </w:r>
    </w:p>
    <w:p w14:paraId="45CA00E4">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3.人均基本支出，衡量事业单位按照实际在编人数平均的基本支出水平。计算公式为：</w:t>
      </w:r>
    </w:p>
    <w:p w14:paraId="4F0867FE">
      <w:pPr>
        <w:snapToGrid w:val="0"/>
        <w:ind w:firstLine="600" w:firstLineChars="200"/>
        <w:rPr>
          <w:rFonts w:hint="eastAsia" w:ascii="仿宋" w:hAnsi="仿宋" w:eastAsia="仿宋" w:cs="仿宋"/>
          <w:b/>
          <w:sz w:val="30"/>
          <w:szCs w:val="30"/>
        </w:rPr>
      </w:pPr>
      <w:r>
        <w:rPr>
          <w:rFonts w:hint="eastAsia" w:ascii="仿宋" w:hAnsi="仿宋" w:eastAsia="仿宋" w:cs="仿宋"/>
          <w:sz w:val="30"/>
          <w:szCs w:val="30"/>
        </w:rPr>
        <w:t>人均基本支出＝（基本支出-离退休人员支出）÷实际在编人数</w:t>
      </w:r>
    </w:p>
    <w:p w14:paraId="20A642C4">
      <w:pPr>
        <w:snapToGrid w:val="0"/>
        <w:ind w:firstLine="600" w:firstLineChars="200"/>
        <w:rPr>
          <w:rFonts w:hint="eastAsia" w:ascii="仿宋" w:hAnsi="仿宋" w:eastAsia="仿宋" w:cs="仿宋"/>
          <w:sz w:val="30"/>
          <w:szCs w:val="30"/>
        </w:rPr>
      </w:pPr>
    </w:p>
    <w:p w14:paraId="012D02BE">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此外，行业事业单位还可根据相关财务制度规定和分析需要增加相关分析指标，如：</w:t>
      </w:r>
    </w:p>
    <w:p w14:paraId="12DBF619">
      <w:pPr>
        <w:ind w:firstLine="663" w:firstLineChars="221"/>
        <w:rPr>
          <w:rFonts w:hint="eastAsia" w:ascii="仿宋" w:hAnsi="仿宋" w:eastAsia="仿宋" w:cs="仿宋"/>
          <w:sz w:val="30"/>
          <w:szCs w:val="30"/>
        </w:rPr>
      </w:pPr>
      <w:r>
        <w:rPr>
          <w:rFonts w:hint="eastAsia" w:ascii="仿宋" w:hAnsi="仿宋" w:eastAsia="仿宋" w:cs="仿宋"/>
          <w:sz w:val="30"/>
          <w:szCs w:val="30"/>
        </w:rPr>
        <w:t>1.财政拨款依存度, 衡量部门（单位）对财政拨款的依赖程度。</w:t>
      </w:r>
    </w:p>
    <w:p w14:paraId="2948A009">
      <w:pPr>
        <w:widowControl/>
        <w:ind w:firstLine="600" w:firstLineChars="200"/>
        <w:textAlignment w:val="center"/>
        <w:rPr>
          <w:rFonts w:hint="eastAsia" w:ascii="仿宋" w:hAnsi="仿宋" w:eastAsia="仿宋" w:cs="仿宋"/>
          <w:sz w:val="30"/>
          <w:szCs w:val="30"/>
        </w:rPr>
      </w:pPr>
      <w:r>
        <w:rPr>
          <w:rFonts w:hint="eastAsia" w:ascii="仿宋" w:hAnsi="仿宋" w:eastAsia="仿宋" w:cs="仿宋"/>
          <w:sz w:val="30"/>
          <w:szCs w:val="30"/>
        </w:rPr>
        <w:t>财政拨款依存度＝财政拨款收入÷收入总额×100%</w:t>
      </w:r>
    </w:p>
    <w:p w14:paraId="38D308A8">
      <w:pPr>
        <w:rPr>
          <w:rFonts w:hint="eastAsia" w:ascii="仿宋" w:hAnsi="仿宋" w:eastAsia="仿宋" w:cs="仿宋"/>
          <w:sz w:val="30"/>
          <w:szCs w:val="30"/>
        </w:rPr>
      </w:pPr>
    </w:p>
    <w:sectPr>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F6078"/>
    <w:multiLevelType w:val="singleLevel"/>
    <w:tmpl w:val="2DCF60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OTdlOWVkMmExZmQ1OGMyNjczZTEwMDM3ODM4NmIifQ=="/>
  </w:docVars>
  <w:rsids>
    <w:rsidRoot w:val="00FF5A7F"/>
    <w:rsid w:val="00BD2967"/>
    <w:rsid w:val="00C77000"/>
    <w:rsid w:val="00FF5A7F"/>
    <w:rsid w:val="041A1188"/>
    <w:rsid w:val="0A054C56"/>
    <w:rsid w:val="0B0E30C9"/>
    <w:rsid w:val="0B9B4EC5"/>
    <w:rsid w:val="0CB42B55"/>
    <w:rsid w:val="0D203909"/>
    <w:rsid w:val="0E9E66C9"/>
    <w:rsid w:val="10395286"/>
    <w:rsid w:val="12802962"/>
    <w:rsid w:val="195D2DEA"/>
    <w:rsid w:val="19E971DB"/>
    <w:rsid w:val="1B112C33"/>
    <w:rsid w:val="1B55264E"/>
    <w:rsid w:val="1BE217CF"/>
    <w:rsid w:val="1BF43C15"/>
    <w:rsid w:val="1C497FF9"/>
    <w:rsid w:val="1C612CFA"/>
    <w:rsid w:val="1DB34FB8"/>
    <w:rsid w:val="1FE5282B"/>
    <w:rsid w:val="22C87E82"/>
    <w:rsid w:val="242B03F0"/>
    <w:rsid w:val="26B71BF7"/>
    <w:rsid w:val="2822574D"/>
    <w:rsid w:val="29FE66BF"/>
    <w:rsid w:val="2A3E2C5C"/>
    <w:rsid w:val="2A535791"/>
    <w:rsid w:val="2CE850D0"/>
    <w:rsid w:val="308A1B97"/>
    <w:rsid w:val="30DD7457"/>
    <w:rsid w:val="3126266B"/>
    <w:rsid w:val="32D81D2B"/>
    <w:rsid w:val="32E93950"/>
    <w:rsid w:val="35E403B7"/>
    <w:rsid w:val="3626447C"/>
    <w:rsid w:val="367C0148"/>
    <w:rsid w:val="384A0E56"/>
    <w:rsid w:val="3A3A781D"/>
    <w:rsid w:val="3A5913BB"/>
    <w:rsid w:val="3AE01DFE"/>
    <w:rsid w:val="3F166E91"/>
    <w:rsid w:val="3F7A7A07"/>
    <w:rsid w:val="45E32112"/>
    <w:rsid w:val="46283D4A"/>
    <w:rsid w:val="47A917E6"/>
    <w:rsid w:val="48443CDD"/>
    <w:rsid w:val="486E697A"/>
    <w:rsid w:val="4B2F68CC"/>
    <w:rsid w:val="4D0F3F80"/>
    <w:rsid w:val="4E351F99"/>
    <w:rsid w:val="552A47BC"/>
    <w:rsid w:val="57945CD1"/>
    <w:rsid w:val="58944B75"/>
    <w:rsid w:val="58BD4DB3"/>
    <w:rsid w:val="59655DB4"/>
    <w:rsid w:val="59F462EE"/>
    <w:rsid w:val="5A4532B2"/>
    <w:rsid w:val="60765719"/>
    <w:rsid w:val="61FA5743"/>
    <w:rsid w:val="63A23524"/>
    <w:rsid w:val="652F0DE7"/>
    <w:rsid w:val="65BE0315"/>
    <w:rsid w:val="66C4720F"/>
    <w:rsid w:val="69621F1C"/>
    <w:rsid w:val="6A2E3D63"/>
    <w:rsid w:val="6D54715A"/>
    <w:rsid w:val="6EE128F5"/>
    <w:rsid w:val="71782E58"/>
    <w:rsid w:val="71900E5F"/>
    <w:rsid w:val="71C14D43"/>
    <w:rsid w:val="738E2238"/>
    <w:rsid w:val="75D316B6"/>
    <w:rsid w:val="7712717D"/>
    <w:rsid w:val="7AD1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Calibri" w:eastAsia="宋体" w:cs="Times New Roman"/>
      <w:sz w:val="30"/>
      <w:szCs w:val="24"/>
    </w:r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next w:val="3"/>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w:basedOn w:val="4"/>
    <w:qFormat/>
    <w:uiPriority w:val="0"/>
    <w:pPr>
      <w:ind w:firstLine="420" w:firstLineChars="100"/>
    </w:pPr>
  </w:style>
  <w:style w:type="paragraph" w:customStyle="1" w:styleId="9">
    <w:name w:val="_Style 1"/>
    <w:basedOn w:val="1"/>
    <w:qFormat/>
    <w:uiPriority w:val="0"/>
    <w:pPr>
      <w:spacing w:line="481" w:lineRule="atLeast"/>
      <w:ind w:firstLine="623"/>
      <w:textAlignment w:val="baseline"/>
    </w:pPr>
    <w:rPr>
      <w:rFonts w:ascii="Times New Roman" w:hAnsi="Times New Roman" w:eastAsia="仿宋_GB2312" w:cs="Times New Roman"/>
      <w:color w:val="000000"/>
      <w:sz w:val="31"/>
    </w:rPr>
  </w:style>
  <w:style w:type="paragraph" w:customStyle="1" w:styleId="10">
    <w:name w:val="BodyText1I"/>
    <w:basedOn w:val="11"/>
    <w:qFormat/>
    <w:uiPriority w:val="0"/>
    <w:pPr>
      <w:ind w:firstLine="420" w:firstLineChars="100"/>
      <w:jc w:val="both"/>
      <w:textAlignment w:val="baseline"/>
    </w:pPr>
  </w:style>
  <w:style w:type="paragraph" w:customStyle="1" w:styleId="11">
    <w:name w:val="BodyText"/>
    <w:basedOn w:val="1"/>
    <w:qFormat/>
    <w:uiPriority w:val="99"/>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5755</Words>
  <Characters>6034</Characters>
  <Lines>32</Lines>
  <Paragraphs>9</Paragraphs>
  <TotalTime>1</TotalTime>
  <ScaleCrop>false</ScaleCrop>
  <LinksUpToDate>false</LinksUpToDate>
  <CharactersWithSpaces>6053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2023-02-02T05:42:00Z</dcterms:created>
  <dc:creator>微软用户</dc:creator>
  <cp:lastModifiedBy>Administrator</cp:lastModifiedBy>
  <dcterms:modified xsi:type="dcterms:W3CDTF">2025-08-21T08:16:56Z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67B741283E0643C2B794BB691500033B_13</vt:lpwstr>
  </property>
  <property fmtid="{D5CDD505-2E9C-101B-9397-08002B2CF9AE}" pid="4" name="KSOTemplateDocerSaveRecord">
    <vt:lpwstr>eyJoZGlkIjoiMDA2OTdlOWVkMmExZmQ1OGMyNjczZTEwMDM3ODM4NmIiLCJ1c2VySWQiOiI1MTYxODMxMzMifQ==</vt:lpwstr>
  </property>
</Properties>
</file>