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hint="eastAsia"/>
          <w:sz w:val="56"/>
          <w:szCs w:val="56"/>
        </w:rPr>
      </w:pPr>
    </w:p>
    <w:p>
      <w:pPr>
        <w:pStyle w:val="17"/>
        <w:jc w:val="center"/>
        <w:rPr>
          <w:sz w:val="56"/>
          <w:szCs w:val="56"/>
        </w:rPr>
      </w:pPr>
    </w:p>
    <w:p>
      <w:pPr>
        <w:pStyle w:val="17"/>
        <w:jc w:val="center"/>
        <w:rPr>
          <w:sz w:val="84"/>
          <w:szCs w:val="84"/>
        </w:rPr>
      </w:pPr>
    </w:p>
    <w:p>
      <w:pPr>
        <w:pStyle w:val="17"/>
        <w:jc w:val="center"/>
        <w:rPr>
          <w:sz w:val="84"/>
          <w:szCs w:val="84"/>
        </w:rPr>
      </w:pPr>
    </w:p>
    <w:p>
      <w:pPr>
        <w:pStyle w:val="17"/>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lang w:eastAsia="zh-CN"/>
        </w:rPr>
        <w:t>年度</w:t>
      </w:r>
    </w:p>
    <w:p>
      <w:pPr>
        <w:pStyle w:val="17"/>
        <w:jc w:val="center"/>
        <w:rPr>
          <w:sz w:val="84"/>
          <w:szCs w:val="84"/>
        </w:rPr>
      </w:pPr>
      <w:r>
        <w:rPr>
          <w:rFonts w:hint="eastAsia" w:ascii="方正小标宋_GBK" w:hAnsi="方正小标宋_GBK" w:eastAsia="方正小标宋_GBK" w:cs="方正小标宋_GBK"/>
          <w:sz w:val="84"/>
          <w:szCs w:val="84"/>
          <w:lang w:eastAsia="zh-CN"/>
        </w:rPr>
        <w:t>何宝珍故里管理所部门决算</w:t>
      </w:r>
    </w:p>
    <w:p>
      <w:pPr>
        <w:pStyle w:val="17"/>
        <w:jc w:val="center"/>
        <w:rPr>
          <w:sz w:val="56"/>
          <w:szCs w:val="56"/>
        </w:rPr>
      </w:pPr>
    </w:p>
    <w:p>
      <w:pPr>
        <w:pStyle w:val="17"/>
        <w:jc w:val="center"/>
        <w:rPr>
          <w:sz w:val="56"/>
          <w:szCs w:val="56"/>
        </w:rPr>
      </w:pPr>
    </w:p>
    <w:p>
      <w:pPr>
        <w:pStyle w:val="17"/>
        <w:jc w:val="center"/>
        <w:rPr>
          <w:sz w:val="56"/>
          <w:szCs w:val="56"/>
        </w:rPr>
      </w:pPr>
    </w:p>
    <w:p>
      <w:pPr>
        <w:pStyle w:val="17"/>
        <w:jc w:val="center"/>
        <w:rPr>
          <w:sz w:val="56"/>
          <w:szCs w:val="56"/>
        </w:rPr>
      </w:pPr>
    </w:p>
    <w:p>
      <w:pPr>
        <w:pStyle w:val="17"/>
        <w:jc w:val="center"/>
        <w:rPr>
          <w:sz w:val="32"/>
          <w:szCs w:val="32"/>
        </w:rPr>
      </w:pPr>
    </w:p>
    <w:p>
      <w:pPr>
        <w:pStyle w:val="17"/>
        <w:jc w:val="center"/>
        <w:rPr>
          <w:sz w:val="32"/>
          <w:szCs w:val="32"/>
        </w:rPr>
      </w:pPr>
    </w:p>
    <w:p>
      <w:pPr>
        <w:pStyle w:val="17"/>
        <w:jc w:val="center"/>
        <w:rPr>
          <w:sz w:val="32"/>
          <w:szCs w:val="32"/>
        </w:rPr>
      </w:pPr>
    </w:p>
    <w:p>
      <w:pPr>
        <w:pStyle w:val="17"/>
        <w:jc w:val="center"/>
        <w:rPr>
          <w:sz w:val="32"/>
          <w:szCs w:val="32"/>
        </w:rPr>
      </w:pPr>
    </w:p>
    <w:p>
      <w:pPr>
        <w:pStyle w:val="17"/>
        <w:jc w:val="center"/>
        <w:rPr>
          <w:sz w:val="32"/>
          <w:szCs w:val="32"/>
        </w:rPr>
      </w:pPr>
    </w:p>
    <w:p>
      <w:pPr>
        <w:pStyle w:val="17"/>
        <w:spacing w:line="540" w:lineRule="exact"/>
        <w:jc w:val="center"/>
        <w:rPr>
          <w:sz w:val="56"/>
          <w:szCs w:val="56"/>
        </w:rPr>
      </w:pPr>
    </w:p>
    <w:p>
      <w:pPr>
        <w:pStyle w:val="17"/>
        <w:spacing w:line="500" w:lineRule="exact"/>
        <w:jc w:val="both"/>
        <w:rPr>
          <w:b/>
          <w:sz w:val="36"/>
          <w:szCs w:val="28"/>
        </w:rPr>
      </w:pPr>
    </w:p>
    <w:p>
      <w:pPr>
        <w:pStyle w:val="17"/>
        <w:spacing w:line="500" w:lineRule="exact"/>
        <w:jc w:val="center"/>
        <w:rPr>
          <w:b/>
          <w:sz w:val="36"/>
          <w:szCs w:val="28"/>
        </w:rPr>
      </w:pPr>
      <w:r>
        <w:rPr>
          <w:rFonts w:hint="eastAsia"/>
          <w:b/>
          <w:sz w:val="36"/>
          <w:szCs w:val="28"/>
        </w:rPr>
        <w:t>目录</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lang w:eastAsia="zh-CN"/>
        </w:rPr>
        <w:t>何宝珍故里管理所</w:t>
      </w:r>
      <w:r>
        <w:rPr>
          <w:rFonts w:hint="eastAsia" w:ascii="黑体" w:hAnsi="黑体" w:eastAsia="黑体" w:cs="黑体"/>
          <w:b w:val="0"/>
          <w:bCs/>
          <w:sz w:val="28"/>
          <w:szCs w:val="28"/>
        </w:rPr>
        <w:t>单位概况</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七、一般公共预算财政拨款“三公”经费支出决算表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八、政府性基金预算财政拨款收入支出决算表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九、国有资本经营预算财政拨款支出决算表</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rPr>
        <w:t>202</w:t>
      </w:r>
      <w:r>
        <w:rPr>
          <w:rFonts w:hint="eastAsia" w:ascii="黑体" w:hAnsi="黑体" w:eastAsia="黑体" w:cs="黑体"/>
          <w:b w:val="0"/>
          <w:bCs/>
          <w:sz w:val="28"/>
          <w:szCs w:val="28"/>
          <w:lang w:val="en-US" w:eastAsia="zh-CN"/>
        </w:rPr>
        <w:t>4</w:t>
      </w:r>
      <w:r>
        <w:rPr>
          <w:rFonts w:hint="eastAsia" w:ascii="黑体" w:hAnsi="黑体" w:eastAsia="黑体" w:cs="黑体"/>
          <w:b w:val="0"/>
          <w:bCs/>
          <w:sz w:val="28"/>
          <w:szCs w:val="28"/>
        </w:rPr>
        <w:t>年度部门决算情况说明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七、一般公共预算财政拨款“三公”经费支出决算情况说明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八、政府性基金预算收入支出决算情况</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九、机关运行经费支出说明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十、一般性支出情况说明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十一、政府采购支出说明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十二、国有资产占用情况说明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年度预算绩效情况说明</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第五部分</w:t>
      </w:r>
      <w:r>
        <w:rPr>
          <w:rFonts w:hint="eastAsia" w:hAnsi="黑体" w:cs="黑体"/>
          <w:b w:val="0"/>
          <w:bCs/>
          <w:sz w:val="28"/>
          <w:szCs w:val="28"/>
          <w:lang w:val="en-US" w:eastAsia="zh-CN"/>
        </w:rPr>
        <w:t xml:space="preserve"> </w:t>
      </w:r>
      <w:r>
        <w:rPr>
          <w:rFonts w:hint="eastAsia" w:ascii="黑体" w:hAnsi="黑体" w:eastAsia="黑体" w:cs="黑体"/>
          <w:b w:val="0"/>
          <w:bCs/>
          <w:sz w:val="28"/>
          <w:szCs w:val="28"/>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第一部分</w:t>
      </w:r>
    </w:p>
    <w:p>
      <w:pPr>
        <w:jc w:val="center"/>
        <w:rPr>
          <w:rFonts w:hint="eastAsia" w:ascii="方正小标宋_GBK" w:hAnsi="方正小标宋_GBK" w:eastAsia="方正小标宋_GBK" w:cs="方正小标宋_GBK"/>
          <w:sz w:val="72"/>
          <w:szCs w:val="72"/>
        </w:rPr>
      </w:pPr>
    </w:p>
    <w:p>
      <w:pPr>
        <w:jc w:val="center"/>
        <w:rPr>
          <w:sz w:val="84"/>
          <w:szCs w:val="84"/>
        </w:rPr>
      </w:pPr>
      <w:r>
        <w:rPr>
          <w:rFonts w:hint="eastAsia" w:ascii="方正小标宋_GBK" w:hAnsi="方正小标宋_GBK" w:eastAsia="方正小标宋_GBK" w:cs="方正小标宋_GBK"/>
          <w:sz w:val="72"/>
          <w:szCs w:val="72"/>
          <w:lang w:eastAsia="zh-CN"/>
        </w:rPr>
        <w:t>何宝珍故里管理所</w:t>
      </w:r>
      <w:r>
        <w:rPr>
          <w:rFonts w:hint="eastAsia" w:ascii="方正小标宋_GBK" w:hAnsi="方正小标宋_GBK" w:eastAsia="方正小标宋_GBK" w:cs="方正小标宋_GBK"/>
          <w:sz w:val="72"/>
          <w:szCs w:val="72"/>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8"/>
        <w:ind w:left="720" w:firstLine="0" w:firstLineChars="0"/>
        <w:jc w:val="left"/>
        <w:rPr>
          <w:rFonts w:ascii="黑体" w:hAnsi="黑体" w:eastAsia="黑体"/>
          <w:sz w:val="32"/>
          <w:szCs w:val="32"/>
        </w:rPr>
      </w:pPr>
    </w:p>
    <w:p>
      <w:pPr>
        <w:pStyle w:val="18"/>
        <w:ind w:left="720" w:firstLine="0" w:firstLineChars="0"/>
        <w:jc w:val="left"/>
        <w:rPr>
          <w:rFonts w:ascii="黑体" w:hAnsi="黑体" w:eastAsia="黑体"/>
          <w:sz w:val="32"/>
          <w:szCs w:val="32"/>
        </w:rPr>
      </w:pPr>
    </w:p>
    <w:p>
      <w:pPr>
        <w:pStyle w:val="18"/>
        <w:ind w:left="720" w:firstLine="0" w:firstLineChars="0"/>
        <w:jc w:val="left"/>
        <w:rPr>
          <w:rFonts w:ascii="黑体" w:hAnsi="黑体" w:eastAsia="黑体"/>
          <w:sz w:val="32"/>
          <w:szCs w:val="32"/>
        </w:rPr>
      </w:pPr>
    </w:p>
    <w:p>
      <w:pPr>
        <w:pStyle w:val="18"/>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rPr>
          <w:rFonts w:hint="default" w:ascii="Times New Roman" w:hAnsi="Times New Roman" w:eastAsia="仿宋_GB2312" w:cs="仿宋_GB2312"/>
          <w:sz w:val="32"/>
          <w:szCs w:val="32"/>
          <w:lang w:val="en-US" w:eastAsia="zh-CN"/>
        </w:rPr>
      </w:pPr>
      <w:bookmarkStart w:id="0" w:name="OLE_LINK2"/>
      <w:bookmarkStart w:id="1" w:name="OLE_LINK1"/>
      <w:r>
        <w:rPr>
          <w:rFonts w:hint="eastAsia" w:ascii="Times New Roman" w:hAnsi="Times New Roman" w:eastAsia="仿宋_GB2312" w:cs="仿宋_GB2312"/>
          <w:sz w:val="32"/>
          <w:szCs w:val="32"/>
        </w:rPr>
        <w:t>何宝珍故里管理所</w:t>
      </w:r>
      <w:r>
        <w:rPr>
          <w:rFonts w:hint="eastAsia" w:ascii="Times New Roman" w:hAnsi="Times New Roman" w:eastAsia="仿宋_GB2312" w:cs="仿宋_GB2312"/>
          <w:sz w:val="32"/>
          <w:szCs w:val="32"/>
          <w:lang w:val="en-US" w:eastAsia="zh-CN"/>
        </w:rPr>
        <w:t>主要职责：</w:t>
      </w:r>
    </w:p>
    <w:p>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何宝珍故里管理所是为加强何宝珍故里文物和纪念馆的管理而建，为湖南省爱国主义教育基地、湖南省党性教育基地、湖南省华侨文化交流基地；何宝珍故居为湖南省第十一批省级文物保护单位。充分利用何宝珍烈士红色文化资源，打造成红色教育基地和红色文化景区，更多游人到景区接受红色教育。 </w:t>
      </w:r>
    </w:p>
    <w:p>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（二）2020年1月设立何宝珍故里管理所为副科级公益一类事业单位，2021年度决算为首次编制，主要职责是：加强对何宝珍故居、纪念馆、铜像广场和文物的管理。</w:t>
      </w:r>
    </w:p>
    <w:p>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）人员编制为5人，实有在职人员5人。</w:t>
      </w:r>
    </w:p>
    <w:bookmarkEnd w:id="0"/>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lang w:eastAsia="zh-CN"/>
        </w:rPr>
      </w:pPr>
      <w:bookmarkStart w:id="2" w:name="OLE_LINK3"/>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何宝珍故里管理所</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办公室、政工科、宣教科。</w:t>
      </w:r>
    </w:p>
    <w:p>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何宝珍故里管理所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w:t>
      </w:r>
      <w:r>
        <w:rPr>
          <w:rFonts w:hint="eastAsia" w:ascii="Times New Roman" w:hAnsi="Times New Roman" w:eastAsia="仿宋_GB2312" w:cs="仿宋_GB2312"/>
          <w:bCs/>
          <w:kern w:val="0"/>
          <w:sz w:val="32"/>
          <w:szCs w:val="32"/>
          <w:lang w:eastAsia="zh-CN"/>
        </w:rPr>
        <w:t>只有本级，没有其他二级预算单位，因此，纳入</w:t>
      </w:r>
      <w:r>
        <w:rPr>
          <w:rFonts w:hint="eastAsia" w:ascii="Times New Roman" w:hAnsi="Times New Roman" w:eastAsia="仿宋_GB2312" w:cs="仿宋_GB2312"/>
          <w:bCs/>
          <w:kern w:val="0"/>
          <w:sz w:val="32"/>
          <w:szCs w:val="32"/>
          <w:lang w:val="en-US" w:eastAsia="zh-CN"/>
        </w:rPr>
        <w:t>2024年部门决算编制范围的只有何宝珍故里管理所部门本级。</w:t>
      </w:r>
      <w:bookmarkEnd w:id="2"/>
    </w:p>
    <w:bookmarkEnd w:id="1"/>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第二部分</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部门决算表</w:t>
      </w: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14081" w:type="dxa"/>
        <w:tblInd w:w="93" w:type="dxa"/>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99.68</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92.88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4.3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pStyle w:val="4"/>
              <w:rPr>
                <w:rFonts w:hint="eastAsia"/>
                <w:lang w:eastAsia="zh-CN"/>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99.68</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2"/>
                <w:szCs w:val="22"/>
                <w:u w:val="none"/>
                <w:lang w:val="en-US" w:eastAsia="zh-CN" w:bidi="ar"/>
              </w:rPr>
              <w:t>99.68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9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99.68</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2"/>
                <w:szCs w:val="22"/>
                <w:u w:val="none"/>
                <w:lang w:val="en-US" w:eastAsia="zh-CN" w:bidi="ar"/>
              </w:rPr>
              <w:t>99.68</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13"/>
        <w:tblW w:w="15420" w:type="dxa"/>
        <w:tblInd w:w="0" w:type="dxa"/>
        <w:tblLayout w:type="fixed"/>
        <w:tblCellMar>
          <w:top w:w="0" w:type="dxa"/>
          <w:left w:w="0" w:type="dxa"/>
          <w:bottom w:w="0" w:type="dxa"/>
          <w:right w:w="0" w:type="dxa"/>
        </w:tblCellMar>
      </w:tblPr>
      <w:tblGrid>
        <w:gridCol w:w="1018"/>
        <w:gridCol w:w="45"/>
        <w:gridCol w:w="76"/>
        <w:gridCol w:w="728"/>
        <w:gridCol w:w="229"/>
        <w:gridCol w:w="1262"/>
        <w:gridCol w:w="196"/>
        <w:gridCol w:w="1252"/>
        <w:gridCol w:w="448"/>
        <w:gridCol w:w="1254"/>
        <w:gridCol w:w="480"/>
        <w:gridCol w:w="1270"/>
        <w:gridCol w:w="464"/>
        <w:gridCol w:w="1262"/>
        <w:gridCol w:w="472"/>
        <w:gridCol w:w="1254"/>
        <w:gridCol w:w="480"/>
        <w:gridCol w:w="1246"/>
        <w:gridCol w:w="1147"/>
        <w:gridCol w:w="837"/>
      </w:tblGrid>
      <w:tr>
        <w:tblPrEx>
          <w:tblCellMar>
            <w:top w:w="0" w:type="dxa"/>
            <w:left w:w="0" w:type="dxa"/>
            <w:bottom w:w="0" w:type="dxa"/>
            <w:right w:w="0" w:type="dxa"/>
          </w:tblCellMar>
        </w:tblPrEx>
        <w:trPr>
          <w:trHeight w:val="640" w:hRule="atLeast"/>
        </w:trPr>
        <w:tc>
          <w:tcPr>
            <w:tcW w:w="15420" w:type="dxa"/>
            <w:gridSpan w:val="2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335" w:hRule="atLeast"/>
        </w:trPr>
        <w:tc>
          <w:tcPr>
            <w:tcW w:w="1063"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19"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335" w:hRule="atLeast"/>
        </w:trPr>
        <w:tc>
          <w:tcPr>
            <w:tcW w:w="1139"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219"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5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90" w:hRule="atLeast"/>
        </w:trPr>
        <w:tc>
          <w:tcPr>
            <w:tcW w:w="3358"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4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0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5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2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2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2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9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90" w:hRule="atLeast"/>
        </w:trPr>
        <w:tc>
          <w:tcPr>
            <w:tcW w:w="1139"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219"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4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60" w:hRule="atLeast"/>
        </w:trPr>
        <w:tc>
          <w:tcPr>
            <w:tcW w:w="1139"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19"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2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90" w:hRule="atLeast"/>
        </w:trPr>
        <w:tc>
          <w:tcPr>
            <w:tcW w:w="33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44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70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75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72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72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72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198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90" w:hRule="atLeast"/>
        </w:trPr>
        <w:tc>
          <w:tcPr>
            <w:tcW w:w="3358"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bookmarkStart w:id="3" w:name="OLE_LINK8" w:colFirst="1" w:colLast="3"/>
            <w:r>
              <w:rPr>
                <w:rFonts w:hint="eastAsia" w:ascii="宋体" w:hAnsi="宋体" w:eastAsia="宋体" w:cs="宋体"/>
                <w:i w:val="0"/>
                <w:iCs w:val="0"/>
                <w:color w:val="000000"/>
                <w:kern w:val="0"/>
                <w:sz w:val="22"/>
                <w:szCs w:val="22"/>
                <w:u w:val="none"/>
                <w:lang w:val="en-US" w:eastAsia="zh-CN" w:bidi="ar"/>
              </w:rPr>
              <w:t>合计</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b/>
                <w:bCs/>
                <w:i w:val="0"/>
                <w:iCs w:val="0"/>
                <w:color w:val="000000"/>
                <w:kern w:val="0"/>
                <w:sz w:val="22"/>
                <w:szCs w:val="22"/>
                <w:u w:val="none"/>
                <w:lang w:val="en-US" w:eastAsia="zh-CN" w:bidi="ar"/>
              </w:rPr>
              <w:t>99.68</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b/>
                <w:bCs/>
                <w:i w:val="0"/>
                <w:iCs w:val="0"/>
                <w:color w:val="000000"/>
                <w:kern w:val="0"/>
                <w:sz w:val="22"/>
                <w:szCs w:val="22"/>
                <w:u w:val="none"/>
                <w:lang w:val="en-US" w:eastAsia="zh-CN" w:bidi="ar"/>
              </w:rPr>
              <w:t>99.68</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660"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92.88</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92.88</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90"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bookmarkStart w:id="4" w:name="OLE_LINK4" w:colFirst="2" w:colLast="3"/>
            <w:r>
              <w:rPr>
                <w:rFonts w:hint="eastAsia" w:ascii="宋体" w:hAnsi="宋体" w:eastAsia="宋体" w:cs="宋体"/>
                <w:i w:val="0"/>
                <w:iCs w:val="0"/>
                <w:color w:val="000000"/>
                <w:kern w:val="0"/>
                <w:sz w:val="22"/>
                <w:szCs w:val="22"/>
                <w:u w:val="none"/>
                <w:lang w:val="en-US" w:eastAsia="zh-CN" w:bidi="ar"/>
              </w:rPr>
              <w:t>20701</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cs="宋体"/>
                <w:sz w:val="24"/>
                <w:szCs w:val="24"/>
                <w:lang w:val="en-US"/>
              </w:rPr>
            </w:pPr>
            <w:r>
              <w:rPr>
                <w:rFonts w:hint="eastAsia" w:ascii="宋体" w:hAnsi="宋体" w:eastAsia="宋体" w:cs="宋体"/>
                <w:i w:val="0"/>
                <w:iCs w:val="0"/>
                <w:color w:val="000000"/>
                <w:kern w:val="0"/>
                <w:sz w:val="22"/>
                <w:szCs w:val="22"/>
                <w:u w:val="none"/>
                <w:lang w:val="en-US" w:eastAsia="zh-CN" w:bidi="ar"/>
              </w:rPr>
              <w:t>92.88</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92.88</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bookmarkEnd w:id="4"/>
      <w:tr>
        <w:tblPrEx>
          <w:tblCellMar>
            <w:top w:w="0" w:type="dxa"/>
            <w:left w:w="0" w:type="dxa"/>
            <w:bottom w:w="0" w:type="dxa"/>
            <w:right w:w="0" w:type="dxa"/>
          </w:tblCellMar>
        </w:tblPrEx>
        <w:trPr>
          <w:trHeight w:val="490"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2070101</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lang w:val="en-US"/>
              </w:rPr>
            </w:pPr>
            <w:r>
              <w:rPr>
                <w:rFonts w:hint="eastAsia" w:ascii="宋体" w:hAnsi="宋体" w:eastAsia="宋体" w:cs="宋体"/>
                <w:i w:val="0"/>
                <w:iCs w:val="0"/>
                <w:color w:val="000000"/>
                <w:kern w:val="0"/>
                <w:sz w:val="22"/>
                <w:szCs w:val="22"/>
                <w:u w:val="none"/>
                <w:lang w:val="en-US" w:eastAsia="zh-CN" w:bidi="ar"/>
              </w:rPr>
              <w:t>77.08</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77.08</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60"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2070199</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lang w:val="en-US"/>
              </w:rPr>
            </w:pPr>
            <w:r>
              <w:rPr>
                <w:rFonts w:hint="eastAsia" w:ascii="宋体" w:hAnsi="宋体" w:eastAsia="宋体" w:cs="宋体"/>
                <w:i w:val="0"/>
                <w:iCs w:val="0"/>
                <w:color w:val="000000"/>
                <w:kern w:val="0"/>
                <w:sz w:val="22"/>
                <w:szCs w:val="22"/>
                <w:u w:val="none"/>
                <w:lang w:val="en-US" w:eastAsia="zh-CN" w:bidi="ar"/>
              </w:rPr>
              <w:t>15.8</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15.8</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500"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lang w:val="en-US"/>
              </w:rPr>
            </w:pPr>
            <w:r>
              <w:rPr>
                <w:rFonts w:hint="eastAsia" w:ascii="宋体" w:hAnsi="宋体" w:eastAsia="宋体" w:cs="宋体"/>
                <w:i w:val="0"/>
                <w:iCs w:val="0"/>
                <w:color w:val="000000"/>
                <w:kern w:val="0"/>
                <w:sz w:val="22"/>
                <w:szCs w:val="22"/>
                <w:u w:val="none"/>
                <w:lang w:val="en-US" w:eastAsia="zh-CN" w:bidi="ar"/>
              </w:rPr>
              <w:t>4.29</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4.29</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525"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bookmarkStart w:id="5" w:name="OLE_LINK7" w:colFirst="0" w:colLast="1"/>
            <w:r>
              <w:rPr>
                <w:rFonts w:hint="eastAsia" w:ascii="宋体" w:hAnsi="宋体" w:eastAsia="宋体" w:cs="宋体"/>
                <w:i w:val="0"/>
                <w:iCs w:val="0"/>
                <w:color w:val="000000"/>
                <w:kern w:val="0"/>
                <w:sz w:val="22"/>
                <w:szCs w:val="22"/>
                <w:u w:val="none"/>
                <w:lang w:val="en-US" w:eastAsia="zh-CN" w:bidi="ar"/>
              </w:rPr>
              <w:t>2080505</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lang w:val="en-US"/>
              </w:rPr>
            </w:pPr>
            <w:r>
              <w:rPr>
                <w:rFonts w:hint="eastAsia" w:ascii="宋体" w:hAnsi="宋体" w:eastAsia="宋体" w:cs="宋体"/>
                <w:i w:val="0"/>
                <w:iCs w:val="0"/>
                <w:color w:val="000000"/>
                <w:kern w:val="0"/>
                <w:sz w:val="22"/>
                <w:szCs w:val="22"/>
                <w:u w:val="none"/>
                <w:lang w:val="en-US" w:eastAsia="zh-CN" w:bidi="ar"/>
              </w:rPr>
              <w:t>4.03</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4.03</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82"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bookmarkStart w:id="6" w:name="OLE_LINK5" w:colFirst="0" w:colLast="3"/>
            <w:r>
              <w:rPr>
                <w:rFonts w:hint="eastAsia" w:ascii="宋体" w:hAnsi="宋体" w:eastAsia="宋体" w:cs="宋体"/>
                <w:i w:val="0"/>
                <w:iCs w:val="0"/>
                <w:color w:val="000000"/>
                <w:kern w:val="0"/>
                <w:sz w:val="22"/>
                <w:szCs w:val="22"/>
                <w:u w:val="none"/>
                <w:lang w:val="en-US" w:eastAsia="zh-CN" w:bidi="ar"/>
              </w:rPr>
              <w:t>2080506</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lang w:val="en-US"/>
              </w:rPr>
            </w:pPr>
            <w:r>
              <w:rPr>
                <w:rFonts w:hint="eastAsia" w:ascii="宋体" w:hAnsi="宋体" w:eastAsia="宋体" w:cs="宋体"/>
                <w:i w:val="0"/>
                <w:iCs w:val="0"/>
                <w:color w:val="000000"/>
                <w:kern w:val="0"/>
                <w:sz w:val="22"/>
                <w:szCs w:val="22"/>
                <w:u w:val="none"/>
                <w:lang w:val="en-US" w:eastAsia="zh-CN" w:bidi="ar"/>
              </w:rPr>
              <w:t>0.26</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0.26</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bookmarkEnd w:id="5"/>
      <w:bookmarkEnd w:id="6"/>
      <w:tr>
        <w:tblPrEx>
          <w:tblCellMar>
            <w:top w:w="0" w:type="dxa"/>
            <w:left w:w="0" w:type="dxa"/>
            <w:bottom w:w="0" w:type="dxa"/>
            <w:right w:w="0" w:type="dxa"/>
          </w:tblCellMar>
        </w:tblPrEx>
        <w:trPr>
          <w:trHeight w:val="490"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bookmarkStart w:id="7" w:name="OLE_LINK6" w:colFirst="2" w:colLast="3"/>
            <w:r>
              <w:rPr>
                <w:rFonts w:hint="eastAsia" w:ascii="宋体" w:hAnsi="宋体" w:eastAsia="宋体" w:cs="宋体"/>
                <w:i w:val="0"/>
                <w:iCs w:val="0"/>
                <w:color w:val="000000"/>
                <w:kern w:val="0"/>
                <w:sz w:val="22"/>
                <w:szCs w:val="22"/>
                <w:u w:val="none"/>
                <w:lang w:val="en-US" w:eastAsia="zh-CN" w:bidi="ar"/>
              </w:rPr>
              <w:t>210</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华文中宋" w:hAnsi="华文中宋" w:eastAsia="华文中宋"/>
                <w:lang w:val="en-US"/>
              </w:rPr>
            </w:pPr>
            <w:r>
              <w:rPr>
                <w:rFonts w:hint="eastAsia" w:ascii="宋体" w:hAnsi="宋体" w:eastAsia="宋体" w:cs="宋体"/>
                <w:i w:val="0"/>
                <w:iCs w:val="0"/>
                <w:color w:val="000000"/>
                <w:kern w:val="0"/>
                <w:sz w:val="22"/>
                <w:szCs w:val="22"/>
                <w:u w:val="none"/>
                <w:lang w:val="en-US" w:eastAsia="zh-CN" w:bidi="ar"/>
              </w:rPr>
              <w:t>2.51</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2.51</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bookmarkEnd w:id="7"/>
      <w:tr>
        <w:tblPrEx>
          <w:tblCellMar>
            <w:top w:w="0" w:type="dxa"/>
            <w:left w:w="0" w:type="dxa"/>
            <w:bottom w:w="0" w:type="dxa"/>
            <w:right w:w="0" w:type="dxa"/>
          </w:tblCellMar>
        </w:tblPrEx>
        <w:trPr>
          <w:trHeight w:val="490"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2.51</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2.51</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90" w:hRule="atLeast"/>
        </w:trPr>
        <w:tc>
          <w:tcPr>
            <w:tcW w:w="106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2295"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44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2.51</w:t>
            </w:r>
          </w:p>
        </w:tc>
        <w:tc>
          <w:tcPr>
            <w:tcW w:w="170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2.51</w:t>
            </w:r>
          </w:p>
        </w:tc>
        <w:tc>
          <w:tcPr>
            <w:tcW w:w="175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2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8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bookmarkEnd w:id="3"/>
      <w:tr>
        <w:tblPrEx>
          <w:tblCellMar>
            <w:top w:w="0" w:type="dxa"/>
            <w:left w:w="0" w:type="dxa"/>
            <w:bottom w:w="0" w:type="dxa"/>
            <w:right w:w="0" w:type="dxa"/>
          </w:tblCellMar>
        </w:tblPrEx>
        <w:trPr>
          <w:trHeight w:val="631" w:hRule="atLeast"/>
        </w:trPr>
        <w:tc>
          <w:tcPr>
            <w:tcW w:w="15420" w:type="dxa"/>
            <w:gridSpan w:val="2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1"/>
          <w:wAfter w:w="837" w:type="dxa"/>
          <w:trHeight w:val="614" w:hRule="atLeast"/>
        </w:trPr>
        <w:tc>
          <w:tcPr>
            <w:tcW w:w="14583"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ascii="Times New Roman" w:hAnsi="Times New Roman" w:eastAsia="黑体" w:cs="Times New Roman"/>
                <w:bCs/>
                <w:kern w:val="0"/>
                <w:sz w:val="32"/>
                <w:szCs w:val="32"/>
              </w:rPr>
              <w:br w:type="page"/>
            </w: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1"/>
          <w:wAfter w:w="837" w:type="dxa"/>
          <w:trHeight w:val="307" w:hRule="atLeast"/>
        </w:trPr>
        <w:tc>
          <w:tcPr>
            <w:tcW w:w="1867"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9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1"/>
          <w:wAfter w:w="837" w:type="dxa"/>
          <w:trHeight w:val="307" w:hRule="atLeast"/>
        </w:trPr>
        <w:tc>
          <w:tcPr>
            <w:tcW w:w="1867"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3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9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837" w:type="dxa"/>
          <w:trHeight w:val="460" w:hRule="atLeast"/>
        </w:trPr>
        <w:tc>
          <w:tcPr>
            <w:tcW w:w="355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0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3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3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3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3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9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1"/>
          <w:wAfter w:w="837" w:type="dxa"/>
          <w:trHeight w:val="460" w:hRule="atLeast"/>
        </w:trPr>
        <w:tc>
          <w:tcPr>
            <w:tcW w:w="2096"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58"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209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5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3554"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70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734"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734"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734"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734"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93"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gridAfter w:val="1"/>
          <w:wAfter w:w="837" w:type="dxa"/>
          <w:trHeight w:val="460" w:hRule="atLeast"/>
        </w:trPr>
        <w:tc>
          <w:tcPr>
            <w:tcW w:w="3554"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99.68</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99.68</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63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92.88</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92.88</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92.88</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92.88</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2070101</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77.08</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77.08</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15.8</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15.8</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4.29</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4.29</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bookmarkStart w:id="8" w:name="OLE_LINK10" w:colFirst="0" w:colLast="1"/>
            <w:r>
              <w:rPr>
                <w:rFonts w:hint="eastAsia" w:ascii="宋体" w:hAnsi="宋体" w:eastAsia="宋体" w:cs="宋体"/>
                <w:i w:val="0"/>
                <w:iCs w:val="0"/>
                <w:color w:val="000000"/>
                <w:kern w:val="0"/>
                <w:sz w:val="22"/>
                <w:szCs w:val="22"/>
                <w:u w:val="none"/>
                <w:lang w:val="en-US" w:eastAsia="zh-CN" w:bidi="ar"/>
              </w:rPr>
              <w:t>2080505</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4.03</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4.03</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63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2080506</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0.26</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0.26</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bookmarkEnd w:id="8"/>
      <w:tr>
        <w:tblPrEx>
          <w:tblCellMar>
            <w:top w:w="0" w:type="dxa"/>
            <w:left w:w="108" w:type="dxa"/>
            <w:bottom w:w="0" w:type="dxa"/>
            <w:right w:w="108" w:type="dxa"/>
          </w:tblCellMar>
        </w:tblPrEx>
        <w:trPr>
          <w:gridAfter w:val="1"/>
          <w:wAfter w:w="837" w:type="dxa"/>
          <w:trHeight w:val="46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2.51</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2.51</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2.51</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2.51</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460" w:hRule="atLeast"/>
        </w:trPr>
        <w:tc>
          <w:tcPr>
            <w:tcW w:w="101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536" w:type="dxa"/>
            <w:gridSpan w:val="6"/>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2.51</w:t>
            </w:r>
          </w:p>
        </w:tc>
        <w:tc>
          <w:tcPr>
            <w:tcW w:w="173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2.51</w:t>
            </w: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73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93"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1"/>
          <w:wAfter w:w="837" w:type="dxa"/>
          <w:trHeight w:val="636" w:hRule="atLeast"/>
        </w:trPr>
        <w:tc>
          <w:tcPr>
            <w:tcW w:w="14583"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13"/>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9" w:name="RANGE!A1:I22"/>
            <w:bookmarkEnd w:id="9"/>
            <w:bookmarkStart w:id="10"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99.68</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92.88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92.88</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4.3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4.3</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bookmarkStart w:id="11" w:name="OLE_LINK9"/>
            <w:r>
              <w:rPr>
                <w:rFonts w:hint="eastAsia" w:ascii="宋体" w:hAnsi="宋体" w:eastAsia="宋体" w:cs="宋体"/>
                <w:i w:val="0"/>
                <w:iCs w:val="0"/>
                <w:color w:val="000000"/>
                <w:kern w:val="0"/>
                <w:sz w:val="22"/>
                <w:szCs w:val="22"/>
                <w:u w:val="none"/>
                <w:lang w:val="en-US" w:eastAsia="zh-CN" w:bidi="ar"/>
              </w:rPr>
              <w:t>99.68</w:t>
            </w:r>
            <w:bookmarkEnd w:id="11"/>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99.68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99.68</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99.68</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99.68</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99.68</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pStyle w:val="4"/>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14219" w:type="dxa"/>
        <w:jc w:val="center"/>
        <w:tblLayout w:type="fixed"/>
        <w:tblCellMar>
          <w:top w:w="0" w:type="dxa"/>
          <w:left w:w="108" w:type="dxa"/>
          <w:bottom w:w="0" w:type="dxa"/>
          <w:right w:w="108" w:type="dxa"/>
        </w:tblCellMar>
      </w:tblPr>
      <w:tblGrid>
        <w:gridCol w:w="986"/>
        <w:gridCol w:w="1009"/>
        <w:gridCol w:w="3295"/>
        <w:gridCol w:w="2833"/>
        <w:gridCol w:w="3288"/>
        <w:gridCol w:w="2808"/>
      </w:tblGrid>
      <w:tr>
        <w:tblPrEx>
          <w:tblCellMar>
            <w:top w:w="0" w:type="dxa"/>
            <w:left w:w="108" w:type="dxa"/>
            <w:bottom w:w="0" w:type="dxa"/>
            <w:right w:w="108" w:type="dxa"/>
          </w:tblCellMar>
        </w:tblPrEx>
        <w:trPr>
          <w:trHeight w:val="405" w:hRule="atLeast"/>
          <w:jc w:val="center"/>
        </w:trPr>
        <w:tc>
          <w:tcPr>
            <w:tcW w:w="529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2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95"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08"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95"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995"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0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9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0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450" w:hRule="atLeast"/>
          <w:jc w:val="center"/>
        </w:trPr>
        <w:tc>
          <w:tcPr>
            <w:tcW w:w="529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2"/>
                <w:szCs w:val="22"/>
                <w:u w:val="none"/>
                <w:lang w:val="en-US" w:eastAsia="zh-CN" w:bidi="ar"/>
              </w:rPr>
              <w:t>99.68</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2"/>
                <w:szCs w:val="22"/>
                <w:u w:val="none"/>
                <w:lang w:val="en-US" w:eastAsia="zh-CN" w:bidi="ar"/>
              </w:rPr>
              <w:t>99.68</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92.88</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92.88</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92.88</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92.88</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2070101</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77.08</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77.08</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15.8</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p>
        </w:tc>
        <w:tc>
          <w:tcPr>
            <w:tcW w:w="2808"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15.8</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4.29</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4.29</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4.03</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4.03</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2080506</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0.26</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0.26</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bookmarkStart w:id="12" w:name="OLE_LINK11" w:colFirst="2" w:colLast="3"/>
            <w:r>
              <w:rPr>
                <w:rFonts w:hint="eastAsia" w:ascii="宋体" w:hAnsi="宋体" w:eastAsia="宋体" w:cs="宋体"/>
                <w:i w:val="0"/>
                <w:iCs w:val="0"/>
                <w:color w:val="000000"/>
                <w:kern w:val="0"/>
                <w:sz w:val="22"/>
                <w:szCs w:val="22"/>
                <w:u w:val="none"/>
                <w:lang w:val="en-US" w:eastAsia="zh-CN" w:bidi="ar"/>
              </w:rPr>
              <w:t>210</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2.51</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2.51</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bookmarkEnd w:id="12"/>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2.51</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2.51</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43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8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2.51</w:t>
            </w:r>
          </w:p>
        </w:tc>
        <w:tc>
          <w:tcPr>
            <w:tcW w:w="32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2.51</w:t>
            </w:r>
          </w:p>
        </w:tc>
        <w:tc>
          <w:tcPr>
            <w:tcW w:w="280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15614" w:type="dxa"/>
        <w:tblInd w:w="0" w:type="dxa"/>
        <w:tblLayout w:type="fixed"/>
        <w:tblCellMar>
          <w:top w:w="0" w:type="dxa"/>
          <w:left w:w="108" w:type="dxa"/>
          <w:bottom w:w="0" w:type="dxa"/>
          <w:right w:w="108" w:type="dxa"/>
        </w:tblCellMar>
      </w:tblPr>
      <w:tblGrid>
        <w:gridCol w:w="1309"/>
        <w:gridCol w:w="3055"/>
        <w:gridCol w:w="983"/>
        <w:gridCol w:w="1197"/>
        <w:gridCol w:w="2263"/>
        <w:gridCol w:w="752"/>
        <w:gridCol w:w="1198"/>
        <w:gridCol w:w="3819"/>
        <w:gridCol w:w="1038"/>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13" w:name="RANGE!A1:I34"/>
            <w:r>
              <w:rPr>
                <w:rFonts w:hint="eastAsia" w:ascii="华文中宋" w:hAnsi="华文中宋" w:eastAsia="华文中宋" w:cs="宋体"/>
                <w:color w:val="000000"/>
                <w:kern w:val="0"/>
                <w:szCs w:val="32"/>
              </w:rPr>
              <w:t>一般公共预算财政拨款基本支出决算明细表</w:t>
            </w:r>
            <w:bookmarkEnd w:id="13"/>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45.03</w:t>
            </w: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38.854</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15.94</w:t>
            </w:r>
          </w:p>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w:t>
            </w: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10.561</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w:t>
            </w: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3.5</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Cs w:val="20"/>
                <w:lang w:val="en-US" w:eastAsia="zh-CN"/>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14.14</w:t>
            </w: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0.4</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4.04</w:t>
            </w: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3.3</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0.26</w:t>
            </w: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2.2</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2.51</w:t>
            </w: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0.15</w:t>
            </w: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0.5</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0.27</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2.8</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1.69</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3.4</w:t>
            </w: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38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w:t>
            </w:r>
          </w:p>
        </w:tc>
        <w:tc>
          <w:tcPr>
            <w:tcW w:w="1198"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81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05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8"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81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09"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055"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98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2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4.64</w:t>
            </w:r>
          </w:p>
        </w:tc>
        <w:tc>
          <w:tcPr>
            <w:tcW w:w="1198"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819"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3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98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45.03</w:t>
            </w:r>
          </w:p>
        </w:tc>
        <w:tc>
          <w:tcPr>
            <w:tcW w:w="9229"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18"/>
                <w:lang w:val="en-US"/>
              </w:rPr>
            </w:pPr>
            <w:r>
              <w:rPr>
                <w:rFonts w:hint="eastAsia" w:ascii="宋体" w:hAnsi="宋体" w:eastAsia="宋体" w:cs="宋体"/>
                <w:i w:val="0"/>
                <w:iCs w:val="0"/>
                <w:color w:val="000000"/>
                <w:kern w:val="0"/>
                <w:sz w:val="22"/>
                <w:szCs w:val="22"/>
                <w:u w:val="none"/>
                <w:lang w:val="en-US" w:eastAsia="zh-CN" w:bidi="ar"/>
              </w:rPr>
              <w:t>38.85</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3"/>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0.4</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0.4</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0.27</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0.27</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hint="eastAsia" w:ascii="Times New Roman" w:hAnsi="Times New Roman" w:eastAsia="仿宋_GB2312" w:cs="Times New Roman"/>
          <w:kern w:val="0"/>
          <w:szCs w:val="21"/>
        </w:rPr>
        <w:t>说明：我单位2023年没有政府性基金收入，也没有使用政府性基金安排的支出，故本表无数据。</w:t>
      </w:r>
      <w:r>
        <w:rPr>
          <w:rFonts w:ascii="黑体" w:hAnsi="黑体" w:eastAsia="黑体"/>
          <w:szCs w:val="21"/>
        </w:rPr>
        <w:br w:type="page"/>
      </w:r>
    </w:p>
    <w:tbl>
      <w:tblPr>
        <w:tblStyle w:val="13"/>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pStyle w:val="4"/>
            </w:pPr>
            <w:r>
              <w:rPr>
                <w:rFonts w:hint="eastAsia" w:ascii="楷体" w:hAnsi="楷体" w:eastAsia="楷体" w:cs="楷体"/>
                <w:b/>
                <w:bCs/>
                <w:i w:val="0"/>
                <w:color w:val="auto"/>
                <w:kern w:val="0"/>
                <w:sz w:val="24"/>
                <w:szCs w:val="24"/>
                <w:u w:val="none"/>
                <w:lang w:val="en-US" w:eastAsia="zh-CN" w:bidi="ar"/>
              </w:rPr>
              <w:t>说明：我单位2023年没有使用国有资本经营预算安排的支出，故本表无数据。</w:t>
            </w:r>
          </w:p>
        </w:tc>
      </w:tr>
    </w:tbl>
    <w:p>
      <w:pPr>
        <w:pStyle w:val="17"/>
        <w:rPr>
          <w:sz w:val="72"/>
          <w:szCs w:val="72"/>
        </w:rPr>
        <w:sectPr>
          <w:pgSz w:w="16838" w:h="11906" w:orient="landscape"/>
          <w:pgMar w:top="720" w:right="720" w:bottom="720" w:left="720" w:header="851" w:footer="992" w:gutter="0"/>
          <w:cols w:space="425" w:num="1"/>
          <w:docGrid w:type="lines" w:linePitch="312" w:charSpace="0"/>
        </w:sectPr>
      </w:pPr>
    </w:p>
    <w:p>
      <w:pPr>
        <w:pStyle w:val="17"/>
        <w:rPr>
          <w:sz w:val="72"/>
          <w:szCs w:val="72"/>
        </w:rPr>
      </w:pPr>
    </w:p>
    <w:p>
      <w:pPr>
        <w:pStyle w:val="17"/>
        <w:rPr>
          <w:sz w:val="72"/>
          <w:szCs w:val="72"/>
        </w:rPr>
      </w:pPr>
    </w:p>
    <w:p>
      <w:pPr>
        <w:pStyle w:val="17"/>
        <w:rPr>
          <w:sz w:val="72"/>
          <w:szCs w:val="72"/>
        </w:rPr>
      </w:pPr>
    </w:p>
    <w:p>
      <w:pPr>
        <w:pStyle w:val="17"/>
        <w:rPr>
          <w:sz w:val="72"/>
          <w:szCs w:val="72"/>
        </w:rPr>
      </w:pPr>
    </w:p>
    <w:p>
      <w:pPr>
        <w:pStyle w:val="17"/>
        <w:jc w:val="center"/>
        <w:rPr>
          <w:sz w:val="72"/>
          <w:szCs w:val="72"/>
        </w:rPr>
      </w:pPr>
    </w:p>
    <w:p>
      <w:pPr>
        <w:pStyle w:val="17"/>
        <w:jc w:val="center"/>
        <w:rPr>
          <w:sz w:val="72"/>
          <w:szCs w:val="72"/>
        </w:rPr>
      </w:pP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年度部门决算情况说明</w:t>
      </w:r>
    </w:p>
    <w:p>
      <w:pPr>
        <w:widowControl/>
        <w:jc w:val="left"/>
        <w:rPr>
          <w:rFonts w:ascii="黑体" w:eastAsia="黑体" w:cs="黑体"/>
          <w:color w:val="000000"/>
          <w:kern w:val="0"/>
          <w:sz w:val="70"/>
          <w:szCs w:val="70"/>
        </w:rPr>
      </w:pPr>
      <w:r>
        <w:rPr>
          <w:sz w:val="70"/>
          <w:szCs w:val="70"/>
        </w:rPr>
        <w:br w:type="page"/>
      </w:r>
    </w:p>
    <w:p>
      <w:pPr>
        <w:pStyle w:val="17"/>
        <w:rPr>
          <w:rFonts w:asciiTheme="minorEastAsia" w:hAnsiTheme="minorEastAsia" w:eastAsiaTheme="minorEastAsia"/>
          <w:sz w:val="32"/>
          <w:szCs w:val="32"/>
        </w:rPr>
      </w:pPr>
    </w:p>
    <w:p>
      <w:pPr>
        <w:pStyle w:val="17"/>
        <w:ind w:firstLine="640" w:firstLineChars="200"/>
        <w:rPr>
          <w:rFonts w:hAnsi="黑体"/>
          <w:b/>
          <w:sz w:val="32"/>
          <w:szCs w:val="32"/>
        </w:rPr>
      </w:pPr>
      <w:r>
        <w:rPr>
          <w:rFonts w:hint="eastAsia" w:hAnsi="黑体"/>
          <w:b/>
          <w:sz w:val="32"/>
          <w:szCs w:val="32"/>
        </w:rPr>
        <w:t>一、收入支出决算总体情况说明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99.68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增加20.92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上升20</w:t>
      </w:r>
      <w:r>
        <w:rPr>
          <w:rFonts w:hint="eastAsia" w:ascii="Times New Roman" w:hAnsi="Times New Roman" w:eastAsia="仿宋_GB2312"/>
          <w:sz w:val="32"/>
          <w:szCs w:val="32"/>
        </w:rPr>
        <w:t>%，主要是因为主要是因为</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rPr>
        <w:t>活动开展</w:t>
      </w:r>
      <w:r>
        <w:rPr>
          <w:rFonts w:hint="eastAsia" w:ascii="Times New Roman" w:hAnsi="Times New Roman" w:eastAsia="仿宋_GB2312"/>
          <w:sz w:val="32"/>
          <w:szCs w:val="32"/>
          <w:lang w:val="en-US" w:eastAsia="zh-CN"/>
        </w:rPr>
        <w:t>增加。</w:t>
      </w:r>
    </w:p>
    <w:p>
      <w:pPr>
        <w:pStyle w:val="17"/>
        <w:ind w:firstLine="640" w:firstLineChars="200"/>
        <w:rPr>
          <w:rFonts w:hAnsi="黑体"/>
          <w:b/>
          <w:sz w:val="32"/>
          <w:szCs w:val="32"/>
        </w:rPr>
      </w:pPr>
      <w:r>
        <w:rPr>
          <w:rFonts w:hint="eastAsia" w:hAnsi="黑体"/>
          <w:b/>
          <w:sz w:val="32"/>
          <w:szCs w:val="32"/>
        </w:rPr>
        <w:t>二、收入决算情况说明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99.68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99.68</w:t>
      </w:r>
      <w:r>
        <w:rPr>
          <w:rFonts w:hint="eastAsia" w:ascii="Times New Roman" w:hAnsi="Times New Roman" w:eastAsia="仿宋_GB2312"/>
          <w:sz w:val="32"/>
          <w:szCs w:val="32"/>
        </w:rPr>
        <w:t>万元，占100%；上级补助收入0万元，占0%；事业收入0万元，占0%；经营收入0万元，占0%；附属单位上缴收入0万元，占0%；其他收入0万元，占0%。</w:t>
      </w:r>
    </w:p>
    <w:p>
      <w:pPr>
        <w:pStyle w:val="17"/>
        <w:ind w:firstLine="640" w:firstLineChars="200"/>
        <w:rPr>
          <w:rFonts w:hAnsi="黑体"/>
          <w:b/>
          <w:sz w:val="32"/>
          <w:szCs w:val="32"/>
        </w:rPr>
      </w:pPr>
      <w:r>
        <w:rPr>
          <w:rFonts w:hint="eastAsia" w:hAnsi="黑体"/>
          <w:b/>
          <w:sz w:val="32"/>
          <w:szCs w:val="32"/>
        </w:rPr>
        <w:t>三、支出决算情况说明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99.68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99.68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%；上缴上级支出0万元，占0%；经营支出0万元，占0%；对附属单位补助支出0万元，占0%。</w:t>
      </w:r>
    </w:p>
    <w:p>
      <w:pPr>
        <w:pStyle w:val="17"/>
        <w:ind w:firstLine="640" w:firstLineChars="200"/>
        <w:rPr>
          <w:rFonts w:hAnsi="黑体"/>
          <w:b/>
          <w:sz w:val="32"/>
          <w:szCs w:val="32"/>
        </w:rPr>
      </w:pPr>
      <w:r>
        <w:rPr>
          <w:rFonts w:hint="eastAsia" w:hAnsi="黑体"/>
          <w:b/>
          <w:sz w:val="32"/>
          <w:szCs w:val="32"/>
        </w:rPr>
        <w:t>四、财政拨款收入支出决算总体情况说明</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2024年度财政拨款收、支总计99.68万元，与上年相比</w:t>
      </w:r>
      <w:bookmarkStart w:id="14" w:name="OLE_LINK12"/>
      <w:r>
        <w:rPr>
          <w:rFonts w:hint="eastAsia" w:ascii="Times New Roman" w:hAnsi="Times New Roman" w:eastAsia="仿宋_GB2312"/>
          <w:sz w:val="32"/>
          <w:szCs w:val="32"/>
          <w:lang w:val="en-US" w:eastAsia="zh-CN"/>
        </w:rPr>
        <w:t>增加20.92万元，上升20%，</w:t>
      </w:r>
      <w:bookmarkEnd w:id="14"/>
      <w:r>
        <w:rPr>
          <w:rFonts w:hint="eastAsia" w:ascii="Times New Roman" w:hAnsi="Times New Roman" w:eastAsia="仿宋_GB2312"/>
          <w:sz w:val="32"/>
          <w:szCs w:val="32"/>
          <w:lang w:val="en-US" w:eastAsia="zh-CN"/>
        </w:rPr>
        <w:t>主要是因为主要是因为项目活动开展增加。</w:t>
      </w:r>
    </w:p>
    <w:p>
      <w:pPr>
        <w:pStyle w:val="17"/>
        <w:ind w:firstLine="640" w:firstLineChars="200"/>
        <w:rPr>
          <w:rFonts w:hAnsi="黑体"/>
          <w:b/>
          <w:sz w:val="32"/>
          <w:szCs w:val="32"/>
        </w:rPr>
      </w:pPr>
      <w:r>
        <w:rPr>
          <w:rFonts w:hint="eastAsia" w:hAnsi="黑体"/>
          <w:b/>
          <w:sz w:val="32"/>
          <w:szCs w:val="32"/>
        </w:rPr>
        <w:t>五、一般公共预算财政拨款支出决算情况说明</w:t>
      </w:r>
    </w:p>
    <w:p>
      <w:pPr>
        <w:pStyle w:val="17"/>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2024年度财政拨款支出99.68万元，占本年支出合计的100%，与上年相比增加20.92万元，上升20%，，主要是因为主要是因为项目活动开展增加。</w:t>
      </w:r>
    </w:p>
    <w:p>
      <w:pPr>
        <w:pStyle w:val="17"/>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2024年度财政拨款支出99.68万元，主要用于以下方面：文化旅游体育与传媒支出（类）支出92.88万元，占93.18%；社会保障和就业支出（类）支出4.29万元，占4.3%；卫生健康支出（类）支出2.51万元，占2.52%。</w:t>
      </w:r>
    </w:p>
    <w:p>
      <w:pPr>
        <w:pStyle w:val="17"/>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2024年度财政拨款支出年初预算数为74.33万元，支出决算数为99.68万元，完成年初预算的134%，其中：</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1、文化旅游体育与传媒支出（类）文化和旅游（款）行政运行（项）。</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年初预算为51.73万元，支出决算为77.08万元，</w:t>
      </w:r>
      <w:bookmarkStart w:id="15" w:name="OLE_LINK13"/>
      <w:r>
        <w:rPr>
          <w:rFonts w:hint="eastAsia" w:ascii="Times New Roman" w:hAnsi="Times New Roman" w:eastAsia="仿宋_GB2312"/>
          <w:sz w:val="32"/>
          <w:szCs w:val="32"/>
          <w:lang w:val="en-US" w:eastAsia="zh-CN"/>
        </w:rPr>
        <w:t>完成年初预算的149%</w:t>
      </w:r>
      <w:bookmarkEnd w:id="15"/>
      <w:r>
        <w:rPr>
          <w:rFonts w:hint="eastAsia" w:ascii="Times New Roman" w:hAnsi="Times New Roman" w:eastAsia="仿宋_GB2312"/>
          <w:sz w:val="32"/>
          <w:szCs w:val="32"/>
          <w:lang w:val="en-US" w:eastAsia="zh-CN"/>
        </w:rPr>
        <w:t>。</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决算数大于年初预算数的主要原因是：湖南省委宣传部拨付我所何宝珍故里标准化建设资金30万元。</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2、文化旅游体育与传媒支出（类）文化和旅游（款）其他文化和旅游支出（项）。</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年初预算为15.8万元，支出决算为15.8万元，完成年初预算的100%。</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3、社会保障和就业支出（类）行政事业单位养老支出（款）机关事业单位基本养老保险缴费支出（项）。</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年初预算为4.25万元，支出决算为4.29万元，完成年初预算101%，决算数大于年初预算数的主要原因是：养老保险年初基数调整有补缴变动。</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4、卫生健康支出（类）行政事业单位医疗（款）事业单位医疗（项）。</w:t>
      </w:r>
    </w:p>
    <w:p>
      <w:pPr>
        <w:pStyle w:val="17"/>
        <w:numPr>
          <w:ilvl w:val="0"/>
          <w:numId w:val="0"/>
        </w:numPr>
        <w:ind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年初预算为2.46万元，支出决算为2.51万元，完成年初预算102%，决数算大于年初预算数的主要原因是：医疗保险年初基数调整有补缴变动。</w:t>
      </w:r>
    </w:p>
    <w:p>
      <w:pPr>
        <w:pStyle w:val="17"/>
        <w:ind w:firstLine="640" w:firstLineChars="200"/>
        <w:rPr>
          <w:rFonts w:hAnsi="黑体"/>
          <w:b/>
          <w:sz w:val="32"/>
          <w:szCs w:val="32"/>
        </w:rPr>
      </w:pPr>
      <w:r>
        <w:rPr>
          <w:rFonts w:hint="eastAsia" w:hAnsi="黑体"/>
          <w:b/>
          <w:sz w:val="32"/>
          <w:szCs w:val="32"/>
        </w:rPr>
        <w:t>六、一般公共预算财政拨款基本支出决算情况说明</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2024年度财政拨款基本支出99.68万元，其中：</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人员经费45.03万元，占基本支出的45%,主要包括基本工资15.94万元、津贴补贴8万元、绩效工资14.14万元、机关事业单位基本养老保险缴费4.04万元、职业年金缴费0.26万元、职工基本医疗保险缴费2.51万元、其他社会保障缴费0.15万元。</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用经费38.85万元，占基本支出的39%，主要包括办公费10.5万元、印刷费3.5万元、水费0.4万元、电费3.3万元、邮电费2.2万元、差旅费0.5万元、维修（护）费4.5万元、公务接待费0.27万元、劳务费2.8万元、工会经费1.69万元、福利费3.4万元、其他交通费1.1万元、其他商品和服务支出4.64万元。</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Ansi="黑体"/>
          <w:b/>
          <w:sz w:val="32"/>
          <w:szCs w:val="32"/>
        </w:rPr>
      </w:pPr>
      <w:r>
        <w:rPr>
          <w:rFonts w:hint="eastAsia" w:hAnsi="黑体"/>
          <w:b/>
          <w:sz w:val="32"/>
          <w:szCs w:val="32"/>
        </w:rPr>
        <w:t>七、一般公共预算财政拨款“三公”经费支出决算情况说明</w:t>
      </w:r>
    </w:p>
    <w:p>
      <w:pPr>
        <w:pStyle w:val="17"/>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公”经费财政拨款支出预算为0.4万元，支出决算为0.27万元，完成预算的67.5%，决算数（小于）预算数的主要原因是决算数小于预算数的主要原因是主要原因是我单位认真贯彻落实中央“八项规定”、省委“九项规定”精神及关于厉行节约的各项要求严控支出，与上年相比减少0.3万元，减少52.6%,减少的主要原因是减少的主要原因是主要原因是我单位认真贯彻落实中央“八项规定”、省委“九项规定”精神及关于厉行节约的各项要求，严控支出。</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其中：公务接待费支出预算为0.4万元，支出决算为0.27万元，完成预算的67.5%，决算数（小于）预算数的主要原因是决算数小于预算数的主要原因是主要原因是我单位认真贯彻落实中央“八项规定”、省委“九项规定”精神及关于厉行节约的各项要求严控支出，与上年相比减少0.3万元，减少52.6%,减少的主要原因是减少的主要原因是主要原因是我单位认真贯彻落实中央“八项规定”、省委“九项规定”精神及关于厉行节约的各项要求，严控支出。</w:t>
      </w:r>
    </w:p>
    <w:p>
      <w:pPr>
        <w:pStyle w:val="17"/>
        <w:ind w:firstLine="640" w:firstLineChars="200"/>
        <w:rPr>
          <w:rFonts w:hint="eastAsia" w:asciiTheme="minorEastAsia" w:hAnsiTheme="minorEastAsia" w:eastAsiaTheme="minorEastAsia"/>
          <w:b/>
          <w:sz w:val="32"/>
          <w:szCs w:val="32"/>
        </w:rPr>
      </w:pPr>
      <w:r>
        <w:rPr>
          <w:rFonts w:hint="eastAsia" w:ascii="Times New Roman" w:hAnsi="Times New Roman" w:eastAsia="仿宋_GB2312"/>
          <w:sz w:val="32"/>
          <w:szCs w:val="32"/>
          <w:lang w:val="en-US" w:eastAsia="zh-CN"/>
        </w:rPr>
        <w:t>其中：公务用车购置费及运行维护费支出预算为0.00万元，支出决算为0.00万元，与本年预算数相同，与上年决算数相同。</w:t>
      </w:r>
    </w:p>
    <w:p>
      <w:pPr>
        <w:pStyle w:val="17"/>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2024年度“三公”经费财政拨款支出决算中，公务接待费支出决算0.27万元，占100%,因公出国（境）费支出决算0万元，占0%,公务用车购置费及运行维护费支出决算0万元，占0%。其中：</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1、因公出国（境）费支出决算为0.00万元。</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2、公务接待费支出决算为0.27万元，</w:t>
      </w:r>
      <w:r>
        <w:rPr>
          <w:rFonts w:hint="eastAsia" w:ascii="Times New Roman" w:hAnsi="Times New Roman" w:eastAsia="仿宋_GB2312"/>
          <w:color w:val="auto"/>
          <w:sz w:val="32"/>
          <w:szCs w:val="32"/>
          <w:lang w:val="en-US" w:eastAsia="zh-CN"/>
        </w:rPr>
        <w:t>全年共接待来访团组2个，来宾21人次，主要是接待省、各地市相关联系单位来</w:t>
      </w:r>
      <w:r>
        <w:rPr>
          <w:rFonts w:hint="eastAsia" w:ascii="Times New Roman" w:hAnsi="Times New Roman" w:eastAsia="仿宋_GB2312"/>
          <w:sz w:val="32"/>
          <w:szCs w:val="32"/>
          <w:lang w:val="en-US" w:eastAsia="zh-CN"/>
        </w:rPr>
        <w:t>检查工作和接待兄弟县单位来我单位学习、交流工作发生的接待支出。</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3、公务用车购置费及运行维护费支出决算为0.00万元。</w:t>
      </w:r>
    </w:p>
    <w:p>
      <w:pPr>
        <w:pStyle w:val="17"/>
        <w:ind w:firstLine="640" w:firstLineChars="200"/>
        <w:rPr>
          <w:rFonts w:hAnsi="黑体"/>
          <w:b/>
          <w:sz w:val="32"/>
          <w:szCs w:val="32"/>
        </w:rPr>
      </w:pPr>
      <w:r>
        <w:rPr>
          <w:rFonts w:hint="eastAsia" w:hAnsi="黑体"/>
          <w:b/>
          <w:sz w:val="32"/>
          <w:szCs w:val="32"/>
        </w:rPr>
        <w:t>八、政府性基金预算收入支出决算情况</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2023年度未发生政府性基金预算财政拨款收支。</w:t>
      </w:r>
    </w:p>
    <w:p>
      <w:pPr>
        <w:pStyle w:val="17"/>
        <w:ind w:firstLine="640" w:firstLineChars="200"/>
        <w:rPr>
          <w:rFonts w:hAnsi="黑体"/>
          <w:b/>
          <w:sz w:val="32"/>
          <w:szCs w:val="32"/>
        </w:rPr>
      </w:pPr>
      <w:r>
        <w:rPr>
          <w:rFonts w:hint="eastAsia" w:hAnsi="黑体"/>
          <w:b/>
          <w:sz w:val="32"/>
          <w:szCs w:val="32"/>
        </w:rPr>
        <w:t>九、机关运行经费支出说明</w:t>
      </w:r>
    </w:p>
    <w:p>
      <w:pPr>
        <w:pStyle w:val="17"/>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本部门2024年度机关运行经费支出28.04万元，比上年决算数减少4万元，减少14.26%。主要原因是：减少开展活动经费。</w:t>
      </w:r>
    </w:p>
    <w:p>
      <w:pPr>
        <w:pStyle w:val="17"/>
        <w:ind w:firstLine="640" w:firstLineChars="200"/>
        <w:rPr>
          <w:rFonts w:hAnsi="黑体"/>
          <w:b/>
          <w:sz w:val="32"/>
          <w:szCs w:val="32"/>
        </w:rPr>
      </w:pPr>
      <w:r>
        <w:rPr>
          <w:rFonts w:hint="eastAsia" w:hAnsi="黑体"/>
          <w:b/>
          <w:sz w:val="32"/>
          <w:szCs w:val="32"/>
        </w:rPr>
        <w:t>十、一般性支出情况说明</w:t>
      </w:r>
    </w:p>
    <w:p>
      <w:pPr>
        <w:pStyle w:val="17"/>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2024年本部门未开支会议、培训费。</w:t>
      </w:r>
    </w:p>
    <w:p>
      <w:pPr>
        <w:pStyle w:val="17"/>
        <w:ind w:firstLine="640" w:firstLineChars="200"/>
        <w:rPr>
          <w:rFonts w:hAnsi="黑体"/>
          <w:b/>
          <w:sz w:val="32"/>
          <w:szCs w:val="32"/>
        </w:rPr>
      </w:pPr>
      <w:r>
        <w:rPr>
          <w:rFonts w:hint="eastAsia" w:hAnsi="黑体"/>
          <w:b/>
          <w:sz w:val="32"/>
          <w:szCs w:val="32"/>
        </w:rPr>
        <w:t>十一、政府采购支出说明</w:t>
      </w:r>
    </w:p>
    <w:p>
      <w:pPr>
        <w:pStyle w:val="17"/>
        <w:ind w:firstLine="640" w:firstLineChars="200"/>
        <w:rPr>
          <w:rFonts w:hint="eastAsia" w:hAnsi="黑体"/>
          <w:b/>
          <w:sz w:val="32"/>
          <w:szCs w:val="32"/>
        </w:rPr>
      </w:pPr>
      <w:r>
        <w:rPr>
          <w:rFonts w:hint="eastAsia" w:ascii="Times New Roman" w:hAnsi="Times New Roman" w:eastAsia="仿宋_GB2312"/>
          <w:sz w:val="32"/>
          <w:szCs w:val="32"/>
          <w:lang w:val="en-US" w:eastAsia="zh-CN"/>
        </w:rPr>
        <w:t>本部门2024年度政府采购支出总额8万元，其中：政府采购货物支出8万元、政府采购工程支出0万元、政府采购服务支出0万元。授予中小企业合同金额8万元，占政府采购支出总额的100%，其中：授予小微企业合同金额8万元，占授予中小企业合同金额的100%。货物采购授予中小企业合同金额占货物支出金额的100%，工程采购授予中小企业合同金额占工程支出金额的0%，服务采购授予中小企业合同金额占服务支出金额的0%。</w:t>
      </w:r>
    </w:p>
    <w:p>
      <w:pPr>
        <w:pStyle w:val="17"/>
        <w:ind w:firstLine="640" w:firstLineChars="200"/>
        <w:rPr>
          <w:rFonts w:hAnsi="黑体"/>
          <w:b/>
          <w:sz w:val="32"/>
          <w:szCs w:val="32"/>
        </w:rPr>
      </w:pPr>
      <w:r>
        <w:rPr>
          <w:rFonts w:hint="eastAsia" w:hAnsi="黑体"/>
          <w:b/>
          <w:sz w:val="32"/>
          <w:szCs w:val="32"/>
        </w:rPr>
        <w:t>十二、国有资产占用情况说明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7"/>
        <w:ind w:firstLine="640" w:firstLineChars="200"/>
        <w:rPr>
          <w:rFonts w:hint="eastAsia" w:hAnsi="黑体"/>
          <w:b/>
          <w:sz w:val="32"/>
          <w:szCs w:val="32"/>
        </w:rPr>
      </w:pPr>
      <w:r>
        <w:rPr>
          <w:rFonts w:hint="eastAsia" w:hAnsi="黑体"/>
          <w:b/>
          <w:sz w:val="32"/>
          <w:szCs w:val="32"/>
        </w:rPr>
        <w:t>十三、关于202</w:t>
      </w:r>
      <w:r>
        <w:rPr>
          <w:rFonts w:hint="eastAsia" w:hAnsi="黑体"/>
          <w:b/>
          <w:sz w:val="32"/>
          <w:szCs w:val="32"/>
          <w:lang w:val="en-US" w:eastAsia="zh-CN"/>
        </w:rPr>
        <w:t>4</w:t>
      </w:r>
      <w:r>
        <w:rPr>
          <w:rFonts w:hint="eastAsia" w:hAnsi="黑体"/>
          <w:b/>
          <w:sz w:val="32"/>
          <w:szCs w:val="32"/>
        </w:rPr>
        <w:t>年度预算绩效情况的说明</w:t>
      </w:r>
    </w:p>
    <w:p>
      <w:pPr>
        <w:pStyle w:val="17"/>
        <w:ind w:firstLine="640" w:firstLineChars="200"/>
        <w:rPr>
          <w:rFonts w:hint="eastAsia" w:hAnsi="黑体"/>
          <w:b/>
          <w:sz w:val="32"/>
          <w:szCs w:val="32"/>
        </w:rPr>
      </w:pPr>
      <w:r>
        <w:rPr>
          <w:rFonts w:hint="eastAsia" w:hAnsi="黑体"/>
          <w:b/>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_GB2312" w:hAnsi="仿宋_GB2312" w:eastAsia="仿宋_GB2312" w:cs="仿宋_GB2312"/>
          <w:color w:val="333333"/>
          <w:spacing w:val="0"/>
          <w:position w:val="0"/>
          <w:sz w:val="32"/>
          <w:shd w:val="clear" w:fill="auto"/>
        </w:rPr>
      </w:pPr>
      <w:r>
        <w:rPr>
          <w:rFonts w:hint="eastAsia" w:ascii="仿宋_GB2312" w:hAnsi="仿宋_GB2312" w:eastAsia="仿宋_GB2312" w:cs="仿宋_GB2312"/>
          <w:color w:val="444444"/>
          <w:spacing w:val="0"/>
          <w:position w:val="0"/>
          <w:sz w:val="32"/>
          <w:shd w:val="clear" w:fill="auto"/>
        </w:rPr>
        <w:t>202</w:t>
      </w:r>
      <w:r>
        <w:rPr>
          <w:rFonts w:hint="eastAsia" w:ascii="仿宋_GB2312" w:hAnsi="仿宋_GB2312" w:eastAsia="仿宋_GB2312" w:cs="仿宋_GB2312"/>
          <w:color w:val="444444"/>
          <w:spacing w:val="0"/>
          <w:position w:val="0"/>
          <w:sz w:val="32"/>
          <w:shd w:val="clear" w:fill="auto"/>
          <w:lang w:val="en-US" w:eastAsia="zh-CN"/>
        </w:rPr>
        <w:t>4</w:t>
      </w:r>
      <w:r>
        <w:rPr>
          <w:rFonts w:hint="eastAsia" w:ascii="仿宋_GB2312" w:hAnsi="仿宋_GB2312" w:eastAsia="仿宋_GB2312" w:cs="仿宋_GB2312"/>
          <w:color w:val="444444"/>
          <w:spacing w:val="0"/>
          <w:position w:val="0"/>
          <w:sz w:val="32"/>
          <w:shd w:val="clear" w:fill="auto"/>
        </w:rPr>
        <w:t>年我所按照县里统一部署，紧紧围绕“红色文化主阵地、文旅融合试验地、初心之旅目的地”的发展思路，全所上下齐心协力、攻坚克难，各项工作取得可喜成绩。</w:t>
      </w:r>
      <w:r>
        <w:rPr>
          <w:rFonts w:hint="eastAsia" w:ascii="仿宋_GB2312" w:hAnsi="仿宋_GB2312" w:eastAsia="仿宋_GB2312" w:cs="仿宋_GB2312"/>
          <w:color w:val="444444"/>
          <w:spacing w:val="0"/>
          <w:position w:val="0"/>
          <w:sz w:val="32"/>
          <w:shd w:val="clear" w:fill="auto"/>
          <w:lang w:val="en-US" w:eastAsia="zh-CN"/>
        </w:rPr>
        <w:t>今年</w:t>
      </w:r>
      <w:r>
        <w:rPr>
          <w:rFonts w:hint="eastAsia" w:ascii="仿宋_GB2312" w:hAnsi="仿宋_GB2312" w:eastAsia="仿宋_GB2312" w:cs="仿宋_GB2312"/>
          <w:color w:val="444444"/>
          <w:spacing w:val="0"/>
          <w:position w:val="0"/>
          <w:sz w:val="32"/>
          <w:shd w:val="clear" w:fill="auto"/>
        </w:rPr>
        <w:t>接待</w:t>
      </w:r>
      <w:r>
        <w:rPr>
          <w:rFonts w:hint="eastAsia" w:ascii="仿宋_GB2312" w:hAnsi="仿宋_GB2312" w:eastAsia="仿宋_GB2312" w:cs="仿宋_GB2312"/>
          <w:color w:val="333333"/>
          <w:spacing w:val="0"/>
          <w:position w:val="0"/>
          <w:sz w:val="32"/>
          <w:shd w:val="clear" w:fill="auto"/>
        </w:rPr>
        <w:t>游客达</w:t>
      </w:r>
      <w:r>
        <w:rPr>
          <w:rFonts w:hint="eastAsia" w:ascii="仿宋_GB2312" w:hAnsi="仿宋_GB2312" w:eastAsia="仿宋_GB2312" w:cs="仿宋_GB2312"/>
          <w:color w:val="333333"/>
          <w:spacing w:val="0"/>
          <w:position w:val="0"/>
          <w:sz w:val="32"/>
          <w:shd w:val="clear" w:fill="auto"/>
          <w:lang w:val="en-US" w:eastAsia="zh-CN"/>
        </w:rPr>
        <w:t>20</w:t>
      </w:r>
      <w:r>
        <w:rPr>
          <w:rFonts w:hint="eastAsia" w:ascii="仿宋_GB2312" w:hAnsi="仿宋_GB2312" w:eastAsia="仿宋_GB2312" w:cs="仿宋_GB2312"/>
          <w:color w:val="333333"/>
          <w:spacing w:val="0"/>
          <w:position w:val="0"/>
          <w:sz w:val="32"/>
          <w:shd w:val="clear" w:fill="auto"/>
        </w:rPr>
        <w:t>万人次，参观游客覆盖到周边省市县，成为红色文化、爱国主义教育的重要目的地，为加强和改进未成年人及成年人理想信念教育、思想道德建设中，发挥着重要的引领作用。</w:t>
      </w:r>
    </w:p>
    <w:p>
      <w:pPr>
        <w:pStyle w:val="17"/>
        <w:ind w:firstLine="640" w:firstLineChars="200"/>
        <w:rPr>
          <w:rFonts w:hint="eastAsia" w:hAnsi="黑体"/>
          <w:b/>
          <w:sz w:val="32"/>
          <w:szCs w:val="32"/>
        </w:rPr>
      </w:pPr>
      <w:r>
        <w:rPr>
          <w:rFonts w:hint="eastAsia" w:hAnsi="黑体"/>
          <w:b/>
          <w:sz w:val="32"/>
          <w:szCs w:val="32"/>
        </w:rPr>
        <w:t>（二）部门（单位）整体支出绩效情况</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1、“主阵地”成色大提升</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加强故里管理。道县财政拨付专项资金，使何宝珍故里管理正常化、日常化，各项管理工作步入正轨。为故里添置了消防设施，补齐了绿化带中的花草。环境卫生保持一个比较高的水准。强化“防控结合，预防为主”安全措施，添置巡更系统，严格落实24小时巡逻制度和节假日以及特护期的安保轮值工作。以学雷锋志愿服务站为平台，打造“红色志愿服务队”，推动了文明劝导、文明礼让参观常态化。深耕红色文化，开展党性教育微党课活动，申报永州市党员党性教育基地。</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提升讲解服务。讲解员薪酬待遇与讲解绩效直接挂钩；发放讲解评价卡，由观众实时评价，纳入绩效考核；主动对接学校，提升宣讲服务的主动性与积极性。本年共完成讲解接待400批次，讲解率达90%，满意度达100%。</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2、“目的地”影响大彰显</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故里知名度、美誉度大幅提升。本年接待游客达20万人次，参观游客覆盖到周边省市县，成为红色文化、爱国主义教育的重要目的地。梅花镇中学、宁远县水市完全小学、永州一中等中小学生前来何宝珍故里参观接受红色教育。去年同刘少奇纪念馆达成结对联盟，实现资源共享、游客互达；获得永州市社会科学普及基地称号。</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3、配套设施不断完善</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强力推进何宝珍故里红色旅游景区“美化、亮化、绿化、净化”工程，1100平米的村级活动中心兼游客中心建成，建设了汀步叠水坝，目前，成为网红坝。建好了二期沿河护堤工程和荷塘游步道。在核心景区安装垃圾箱20个；请专业公司制作了景区内的标识标牌并按装。积极推进景区绿化，完成故里入口大道两侧花草种植。进行宝珍公园的规划和建设工作。长征微缩电影步道也在快速推进中。何宝珍生平陈列室扩馆也做好了设计和财政评审工作。</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4、加大宣传力度，提高故里知名度</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我所以多种形式开展教育宣传活动，不断拓展扩大教育市场，让更多人走进何宝珍故里，了解何宝珍烈士的事迹，学习红色文化。清明节期间，开展网上祭英烈活动。在新华社、湖南日报、永州日报、红网发表何宝珍故里新闻40多篇。今年，宁远县水市完全小学组织600多名学生到何宝珍故里学习红色文化，缅怀革命先烈，弘扬先烈的革命精神，加强青少年思想道德建设。</w:t>
      </w:r>
    </w:p>
    <w:p>
      <w:pPr>
        <w:keepNext w:val="0"/>
        <w:keepLines w:val="0"/>
        <w:pageBreakBefore w:val="0"/>
        <w:kinsoku/>
        <w:wordWrap/>
        <w:overflowPunct/>
        <w:topLinePunct w:val="0"/>
        <w:autoSpaceDE/>
        <w:autoSpaceDN/>
        <w:bidi w:val="0"/>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1、预算绩效管理机制有待进一步完善，需进一步结合工作实际完善资金管理文件办法等。</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2、绩效目标设定不够细化，绩效目标的科学性、合理性以及量化可考核性有待进一步加强。</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3、内控制度执行有待进一步规范。</w:t>
      </w:r>
    </w:p>
    <w:p>
      <w:pPr>
        <w:pStyle w:val="17"/>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4、存在预算资金不够细，支出与预算不够的问题。</w:t>
      </w:r>
    </w:p>
    <w:p>
      <w:pPr>
        <w:pStyle w:val="17"/>
        <w:rPr>
          <w:sz w:val="72"/>
          <w:szCs w:val="72"/>
        </w:rPr>
      </w:pPr>
    </w:p>
    <w:p>
      <w:pPr>
        <w:pStyle w:val="17"/>
        <w:jc w:val="both"/>
        <w:rPr>
          <w:sz w:val="72"/>
          <w:szCs w:val="72"/>
        </w:rPr>
      </w:pPr>
    </w:p>
    <w:p>
      <w:pPr>
        <w:pStyle w:val="17"/>
        <w:jc w:val="both"/>
        <w:rPr>
          <w:sz w:val="72"/>
          <w:szCs w:val="72"/>
        </w:rPr>
      </w:pPr>
    </w:p>
    <w:p>
      <w:pPr>
        <w:pStyle w:val="17"/>
        <w:jc w:val="both"/>
        <w:rPr>
          <w:sz w:val="72"/>
          <w:szCs w:val="72"/>
        </w:rPr>
      </w:pPr>
    </w:p>
    <w:p>
      <w:pPr>
        <w:pStyle w:val="17"/>
        <w:jc w:val="both"/>
        <w:rPr>
          <w:sz w:val="72"/>
          <w:szCs w:val="72"/>
        </w:rPr>
      </w:pPr>
    </w:p>
    <w:p>
      <w:pPr>
        <w:pStyle w:val="17"/>
        <w:jc w:val="center"/>
        <w:rPr>
          <w:sz w:val="72"/>
          <w:szCs w:val="72"/>
        </w:rPr>
      </w:pPr>
    </w:p>
    <w:p>
      <w:pPr>
        <w:pStyle w:val="17"/>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p>
    <w:p>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1.</w:t>
      </w:r>
      <w:r>
        <w:rPr>
          <w:rFonts w:hint="default" w:cs="黑体" w:asciiTheme="minorEastAsia" w:hAnsiTheme="minorEastAsia"/>
          <w:color w:val="000000"/>
          <w:kern w:val="0"/>
          <w:sz w:val="32"/>
          <w:szCs w:val="32"/>
          <w:lang w:val="en-US" w:eastAsia="zh-CN"/>
        </w:rPr>
        <w:t>财政拨款收入：指单位本年度从同级财政部门取得的各类财政拨款。</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lang w:val="en-US" w:eastAsia="zh-CN"/>
        </w:rPr>
        <w:t>.</w:t>
      </w:r>
      <w:r>
        <w:rPr>
          <w:rFonts w:hint="default" w:cs="黑体" w:asciiTheme="minorEastAsia" w:hAnsiTheme="minorEastAsia"/>
          <w:color w:val="000000"/>
          <w:kern w:val="0"/>
          <w:sz w:val="32"/>
          <w:szCs w:val="32"/>
          <w:lang w:val="en-US" w:eastAsia="zh-CN"/>
        </w:rPr>
        <w:t>上级补助收入：指事业单位从主管部门和上级单位取得的非财政补助收入。</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lang w:val="en-US" w:eastAsia="zh-CN"/>
        </w:rPr>
        <w:t>.</w:t>
      </w:r>
      <w:r>
        <w:rPr>
          <w:rFonts w:hint="default" w:cs="黑体" w:asciiTheme="minorEastAsia" w:hAnsiTheme="minorEastAsia"/>
          <w:color w:val="000000"/>
          <w:kern w:val="0"/>
          <w:sz w:val="32"/>
          <w:szCs w:val="32"/>
          <w:lang w:val="en-US" w:eastAsia="zh-CN"/>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公务用车运行维护费及其他费用。</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lang w:val="en-US" w:eastAsia="zh-CN"/>
        </w:rPr>
        <w:t>.</w:t>
      </w:r>
      <w:r>
        <w:rPr>
          <w:rFonts w:hint="default" w:cs="黑体" w:asciiTheme="minorEastAsia" w:hAnsiTheme="minorEastAsia"/>
          <w:color w:val="000000"/>
          <w:kern w:val="0"/>
          <w:sz w:val="32"/>
          <w:szCs w:val="32"/>
          <w:lang w:val="en-US" w:eastAsia="zh-CN"/>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5．对附属单位补助支出：指事业单位用财政拨款收入之外的收入对附属单位补助发生的支出。</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6．经营支出：指事业单位在专业业务活动及其辅助活动之外开展非独立核算经营活动发生的支出。</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7</w:t>
      </w:r>
      <w:r>
        <w:rPr>
          <w:rFonts w:hint="eastAsia" w:cs="黑体" w:asciiTheme="minorEastAsia" w:hAnsiTheme="minorEastAsia"/>
          <w:color w:val="000000"/>
          <w:kern w:val="0"/>
          <w:sz w:val="32"/>
          <w:szCs w:val="32"/>
          <w:lang w:val="en-US" w:eastAsia="zh-CN"/>
        </w:rPr>
        <w:t>.</w:t>
      </w:r>
      <w:r>
        <w:rPr>
          <w:rFonts w:hint="default" w:cs="黑体" w:asciiTheme="minorEastAsia" w:hAnsiTheme="minorEastAsia"/>
          <w:color w:val="000000"/>
          <w:kern w:val="0"/>
          <w:sz w:val="32"/>
          <w:szCs w:val="32"/>
          <w:lang w:val="en-US" w:eastAsia="zh-CN"/>
        </w:rPr>
        <w:t>事业收入：指事业单位开展专业业务活动及其辅助活动取得的</w:t>
      </w:r>
      <w:bookmarkStart w:id="16" w:name="28"/>
      <w:bookmarkEnd w:id="16"/>
      <w:r>
        <w:rPr>
          <w:rFonts w:hint="default" w:cs="黑体" w:asciiTheme="minorEastAsia" w:hAnsiTheme="minorEastAsia"/>
          <w:color w:val="000000"/>
          <w:kern w:val="0"/>
          <w:sz w:val="32"/>
          <w:szCs w:val="32"/>
          <w:lang w:val="en-US" w:eastAsia="zh-CN"/>
        </w:rPr>
        <w:t>收入，事业单位收到的财政专户实际核拨的教育收费等资金在此反映。</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8．经营收入：指事业单位在专业业务活动及其辅助活动之外开展非独立核算经营活动取得的收入。</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9．附属单位上缴收入：指事业单位附属独立核算单位按照有关规定上缴的收入。</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10．其他收入：指单位取得的除上述“财政拨款收入”、“事业收入”、“经营收入”等以外的各项收入。</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11．使用非财政拨款结余：指事业单位使用非财政拨款结余（原事业基金）弥补当年收支差额的数额。</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12．年初结转和结余：指单位上年结转本年使用的基本支出结转、项目支出结转和结余和经营结余。</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13．结余分配：指事业单位按规定对非财政拨款结余资金提取的专用基金、缴纳的所得税和转入非财政拨款结余等。</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14．年末结转和结余资金：指本年度或以前年度预算安排、因客观条件发生变化无法按原计划实施，需要延迟到以后年度按有关规定继续</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使用的资金。</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15．基本支出：指为保障机构正常运转、完成日常工作任务而发生的支出，包括人员经费和公用经费。</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16．项目支出：指在为完成特定的工作任务和事业发展目标所发生的支出。</w:t>
      </w:r>
    </w:p>
    <w:p>
      <w:p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17．上缴上级支出：指事业单位按照财政部门和主管部门的规定上缴上级单位的支出。</w:t>
      </w:r>
    </w:p>
    <w:p>
      <w:pPr>
        <w:pStyle w:val="17"/>
        <w:jc w:val="both"/>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keepNext w:val="0"/>
        <w:keepLines w:val="0"/>
        <w:pageBreakBefore w:val="0"/>
        <w:kinsoku/>
        <w:wordWrap/>
        <w:overflowPunct/>
        <w:topLinePunct w:val="0"/>
        <w:autoSpaceDE/>
        <w:autoSpaceDN/>
        <w:bidi w:val="0"/>
        <w:spacing w:line="560" w:lineRule="exact"/>
        <w:ind w:firstLine="880" w:firstLineChars="20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何宝珍故里管理所</w:t>
      </w:r>
    </w:p>
    <w:p>
      <w:pPr>
        <w:keepNext w:val="0"/>
        <w:keepLines w:val="0"/>
        <w:pageBreakBefore w:val="0"/>
        <w:kinsoku/>
        <w:wordWrap/>
        <w:overflowPunct/>
        <w:topLinePunct w:val="0"/>
        <w:autoSpaceDE/>
        <w:autoSpaceDN/>
        <w:bidi w:val="0"/>
        <w:spacing w:line="560" w:lineRule="exact"/>
        <w:ind w:firstLine="880" w:firstLineChars="20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整体支出绩效评价报告</w:t>
      </w:r>
    </w:p>
    <w:p>
      <w:pPr>
        <w:pStyle w:val="18"/>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  部门概况</w:t>
      </w:r>
    </w:p>
    <w:p>
      <w:pPr>
        <w:pStyle w:val="18"/>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（一）部门基本情况</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1．机构和人员情况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何宝珍故里管理所共有内设机构</w:t>
      </w:r>
      <w:r>
        <w:rPr>
          <w:rFonts w:hint="eastAsia" w:ascii="仿宋_GB2312" w:hAnsi="仿宋_GB2312" w:eastAsia="仿宋_GB2312" w:cs="仿宋_GB2312"/>
          <w:sz w:val="32"/>
          <w:szCs w:val="32"/>
          <w:lang w:val="en-US" w:eastAsia="zh-CN"/>
        </w:rPr>
        <w:t>3个，分别为：</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财务室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政工室</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个职能部室。事业编制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现实有在职人数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2．工作职责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加强对何宝珍故居的管理；加强对何宝珍纪念馆、铜像广场和文物的管理。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（二）部门资金来源情况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年本单位县级财政拨款</w:t>
      </w:r>
      <w:r>
        <w:rPr>
          <w:rFonts w:hint="eastAsia" w:ascii="仿宋_GB2312" w:hAnsi="仿宋_GB2312" w:eastAsia="仿宋_GB2312" w:cs="仿宋_GB2312"/>
          <w:sz w:val="32"/>
          <w:szCs w:val="32"/>
          <w:lang w:val="en-US" w:eastAsia="zh-CN"/>
        </w:rPr>
        <w:t>74.33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湖南省委宣传部拨款30万元何宝珍故里标准化建设。</w:t>
      </w:r>
      <w:r>
        <w:rPr>
          <w:rFonts w:hint="eastAsia" w:ascii="仿宋_GB2312" w:hAnsi="仿宋_GB2312" w:eastAsia="仿宋_GB2312" w:cs="仿宋_GB2312"/>
          <w:sz w:val="32"/>
          <w:szCs w:val="32"/>
        </w:rPr>
        <w:t>具体内容如下: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县级财政拨款</w:t>
      </w:r>
      <w:r>
        <w:rPr>
          <w:rFonts w:hint="eastAsia" w:ascii="仿宋_GB2312" w:hAnsi="仿宋_GB2312" w:eastAsia="仿宋_GB2312" w:cs="仿宋_GB2312"/>
          <w:sz w:val="32"/>
          <w:szCs w:val="32"/>
          <w:lang w:val="en-US" w:eastAsia="zh-CN"/>
        </w:rPr>
        <w:t>74.33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湖南省委宣传部拨款30万元何宝珍故里标准化建设，</w:t>
      </w:r>
      <w:r>
        <w:rPr>
          <w:rFonts w:hint="eastAsia" w:ascii="仿宋_GB2312" w:hAnsi="仿宋_GB2312" w:eastAsia="仿宋_GB2312" w:cs="仿宋_GB2312"/>
          <w:sz w:val="32"/>
          <w:szCs w:val="32"/>
        </w:rPr>
        <w:t>占本年全部收入，主要用于发放干部职工工资及机关运转、专项经费等。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二、部门整体支出使用情况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99.68</w:t>
      </w:r>
      <w:r>
        <w:rPr>
          <w:rFonts w:hint="eastAsia" w:ascii="仿宋_GB2312" w:hAnsi="仿宋_GB2312" w:eastAsia="仿宋_GB2312" w:cs="仿宋_GB2312"/>
          <w:sz w:val="32"/>
          <w:szCs w:val="32"/>
        </w:rPr>
        <w:t>万元，具体使用情况如下：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w:t>
      </w:r>
      <w:r>
        <w:rPr>
          <w:rFonts w:hint="eastAsia" w:ascii="仿宋_GB2312" w:hAnsi="仿宋_GB2312" w:eastAsia="仿宋_GB2312" w:cs="仿宋_GB2312"/>
          <w:sz w:val="32"/>
          <w:szCs w:val="32"/>
          <w:lang w:val="en-US" w:eastAsia="zh-CN"/>
        </w:rPr>
        <w:t>53.43</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工资和福利费用</w:t>
      </w:r>
      <w:r>
        <w:rPr>
          <w:rFonts w:hint="eastAsia" w:ascii="仿宋_GB2312" w:hAnsi="仿宋_GB2312" w:eastAsia="仿宋_GB2312" w:cs="仿宋_GB2312"/>
          <w:sz w:val="32"/>
          <w:szCs w:val="32"/>
          <w:lang w:val="en-US" w:eastAsia="zh-CN"/>
        </w:rPr>
        <w:t>47.43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商品和服务费用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资本性支出0万元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w:t>
      </w:r>
      <w:r>
        <w:rPr>
          <w:rFonts w:hint="eastAsia" w:ascii="仿宋_GB2312" w:hAnsi="仿宋_GB2312" w:eastAsia="仿宋_GB2312" w:cs="仿宋_GB2312"/>
          <w:sz w:val="32"/>
          <w:szCs w:val="32"/>
          <w:lang w:val="en-US" w:eastAsia="zh-CN"/>
        </w:rPr>
        <w:t>46.25</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3、机关运行经费情况：202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年决算安排机关运行经费</w:t>
      </w:r>
      <w:r>
        <w:rPr>
          <w:rFonts w:hint="eastAsia" w:ascii="仿宋_GB2312" w:hAnsi="仿宋_GB2312" w:eastAsia="仿宋_GB2312" w:cs="仿宋_GB2312"/>
          <w:sz w:val="32"/>
          <w:szCs w:val="32"/>
          <w:lang w:val="en-US" w:eastAsia="zh-CN"/>
        </w:rPr>
        <w:t>54.65万</w:t>
      </w:r>
      <w:r>
        <w:rPr>
          <w:rFonts w:hint="eastAsia" w:ascii="仿宋_GB2312" w:hAnsi="仿宋_GB2312" w:eastAsia="仿宋_GB2312" w:cs="仿宋_GB2312"/>
          <w:sz w:val="32"/>
          <w:szCs w:val="32"/>
        </w:rPr>
        <w:t>元，主要包括办公费</w:t>
      </w:r>
      <w:r>
        <w:rPr>
          <w:rFonts w:hint="eastAsia" w:ascii="仿宋_GB2312" w:hAnsi="仿宋_GB2312" w:eastAsia="仿宋_GB2312" w:cs="仿宋_GB2312"/>
          <w:sz w:val="32"/>
          <w:szCs w:val="32"/>
          <w:lang w:val="en-US" w:eastAsia="zh-CN"/>
        </w:rPr>
        <w:t>36.99</w:t>
      </w:r>
      <w:r>
        <w:rPr>
          <w:rFonts w:hint="eastAsia" w:ascii="仿宋_GB2312" w:hAnsi="仿宋_GB2312" w:eastAsia="仿宋_GB2312" w:cs="仿宋_GB2312"/>
          <w:sz w:val="32"/>
          <w:szCs w:val="32"/>
        </w:rPr>
        <w:t>万元 、印刷费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万元、水电费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邮电费0.6万元、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万元，工会经费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福利费0.59万元、</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商品和服务1.5</w:t>
      </w:r>
      <w:r>
        <w:rPr>
          <w:rFonts w:hint="eastAsia" w:ascii="仿宋_GB2312" w:hAnsi="仿宋_GB2312" w:eastAsia="仿宋_GB2312" w:cs="仿宋_GB2312"/>
          <w:sz w:val="32"/>
          <w:szCs w:val="32"/>
        </w:rPr>
        <w:t>万元等日常公用经费。</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年“三公”经费决算</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万元、无公务用车经费、无因公出国（境）费用；比202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减少0.3</w:t>
      </w:r>
      <w:r>
        <w:rPr>
          <w:rFonts w:hint="eastAsia" w:ascii="仿宋_GB2312" w:hAnsi="仿宋_GB2312" w:eastAsia="仿宋_GB2312" w:cs="仿宋_GB2312"/>
          <w:sz w:val="32"/>
          <w:szCs w:val="32"/>
        </w:rPr>
        <w:t>万元，原因主要是</w:t>
      </w:r>
      <w:r>
        <w:rPr>
          <w:rFonts w:hint="eastAsia" w:ascii="仿宋_GB2312" w:hAnsi="仿宋_GB2312" w:eastAsia="仿宋_GB2312" w:cs="仿宋_GB2312"/>
          <w:sz w:val="32"/>
          <w:szCs w:val="32"/>
          <w:lang w:val="en-US" w:eastAsia="zh-CN"/>
        </w:rPr>
        <w:t>经费紧张厉行节约</w:t>
      </w:r>
      <w:r>
        <w:rPr>
          <w:rFonts w:hint="eastAsia" w:ascii="仿宋_GB2312" w:hAnsi="仿宋_GB2312" w:eastAsia="仿宋_GB2312" w:cs="仿宋_GB2312"/>
          <w:sz w:val="32"/>
          <w:szCs w:val="32"/>
        </w:rPr>
        <w:t>。</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三、政府性基金预算支出情况</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年度本单位无政府性基金收支</w:t>
      </w:r>
      <w:r>
        <w:rPr>
          <w:rFonts w:hint="eastAsia" w:ascii="仿宋_GB2312" w:hAnsi="仿宋_GB2312" w:eastAsia="仿宋_GB2312" w:cs="仿宋_GB2312"/>
          <w:sz w:val="32"/>
          <w:szCs w:val="32"/>
        </w:rPr>
        <w:t>。</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四、国有资本经营预算支出情况</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w:t>
      </w:r>
      <w:r>
        <w:rPr>
          <w:rFonts w:hint="eastAsia" w:ascii="仿宋_GB2312" w:hAnsi="仿宋_GB2312" w:eastAsia="仿宋_GB2312" w:cs="仿宋_GB2312"/>
          <w:sz w:val="32"/>
          <w:szCs w:val="32"/>
        </w:rPr>
        <w:t>国有资本经营预算</w:t>
      </w:r>
      <w:r>
        <w:rPr>
          <w:rFonts w:ascii="仿宋_GB2312" w:hAnsi="仿宋_GB2312" w:eastAsia="仿宋_GB2312" w:cs="仿宋_GB2312"/>
          <w:sz w:val="32"/>
          <w:szCs w:val="32"/>
        </w:rPr>
        <w:t>收支</w:t>
      </w:r>
      <w:r>
        <w:rPr>
          <w:rFonts w:hint="eastAsia" w:ascii="仿宋_GB2312" w:hAnsi="仿宋_GB2312" w:eastAsia="仿宋_GB2312" w:cs="仿宋_GB2312"/>
          <w:sz w:val="32"/>
          <w:szCs w:val="32"/>
        </w:rPr>
        <w:t>。</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五、社会保险基金预算支出情况</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ascii="仿宋_GB2312" w:hAnsi="仿宋_GB2312" w:eastAsia="仿宋_GB2312" w:cs="仿宋_GB2312"/>
          <w:sz w:val="32"/>
          <w:szCs w:val="32"/>
        </w:rPr>
        <w:t>年度本单位无</w:t>
      </w:r>
      <w:r>
        <w:rPr>
          <w:rFonts w:hint="eastAsia" w:ascii="仿宋_GB2312" w:hAnsi="仿宋_GB2312" w:eastAsia="仿宋_GB2312" w:cs="仿宋_GB2312"/>
          <w:sz w:val="32"/>
          <w:szCs w:val="32"/>
        </w:rPr>
        <w:t>社会保险基金预算</w:t>
      </w:r>
      <w:r>
        <w:rPr>
          <w:rFonts w:ascii="仿宋_GB2312" w:hAnsi="仿宋_GB2312" w:eastAsia="仿宋_GB2312" w:cs="仿宋_GB2312"/>
          <w:sz w:val="32"/>
          <w:szCs w:val="32"/>
        </w:rPr>
        <w:t>收支</w:t>
      </w:r>
      <w:r>
        <w:rPr>
          <w:rFonts w:hint="eastAsia" w:ascii="仿宋_GB2312" w:hAnsi="仿宋_GB2312" w:eastAsia="仿宋_GB2312" w:cs="仿宋_GB2312"/>
          <w:sz w:val="32"/>
          <w:szCs w:val="32"/>
        </w:rPr>
        <w:t>。</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六、部门整体支出绩效情况</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“主阵地”成色大提升</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故里管理。道县财政拨付专项资金，使何宝珍故里管理正常化、日常化，各项管理工作步入正轨。为故里添置了消防设施，补齐了绿化带中的花草。环境卫生保持一个比较高的水准。强化“防控结合，预防为主”安全措施，添置巡更系统，严格落实24小时巡逻制度和节假日以及特护期的安保轮值工作。以学雷锋志愿服务站为平台，打造“红色志愿服务队”，推动了文明劝导、文明礼让参观常态化。深耕红色文化，开展党性教育微党课活动，申报永州市党员党性教育基地。</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提升讲解服务。讲解员薪酬待遇与讲解绩效直接挂钩；发放讲解评价卡，由观众实时评价，纳入绩效考核；主动对接学校，提升宣讲服务的主动性与积极性。</w:t>
      </w:r>
      <w:r>
        <w:rPr>
          <w:rFonts w:hint="eastAsia" w:ascii="仿宋_GB2312" w:hAnsi="仿宋_GB2312" w:eastAsia="仿宋_GB2312" w:cs="仿宋_GB2312"/>
          <w:sz w:val="32"/>
          <w:szCs w:val="32"/>
          <w:lang w:val="en-US" w:eastAsia="zh-CN"/>
        </w:rPr>
        <w:t>本年</w:t>
      </w:r>
      <w:r>
        <w:rPr>
          <w:rFonts w:hint="eastAsia" w:ascii="仿宋_GB2312" w:hAnsi="仿宋_GB2312" w:eastAsia="仿宋_GB2312" w:cs="仿宋_GB2312"/>
          <w:sz w:val="32"/>
          <w:szCs w:val="32"/>
        </w:rPr>
        <w:t>共完成讲解接待</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批次，讲解率达</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%，满意度达100%。</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“目的地”影响大彰显</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故里知名度、美誉度大幅提升。</w:t>
      </w:r>
      <w:r>
        <w:rPr>
          <w:rFonts w:hint="eastAsia" w:ascii="仿宋_GB2312" w:hAnsi="仿宋_GB2312" w:eastAsia="仿宋_GB2312" w:cs="仿宋_GB2312"/>
          <w:sz w:val="32"/>
          <w:szCs w:val="32"/>
          <w:lang w:val="en-US" w:eastAsia="zh-CN"/>
        </w:rPr>
        <w:t>本年</w:t>
      </w:r>
      <w:r>
        <w:rPr>
          <w:rFonts w:hint="eastAsia" w:ascii="仿宋_GB2312" w:hAnsi="仿宋_GB2312" w:eastAsia="仿宋_GB2312" w:cs="仿宋_GB2312"/>
          <w:sz w:val="32"/>
          <w:szCs w:val="32"/>
        </w:rPr>
        <w:t>接待游客达</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万人次，参观游客覆盖到周边省市县，成为红色文化、爱国主义教育的重要目的地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梅花镇中学、宁远县水市完全小学、永州一中等中小学生前来何宝珍故里参观接受红色教育。去年</w:t>
      </w:r>
      <w:r>
        <w:rPr>
          <w:rFonts w:hint="eastAsia" w:ascii="仿宋_GB2312" w:hAnsi="仿宋_GB2312" w:eastAsia="仿宋_GB2312" w:cs="仿宋_GB2312"/>
          <w:sz w:val="32"/>
          <w:szCs w:val="32"/>
        </w:rPr>
        <w:t>同刘少奇纪念馆达成结对联盟，实现资源共享、游客互达；获得永州市社会科学普及基地称号。</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配套设施不断完善</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强力推进何宝珍故里红色旅游景区“美化、亮化、绿化、净化”工程，1100平米的村级活动中心兼游客中心建成，建设了汀步叠水坝，目前，成为网红坝。</w:t>
      </w:r>
      <w:r>
        <w:rPr>
          <w:rFonts w:hint="eastAsia" w:ascii="仿宋_GB2312" w:hAnsi="仿宋_GB2312" w:eastAsia="仿宋_GB2312" w:cs="仿宋_GB2312"/>
          <w:sz w:val="32"/>
          <w:szCs w:val="32"/>
          <w:lang w:val="en-US" w:eastAsia="zh-CN"/>
        </w:rPr>
        <w:t>建好了</w:t>
      </w:r>
      <w:r>
        <w:rPr>
          <w:rFonts w:hint="eastAsia" w:ascii="仿宋_GB2312" w:hAnsi="仿宋_GB2312" w:eastAsia="仿宋_GB2312" w:cs="仿宋_GB2312"/>
          <w:sz w:val="32"/>
          <w:szCs w:val="32"/>
        </w:rPr>
        <w:t>二期沿河护堤工程</w:t>
      </w:r>
      <w:r>
        <w:rPr>
          <w:rFonts w:hint="eastAsia" w:ascii="仿宋_GB2312" w:hAnsi="仿宋_GB2312" w:eastAsia="仿宋_GB2312" w:cs="仿宋_GB2312"/>
          <w:sz w:val="32"/>
          <w:szCs w:val="32"/>
          <w:lang w:val="en-US" w:eastAsia="zh-CN"/>
        </w:rPr>
        <w:t>和荷塘游步道</w:t>
      </w:r>
      <w:r>
        <w:rPr>
          <w:rFonts w:hint="eastAsia" w:ascii="仿宋_GB2312" w:hAnsi="仿宋_GB2312" w:eastAsia="仿宋_GB2312" w:cs="仿宋_GB2312"/>
          <w:sz w:val="32"/>
          <w:szCs w:val="32"/>
        </w:rPr>
        <w:t>。在核心景区安装垃圾箱20个；请专业公司制作了景区内的标识标牌并按装。积极推进景区绿化，完成故里入口大道两侧花草种植。进行宝珍公园的规划和建设工作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长征微缩电影步道也在快速推进中。何宝珍生平陈列室扩馆也做好了设计和财政评审工作。</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加大宣传力度，提高故里知名度</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我所以多种形式开展教育宣传活动，不断拓展扩大教育市场，让更多人走进何宝珍故里，了解何宝珍烈士的事迹，学习红色文化。</w:t>
      </w:r>
      <w:r>
        <w:rPr>
          <w:rFonts w:hint="eastAsia" w:ascii="仿宋_GB2312" w:hAnsi="仿宋_GB2312" w:eastAsia="仿宋_GB2312" w:cs="仿宋_GB2312"/>
          <w:sz w:val="32"/>
          <w:szCs w:val="32"/>
          <w:lang w:val="en-US" w:eastAsia="zh-CN"/>
        </w:rPr>
        <w:t>清明节期间，开展网上祭英烈活动。</w:t>
      </w:r>
      <w:r>
        <w:rPr>
          <w:rFonts w:hint="eastAsia" w:ascii="仿宋_GB2312" w:hAnsi="仿宋_GB2312" w:eastAsia="仿宋_GB2312" w:cs="仿宋_GB2312"/>
          <w:sz w:val="32"/>
          <w:szCs w:val="32"/>
        </w:rPr>
        <w:t>在新华社、湖南日报、永州日报、红网发表何宝珍故里新闻</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多篇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今年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宁远县水市完全小学</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多名学生到何宝珍故里学习红色文化，缅怀革命先烈，弘扬先烈的革命精神，加强青少年思想道德建设。</w:t>
      </w:r>
    </w:p>
    <w:p>
      <w:pPr>
        <w:keepNext w:val="0"/>
        <w:keepLines w:val="0"/>
        <w:pageBreakBefore w:val="0"/>
        <w:widowControl w:val="0"/>
        <w:kinsoku/>
        <w:wordWrap/>
        <w:overflowPunct/>
        <w:topLinePunct w:val="0"/>
        <w:autoSpaceDE/>
        <w:autoSpaceDN/>
        <w:bidi w:val="0"/>
        <w:adjustRightInd/>
        <w:spacing w:before="0" w:after="240" w:line="560" w:lineRule="exact"/>
        <w:ind w:left="0" w:right="0" w:firstLine="640"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w:t>
      </w:r>
      <w:r>
        <w:rPr>
          <w:rFonts w:ascii="仿宋_GB2312" w:hAnsi="仿宋_GB2312" w:eastAsia="仿宋_GB2312" w:cs="仿宋_GB2312"/>
          <w:b/>
          <w:bCs/>
          <w:sz w:val="32"/>
          <w:szCs w:val="32"/>
        </w:rPr>
        <w:t>存在的问题及原因分析</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预算绩效管理机制有待进一步完善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需进一步结合工作实际完善资金管理文件办法等</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绩效目标设定不够细化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绩效目标的科学性、合理性以及量化可考核性有待进一步加强</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内控制度执行有待进一步规范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4、存在预算资金不够细，支出与预算不够专的问题。</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八、下一步改进措施</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（一）规范账务处理，提高财务信息质量 。</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严格按照《会计法》、《行政单位会计制度》、《行政单位财务规则》等规定执行财务核算，并结合实际情况，完整、准确地披露相关信息，做到决算与预算相衔接。</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（二）落实管理制度，进一步加强接待管理。</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按照《道县党政机关公务接待管理实施细则》的加强接待管理工作，对被接待单位人员要及时索取接待函对存在的问题。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（三）加强会计机构队伍建设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按照《中华人民共和国会计法》要求建立会计机关，配备齐会计人员，做到不相容岗位分设，加强会计监督。</w:t>
      </w:r>
    </w:p>
    <w:p>
      <w:pPr>
        <w:pStyle w:val="18"/>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九、绩效自评结果拟应用和公开情况</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按照要求将部门整体支出自评结果在部门门户网站进行公开，优化支出结构、完善相关办法、改进预算管理。强化结果应用，建立完善评价结果与预算调整、改进管理、完善政策挂钩机制。</w:t>
      </w:r>
    </w:p>
    <w:p>
      <w:pPr>
        <w:keepNext w:val="0"/>
        <w:keepLines w:val="0"/>
        <w:pageBreakBefore w:val="0"/>
        <w:kinsoku/>
        <w:wordWrap/>
        <w:overflowPunct/>
        <w:topLinePunct w:val="0"/>
        <w:autoSpaceDE/>
        <w:autoSpaceDN/>
        <w:bidi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十、其他需要说明的情况</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无。</w:t>
      </w:r>
    </w:p>
    <w:p>
      <w:pPr>
        <w:keepNext w:val="0"/>
        <w:keepLines w:val="0"/>
        <w:pageBreakBefore w:val="0"/>
        <w:kinsoku/>
        <w:wordWrap/>
        <w:overflowPunct/>
        <w:topLinePunct w:val="0"/>
        <w:autoSpaceDE/>
        <w:autoSpaceDN/>
        <w:bidi w:val="0"/>
        <w:spacing w:line="560" w:lineRule="exact"/>
        <w:ind w:firstLine="640" w:firstLineChars="200"/>
        <w:jc w:val="right"/>
        <w:rPr>
          <w:rFonts w:hint="eastAsia" w:ascii="仿宋_GB2312" w:hAnsi="仿宋_GB2312" w:eastAsia="仿宋_GB2312" w:cs="仿宋_GB2312"/>
          <w:color w:val="010101"/>
          <w:kern w:val="0"/>
          <w:sz w:val="32"/>
          <w:szCs w:val="32"/>
          <w:lang w:eastAsia="zh-CN"/>
        </w:rPr>
      </w:pPr>
      <w:r>
        <w:rPr>
          <w:rFonts w:hint="eastAsia" w:ascii="仿宋_GB2312" w:hAnsi="仿宋_GB2312" w:eastAsia="仿宋_GB2312" w:cs="仿宋_GB2312"/>
          <w:color w:val="010101"/>
          <w:kern w:val="0"/>
          <w:sz w:val="32"/>
          <w:szCs w:val="32"/>
          <w:lang w:eastAsia="zh-CN"/>
        </w:rPr>
        <w:t>何宝珍故里管理所</w:t>
      </w:r>
    </w:p>
    <w:p>
      <w:pPr>
        <w:pStyle w:val="7"/>
        <w:keepNext w:val="0"/>
        <w:keepLines w:val="0"/>
        <w:pageBreakBefore w:val="0"/>
        <w:kinsoku/>
        <w:wordWrap/>
        <w:overflowPunct/>
        <w:topLinePunct w:val="0"/>
        <w:autoSpaceDE/>
        <w:autoSpaceDN/>
        <w:bidi w:val="0"/>
        <w:spacing w:line="560" w:lineRule="exact"/>
        <w:ind w:firstLine="640" w:firstLineChars="200"/>
        <w:jc w:val="right"/>
        <w:rPr>
          <w:sz w:val="32"/>
          <w:szCs w:val="32"/>
        </w:rPr>
      </w:pPr>
      <w:r>
        <w:rPr>
          <w:rFonts w:hint="eastAsia" w:ascii="仿宋_GB2312" w:hAnsi="仿宋_GB2312" w:eastAsia="仿宋_GB2312" w:cs="仿宋_GB2312"/>
          <w:color w:val="010101"/>
          <w:kern w:val="0"/>
          <w:sz w:val="32"/>
          <w:szCs w:val="32"/>
        </w:rPr>
        <w:t>202</w:t>
      </w:r>
      <w:r>
        <w:rPr>
          <w:rFonts w:hint="eastAsia" w:ascii="仿宋_GB2312" w:hAnsi="仿宋_GB2312" w:eastAsia="仿宋_GB2312" w:cs="仿宋_GB2312"/>
          <w:color w:val="010101"/>
          <w:kern w:val="0"/>
          <w:sz w:val="32"/>
          <w:szCs w:val="32"/>
          <w:lang w:val="en-US" w:eastAsia="zh-CN"/>
        </w:rPr>
        <w:t>5</w:t>
      </w:r>
      <w:r>
        <w:rPr>
          <w:rFonts w:hint="eastAsia" w:ascii="仿宋_GB2312" w:hAnsi="仿宋_GB2312" w:eastAsia="仿宋_GB2312" w:cs="仿宋_GB2312"/>
          <w:color w:val="010101"/>
          <w:kern w:val="0"/>
          <w:sz w:val="32"/>
          <w:szCs w:val="32"/>
        </w:rPr>
        <w:t>年</w:t>
      </w:r>
      <w:r>
        <w:rPr>
          <w:rFonts w:hint="eastAsia" w:ascii="仿宋_GB2312" w:hAnsi="仿宋_GB2312" w:eastAsia="仿宋_GB2312" w:cs="仿宋_GB2312"/>
          <w:color w:val="010101"/>
          <w:kern w:val="0"/>
          <w:sz w:val="32"/>
          <w:szCs w:val="32"/>
          <w:lang w:val="en-US" w:eastAsia="zh-CN"/>
        </w:rPr>
        <w:t>6</w:t>
      </w:r>
      <w:r>
        <w:rPr>
          <w:rFonts w:hint="eastAsia" w:ascii="仿宋_GB2312" w:hAnsi="仿宋_GB2312" w:eastAsia="仿宋_GB2312" w:cs="仿宋_GB2312"/>
          <w:color w:val="010101"/>
          <w:kern w:val="0"/>
          <w:sz w:val="32"/>
          <w:szCs w:val="32"/>
        </w:rPr>
        <w:t>月</w:t>
      </w:r>
      <w:r>
        <w:rPr>
          <w:rFonts w:hint="eastAsia" w:ascii="仿宋_GB2312" w:hAnsi="仿宋_GB2312" w:eastAsia="仿宋_GB2312" w:cs="仿宋_GB2312"/>
          <w:color w:val="010101"/>
          <w:kern w:val="0"/>
          <w:sz w:val="32"/>
          <w:szCs w:val="32"/>
          <w:lang w:val="en-US" w:eastAsia="zh-CN"/>
        </w:rPr>
        <w:t>20</w:t>
      </w:r>
      <w:r>
        <w:rPr>
          <w:rFonts w:hint="eastAsia" w:ascii="仿宋_GB2312" w:hAnsi="仿宋_GB2312" w:eastAsia="仿宋_GB2312" w:cs="仿宋_GB2312"/>
          <w:color w:val="010101"/>
          <w:kern w:val="0"/>
          <w:sz w:val="32"/>
          <w:szCs w:val="32"/>
        </w:rPr>
        <w:t>日</w:t>
      </w:r>
    </w:p>
    <w:p>
      <w:pPr>
        <w:ind w:firstLine="640" w:firstLineChars="200"/>
        <w:jc w:val="left"/>
        <w:rPr>
          <w:rFonts w:cs="黑体" w:asciiTheme="minorEastAsia" w:hAnsiTheme="minorEastAsia"/>
          <w:color w:val="000000"/>
          <w:kern w:val="0"/>
          <w:sz w:val="32"/>
          <w:szCs w:val="32"/>
        </w:rPr>
      </w:pPr>
      <w:bookmarkStart w:id="17" w:name="_GoBack"/>
      <w:bookmarkEnd w:id="17"/>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2I1ZmZjYTU2MzUzNTU2MjhkMGVjYTcxNGI2MWE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264B"/>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3C1DAC"/>
    <w:rsid w:val="078D1181"/>
    <w:rsid w:val="110544AC"/>
    <w:rsid w:val="12EC20DA"/>
    <w:rsid w:val="1BB96488"/>
    <w:rsid w:val="1D93669A"/>
    <w:rsid w:val="1E9B71E5"/>
    <w:rsid w:val="1ED6246B"/>
    <w:rsid w:val="238E27E3"/>
    <w:rsid w:val="244514B2"/>
    <w:rsid w:val="2D905ECA"/>
    <w:rsid w:val="34C423F8"/>
    <w:rsid w:val="351F075D"/>
    <w:rsid w:val="36631109"/>
    <w:rsid w:val="380F7A7D"/>
    <w:rsid w:val="507E3D56"/>
    <w:rsid w:val="59987F3E"/>
    <w:rsid w:val="5A5C7BDA"/>
    <w:rsid w:val="623577BB"/>
    <w:rsid w:val="6441438C"/>
    <w:rsid w:val="673B426B"/>
    <w:rsid w:val="71244D70"/>
    <w:rsid w:val="7EEE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unhideWhenUsed/>
    <w:qFormat/>
    <w:uiPriority w:val="99"/>
    <w:pPr>
      <w:spacing w:after="12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endnote text"/>
    <w:basedOn w:val="1"/>
    <w:semiHidden/>
    <w:qFormat/>
    <w:uiPriority w:val="99"/>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6"/>
    <w:semiHidden/>
    <w:qFormat/>
    <w:uiPriority w:val="0"/>
    <w:pPr>
      <w:snapToGrid w:val="0"/>
      <w:jc w:val="left"/>
    </w:pPr>
    <w:rPr>
      <w:sz w:val="18"/>
      <w:szCs w:val="18"/>
    </w:rPr>
  </w:style>
  <w:style w:type="paragraph" w:styleId="12">
    <w:name w:val="Body Text First Indent"/>
    <w:basedOn w:val="4"/>
    <w:qFormat/>
    <w:uiPriority w:val="0"/>
    <w:pPr>
      <w:spacing w:line="630" w:lineRule="exact"/>
      <w:ind w:firstLine="420" w:firstLineChars="100"/>
      <w:textAlignment w:val="bottom"/>
    </w:pPr>
    <w:rPr>
      <w:rFonts w:eastAsia="方正仿宋简体"/>
      <w:spacing w:val="6"/>
      <w:sz w:val="32"/>
      <w:szCs w:val="32"/>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paragraph" w:customStyle="1" w:styleId="20">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8535</Words>
  <Characters>9872</Characters>
  <Lines>69</Lines>
  <Paragraphs>19</Paragraphs>
  <TotalTime>0</TotalTime>
  <ScaleCrop>false</ScaleCrop>
  <LinksUpToDate>false</LinksUpToDate>
  <CharactersWithSpaces>10878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MR</cp:lastModifiedBy>
  <cp:lastPrinted>2022-07-27T12:55:00Z</cp:lastPrinted>
  <dcterms:modified xsi:type="dcterms:W3CDTF">2025-08-28T00:23:50Z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FBB05229059149F1BC130CE160CCF9AF</vt:lpwstr>
  </property>
</Properties>
</file>