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LwJlDWAAAACgEAAA8AAAAAAAAAAQAgAAAAIgAAAGRycy9kb3du&#10;cmV2LnhtbFBLAQIUABQAAAAIAIdO4kBDKpePOgIAAEwEAAAOAAAAAAAAAAEAIAAAACUBAABkcnMv&#10;ZTJvRG9jLnhtbFBLBQYAAAAABgAGAFkBAADRBQAAAAA=&#10;">
                <v:fill on="t" focussize="0,0"/>
                <v:stroke on="f" weight="0.5pt"/>
                <v:imagedata o:title=""/>
                <o:lock v:ext="edit" aspectratio="f"/>
                <v:textbox>
                  <w:txbxContent>
                    <w:p>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pPr>
        <w:pStyle w:val="14"/>
        <w:jc w:val="center"/>
        <w:rPr>
          <w:sz w:val="56"/>
          <w:szCs w:val="56"/>
        </w:rPr>
      </w:pPr>
    </w:p>
    <w:p>
      <w:pPr>
        <w:pStyle w:val="14"/>
        <w:jc w:val="center"/>
        <w:rPr>
          <w:sz w:val="84"/>
          <w:szCs w:val="84"/>
        </w:rPr>
      </w:pPr>
    </w:p>
    <w:p>
      <w:pPr>
        <w:pStyle w:val="14"/>
        <w:jc w:val="center"/>
        <w:rPr>
          <w:sz w:val="84"/>
          <w:szCs w:val="84"/>
        </w:rPr>
      </w:pP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pPr>
        <w:pStyle w:val="14"/>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rPr>
        <w:t>道县</w:t>
      </w:r>
      <w:r>
        <w:rPr>
          <w:rFonts w:hint="eastAsia" w:ascii="方正小标宋_GBK" w:hAnsi="方正小标宋_GBK" w:eastAsia="方正小标宋_GBK" w:cs="方正小标宋_GBK"/>
          <w:sz w:val="84"/>
          <w:szCs w:val="84"/>
          <w:lang w:val="en-US" w:eastAsia="zh-CN"/>
        </w:rPr>
        <w:t>桥头镇</w:t>
      </w:r>
      <w:r>
        <w:rPr>
          <w:rFonts w:hint="eastAsia" w:ascii="方正小标宋_GBK" w:hAnsi="方正小标宋_GBK" w:eastAsia="方正小标宋_GBK" w:cs="方正小标宋_GBK"/>
          <w:sz w:val="84"/>
          <w:szCs w:val="84"/>
          <w:lang w:eastAsia="zh-CN"/>
        </w:rPr>
        <w:t>人民政府</w:t>
      </w: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pPr>
        <w:pStyle w:val="14"/>
        <w:jc w:val="center"/>
        <w:rPr>
          <w:rFonts w:hint="eastAsia" w:ascii="方正小标宋_GBK" w:hAnsi="方正小标宋_GBK" w:eastAsia="方正小标宋_GBK" w:cs="方正小标宋_GBK"/>
          <w:sz w:val="56"/>
          <w:szCs w:val="56"/>
        </w:rPr>
      </w:pPr>
    </w:p>
    <w:p>
      <w:pPr>
        <w:pStyle w:val="14"/>
        <w:jc w:val="center"/>
        <w:rPr>
          <w:sz w:val="56"/>
          <w:szCs w:val="56"/>
        </w:rPr>
      </w:pPr>
    </w:p>
    <w:p>
      <w:pPr>
        <w:pStyle w:val="14"/>
        <w:jc w:val="center"/>
        <w:rPr>
          <w:sz w:val="56"/>
          <w:szCs w:val="56"/>
        </w:rPr>
      </w:pPr>
    </w:p>
    <w:p>
      <w:pPr>
        <w:pStyle w:val="14"/>
        <w:jc w:val="center"/>
        <w:rPr>
          <w:sz w:val="56"/>
          <w:szCs w:val="56"/>
        </w:rPr>
      </w:pPr>
    </w:p>
    <w:p>
      <w:pPr>
        <w:pStyle w:val="14"/>
        <w:jc w:val="center"/>
        <w:rPr>
          <w:sz w:val="32"/>
          <w:szCs w:val="32"/>
        </w:rPr>
      </w:pPr>
    </w:p>
    <w:p>
      <w:pPr>
        <w:pStyle w:val="14"/>
        <w:jc w:val="center"/>
        <w:rPr>
          <w:sz w:val="32"/>
          <w:szCs w:val="32"/>
        </w:rPr>
      </w:pPr>
    </w:p>
    <w:p>
      <w:pPr>
        <w:pStyle w:val="14"/>
        <w:spacing w:line="500" w:lineRule="exact"/>
        <w:jc w:val="both"/>
        <w:rPr>
          <w:b/>
          <w:sz w:val="36"/>
          <w:szCs w:val="28"/>
        </w:rPr>
      </w:pPr>
    </w:p>
    <w:p>
      <w:pPr>
        <w:pStyle w:val="14"/>
        <w:spacing w:line="500" w:lineRule="exact"/>
        <w:jc w:val="center"/>
        <w:rPr>
          <w:b/>
          <w:sz w:val="36"/>
          <w:szCs w:val="28"/>
        </w:rPr>
      </w:pPr>
      <w:r>
        <w:rPr>
          <w:rFonts w:hint="eastAsia"/>
          <w:b/>
          <w:sz w:val="36"/>
          <w:szCs w:val="28"/>
        </w:rPr>
        <w:t>目录</w:t>
      </w:r>
    </w:p>
    <w:p>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概况</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4"/>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4"/>
        <w:spacing w:line="500" w:lineRule="exact"/>
        <w:rPr>
          <w:rFonts w:hint="eastAsia" w:ascii="黑体" w:hAnsi="黑体" w:eastAsia="黑体" w:cs="黑体"/>
          <w:b w:val="0"/>
          <w:bCs/>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4"/>
        <w:jc w:val="center"/>
        <w:rPr>
          <w:rFonts w:hint="eastAsia" w:ascii="方正小标宋_GBK" w:hAnsi="方正小标宋_GBK" w:eastAsia="方正小标宋_GBK" w:cs="方正小标宋_GBK"/>
          <w:sz w:val="84"/>
          <w:szCs w:val="84"/>
        </w:rPr>
      </w:pPr>
    </w:p>
    <w:p>
      <w:pPr>
        <w:pStyle w:val="14"/>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rPr>
        <w:t>道县</w:t>
      </w:r>
      <w:r>
        <w:rPr>
          <w:rFonts w:hint="eastAsia" w:ascii="方正小标宋_GBK" w:hAnsi="方正小标宋_GBK" w:eastAsia="方正小标宋_GBK" w:cs="方正小标宋_GBK"/>
          <w:sz w:val="84"/>
          <w:szCs w:val="84"/>
          <w:lang w:eastAsia="zh-CN"/>
        </w:rPr>
        <w:t>桥头镇人民政府</w:t>
      </w: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概况</w:t>
      </w:r>
    </w:p>
    <w:p>
      <w:pPr>
        <w:jc w:val="center"/>
        <w:rPr>
          <w:rFonts w:hint="eastAsia" w:ascii="方正小标宋_GBK" w:hAnsi="方正小标宋_GBK" w:eastAsia="方正小标宋_GBK" w:cs="方正小标宋_GBK"/>
          <w:sz w:val="72"/>
          <w:szCs w:val="72"/>
        </w:rPr>
      </w:pPr>
    </w:p>
    <w:p>
      <w:pPr>
        <w:jc w:val="center"/>
        <w:rPr>
          <w:rFonts w:hint="eastAsia" w:ascii="方正小标宋_GBK" w:hAnsi="方正小标宋_GBK" w:eastAsia="方正小标宋_GBK" w:cs="方正小标宋_GBK"/>
          <w:sz w:val="72"/>
          <w:szCs w:val="72"/>
        </w:rPr>
      </w:pPr>
    </w:p>
    <w:p>
      <w:pPr>
        <w:pStyle w:val="14"/>
        <w:jc w:val="both"/>
        <w:rPr>
          <w:rFonts w:hint="eastAsia" w:hAnsi="黑体"/>
          <w:sz w:val="32"/>
          <w:szCs w:val="32"/>
        </w:rPr>
      </w:pPr>
    </w:p>
    <w:p>
      <w:pPr>
        <w:pStyle w:val="14"/>
        <w:jc w:val="both"/>
        <w:rPr>
          <w:rFonts w:hint="eastAsia" w:hAnsi="黑体"/>
          <w:sz w:val="32"/>
          <w:szCs w:val="32"/>
        </w:rPr>
      </w:pPr>
    </w:p>
    <w:p>
      <w:pPr>
        <w:pStyle w:val="2"/>
        <w:numPr>
          <w:ilvl w:val="0"/>
          <w:numId w:val="1"/>
        </w:numPr>
        <w:suppressAutoHyphens/>
        <w:spacing w:line="360" w:lineRule="auto"/>
        <w:ind w:left="420" w:leftChars="200" w:right="481" w:rightChars="229" w:firstLine="658"/>
        <w:rPr>
          <w:rFonts w:hint="eastAsia" w:ascii="仿宋" w:hAnsi="仿宋" w:eastAsia="仿宋" w:cs="仿宋"/>
          <w:b/>
          <w:bCs/>
          <w:kern w:val="0"/>
          <w:lang w:bidi="zh-CN"/>
        </w:rPr>
      </w:pPr>
      <w:r>
        <w:rPr>
          <w:rFonts w:hint="eastAsia" w:ascii="仿宋" w:hAnsi="仿宋" w:eastAsia="仿宋" w:cs="仿宋"/>
          <w:b/>
          <w:bCs/>
          <w:kern w:val="0"/>
          <w:lang w:bidi="zh-CN"/>
        </w:rPr>
        <w:t>部门职责</w:t>
      </w:r>
    </w:p>
    <w:p>
      <w:pPr>
        <w:spacing w:line="360" w:lineRule="auto"/>
        <w:ind w:firstLine="960" w:firstLineChars="300"/>
        <w:rPr>
          <w:rFonts w:hint="eastAsia" w:ascii="仿宋" w:hAnsi="仿宋" w:eastAsia="仿宋" w:cs="仿宋"/>
          <w:color w:val="000000"/>
          <w:sz w:val="32"/>
          <w:szCs w:val="32"/>
          <w:shd w:val="clear" w:color="auto" w:fill="FFFFFF"/>
        </w:rPr>
      </w:pPr>
      <w:bookmarkStart w:id="0" w:name="AGENCY_NAME_TITLE3"/>
      <w:r>
        <w:rPr>
          <w:rFonts w:hint="eastAsia" w:ascii="仿宋" w:hAnsi="仿宋" w:eastAsia="仿宋" w:cs="仿宋"/>
          <w:color w:val="000000"/>
          <w:sz w:val="32"/>
          <w:szCs w:val="32"/>
          <w:shd w:val="clear" w:color="auto" w:fill="FFFFFF"/>
        </w:rPr>
        <w:t>道县</w:t>
      </w:r>
      <w:bookmarkEnd w:id="0"/>
      <w:r>
        <w:rPr>
          <w:rFonts w:hint="eastAsia" w:ascii="仿宋" w:hAnsi="仿宋" w:eastAsia="仿宋" w:cs="仿宋"/>
          <w:color w:val="000000"/>
          <w:sz w:val="32"/>
          <w:szCs w:val="32"/>
          <w:shd w:val="clear" w:color="auto" w:fill="FFFFFF"/>
          <w:lang w:eastAsia="zh-CN"/>
        </w:rPr>
        <w:t>桥头镇人民政府</w:t>
      </w:r>
      <w:r>
        <w:rPr>
          <w:rFonts w:hint="eastAsia" w:ascii="仿宋" w:hAnsi="仿宋" w:eastAsia="仿宋" w:cs="仿宋"/>
          <w:color w:val="000000"/>
          <w:sz w:val="32"/>
          <w:szCs w:val="32"/>
          <w:shd w:val="clear" w:color="auto" w:fill="FFFFFF"/>
        </w:rPr>
        <w:t>的主要职责是：</w:t>
      </w:r>
    </w:p>
    <w:p>
      <w:pPr>
        <w:spacing w:line="360" w:lineRule="auto"/>
        <w:ind w:firstLine="960" w:firstLineChars="300"/>
        <w:rPr>
          <w:rFonts w:hint="eastAsia" w:ascii="仿宋" w:hAnsi="仿宋" w:eastAsia="仿宋" w:cs="仿宋"/>
          <w:color w:val="000000"/>
          <w:sz w:val="32"/>
          <w:szCs w:val="32"/>
          <w:shd w:val="clear" w:color="auto" w:fill="FFFFFF"/>
        </w:rPr>
      </w:pPr>
      <w:bookmarkStart w:id="1" w:name="FUNCRESP"/>
      <w:r>
        <w:rPr>
          <w:rFonts w:hint="eastAsia" w:ascii="仿宋" w:hAnsi="仿宋" w:eastAsia="仿宋" w:cs="仿宋"/>
          <w:color w:val="000000"/>
          <w:sz w:val="32"/>
          <w:szCs w:val="32"/>
          <w:shd w:val="clear" w:color="auto" w:fill="FFFFFF"/>
        </w:rPr>
        <w:t>（1）执行本级人民代表大会的决议和上级国家行政机关的决定和命令，发布决定和命令。</w:t>
      </w:r>
    </w:p>
    <w:p>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（2）执行本行政区域内的经济和社会发展计划，加强公共设施的建设和管理，发展各项服务事业。</w:t>
      </w:r>
    </w:p>
    <w:p>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（3）依法管理本级财政、执行本级预算。</w:t>
      </w:r>
    </w:p>
    <w:p>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（4）为农民提供有效的科技、教育、文化、信息、卫生、体育、医疗、人才开发、劳动就业、安全生产等方面的服务。</w:t>
      </w:r>
    </w:p>
    <w:p>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（5）保护国有资产和集体所有的财产，保护公民私人所有的合法财产、保障公民的人身权利、民主权利和其他权利，保护各种组织的合法权益。</w:t>
      </w:r>
    </w:p>
    <w:p>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（6）开展社会主义民主与法制教育，加强社会治安综合治理，调解民事纠纷，维护社会秩序。</w:t>
      </w:r>
    </w:p>
    <w:p>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（7）推行乡村振兴，推进新农村建设与美丽乡村建设。</w:t>
      </w:r>
    </w:p>
    <w:p>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（8）负责民政工作，发展社会福利事业，做好社会保障工作，办理兵役事项。</w:t>
      </w:r>
    </w:p>
    <w:p>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（9）承办上级人民政府交办的其他事项。</w:t>
      </w:r>
      <w:bookmarkEnd w:id="1"/>
    </w:p>
    <w:p>
      <w:pPr>
        <w:pStyle w:val="2"/>
        <w:suppressAutoHyphens/>
        <w:spacing w:line="360" w:lineRule="auto"/>
        <w:ind w:left="420" w:leftChars="200" w:right="481" w:rightChars="229" w:firstLine="658"/>
        <w:rPr>
          <w:rFonts w:hint="eastAsia" w:ascii="仿宋" w:hAnsi="仿宋" w:eastAsia="仿宋" w:cs="仿宋"/>
          <w:b/>
          <w:bCs/>
          <w:kern w:val="0"/>
          <w:lang w:val="zh-CN" w:bidi="zh-CN"/>
        </w:rPr>
      </w:pPr>
      <w:r>
        <w:rPr>
          <w:rFonts w:hint="eastAsia" w:ascii="仿宋" w:hAnsi="仿宋" w:eastAsia="仿宋" w:cs="仿宋"/>
          <w:b/>
          <w:bCs/>
          <w:kern w:val="0"/>
          <w:lang w:val="zh-CN" w:bidi="zh-CN"/>
        </w:rPr>
        <w:t>二、机构设置及决算单位构成</w:t>
      </w:r>
    </w:p>
    <w:p>
      <w:pPr>
        <w:pStyle w:val="2"/>
        <w:suppressAutoHyphens/>
        <w:spacing w:line="360" w:lineRule="auto"/>
        <w:ind w:left="420" w:leftChars="200" w:right="481" w:rightChars="229" w:firstLine="658"/>
        <w:rPr>
          <w:rFonts w:hint="eastAsia" w:ascii="仿宋" w:hAnsi="仿宋" w:eastAsia="仿宋" w:cs="仿宋"/>
          <w:kern w:val="0"/>
          <w:lang w:bidi="zh-CN"/>
        </w:rPr>
      </w:pPr>
      <w:r>
        <w:rPr>
          <w:rFonts w:hint="eastAsia" w:ascii="仿宋" w:hAnsi="仿宋" w:eastAsia="仿宋" w:cs="仿宋"/>
          <w:kern w:val="0"/>
          <w:lang w:bidi="zh-CN"/>
        </w:rPr>
        <w:t>（一）内设机构设置</w:t>
      </w:r>
    </w:p>
    <w:p>
      <w:pPr>
        <w:spacing w:line="360" w:lineRule="auto"/>
        <w:ind w:firstLine="960" w:firstLineChars="300"/>
        <w:rPr>
          <w:rFonts w:hint="eastAsia" w:ascii="仿宋" w:hAnsi="仿宋" w:eastAsia="仿宋" w:cs="仿宋"/>
          <w:kern w:val="0"/>
          <w:lang w:bidi="zh-CN"/>
        </w:rPr>
      </w:pPr>
      <w:bookmarkStart w:id="2" w:name="ORG_SET"/>
      <w:r>
        <w:rPr>
          <w:rFonts w:hint="eastAsia" w:ascii="仿宋" w:hAnsi="仿宋" w:eastAsia="仿宋" w:cs="仿宋"/>
          <w:color w:val="000000"/>
          <w:sz w:val="32"/>
          <w:szCs w:val="32"/>
          <w:shd w:val="clear" w:color="auto" w:fill="FFFFFF"/>
        </w:rPr>
        <w:t>道县</w:t>
      </w:r>
      <w:r>
        <w:rPr>
          <w:rFonts w:hint="eastAsia" w:ascii="仿宋" w:hAnsi="仿宋" w:eastAsia="仿宋" w:cs="仿宋"/>
          <w:color w:val="000000"/>
          <w:sz w:val="32"/>
          <w:szCs w:val="32"/>
          <w:shd w:val="clear" w:color="auto" w:fill="FFFFFF"/>
          <w:lang w:eastAsia="zh-CN"/>
        </w:rPr>
        <w:t>桥头镇</w:t>
      </w:r>
      <w:r>
        <w:rPr>
          <w:rFonts w:hint="eastAsia" w:ascii="仿宋" w:hAnsi="仿宋" w:eastAsia="仿宋" w:cs="仿宋"/>
          <w:color w:val="000000"/>
          <w:sz w:val="32"/>
          <w:szCs w:val="32"/>
          <w:shd w:val="clear" w:color="auto" w:fill="FFFFFF"/>
        </w:rPr>
        <w:t>人民政府单位内设机构包括：党政综合办公室、社会治安和应急管理办公室、社会事务办公室、基层党建办公室、自然资源和生态环境办公室、</w:t>
      </w:r>
      <w:r>
        <w:rPr>
          <w:rFonts w:hint="eastAsia" w:ascii="仿宋" w:hAnsi="仿宋" w:eastAsia="仿宋" w:cs="仿宋"/>
          <w:color w:val="000000"/>
          <w:sz w:val="32"/>
          <w:szCs w:val="32"/>
          <w:shd w:val="clear" w:color="auto" w:fill="FFFFFF"/>
          <w:lang w:val="en-US" w:eastAsia="zh-CN"/>
        </w:rPr>
        <w:t>镇</w:t>
      </w:r>
      <w:r>
        <w:rPr>
          <w:rFonts w:hint="eastAsia" w:ascii="仿宋" w:hAnsi="仿宋" w:eastAsia="仿宋" w:cs="仿宋"/>
          <w:color w:val="000000"/>
          <w:sz w:val="32"/>
          <w:szCs w:val="32"/>
          <w:shd w:val="clear" w:color="auto" w:fill="FFFFFF"/>
        </w:rPr>
        <w:t>财政所、退役军人服务站、综合行政执法大队、社会事业综合服务中心、农业综合服务中心、政务（便民）服务中心。现编人数行政</w:t>
      </w:r>
      <w:r>
        <w:rPr>
          <w:rFonts w:hint="eastAsia" w:ascii="仿宋" w:hAnsi="仿宋" w:eastAsia="仿宋" w:cs="仿宋"/>
          <w:color w:val="000000"/>
          <w:sz w:val="32"/>
          <w:szCs w:val="32"/>
          <w:shd w:val="clear" w:color="auto" w:fill="FFFFFF"/>
          <w:lang w:val="en-US" w:eastAsia="zh-CN"/>
        </w:rPr>
        <w:t>26</w:t>
      </w:r>
      <w:r>
        <w:rPr>
          <w:rFonts w:hint="eastAsia" w:ascii="仿宋" w:hAnsi="仿宋" w:eastAsia="仿宋" w:cs="仿宋"/>
          <w:color w:val="000000"/>
          <w:sz w:val="32"/>
          <w:szCs w:val="32"/>
          <w:shd w:val="clear" w:color="auto" w:fill="FFFFFF"/>
        </w:rPr>
        <w:t>人，</w:t>
      </w:r>
      <w:r>
        <w:rPr>
          <w:rFonts w:hint="eastAsia" w:ascii="仿宋" w:hAnsi="仿宋" w:eastAsia="仿宋" w:cs="仿宋"/>
          <w:color w:val="000000"/>
          <w:sz w:val="32"/>
          <w:szCs w:val="32"/>
          <w:shd w:val="clear" w:color="auto" w:fill="FFFFFF"/>
          <w:lang w:val="en-US" w:eastAsia="zh-CN"/>
        </w:rPr>
        <w:t>工勤2人，</w:t>
      </w:r>
      <w:r>
        <w:rPr>
          <w:rFonts w:hint="eastAsia" w:ascii="仿宋" w:hAnsi="仿宋" w:eastAsia="仿宋" w:cs="仿宋"/>
          <w:color w:val="000000"/>
          <w:sz w:val="32"/>
          <w:szCs w:val="32"/>
          <w:shd w:val="clear" w:color="auto" w:fill="FFFFFF"/>
        </w:rPr>
        <w:t>事业</w:t>
      </w:r>
      <w:r>
        <w:rPr>
          <w:rFonts w:hint="eastAsia" w:ascii="仿宋" w:hAnsi="仿宋" w:eastAsia="仿宋" w:cs="仿宋"/>
          <w:color w:val="000000"/>
          <w:sz w:val="32"/>
          <w:szCs w:val="32"/>
          <w:shd w:val="clear" w:color="auto" w:fill="FFFFFF"/>
          <w:lang w:val="en-US" w:eastAsia="zh-CN"/>
        </w:rPr>
        <w:t>28</w:t>
      </w:r>
      <w:r>
        <w:rPr>
          <w:rFonts w:hint="eastAsia" w:ascii="仿宋" w:hAnsi="仿宋" w:eastAsia="仿宋" w:cs="仿宋"/>
          <w:color w:val="000000"/>
          <w:sz w:val="32"/>
          <w:szCs w:val="32"/>
          <w:shd w:val="clear" w:color="auto" w:fill="FFFFFF"/>
        </w:rPr>
        <w:t>人</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配有小车1辆。</w:t>
      </w:r>
      <w:bookmarkEnd w:id="2"/>
    </w:p>
    <w:p>
      <w:pPr>
        <w:pStyle w:val="2"/>
        <w:numPr>
          <w:ilvl w:val="0"/>
          <w:numId w:val="2"/>
        </w:numPr>
        <w:suppressAutoHyphens/>
        <w:spacing w:line="360" w:lineRule="auto"/>
        <w:ind w:left="420" w:leftChars="200" w:right="481" w:rightChars="229" w:firstLine="658"/>
        <w:rPr>
          <w:rFonts w:hint="eastAsia" w:ascii="仿宋" w:hAnsi="仿宋" w:eastAsia="仿宋" w:cs="仿宋"/>
          <w:kern w:val="0"/>
          <w:lang w:bidi="zh-CN"/>
        </w:rPr>
      </w:pPr>
      <w:r>
        <w:rPr>
          <w:rFonts w:hint="eastAsia" w:ascii="仿宋" w:hAnsi="仿宋" w:eastAsia="仿宋" w:cs="仿宋"/>
          <w:kern w:val="0"/>
          <w:lang w:bidi="zh-CN"/>
        </w:rPr>
        <w:t>决算单位构成</w:t>
      </w:r>
    </w:p>
    <w:p>
      <w:pPr>
        <w:spacing w:line="360" w:lineRule="auto"/>
        <w:ind w:left="420" w:leftChars="200" w:right="384" w:rightChars="183"/>
        <w:rPr>
          <w:rFonts w:hint="eastAsia" w:ascii="仿宋" w:hAnsi="仿宋" w:eastAsia="仿宋" w:cs="仿宋"/>
          <w:sz w:val="32"/>
          <w:szCs w:val="32"/>
          <w:lang w:eastAsia="zh-CN"/>
        </w:rPr>
        <w:sectPr>
          <w:pgSz w:w="11906" w:h="16838"/>
          <w:pgMar w:top="720" w:right="720" w:bottom="720" w:left="720" w:header="851" w:footer="992" w:gutter="0"/>
          <w:pgNumType w:fmt="numberInDash"/>
          <w:cols w:space="720" w:num="1"/>
          <w:docGrid w:type="lines" w:linePitch="319" w:charSpace="0"/>
        </w:sectPr>
      </w:pPr>
      <w:r>
        <w:rPr>
          <w:rFonts w:hint="eastAsia" w:ascii="仿宋" w:hAnsi="仿宋" w:eastAsia="仿宋" w:cs="仿宋"/>
          <w:sz w:val="32"/>
          <w:szCs w:val="32"/>
        </w:rPr>
        <w:t xml:space="preserve">   </w:t>
      </w:r>
      <w:bookmarkStart w:id="3" w:name="DEPT_COMPOSE"/>
      <w:r>
        <w:rPr>
          <w:rFonts w:hint="eastAsia" w:ascii="仿宋" w:hAnsi="仿宋" w:eastAsia="仿宋" w:cs="仿宋"/>
          <w:sz w:val="32"/>
          <w:szCs w:val="32"/>
        </w:rPr>
        <w:t>道县</w:t>
      </w:r>
      <w:r>
        <w:rPr>
          <w:rFonts w:hint="eastAsia" w:ascii="仿宋" w:hAnsi="仿宋" w:eastAsia="仿宋" w:cs="仿宋"/>
          <w:sz w:val="32"/>
          <w:szCs w:val="32"/>
          <w:lang w:eastAsia="zh-CN"/>
        </w:rPr>
        <w:t>桥头镇人民政府</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年部门决算汇总公开单位构成包括：道县</w:t>
      </w:r>
      <w:r>
        <w:rPr>
          <w:rFonts w:hint="eastAsia" w:ascii="仿宋" w:hAnsi="仿宋" w:eastAsia="仿宋" w:cs="仿宋"/>
          <w:sz w:val="32"/>
          <w:szCs w:val="32"/>
          <w:lang w:eastAsia="zh-CN"/>
        </w:rPr>
        <w:t>桥头镇人民政府</w:t>
      </w:r>
      <w:r>
        <w:rPr>
          <w:rFonts w:hint="eastAsia" w:ascii="仿宋" w:hAnsi="仿宋" w:eastAsia="仿宋" w:cs="仿宋"/>
          <w:sz w:val="32"/>
          <w:szCs w:val="32"/>
        </w:rPr>
        <w:t>本级</w:t>
      </w:r>
      <w:bookmarkEnd w:id="3"/>
      <w:r>
        <w:rPr>
          <w:rFonts w:hint="eastAsia" w:ascii="仿宋" w:hAnsi="仿宋" w:eastAsia="仿宋" w:cs="仿宋"/>
          <w:sz w:val="32"/>
          <w:szCs w:val="32"/>
          <w:lang w:eastAsia="zh-CN"/>
        </w:rPr>
        <w:t>。</w:t>
      </w:r>
    </w:p>
    <w:p>
      <w:pPr>
        <w:jc w:val="left"/>
        <w:rPr>
          <w:rFonts w:ascii="仿宋_GB2312" w:eastAsia="仿宋_GB2312" w:hAnsiTheme="minorEastAsia"/>
          <w:sz w:val="28"/>
          <w:szCs w:val="32"/>
        </w:rPr>
      </w:pPr>
    </w:p>
    <w:p>
      <w:pPr>
        <w:jc w:val="center"/>
        <w:rPr>
          <w:rFonts w:ascii="黑体" w:hAnsi="黑体" w:eastAsia="黑体"/>
          <w:sz w:val="28"/>
          <w:szCs w:val="28"/>
        </w:rPr>
      </w:pPr>
    </w:p>
    <w:p>
      <w:pPr>
        <w:jc w:val="both"/>
        <w:rPr>
          <w:sz w:val="72"/>
          <w:szCs w:val="72"/>
        </w:rPr>
      </w:pPr>
    </w:p>
    <w:p>
      <w:pPr>
        <w:jc w:val="center"/>
        <w:rPr>
          <w:sz w:val="72"/>
          <w:szCs w:val="72"/>
        </w:rPr>
      </w:pPr>
    </w:p>
    <w:p>
      <w:pPr>
        <w:jc w:val="center"/>
        <w:rPr>
          <w:sz w:val="72"/>
          <w:szCs w:val="72"/>
        </w:rPr>
      </w:pPr>
    </w:p>
    <w:p>
      <w:pPr>
        <w:pStyle w:val="14"/>
        <w:jc w:val="center"/>
        <w:rPr>
          <w:rFonts w:hint="eastAsia" w:ascii="方正小标宋_GBK" w:hAnsi="方正小标宋_GBK" w:eastAsia="方正小标宋_GBK" w:cs="方正小标宋_GBK"/>
          <w:sz w:val="84"/>
          <w:szCs w:val="84"/>
        </w:rPr>
      </w:pP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4"/>
        <w:jc w:val="center"/>
        <w:rPr>
          <w:rFonts w:hint="eastAsia" w:ascii="方正小标宋_GBK" w:hAnsi="方正小标宋_GBK" w:eastAsia="方正小标宋_GBK" w:cs="方正小标宋_GBK"/>
          <w:sz w:val="84"/>
          <w:szCs w:val="84"/>
        </w:rPr>
      </w:pP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0"/>
        <w:tblW w:w="15380" w:type="dxa"/>
        <w:tblInd w:w="0" w:type="dxa"/>
        <w:tblLayout w:type="fixed"/>
        <w:tblCellMar>
          <w:top w:w="0" w:type="dxa"/>
          <w:left w:w="0" w:type="dxa"/>
          <w:bottom w:w="0" w:type="dxa"/>
          <w:right w:w="0" w:type="dxa"/>
        </w:tblCellMar>
      </w:tblPr>
      <w:tblGrid>
        <w:gridCol w:w="216"/>
        <w:gridCol w:w="817"/>
        <w:gridCol w:w="1800"/>
        <w:gridCol w:w="1750"/>
        <w:gridCol w:w="1675"/>
        <w:gridCol w:w="1475"/>
        <w:gridCol w:w="1441"/>
        <w:gridCol w:w="1814"/>
        <w:gridCol w:w="1814"/>
        <w:gridCol w:w="2578"/>
      </w:tblGrid>
      <w:tr>
        <w:tblPrEx>
          <w:tblLayout w:type="fixed"/>
          <w:tblCellMar>
            <w:top w:w="0" w:type="dxa"/>
            <w:left w:w="0" w:type="dxa"/>
            <w:bottom w:w="0" w:type="dxa"/>
            <w:right w:w="0" w:type="dxa"/>
          </w:tblCellMar>
        </w:tblPrEx>
        <w:trPr>
          <w:trHeight w:val="90" w:hRule="atLeast"/>
        </w:trPr>
        <w:tc>
          <w:tcPr>
            <w:tcW w:w="15380"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10"/>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3"/>
              <w:gridCol w:w="613"/>
              <w:gridCol w:w="1409"/>
              <w:gridCol w:w="5038"/>
              <w:gridCol w:w="1177"/>
              <w:gridCol w:w="460"/>
              <w:gridCol w:w="1114"/>
              <w:gridCol w:w="11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4" w:hRule="atLeast"/>
              </w:trPr>
              <w:tc>
                <w:tcPr>
                  <w:tcW w:w="4413" w:type="dxa"/>
                  <w:tcBorders>
                    <w:top w:val="nil"/>
                    <w:left w:val="nil"/>
                    <w:bottom w:val="nil"/>
                    <w:right w:val="nil"/>
                  </w:tcBorders>
                  <w:shd w:val="clear" w:color="auto" w:fill="auto"/>
                  <w:noWrap/>
                  <w:vAlign w:val="center"/>
                </w:tcPr>
                <w:p>
                  <w:pPr>
                    <w:jc w:val="left"/>
                    <w:rPr>
                      <w:rFonts w:hint="eastAsia" w:ascii="黑体" w:hAnsi="宋体" w:eastAsia="黑体" w:cs="黑体"/>
                      <w:i w:val="0"/>
                      <w:color w:val="000000"/>
                      <w:sz w:val="24"/>
                      <w:szCs w:val="24"/>
                      <w:u w:val="none"/>
                    </w:rPr>
                  </w:pPr>
                </w:p>
              </w:tc>
              <w:tc>
                <w:tcPr>
                  <w:tcW w:w="613"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409"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5038"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637" w:type="dxa"/>
                  <w:gridSpan w:val="2"/>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2288" w:type="dxa"/>
                  <w:gridSpan w:val="2"/>
                  <w:tcBorders>
                    <w:top w:val="nil"/>
                    <w:left w:val="nil"/>
                    <w:bottom w:val="nil"/>
                    <w:right w:val="nil"/>
                  </w:tcBorders>
                  <w:shd w:val="clear" w:color="auto" w:fill="auto"/>
                  <w:noWrap/>
                  <w:vAlign w:val="center"/>
                </w:tcPr>
                <w:p>
                  <w:pPr>
                    <w:jc w:val="right"/>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4" w:hRule="atLeast"/>
              </w:trPr>
              <w:tc>
                <w:tcPr>
                  <w:tcW w:w="4413"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613"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409"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5038"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637"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288"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4" w:hRule="atLeast"/>
              </w:trPr>
              <w:tc>
                <w:tcPr>
                  <w:tcW w:w="4413"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部门：道县桥头镇人民政府</w:t>
                  </w:r>
                </w:p>
              </w:tc>
              <w:tc>
                <w:tcPr>
                  <w:tcW w:w="613"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409"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5038"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637"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288"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1174" w:type="dxa"/>
                <w:trHeight w:val="448" w:hRule="atLeast"/>
              </w:trPr>
              <w:tc>
                <w:tcPr>
                  <w:tcW w:w="643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789"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1174" w:type="dxa"/>
                <w:trHeight w:val="628" w:hRule="atLeast"/>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50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57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1174" w:type="dxa"/>
                <w:trHeight w:val="448" w:hRule="atLeast"/>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0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157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1174" w:type="dxa"/>
                <w:trHeight w:val="448" w:hRule="atLeast"/>
              </w:trPr>
              <w:tc>
                <w:tcPr>
                  <w:tcW w:w="4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1065.66</w:t>
                  </w:r>
                </w:p>
              </w:tc>
              <w:tc>
                <w:tcPr>
                  <w:tcW w:w="50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14</w:t>
                  </w:r>
                </w:p>
              </w:tc>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512.03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1174" w:type="dxa"/>
                <w:trHeight w:val="448" w:hRule="atLeast"/>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50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二、社会保障和就业支出</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15</w:t>
                  </w:r>
                </w:p>
              </w:tc>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1174" w:type="dxa"/>
                <w:trHeight w:val="448" w:hRule="atLeast"/>
              </w:trPr>
              <w:tc>
                <w:tcPr>
                  <w:tcW w:w="4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三、卫生健康支出</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16</w:t>
                  </w:r>
                </w:p>
              </w:tc>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21.85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1174" w:type="dxa"/>
                <w:trHeight w:val="448" w:hRule="atLeast"/>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四、农林水支出</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17</w:t>
                  </w:r>
                </w:p>
              </w:tc>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458.3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1174" w:type="dxa"/>
                <w:trHeight w:val="448" w:hRule="atLeast"/>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五、灾害防治及应急管理支出</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18</w:t>
                  </w:r>
                </w:p>
              </w:tc>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1174" w:type="dxa"/>
                <w:trHeight w:val="448" w:hRule="atLeast"/>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六、住房保障支出</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19</w:t>
                  </w:r>
                </w:p>
              </w:tc>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1174" w:type="dxa"/>
                <w:trHeight w:val="448" w:hRule="atLeast"/>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1174" w:type="dxa"/>
                <w:trHeight w:val="448" w:hRule="atLeast"/>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1174" w:type="dxa"/>
                <w:trHeight w:val="448" w:hRule="atLeast"/>
              </w:trPr>
              <w:tc>
                <w:tcPr>
                  <w:tcW w:w="4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1174" w:type="dxa"/>
                <w:trHeight w:val="448" w:hRule="atLeast"/>
              </w:trPr>
              <w:tc>
                <w:tcPr>
                  <w:tcW w:w="4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1065.66</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1065.66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1174" w:type="dxa"/>
                <w:trHeight w:val="448" w:hRule="atLeast"/>
              </w:trPr>
              <w:tc>
                <w:tcPr>
                  <w:tcW w:w="4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1174" w:type="dxa"/>
                <w:trHeight w:val="628" w:hRule="atLeast"/>
              </w:trPr>
              <w:tc>
                <w:tcPr>
                  <w:tcW w:w="4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1174" w:type="dxa"/>
                <w:trHeight w:val="448" w:hRule="atLeast"/>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1065.66</w:t>
                  </w:r>
                </w:p>
              </w:tc>
              <w:tc>
                <w:tcPr>
                  <w:tcW w:w="50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b/>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1065.66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华文中宋" w:hAnsi="华文中宋" w:eastAsia="华文中宋"/>
                      <w:color w:val="000000"/>
                      <w:sz w:val="32"/>
                      <w:szCs w:val="32"/>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tbl>
                  <w:tblPr>
                    <w:tblW w:w="17520" w:type="dxa"/>
                    <w:tblInd w:w="-15" w:type="dxa"/>
                    <w:shd w:val="clear"/>
                    <w:tblLayout w:type="fixed"/>
                    <w:tblCellMar>
                      <w:top w:w="0" w:type="dxa"/>
                      <w:left w:w="0" w:type="dxa"/>
                      <w:bottom w:w="0" w:type="dxa"/>
                      <w:right w:w="0" w:type="dxa"/>
                    </w:tblCellMar>
                  </w:tblPr>
                  <w:tblGrid>
                    <w:gridCol w:w="50"/>
                    <w:gridCol w:w="50"/>
                    <w:gridCol w:w="890"/>
                    <w:gridCol w:w="3930"/>
                    <w:gridCol w:w="2066"/>
                    <w:gridCol w:w="1534"/>
                    <w:gridCol w:w="1800"/>
                    <w:gridCol w:w="1800"/>
                    <w:gridCol w:w="1800"/>
                    <w:gridCol w:w="1800"/>
                    <w:gridCol w:w="1800"/>
                  </w:tblGrid>
                  <w:tr>
                    <w:tblPrEx>
                      <w:shd w:val="clear"/>
                      <w:tblLayout w:type="fixed"/>
                      <w:tblCellMar>
                        <w:top w:w="0" w:type="dxa"/>
                        <w:left w:w="0" w:type="dxa"/>
                        <w:bottom w:w="0" w:type="dxa"/>
                        <w:right w:w="0" w:type="dxa"/>
                      </w:tblCellMar>
                    </w:tblPrEx>
                    <w:trPr>
                      <w:trHeight w:val="300" w:hRule="atLeast"/>
                    </w:trPr>
                    <w:tc>
                      <w:tcPr>
                        <w:tcW w:w="990"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科目代码</w:t>
                        </w:r>
                      </w:p>
                    </w:tc>
                    <w:tc>
                      <w:tcPr>
                        <w:tcW w:w="3930" w:type="dxa"/>
                        <w:vMerge w:val="restar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科目名称</w:t>
                        </w:r>
                      </w:p>
                    </w:tc>
                    <w:tc>
                      <w:tcPr>
                        <w:tcW w:w="2066"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本年收入合计</w:t>
                        </w:r>
                      </w:p>
                    </w:tc>
                    <w:tc>
                      <w:tcPr>
                        <w:tcW w:w="1534"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财政拨款收入</w:t>
                        </w:r>
                      </w:p>
                    </w:tc>
                    <w:tc>
                      <w:tcPr>
                        <w:tcW w:w="1800"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上级补助收入</w:t>
                        </w:r>
                      </w:p>
                    </w:tc>
                    <w:tc>
                      <w:tcPr>
                        <w:tcW w:w="1800"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事业收入</w:t>
                        </w:r>
                      </w:p>
                    </w:tc>
                    <w:tc>
                      <w:tcPr>
                        <w:tcW w:w="1800"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经营收入</w:t>
                        </w:r>
                      </w:p>
                    </w:tc>
                    <w:tc>
                      <w:tcPr>
                        <w:tcW w:w="1800"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附属单位上缴收入</w:t>
                        </w:r>
                      </w:p>
                    </w:tc>
                    <w:tc>
                      <w:tcPr>
                        <w:tcW w:w="1800"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其他收入</w:t>
                        </w:r>
                      </w:p>
                    </w:tc>
                  </w:tr>
                  <w:tr>
                    <w:tblPrEx>
                      <w:shd w:val="clear"/>
                      <w:tblLayout w:type="fixed"/>
                      <w:tblCellMar>
                        <w:top w:w="0" w:type="dxa"/>
                        <w:left w:w="0" w:type="dxa"/>
                        <w:bottom w:w="0" w:type="dxa"/>
                        <w:right w:w="0" w:type="dxa"/>
                      </w:tblCellMar>
                    </w:tblPrEx>
                    <w:trPr>
                      <w:trHeight w:val="300" w:hRule="atLeast"/>
                    </w:trPr>
                    <w:tc>
                      <w:tcPr>
                        <w:tcW w:w="99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930" w:type="dxa"/>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66"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34"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tblLayout w:type="fixed"/>
                      <w:tblCellMar>
                        <w:top w:w="0" w:type="dxa"/>
                        <w:left w:w="0" w:type="dxa"/>
                        <w:bottom w:w="0" w:type="dxa"/>
                        <w:right w:w="0" w:type="dxa"/>
                      </w:tblCellMar>
                    </w:tblPrEx>
                    <w:trPr>
                      <w:trHeight w:val="300" w:hRule="atLeast"/>
                    </w:trPr>
                    <w:tc>
                      <w:tcPr>
                        <w:tcW w:w="99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930" w:type="dxa"/>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66"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34"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99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930" w:type="dxa"/>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66"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34"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tblLayout w:type="fixed"/>
                      <w:tblCellMar>
                        <w:top w:w="0" w:type="dxa"/>
                        <w:left w:w="0" w:type="dxa"/>
                        <w:bottom w:w="0" w:type="dxa"/>
                        <w:right w:w="0" w:type="dxa"/>
                      </w:tblCellMar>
                    </w:tblPrEx>
                    <w:trPr>
                      <w:trHeight w:val="300" w:hRule="atLeast"/>
                    </w:trPr>
                    <w:tc>
                      <w:tcPr>
                        <w:tcW w:w="50" w:type="dxa"/>
                        <w:vMerge w:val="restar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类</w:t>
                        </w:r>
                      </w:p>
                    </w:tc>
                    <w:tc>
                      <w:tcPr>
                        <w:tcW w:w="50" w:type="dxa"/>
                        <w:vMerge w:val="restar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款</w:t>
                        </w:r>
                      </w:p>
                    </w:tc>
                    <w:tc>
                      <w:tcPr>
                        <w:tcW w:w="890" w:type="dxa"/>
                        <w:vMerge w:val="restar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w:t>
                        </w:r>
                      </w:p>
                    </w:tc>
                    <w:tc>
                      <w:tcPr>
                        <w:tcW w:w="393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栏次</w:t>
                        </w:r>
                      </w:p>
                    </w:tc>
                    <w:tc>
                      <w:tcPr>
                        <w:tcW w:w="2066"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534"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800"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1800"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1800"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1800"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w:t>
                        </w:r>
                      </w:p>
                    </w:tc>
                    <w:tc>
                      <w:tcPr>
                        <w:tcW w:w="1800"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w:t>
                        </w:r>
                      </w:p>
                    </w:tc>
                  </w:tr>
                  <w:tr>
                    <w:tblPrEx>
                      <w:shd w:val="clear"/>
                      <w:tblLayout w:type="fixed"/>
                      <w:tblCellMar>
                        <w:top w:w="0" w:type="dxa"/>
                        <w:left w:w="0" w:type="dxa"/>
                        <w:bottom w:w="0" w:type="dxa"/>
                        <w:right w:w="0" w:type="dxa"/>
                      </w:tblCellMar>
                    </w:tblPrEx>
                    <w:trPr>
                      <w:trHeight w:val="300" w:hRule="atLeast"/>
                    </w:trPr>
                    <w:tc>
                      <w:tcPr>
                        <w:tcW w:w="50" w:type="dxa"/>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0" w:type="dxa"/>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90" w:type="dxa"/>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93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合计</w:t>
                        </w:r>
                      </w:p>
                    </w:tc>
                    <w:tc>
                      <w:tcPr>
                        <w:tcW w:w="206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10,656,600.00</w:t>
                        </w:r>
                      </w:p>
                    </w:tc>
                    <w:tc>
                      <w:tcPr>
                        <w:tcW w:w="15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10,656,600.00</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2010199</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其他人大事务支出</w:t>
                        </w:r>
                      </w:p>
                    </w:tc>
                    <w:tc>
                      <w:tcPr>
                        <w:tcW w:w="206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71,300.00</w:t>
                        </w:r>
                      </w:p>
                    </w:tc>
                    <w:tc>
                      <w:tcPr>
                        <w:tcW w:w="15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71,300.00</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tblLayout w:type="fixed"/>
                      <w:tblCellMar>
                        <w:top w:w="0" w:type="dxa"/>
                        <w:left w:w="0" w:type="dxa"/>
                        <w:bottom w:w="0" w:type="dxa"/>
                        <w:right w:w="0"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2010301</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行政运行</w:t>
                        </w:r>
                      </w:p>
                    </w:tc>
                    <w:tc>
                      <w:tcPr>
                        <w:tcW w:w="206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3,889,800.00</w:t>
                        </w:r>
                      </w:p>
                    </w:tc>
                    <w:tc>
                      <w:tcPr>
                        <w:tcW w:w="15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3,889,800.00</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tblLayout w:type="fixed"/>
                      <w:tblCellMar>
                        <w:top w:w="0" w:type="dxa"/>
                        <w:left w:w="0" w:type="dxa"/>
                        <w:bottom w:w="0" w:type="dxa"/>
                        <w:right w:w="0"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2010350</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事业运行</w:t>
                        </w:r>
                      </w:p>
                    </w:tc>
                    <w:tc>
                      <w:tcPr>
                        <w:tcW w:w="206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100,000.00</w:t>
                        </w:r>
                      </w:p>
                    </w:tc>
                    <w:tc>
                      <w:tcPr>
                        <w:tcW w:w="15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100,000.00</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tblLayout w:type="fixed"/>
                      <w:tblCellMar>
                        <w:top w:w="0" w:type="dxa"/>
                        <w:left w:w="0" w:type="dxa"/>
                        <w:bottom w:w="0" w:type="dxa"/>
                        <w:right w:w="0"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2010399</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其他政府办公厅（室）及相关机构事务支出</w:t>
                        </w:r>
                      </w:p>
                    </w:tc>
                    <w:tc>
                      <w:tcPr>
                        <w:tcW w:w="206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920,600.00</w:t>
                        </w:r>
                      </w:p>
                    </w:tc>
                    <w:tc>
                      <w:tcPr>
                        <w:tcW w:w="15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920,600.00</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tblLayout w:type="fixed"/>
                      <w:tblCellMar>
                        <w:top w:w="0" w:type="dxa"/>
                        <w:left w:w="0" w:type="dxa"/>
                        <w:bottom w:w="0" w:type="dxa"/>
                        <w:right w:w="0"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2011199</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其他纪检监察事务支出</w:t>
                        </w:r>
                      </w:p>
                    </w:tc>
                    <w:tc>
                      <w:tcPr>
                        <w:tcW w:w="206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63,000.00</w:t>
                        </w:r>
                      </w:p>
                    </w:tc>
                    <w:tc>
                      <w:tcPr>
                        <w:tcW w:w="15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63,000.00</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tblLayout w:type="fixed"/>
                      <w:tblCellMar>
                        <w:top w:w="0" w:type="dxa"/>
                        <w:left w:w="0" w:type="dxa"/>
                        <w:bottom w:w="0" w:type="dxa"/>
                        <w:right w:w="0"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2013699</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其他共产党事务支出</w:t>
                        </w:r>
                      </w:p>
                    </w:tc>
                    <w:tc>
                      <w:tcPr>
                        <w:tcW w:w="206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75,600.00</w:t>
                        </w:r>
                      </w:p>
                    </w:tc>
                    <w:tc>
                      <w:tcPr>
                        <w:tcW w:w="15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75,600.00</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tblLayout w:type="fixed"/>
                      <w:tblCellMar>
                        <w:top w:w="0" w:type="dxa"/>
                        <w:left w:w="0" w:type="dxa"/>
                        <w:bottom w:w="0" w:type="dxa"/>
                        <w:right w:w="0"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2080505</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机关事业单位基本养老保险缴费支出</w:t>
                        </w:r>
                      </w:p>
                    </w:tc>
                    <w:tc>
                      <w:tcPr>
                        <w:tcW w:w="206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401,800.00</w:t>
                        </w:r>
                      </w:p>
                    </w:tc>
                    <w:tc>
                      <w:tcPr>
                        <w:tcW w:w="15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401,800.00</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tblLayout w:type="fixed"/>
                      <w:tblCellMar>
                        <w:top w:w="0" w:type="dxa"/>
                        <w:left w:w="0" w:type="dxa"/>
                        <w:bottom w:w="0" w:type="dxa"/>
                        <w:right w:w="0"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2101101</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行政单位医疗</w:t>
                        </w:r>
                      </w:p>
                    </w:tc>
                    <w:tc>
                      <w:tcPr>
                        <w:tcW w:w="206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218,500.00</w:t>
                        </w:r>
                      </w:p>
                    </w:tc>
                    <w:tc>
                      <w:tcPr>
                        <w:tcW w:w="15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218,500.00</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tblLayout w:type="fixed"/>
                      <w:tblCellMar>
                        <w:top w:w="0" w:type="dxa"/>
                        <w:left w:w="0" w:type="dxa"/>
                        <w:bottom w:w="0" w:type="dxa"/>
                        <w:right w:w="0"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2130102</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一般行政管理事务</w:t>
                        </w:r>
                      </w:p>
                    </w:tc>
                    <w:tc>
                      <w:tcPr>
                        <w:tcW w:w="206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4,583,000.00</w:t>
                        </w:r>
                      </w:p>
                    </w:tc>
                    <w:tc>
                      <w:tcPr>
                        <w:tcW w:w="15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4,583,000.00</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tblLayout w:type="fixed"/>
                      <w:tblCellMar>
                        <w:top w:w="0" w:type="dxa"/>
                        <w:left w:w="0" w:type="dxa"/>
                        <w:bottom w:w="0" w:type="dxa"/>
                        <w:right w:w="0"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2210201</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住房公积金</w:t>
                        </w:r>
                      </w:p>
                    </w:tc>
                    <w:tc>
                      <w:tcPr>
                        <w:tcW w:w="206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293,000.00</w:t>
                        </w:r>
                      </w:p>
                    </w:tc>
                    <w:tc>
                      <w:tcPr>
                        <w:tcW w:w="15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293,000.00</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tblLayout w:type="fixed"/>
                      <w:tblCellMar>
                        <w:top w:w="0" w:type="dxa"/>
                        <w:left w:w="0" w:type="dxa"/>
                        <w:bottom w:w="0" w:type="dxa"/>
                        <w:right w:w="0"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2240699</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其他自然灾害防治支出</w:t>
                        </w:r>
                      </w:p>
                    </w:tc>
                    <w:tc>
                      <w:tcPr>
                        <w:tcW w:w="206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40,000.00</w:t>
                        </w:r>
                      </w:p>
                    </w:tc>
                    <w:tc>
                      <w:tcPr>
                        <w:tcW w:w="15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40,000.00</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bl>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bl>
          <w:p>
            <w:pPr>
              <w:jc w:val="center"/>
              <w:rPr>
                <w:rFonts w:ascii="华文中宋" w:hAnsi="华文中宋" w:eastAsia="华文中宋" w:cs="宋体"/>
                <w:color w:val="000000"/>
                <w:sz w:val="32"/>
                <w:szCs w:val="32"/>
              </w:rPr>
            </w:pPr>
          </w:p>
        </w:tc>
      </w:tr>
      <w:tr>
        <w:tblPrEx>
          <w:tblLayout w:type="fixed"/>
          <w:tblCellMar>
            <w:top w:w="0" w:type="dxa"/>
            <w:left w:w="0" w:type="dxa"/>
            <w:bottom w:w="0" w:type="dxa"/>
            <w:right w:w="0" w:type="dxa"/>
          </w:tblCellMar>
        </w:tblPrEx>
        <w:trPr>
          <w:trHeight w:val="90" w:hRule="atLeast"/>
        </w:trPr>
        <w:tc>
          <w:tcPr>
            <w:tcW w:w="21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81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5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7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4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1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1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7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p>
    <w:p>
      <w:pPr>
        <w:pStyle w:val="2"/>
        <w:jc w:val="center"/>
      </w:pPr>
      <w:r>
        <w:rPr>
          <w:rFonts w:hint="eastAsia" w:ascii="华文中宋" w:hAnsi="华文中宋" w:eastAsia="华文中宋" w:cs="宋体"/>
          <w:color w:val="000000"/>
          <w:kern w:val="0"/>
          <w:sz w:val="32"/>
          <w:szCs w:val="32"/>
        </w:rPr>
        <w:t>支出决算表</w:t>
      </w:r>
    </w:p>
    <w:tbl>
      <w:tblPr>
        <w:tblW w:w="15720" w:type="dxa"/>
        <w:tblInd w:w="0" w:type="dxa"/>
        <w:shd w:val="clear"/>
        <w:tblLayout w:type="fixed"/>
        <w:tblCellMar>
          <w:top w:w="0" w:type="dxa"/>
          <w:left w:w="0" w:type="dxa"/>
          <w:bottom w:w="0" w:type="dxa"/>
          <w:right w:w="0" w:type="dxa"/>
        </w:tblCellMar>
      </w:tblPr>
      <w:tblGrid>
        <w:gridCol w:w="330"/>
        <w:gridCol w:w="330"/>
        <w:gridCol w:w="330"/>
        <w:gridCol w:w="4210"/>
        <w:gridCol w:w="1784"/>
        <w:gridCol w:w="1779"/>
        <w:gridCol w:w="1779"/>
        <w:gridCol w:w="1726"/>
        <w:gridCol w:w="1726"/>
        <w:gridCol w:w="1726"/>
      </w:tblGrid>
      <w:tr>
        <w:tblPrEx>
          <w:tblLayout w:type="fixed"/>
          <w:tblCellMar>
            <w:top w:w="0" w:type="dxa"/>
            <w:left w:w="0" w:type="dxa"/>
            <w:bottom w:w="0" w:type="dxa"/>
            <w:right w:w="0" w:type="dxa"/>
          </w:tblCellMar>
        </w:tblPrEx>
        <w:trPr>
          <w:trHeight w:val="300" w:hRule="atLeast"/>
        </w:trPr>
        <w:tc>
          <w:tcPr>
            <w:tcW w:w="990"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科目代码</w:t>
            </w:r>
          </w:p>
        </w:tc>
        <w:tc>
          <w:tcPr>
            <w:tcW w:w="4210" w:type="dxa"/>
            <w:vMerge w:val="restar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科目名称</w:t>
            </w:r>
          </w:p>
        </w:tc>
        <w:tc>
          <w:tcPr>
            <w:tcW w:w="1784"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本年支出合计</w:t>
            </w:r>
          </w:p>
        </w:tc>
        <w:tc>
          <w:tcPr>
            <w:tcW w:w="1779"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基本支出</w:t>
            </w:r>
          </w:p>
        </w:tc>
        <w:tc>
          <w:tcPr>
            <w:tcW w:w="1779"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项目支出</w:t>
            </w:r>
          </w:p>
        </w:tc>
        <w:tc>
          <w:tcPr>
            <w:tcW w:w="1726"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上缴上级支出</w:t>
            </w:r>
          </w:p>
        </w:tc>
        <w:tc>
          <w:tcPr>
            <w:tcW w:w="1726"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经营支出</w:t>
            </w:r>
          </w:p>
        </w:tc>
        <w:tc>
          <w:tcPr>
            <w:tcW w:w="1726"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对附属单位补助支出</w:t>
            </w:r>
          </w:p>
        </w:tc>
      </w:tr>
      <w:tr>
        <w:tblPrEx>
          <w:tblLayout w:type="fixed"/>
          <w:tblCellMar>
            <w:top w:w="0" w:type="dxa"/>
            <w:left w:w="0" w:type="dxa"/>
            <w:bottom w:w="0" w:type="dxa"/>
            <w:right w:w="0" w:type="dxa"/>
          </w:tblCellMar>
        </w:tblPrEx>
        <w:trPr>
          <w:trHeight w:val="300" w:hRule="atLeast"/>
        </w:trPr>
        <w:tc>
          <w:tcPr>
            <w:tcW w:w="99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210" w:type="dxa"/>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84"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79"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79"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26"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26"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26"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99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210" w:type="dxa"/>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84"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79"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79"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26"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26"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26"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99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210" w:type="dxa"/>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84"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79"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79"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26"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26"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26"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330" w:type="dxa"/>
            <w:vMerge w:val="restar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类</w:t>
            </w:r>
          </w:p>
        </w:tc>
        <w:tc>
          <w:tcPr>
            <w:tcW w:w="330" w:type="dxa"/>
            <w:vMerge w:val="restar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款</w:t>
            </w:r>
          </w:p>
        </w:tc>
        <w:tc>
          <w:tcPr>
            <w:tcW w:w="330" w:type="dxa"/>
            <w:vMerge w:val="restar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w:t>
            </w:r>
          </w:p>
        </w:tc>
        <w:tc>
          <w:tcPr>
            <w:tcW w:w="421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栏次</w:t>
            </w:r>
          </w:p>
        </w:tc>
        <w:tc>
          <w:tcPr>
            <w:tcW w:w="1784"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779"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779"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1726"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1726"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1726"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w:t>
            </w:r>
          </w:p>
        </w:tc>
      </w:tr>
      <w:tr>
        <w:tblPrEx>
          <w:tblLayout w:type="fixed"/>
          <w:tblCellMar>
            <w:top w:w="0" w:type="dxa"/>
            <w:left w:w="0" w:type="dxa"/>
            <w:bottom w:w="0" w:type="dxa"/>
            <w:right w:w="0" w:type="dxa"/>
          </w:tblCellMar>
        </w:tblPrEx>
        <w:trPr>
          <w:trHeight w:val="300" w:hRule="atLeast"/>
        </w:trPr>
        <w:tc>
          <w:tcPr>
            <w:tcW w:w="330" w:type="dxa"/>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30" w:type="dxa"/>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30" w:type="dxa"/>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21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合计</w:t>
            </w:r>
          </w:p>
        </w:tc>
        <w:tc>
          <w:tcPr>
            <w:tcW w:w="178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10,656,600.00</w:t>
            </w:r>
          </w:p>
        </w:tc>
        <w:tc>
          <w:tcPr>
            <w:tcW w:w="17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4,903,100.00</w:t>
            </w:r>
          </w:p>
        </w:tc>
        <w:tc>
          <w:tcPr>
            <w:tcW w:w="17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5,753,500.00</w:t>
            </w:r>
          </w:p>
        </w:tc>
        <w:tc>
          <w:tcPr>
            <w:tcW w:w="172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72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72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2010199</w:t>
            </w:r>
          </w:p>
        </w:tc>
        <w:tc>
          <w:tcPr>
            <w:tcW w:w="421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其他人大事务支出</w:t>
            </w:r>
          </w:p>
        </w:tc>
        <w:tc>
          <w:tcPr>
            <w:tcW w:w="178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71,300.00</w:t>
            </w:r>
          </w:p>
        </w:tc>
        <w:tc>
          <w:tcPr>
            <w:tcW w:w="17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71,300.00</w:t>
            </w:r>
          </w:p>
        </w:tc>
        <w:tc>
          <w:tcPr>
            <w:tcW w:w="172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2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2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2010301</w:t>
            </w:r>
          </w:p>
        </w:tc>
        <w:tc>
          <w:tcPr>
            <w:tcW w:w="421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行政运行</w:t>
            </w:r>
          </w:p>
        </w:tc>
        <w:tc>
          <w:tcPr>
            <w:tcW w:w="178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3,889,800.00</w:t>
            </w:r>
          </w:p>
        </w:tc>
        <w:tc>
          <w:tcPr>
            <w:tcW w:w="17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3,889,800.00</w:t>
            </w:r>
          </w:p>
        </w:tc>
        <w:tc>
          <w:tcPr>
            <w:tcW w:w="17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2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2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2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2010350</w:t>
            </w:r>
          </w:p>
        </w:tc>
        <w:tc>
          <w:tcPr>
            <w:tcW w:w="421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事业运行</w:t>
            </w:r>
          </w:p>
        </w:tc>
        <w:tc>
          <w:tcPr>
            <w:tcW w:w="178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100,000.00</w:t>
            </w:r>
          </w:p>
        </w:tc>
        <w:tc>
          <w:tcPr>
            <w:tcW w:w="17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100,000.00</w:t>
            </w:r>
          </w:p>
        </w:tc>
        <w:tc>
          <w:tcPr>
            <w:tcW w:w="17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2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2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2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2010399</w:t>
            </w:r>
          </w:p>
        </w:tc>
        <w:tc>
          <w:tcPr>
            <w:tcW w:w="421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其他政府办公厅（室）及相关机构事务支出</w:t>
            </w:r>
          </w:p>
        </w:tc>
        <w:tc>
          <w:tcPr>
            <w:tcW w:w="178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920,600.00</w:t>
            </w:r>
          </w:p>
        </w:tc>
        <w:tc>
          <w:tcPr>
            <w:tcW w:w="17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920,600.00</w:t>
            </w:r>
          </w:p>
        </w:tc>
        <w:tc>
          <w:tcPr>
            <w:tcW w:w="172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2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2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2011199</w:t>
            </w:r>
          </w:p>
        </w:tc>
        <w:tc>
          <w:tcPr>
            <w:tcW w:w="421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其他纪检监察事务支出</w:t>
            </w:r>
          </w:p>
        </w:tc>
        <w:tc>
          <w:tcPr>
            <w:tcW w:w="178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63,000.00</w:t>
            </w:r>
          </w:p>
        </w:tc>
        <w:tc>
          <w:tcPr>
            <w:tcW w:w="17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63,000.00</w:t>
            </w:r>
          </w:p>
        </w:tc>
        <w:tc>
          <w:tcPr>
            <w:tcW w:w="172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2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2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2013699</w:t>
            </w:r>
          </w:p>
        </w:tc>
        <w:tc>
          <w:tcPr>
            <w:tcW w:w="421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其他共产党事务支出</w:t>
            </w:r>
          </w:p>
        </w:tc>
        <w:tc>
          <w:tcPr>
            <w:tcW w:w="178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75,600.00</w:t>
            </w:r>
          </w:p>
        </w:tc>
        <w:tc>
          <w:tcPr>
            <w:tcW w:w="17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75,600.00</w:t>
            </w:r>
          </w:p>
        </w:tc>
        <w:tc>
          <w:tcPr>
            <w:tcW w:w="172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2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2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2080505</w:t>
            </w:r>
          </w:p>
        </w:tc>
        <w:tc>
          <w:tcPr>
            <w:tcW w:w="421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机关事业单位基本养老保险缴费支出</w:t>
            </w:r>
          </w:p>
        </w:tc>
        <w:tc>
          <w:tcPr>
            <w:tcW w:w="178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401,800.00</w:t>
            </w:r>
          </w:p>
        </w:tc>
        <w:tc>
          <w:tcPr>
            <w:tcW w:w="17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401,800.00</w:t>
            </w:r>
          </w:p>
        </w:tc>
        <w:tc>
          <w:tcPr>
            <w:tcW w:w="17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2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2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2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2101101</w:t>
            </w:r>
          </w:p>
        </w:tc>
        <w:tc>
          <w:tcPr>
            <w:tcW w:w="421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行政单位医疗</w:t>
            </w:r>
          </w:p>
        </w:tc>
        <w:tc>
          <w:tcPr>
            <w:tcW w:w="178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218,500.00</w:t>
            </w:r>
          </w:p>
        </w:tc>
        <w:tc>
          <w:tcPr>
            <w:tcW w:w="17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218,500.00</w:t>
            </w:r>
          </w:p>
        </w:tc>
        <w:tc>
          <w:tcPr>
            <w:tcW w:w="17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2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2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2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2130102</w:t>
            </w:r>
          </w:p>
        </w:tc>
        <w:tc>
          <w:tcPr>
            <w:tcW w:w="421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一般行政管理事务</w:t>
            </w:r>
          </w:p>
        </w:tc>
        <w:tc>
          <w:tcPr>
            <w:tcW w:w="178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4,583,000.00</w:t>
            </w:r>
          </w:p>
        </w:tc>
        <w:tc>
          <w:tcPr>
            <w:tcW w:w="17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4,583,000.00</w:t>
            </w:r>
          </w:p>
        </w:tc>
        <w:tc>
          <w:tcPr>
            <w:tcW w:w="172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2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2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tblLayout w:type="fixed"/>
          <w:tblCellMar>
            <w:top w:w="0" w:type="dxa"/>
            <w:left w:w="0" w:type="dxa"/>
            <w:bottom w:w="0" w:type="dxa"/>
            <w:right w:w="0"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2210201</w:t>
            </w:r>
          </w:p>
        </w:tc>
        <w:tc>
          <w:tcPr>
            <w:tcW w:w="421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住房公积金</w:t>
            </w:r>
          </w:p>
        </w:tc>
        <w:tc>
          <w:tcPr>
            <w:tcW w:w="178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293,000.00</w:t>
            </w:r>
          </w:p>
        </w:tc>
        <w:tc>
          <w:tcPr>
            <w:tcW w:w="17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293,000.00</w:t>
            </w:r>
          </w:p>
        </w:tc>
        <w:tc>
          <w:tcPr>
            <w:tcW w:w="17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2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2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2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2240699</w:t>
            </w:r>
          </w:p>
        </w:tc>
        <w:tc>
          <w:tcPr>
            <w:tcW w:w="421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其他自然灾害防治支出</w:t>
            </w:r>
          </w:p>
        </w:tc>
        <w:tc>
          <w:tcPr>
            <w:tcW w:w="178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40,000.00</w:t>
            </w:r>
          </w:p>
        </w:tc>
        <w:tc>
          <w:tcPr>
            <w:tcW w:w="17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40,000.00</w:t>
            </w:r>
          </w:p>
        </w:tc>
        <w:tc>
          <w:tcPr>
            <w:tcW w:w="172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2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2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bl>
    <w:p>
      <w:pPr>
        <w:widowControl/>
        <w:rPr>
          <w:rFonts w:ascii="Times New Roman" w:hAnsi="Times New Roman" w:eastAsia="方正小标宋_GBK" w:cs="Times New Roman"/>
          <w:color w:val="000000"/>
          <w:kern w:val="0"/>
          <w:sz w:val="36"/>
          <w:szCs w:val="36"/>
        </w:rPr>
      </w:pPr>
    </w:p>
    <w:p>
      <w:pPr>
        <w:widowControl/>
        <w:jc w:val="center"/>
        <w:rPr>
          <w:rFonts w:hint="eastAsia" w:ascii="华文中宋" w:hAnsi="华文中宋" w:eastAsia="华文中宋" w:cs="宋体"/>
          <w:color w:val="000000"/>
          <w:kern w:val="0"/>
          <w:sz w:val="32"/>
          <w:szCs w:val="32"/>
        </w:rPr>
      </w:pPr>
    </w:p>
    <w:p>
      <w:pPr>
        <w:widowControl/>
        <w:jc w:val="center"/>
        <w:rPr>
          <w:rFonts w:hint="eastAsia" w:ascii="华文中宋" w:hAnsi="华文中宋" w:eastAsia="华文中宋" w:cs="宋体"/>
          <w:color w:val="000000"/>
          <w:kern w:val="0"/>
          <w:sz w:val="32"/>
          <w:szCs w:val="32"/>
        </w:rPr>
      </w:pPr>
    </w:p>
    <w:p>
      <w:pPr>
        <w:widowControl/>
        <w:jc w:val="center"/>
        <w:rPr>
          <w:rFonts w:hint="eastAsia" w:ascii="华文中宋" w:hAnsi="华文中宋" w:eastAsia="华文中宋" w:cs="宋体"/>
          <w:color w:val="000000"/>
          <w:kern w:val="0"/>
          <w:sz w:val="32"/>
          <w:szCs w:val="32"/>
        </w:rPr>
      </w:pPr>
    </w:p>
    <w:p>
      <w:pPr>
        <w:widowControl/>
        <w:jc w:val="center"/>
        <w:rPr>
          <w:rFonts w:hint="eastAsia" w:ascii="华文中宋" w:hAnsi="华文中宋" w:eastAsia="华文中宋" w:cs="宋体"/>
          <w:color w:val="000000"/>
          <w:kern w:val="0"/>
          <w:sz w:val="32"/>
          <w:szCs w:val="32"/>
        </w:rPr>
      </w:pPr>
    </w:p>
    <w:p>
      <w:pPr>
        <w:widowControl/>
        <w:jc w:val="center"/>
        <w:rPr>
          <w:rFonts w:hint="eastAsia" w:ascii="华文中宋" w:hAnsi="华文中宋" w:eastAsia="华文中宋" w:cs="宋体"/>
          <w:color w:val="000000"/>
          <w:kern w:val="0"/>
          <w:sz w:val="32"/>
          <w:szCs w:val="32"/>
        </w:rPr>
      </w:pPr>
    </w:p>
    <w:p>
      <w:pPr>
        <w:widowControl/>
        <w:jc w:val="center"/>
        <w:rPr>
          <w:rFonts w:ascii="Times New Roman" w:hAnsi="Times New Roman" w:eastAsia="方正小标宋_GBK" w:cs="Times New Roman"/>
          <w:color w:val="000000"/>
          <w:kern w:val="0"/>
          <w:sz w:val="36"/>
          <w:szCs w:val="21"/>
        </w:rPr>
      </w:pPr>
      <w:r>
        <w:rPr>
          <w:rFonts w:hint="eastAsia" w:ascii="华文中宋" w:hAnsi="华文中宋" w:eastAsia="华文中宋" w:cs="宋体"/>
          <w:color w:val="000000"/>
          <w:kern w:val="0"/>
          <w:sz w:val="32"/>
          <w:szCs w:val="32"/>
        </w:rPr>
        <w:t>财政拨款收入支出决算总表</w:t>
      </w:r>
    </w:p>
    <w:tbl>
      <w:tblPr>
        <w:tblpPr w:leftFromText="180" w:rightFromText="180" w:vertAnchor="text" w:horzAnchor="page" w:tblpX="243" w:tblpY="897"/>
        <w:tblOverlap w:val="never"/>
        <w:tblW w:w="16590" w:type="dxa"/>
        <w:tblInd w:w="0" w:type="dxa"/>
        <w:shd w:val="clear"/>
        <w:tblLayout w:type="fixed"/>
        <w:tblCellMar>
          <w:top w:w="0" w:type="dxa"/>
          <w:left w:w="0" w:type="dxa"/>
          <w:bottom w:w="0" w:type="dxa"/>
          <w:right w:w="0" w:type="dxa"/>
        </w:tblCellMar>
      </w:tblPr>
      <w:tblGrid>
        <w:gridCol w:w="3270"/>
        <w:gridCol w:w="570"/>
        <w:gridCol w:w="1680"/>
        <w:gridCol w:w="4335"/>
        <w:gridCol w:w="509"/>
        <w:gridCol w:w="1811"/>
        <w:gridCol w:w="1947"/>
        <w:gridCol w:w="1197"/>
        <w:gridCol w:w="1271"/>
      </w:tblGrid>
      <w:tr>
        <w:tblPrEx>
          <w:shd w:val="clear"/>
          <w:tblLayout w:type="fixed"/>
          <w:tblCellMar>
            <w:top w:w="0" w:type="dxa"/>
            <w:left w:w="0" w:type="dxa"/>
            <w:bottom w:w="0" w:type="dxa"/>
            <w:right w:w="0" w:type="dxa"/>
          </w:tblCellMar>
        </w:tblPrEx>
        <w:trPr>
          <w:trHeight w:val="300" w:hRule="atLeast"/>
        </w:trPr>
        <w:tc>
          <w:tcPr>
            <w:tcW w:w="5520" w:type="dxa"/>
            <w:gridSpan w:val="3"/>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bookmarkStart w:id="4" w:name="RANGE!A1:F16"/>
            <w:r>
              <w:rPr>
                <w:rFonts w:hint="eastAsia" w:ascii="宋体" w:hAnsi="宋体" w:eastAsia="宋体" w:cs="宋体"/>
                <w:i w:val="0"/>
                <w:color w:val="000000"/>
                <w:kern w:val="0"/>
                <w:sz w:val="22"/>
                <w:szCs w:val="22"/>
                <w:u w:val="none"/>
                <w:bdr w:val="none" w:color="auto" w:sz="0" w:space="0"/>
                <w:lang w:val="en-US" w:eastAsia="zh-CN" w:bidi="ar"/>
              </w:rPr>
              <w:t>收     入</w:t>
            </w:r>
          </w:p>
        </w:tc>
        <w:tc>
          <w:tcPr>
            <w:tcW w:w="11070" w:type="dxa"/>
            <w:gridSpan w:val="6"/>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支     出</w:t>
            </w:r>
          </w:p>
        </w:tc>
      </w:tr>
      <w:tr>
        <w:tblPrEx>
          <w:tblLayout w:type="fixed"/>
          <w:tblCellMar>
            <w:top w:w="0" w:type="dxa"/>
            <w:left w:w="0" w:type="dxa"/>
            <w:bottom w:w="0" w:type="dxa"/>
            <w:right w:w="0" w:type="dxa"/>
          </w:tblCellMar>
        </w:tblPrEx>
        <w:trPr>
          <w:trHeight w:val="285" w:hRule="atLeast"/>
        </w:trPr>
        <w:tc>
          <w:tcPr>
            <w:tcW w:w="3270"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w:t>
            </w:r>
          </w:p>
        </w:tc>
        <w:tc>
          <w:tcPr>
            <w:tcW w:w="570"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行次</w:t>
            </w:r>
          </w:p>
        </w:tc>
        <w:tc>
          <w:tcPr>
            <w:tcW w:w="1680"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金额</w:t>
            </w:r>
          </w:p>
        </w:tc>
        <w:tc>
          <w:tcPr>
            <w:tcW w:w="4335"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w:t>
            </w:r>
          </w:p>
        </w:tc>
        <w:tc>
          <w:tcPr>
            <w:tcW w:w="509"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行次</w:t>
            </w:r>
          </w:p>
        </w:tc>
        <w:tc>
          <w:tcPr>
            <w:tcW w:w="1811" w:type="dxa"/>
            <w:vMerge w:val="restar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合计</w:t>
            </w:r>
          </w:p>
        </w:tc>
        <w:tc>
          <w:tcPr>
            <w:tcW w:w="1947"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一般公共预算财政拨款</w:t>
            </w:r>
          </w:p>
        </w:tc>
        <w:tc>
          <w:tcPr>
            <w:tcW w:w="1197"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政府性基金预算财政拨款</w:t>
            </w:r>
          </w:p>
        </w:tc>
        <w:tc>
          <w:tcPr>
            <w:tcW w:w="1271"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国有资本经营预算财政拨款</w:t>
            </w:r>
          </w:p>
        </w:tc>
      </w:tr>
      <w:tr>
        <w:tblPrEx>
          <w:shd w:val="clear"/>
          <w:tblLayout w:type="fixed"/>
          <w:tblCellMar>
            <w:top w:w="0" w:type="dxa"/>
            <w:left w:w="0" w:type="dxa"/>
            <w:bottom w:w="0" w:type="dxa"/>
            <w:right w:w="0" w:type="dxa"/>
          </w:tblCellMar>
        </w:tblPrEx>
        <w:trPr>
          <w:trHeight w:val="600" w:hRule="atLeast"/>
        </w:trPr>
        <w:tc>
          <w:tcPr>
            <w:tcW w:w="327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7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335"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09"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11" w:type="dxa"/>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47"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7"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71"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tblLayout w:type="fixed"/>
          <w:tblCellMar>
            <w:top w:w="0" w:type="dxa"/>
            <w:left w:w="0" w:type="dxa"/>
            <w:bottom w:w="0" w:type="dxa"/>
            <w:right w:w="0" w:type="dxa"/>
          </w:tblCellMar>
        </w:tblPrEx>
        <w:trPr>
          <w:trHeight w:val="300" w:hRule="atLeast"/>
        </w:trPr>
        <w:tc>
          <w:tcPr>
            <w:tcW w:w="32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栏次</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43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栏次</w:t>
            </w:r>
          </w:p>
        </w:tc>
        <w:tc>
          <w:tcPr>
            <w:tcW w:w="509"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11"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94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1197"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1271"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r>
      <w:tr>
        <w:tblPrEx>
          <w:tblLayout w:type="fixed"/>
          <w:tblCellMar>
            <w:top w:w="0" w:type="dxa"/>
            <w:left w:w="0" w:type="dxa"/>
            <w:bottom w:w="0" w:type="dxa"/>
            <w:right w:w="0" w:type="dxa"/>
          </w:tblCellMar>
        </w:tblPrEx>
        <w:trPr>
          <w:trHeight w:val="300" w:hRule="atLeast"/>
        </w:trPr>
        <w:tc>
          <w:tcPr>
            <w:tcW w:w="32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一、一般公共预算财政拨款</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6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10,656,600.00</w:t>
            </w:r>
          </w:p>
        </w:tc>
        <w:tc>
          <w:tcPr>
            <w:tcW w:w="43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一、一般公共服务支出</w:t>
            </w:r>
          </w:p>
        </w:tc>
        <w:tc>
          <w:tcPr>
            <w:tcW w:w="509"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w:t>
            </w:r>
          </w:p>
        </w:tc>
        <w:tc>
          <w:tcPr>
            <w:tcW w:w="181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5,120,300.00</w:t>
            </w:r>
          </w:p>
        </w:tc>
        <w:tc>
          <w:tcPr>
            <w:tcW w:w="194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5,120,300.00</w:t>
            </w:r>
          </w:p>
        </w:tc>
        <w:tc>
          <w:tcPr>
            <w:tcW w:w="119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tblLayout w:type="fixed"/>
          <w:tblCellMar>
            <w:top w:w="0" w:type="dxa"/>
            <w:left w:w="0" w:type="dxa"/>
            <w:bottom w:w="0" w:type="dxa"/>
            <w:right w:w="0" w:type="dxa"/>
          </w:tblCellMar>
        </w:tblPrEx>
        <w:trPr>
          <w:trHeight w:val="300" w:hRule="atLeast"/>
        </w:trPr>
        <w:tc>
          <w:tcPr>
            <w:tcW w:w="32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二、政府性基金预算财政拨款</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6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3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二、外交支出</w:t>
            </w:r>
          </w:p>
        </w:tc>
        <w:tc>
          <w:tcPr>
            <w:tcW w:w="509"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34</w:t>
            </w:r>
          </w:p>
        </w:tc>
        <w:tc>
          <w:tcPr>
            <w:tcW w:w="181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94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9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32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三、国有资本经营预算财政拨款</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16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3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三、国防支出</w:t>
            </w:r>
          </w:p>
        </w:tc>
        <w:tc>
          <w:tcPr>
            <w:tcW w:w="509"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35</w:t>
            </w:r>
          </w:p>
        </w:tc>
        <w:tc>
          <w:tcPr>
            <w:tcW w:w="181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94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9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tblLayout w:type="fixed"/>
          <w:tblCellMar>
            <w:top w:w="0" w:type="dxa"/>
            <w:left w:w="0" w:type="dxa"/>
            <w:bottom w:w="0" w:type="dxa"/>
            <w:right w:w="0" w:type="dxa"/>
          </w:tblCellMar>
        </w:tblPrEx>
        <w:trPr>
          <w:trHeight w:val="300" w:hRule="atLeast"/>
        </w:trPr>
        <w:tc>
          <w:tcPr>
            <w:tcW w:w="32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16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3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四、公共安全支出</w:t>
            </w:r>
          </w:p>
        </w:tc>
        <w:tc>
          <w:tcPr>
            <w:tcW w:w="509"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36</w:t>
            </w:r>
          </w:p>
        </w:tc>
        <w:tc>
          <w:tcPr>
            <w:tcW w:w="181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94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9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tblLayout w:type="fixed"/>
          <w:tblCellMar>
            <w:top w:w="0" w:type="dxa"/>
            <w:left w:w="0" w:type="dxa"/>
            <w:bottom w:w="0" w:type="dxa"/>
            <w:right w:w="0" w:type="dxa"/>
          </w:tblCellMar>
        </w:tblPrEx>
        <w:trPr>
          <w:trHeight w:val="300" w:hRule="atLeast"/>
        </w:trPr>
        <w:tc>
          <w:tcPr>
            <w:tcW w:w="32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16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3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五、教育支出</w:t>
            </w:r>
          </w:p>
        </w:tc>
        <w:tc>
          <w:tcPr>
            <w:tcW w:w="509"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37</w:t>
            </w:r>
          </w:p>
        </w:tc>
        <w:tc>
          <w:tcPr>
            <w:tcW w:w="181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94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9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tblLayout w:type="fixed"/>
          <w:tblCellMar>
            <w:top w:w="0" w:type="dxa"/>
            <w:left w:w="0" w:type="dxa"/>
            <w:bottom w:w="0" w:type="dxa"/>
            <w:right w:w="0" w:type="dxa"/>
          </w:tblCellMar>
        </w:tblPrEx>
        <w:trPr>
          <w:trHeight w:val="300" w:hRule="atLeast"/>
        </w:trPr>
        <w:tc>
          <w:tcPr>
            <w:tcW w:w="32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w:t>
            </w:r>
          </w:p>
        </w:tc>
        <w:tc>
          <w:tcPr>
            <w:tcW w:w="16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3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六、科学技术支出</w:t>
            </w:r>
          </w:p>
        </w:tc>
        <w:tc>
          <w:tcPr>
            <w:tcW w:w="509"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38</w:t>
            </w:r>
          </w:p>
        </w:tc>
        <w:tc>
          <w:tcPr>
            <w:tcW w:w="181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94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9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tblLayout w:type="fixed"/>
          <w:tblCellMar>
            <w:top w:w="0" w:type="dxa"/>
            <w:left w:w="0" w:type="dxa"/>
            <w:bottom w:w="0" w:type="dxa"/>
            <w:right w:w="0" w:type="dxa"/>
          </w:tblCellMar>
        </w:tblPrEx>
        <w:trPr>
          <w:trHeight w:val="300" w:hRule="atLeast"/>
        </w:trPr>
        <w:tc>
          <w:tcPr>
            <w:tcW w:w="32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w:t>
            </w:r>
          </w:p>
        </w:tc>
        <w:tc>
          <w:tcPr>
            <w:tcW w:w="16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3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七、文化旅游体育与传媒支出</w:t>
            </w:r>
          </w:p>
        </w:tc>
        <w:tc>
          <w:tcPr>
            <w:tcW w:w="509"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w:t>
            </w:r>
          </w:p>
        </w:tc>
        <w:tc>
          <w:tcPr>
            <w:tcW w:w="181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94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9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tblLayout w:type="fixed"/>
          <w:tblCellMar>
            <w:top w:w="0" w:type="dxa"/>
            <w:left w:w="0" w:type="dxa"/>
            <w:bottom w:w="0" w:type="dxa"/>
            <w:right w:w="0" w:type="dxa"/>
          </w:tblCellMar>
        </w:tblPrEx>
        <w:trPr>
          <w:trHeight w:val="300" w:hRule="atLeast"/>
        </w:trPr>
        <w:tc>
          <w:tcPr>
            <w:tcW w:w="32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w:t>
            </w:r>
          </w:p>
        </w:tc>
        <w:tc>
          <w:tcPr>
            <w:tcW w:w="16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3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八、社会保障和就业支出</w:t>
            </w:r>
          </w:p>
        </w:tc>
        <w:tc>
          <w:tcPr>
            <w:tcW w:w="509"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w:t>
            </w:r>
          </w:p>
        </w:tc>
        <w:tc>
          <w:tcPr>
            <w:tcW w:w="181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401,800.00</w:t>
            </w:r>
          </w:p>
        </w:tc>
        <w:tc>
          <w:tcPr>
            <w:tcW w:w="194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401,800.00</w:t>
            </w:r>
          </w:p>
        </w:tc>
        <w:tc>
          <w:tcPr>
            <w:tcW w:w="119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32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w:t>
            </w:r>
          </w:p>
        </w:tc>
        <w:tc>
          <w:tcPr>
            <w:tcW w:w="16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3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九、卫生健康支出</w:t>
            </w:r>
          </w:p>
        </w:tc>
        <w:tc>
          <w:tcPr>
            <w:tcW w:w="509"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41</w:t>
            </w:r>
          </w:p>
        </w:tc>
        <w:tc>
          <w:tcPr>
            <w:tcW w:w="181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218,500.00</w:t>
            </w:r>
          </w:p>
        </w:tc>
        <w:tc>
          <w:tcPr>
            <w:tcW w:w="194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218,500.00</w:t>
            </w:r>
          </w:p>
        </w:tc>
        <w:tc>
          <w:tcPr>
            <w:tcW w:w="119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tblLayout w:type="fixed"/>
          <w:tblCellMar>
            <w:top w:w="0" w:type="dxa"/>
            <w:left w:w="0" w:type="dxa"/>
            <w:bottom w:w="0" w:type="dxa"/>
            <w:right w:w="0" w:type="dxa"/>
          </w:tblCellMar>
        </w:tblPrEx>
        <w:trPr>
          <w:trHeight w:val="300" w:hRule="atLeast"/>
        </w:trPr>
        <w:tc>
          <w:tcPr>
            <w:tcW w:w="32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16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3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十、节能环保支出</w:t>
            </w:r>
          </w:p>
        </w:tc>
        <w:tc>
          <w:tcPr>
            <w:tcW w:w="509"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42</w:t>
            </w:r>
          </w:p>
        </w:tc>
        <w:tc>
          <w:tcPr>
            <w:tcW w:w="181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94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9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32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w:t>
            </w:r>
          </w:p>
        </w:tc>
        <w:tc>
          <w:tcPr>
            <w:tcW w:w="16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3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十一、城乡社区支出</w:t>
            </w:r>
          </w:p>
        </w:tc>
        <w:tc>
          <w:tcPr>
            <w:tcW w:w="509"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43</w:t>
            </w:r>
          </w:p>
        </w:tc>
        <w:tc>
          <w:tcPr>
            <w:tcW w:w="181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94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9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32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w:t>
            </w:r>
          </w:p>
        </w:tc>
        <w:tc>
          <w:tcPr>
            <w:tcW w:w="16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3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十二、农林水支出</w:t>
            </w:r>
          </w:p>
        </w:tc>
        <w:tc>
          <w:tcPr>
            <w:tcW w:w="509"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44</w:t>
            </w:r>
          </w:p>
        </w:tc>
        <w:tc>
          <w:tcPr>
            <w:tcW w:w="181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4,583,000.00</w:t>
            </w:r>
          </w:p>
        </w:tc>
        <w:tc>
          <w:tcPr>
            <w:tcW w:w="194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4,583,000.00</w:t>
            </w:r>
          </w:p>
        </w:tc>
        <w:tc>
          <w:tcPr>
            <w:tcW w:w="119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tblLayout w:type="fixed"/>
          <w:tblCellMar>
            <w:top w:w="0" w:type="dxa"/>
            <w:left w:w="0" w:type="dxa"/>
            <w:bottom w:w="0" w:type="dxa"/>
            <w:right w:w="0" w:type="dxa"/>
          </w:tblCellMar>
        </w:tblPrEx>
        <w:trPr>
          <w:trHeight w:val="300" w:hRule="atLeast"/>
        </w:trPr>
        <w:tc>
          <w:tcPr>
            <w:tcW w:w="32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w:t>
            </w:r>
          </w:p>
        </w:tc>
        <w:tc>
          <w:tcPr>
            <w:tcW w:w="16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3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十三、交通运输支出</w:t>
            </w:r>
          </w:p>
        </w:tc>
        <w:tc>
          <w:tcPr>
            <w:tcW w:w="509"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45</w:t>
            </w:r>
          </w:p>
        </w:tc>
        <w:tc>
          <w:tcPr>
            <w:tcW w:w="181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94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9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32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w:t>
            </w:r>
          </w:p>
        </w:tc>
        <w:tc>
          <w:tcPr>
            <w:tcW w:w="16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3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十四、资源勘探工业信息等支出</w:t>
            </w:r>
          </w:p>
        </w:tc>
        <w:tc>
          <w:tcPr>
            <w:tcW w:w="509"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46</w:t>
            </w:r>
          </w:p>
        </w:tc>
        <w:tc>
          <w:tcPr>
            <w:tcW w:w="181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94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9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tblLayout w:type="fixed"/>
          <w:tblCellMar>
            <w:top w:w="0" w:type="dxa"/>
            <w:left w:w="0" w:type="dxa"/>
            <w:bottom w:w="0" w:type="dxa"/>
            <w:right w:w="0" w:type="dxa"/>
          </w:tblCellMar>
        </w:tblPrEx>
        <w:trPr>
          <w:trHeight w:val="300" w:hRule="atLeast"/>
        </w:trPr>
        <w:tc>
          <w:tcPr>
            <w:tcW w:w="32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w:t>
            </w:r>
          </w:p>
        </w:tc>
        <w:tc>
          <w:tcPr>
            <w:tcW w:w="16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3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十五、商业服务业等支出</w:t>
            </w:r>
          </w:p>
        </w:tc>
        <w:tc>
          <w:tcPr>
            <w:tcW w:w="509"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47</w:t>
            </w:r>
          </w:p>
        </w:tc>
        <w:tc>
          <w:tcPr>
            <w:tcW w:w="181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94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9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tblLayout w:type="fixed"/>
          <w:tblCellMar>
            <w:top w:w="0" w:type="dxa"/>
            <w:left w:w="0" w:type="dxa"/>
            <w:bottom w:w="0" w:type="dxa"/>
            <w:right w:w="0" w:type="dxa"/>
          </w:tblCellMar>
        </w:tblPrEx>
        <w:trPr>
          <w:trHeight w:val="300" w:hRule="atLeast"/>
        </w:trPr>
        <w:tc>
          <w:tcPr>
            <w:tcW w:w="32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w:t>
            </w:r>
          </w:p>
        </w:tc>
        <w:tc>
          <w:tcPr>
            <w:tcW w:w="16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3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十六、金融支出</w:t>
            </w:r>
          </w:p>
        </w:tc>
        <w:tc>
          <w:tcPr>
            <w:tcW w:w="509"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48</w:t>
            </w:r>
          </w:p>
        </w:tc>
        <w:tc>
          <w:tcPr>
            <w:tcW w:w="181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94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9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32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w:t>
            </w:r>
          </w:p>
        </w:tc>
        <w:tc>
          <w:tcPr>
            <w:tcW w:w="16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3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十七、援助其他地区支出</w:t>
            </w:r>
          </w:p>
        </w:tc>
        <w:tc>
          <w:tcPr>
            <w:tcW w:w="509"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49</w:t>
            </w:r>
          </w:p>
        </w:tc>
        <w:tc>
          <w:tcPr>
            <w:tcW w:w="181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94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9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32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w:t>
            </w:r>
          </w:p>
        </w:tc>
        <w:tc>
          <w:tcPr>
            <w:tcW w:w="16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3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十八、自然资源海洋气象等支出</w:t>
            </w:r>
          </w:p>
        </w:tc>
        <w:tc>
          <w:tcPr>
            <w:tcW w:w="509"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w:t>
            </w:r>
          </w:p>
        </w:tc>
        <w:tc>
          <w:tcPr>
            <w:tcW w:w="181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94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9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32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w:t>
            </w:r>
          </w:p>
        </w:tc>
        <w:tc>
          <w:tcPr>
            <w:tcW w:w="16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3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十九、住房保障支出</w:t>
            </w:r>
          </w:p>
        </w:tc>
        <w:tc>
          <w:tcPr>
            <w:tcW w:w="509"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51</w:t>
            </w:r>
          </w:p>
        </w:tc>
        <w:tc>
          <w:tcPr>
            <w:tcW w:w="181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293,000.00</w:t>
            </w:r>
          </w:p>
        </w:tc>
        <w:tc>
          <w:tcPr>
            <w:tcW w:w="194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293,000.00</w:t>
            </w:r>
          </w:p>
        </w:tc>
        <w:tc>
          <w:tcPr>
            <w:tcW w:w="119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tblLayout w:type="fixed"/>
          <w:tblCellMar>
            <w:top w:w="0" w:type="dxa"/>
            <w:left w:w="0" w:type="dxa"/>
            <w:bottom w:w="0" w:type="dxa"/>
            <w:right w:w="0" w:type="dxa"/>
          </w:tblCellMar>
        </w:tblPrEx>
        <w:trPr>
          <w:trHeight w:val="300" w:hRule="atLeast"/>
        </w:trPr>
        <w:tc>
          <w:tcPr>
            <w:tcW w:w="32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w:t>
            </w:r>
          </w:p>
        </w:tc>
        <w:tc>
          <w:tcPr>
            <w:tcW w:w="16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3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二十、粮油物资储备支出</w:t>
            </w:r>
          </w:p>
        </w:tc>
        <w:tc>
          <w:tcPr>
            <w:tcW w:w="509"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52</w:t>
            </w:r>
          </w:p>
        </w:tc>
        <w:tc>
          <w:tcPr>
            <w:tcW w:w="181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94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9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32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w:t>
            </w:r>
          </w:p>
        </w:tc>
        <w:tc>
          <w:tcPr>
            <w:tcW w:w="16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3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二十一、国有资本经营预算支出</w:t>
            </w:r>
          </w:p>
        </w:tc>
        <w:tc>
          <w:tcPr>
            <w:tcW w:w="509"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53</w:t>
            </w:r>
          </w:p>
        </w:tc>
        <w:tc>
          <w:tcPr>
            <w:tcW w:w="181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94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9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32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w:t>
            </w:r>
          </w:p>
        </w:tc>
        <w:tc>
          <w:tcPr>
            <w:tcW w:w="16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3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二十二、灾害防治及应急管理支出</w:t>
            </w:r>
          </w:p>
        </w:tc>
        <w:tc>
          <w:tcPr>
            <w:tcW w:w="509"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54</w:t>
            </w:r>
          </w:p>
        </w:tc>
        <w:tc>
          <w:tcPr>
            <w:tcW w:w="181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40,000.00</w:t>
            </w:r>
          </w:p>
        </w:tc>
        <w:tc>
          <w:tcPr>
            <w:tcW w:w="194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40,000.00</w:t>
            </w:r>
          </w:p>
        </w:tc>
        <w:tc>
          <w:tcPr>
            <w:tcW w:w="119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32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w:t>
            </w:r>
          </w:p>
        </w:tc>
        <w:tc>
          <w:tcPr>
            <w:tcW w:w="16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3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二十三、其他支出</w:t>
            </w:r>
          </w:p>
        </w:tc>
        <w:tc>
          <w:tcPr>
            <w:tcW w:w="509"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55</w:t>
            </w:r>
          </w:p>
        </w:tc>
        <w:tc>
          <w:tcPr>
            <w:tcW w:w="181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94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9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tblLayout w:type="fixed"/>
          <w:tblCellMar>
            <w:top w:w="0" w:type="dxa"/>
            <w:left w:w="0" w:type="dxa"/>
            <w:bottom w:w="0" w:type="dxa"/>
            <w:right w:w="0" w:type="dxa"/>
          </w:tblCellMar>
        </w:tblPrEx>
        <w:trPr>
          <w:trHeight w:val="300" w:hRule="atLeast"/>
        </w:trPr>
        <w:tc>
          <w:tcPr>
            <w:tcW w:w="32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w:t>
            </w:r>
          </w:p>
        </w:tc>
        <w:tc>
          <w:tcPr>
            <w:tcW w:w="16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3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二十四、债务还本支出</w:t>
            </w:r>
          </w:p>
        </w:tc>
        <w:tc>
          <w:tcPr>
            <w:tcW w:w="509"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56</w:t>
            </w:r>
          </w:p>
        </w:tc>
        <w:tc>
          <w:tcPr>
            <w:tcW w:w="181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94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9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32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w:t>
            </w:r>
          </w:p>
        </w:tc>
        <w:tc>
          <w:tcPr>
            <w:tcW w:w="16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3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二十五、债务付息支出</w:t>
            </w:r>
          </w:p>
        </w:tc>
        <w:tc>
          <w:tcPr>
            <w:tcW w:w="509"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57</w:t>
            </w:r>
          </w:p>
        </w:tc>
        <w:tc>
          <w:tcPr>
            <w:tcW w:w="181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94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9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tblLayout w:type="fixed"/>
          <w:tblCellMar>
            <w:top w:w="0" w:type="dxa"/>
            <w:left w:w="0" w:type="dxa"/>
            <w:bottom w:w="0" w:type="dxa"/>
            <w:right w:w="0" w:type="dxa"/>
          </w:tblCellMar>
        </w:tblPrEx>
        <w:trPr>
          <w:trHeight w:val="300" w:hRule="atLeast"/>
        </w:trPr>
        <w:tc>
          <w:tcPr>
            <w:tcW w:w="32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w:t>
            </w:r>
          </w:p>
        </w:tc>
        <w:tc>
          <w:tcPr>
            <w:tcW w:w="16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3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二十六、抗疫特别国债安排的支出</w:t>
            </w:r>
          </w:p>
        </w:tc>
        <w:tc>
          <w:tcPr>
            <w:tcW w:w="509"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58</w:t>
            </w:r>
          </w:p>
        </w:tc>
        <w:tc>
          <w:tcPr>
            <w:tcW w:w="181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94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9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tblLayout w:type="fixed"/>
          <w:tblCellMar>
            <w:top w:w="0" w:type="dxa"/>
            <w:left w:w="0" w:type="dxa"/>
            <w:bottom w:w="0" w:type="dxa"/>
            <w:right w:w="0" w:type="dxa"/>
          </w:tblCellMar>
        </w:tblPrEx>
        <w:trPr>
          <w:trHeight w:val="300" w:hRule="atLeast"/>
        </w:trPr>
        <w:tc>
          <w:tcPr>
            <w:tcW w:w="32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本年收入合计</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w:t>
            </w:r>
          </w:p>
        </w:tc>
        <w:tc>
          <w:tcPr>
            <w:tcW w:w="16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10,656,600.00</w:t>
            </w:r>
          </w:p>
        </w:tc>
        <w:tc>
          <w:tcPr>
            <w:tcW w:w="43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本年支出合计</w:t>
            </w:r>
          </w:p>
        </w:tc>
        <w:tc>
          <w:tcPr>
            <w:tcW w:w="509"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59</w:t>
            </w:r>
          </w:p>
        </w:tc>
        <w:tc>
          <w:tcPr>
            <w:tcW w:w="181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10,656,600.00</w:t>
            </w:r>
          </w:p>
        </w:tc>
        <w:tc>
          <w:tcPr>
            <w:tcW w:w="194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10,656,600.00</w:t>
            </w:r>
          </w:p>
        </w:tc>
        <w:tc>
          <w:tcPr>
            <w:tcW w:w="119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32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年初结转和结余</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w:t>
            </w:r>
          </w:p>
        </w:tc>
        <w:tc>
          <w:tcPr>
            <w:tcW w:w="16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43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年末结转和结余</w:t>
            </w:r>
          </w:p>
        </w:tc>
        <w:tc>
          <w:tcPr>
            <w:tcW w:w="509"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60</w:t>
            </w:r>
          </w:p>
        </w:tc>
        <w:tc>
          <w:tcPr>
            <w:tcW w:w="181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94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9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tblLayout w:type="fixed"/>
          <w:tblCellMar>
            <w:top w:w="0" w:type="dxa"/>
            <w:left w:w="0" w:type="dxa"/>
            <w:bottom w:w="0" w:type="dxa"/>
            <w:right w:w="0" w:type="dxa"/>
          </w:tblCellMar>
        </w:tblPrEx>
        <w:trPr>
          <w:trHeight w:val="300" w:hRule="atLeast"/>
        </w:trPr>
        <w:tc>
          <w:tcPr>
            <w:tcW w:w="32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一般公共预算财政拨款</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w:t>
            </w:r>
          </w:p>
        </w:tc>
        <w:tc>
          <w:tcPr>
            <w:tcW w:w="16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43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09"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61</w:t>
            </w:r>
          </w:p>
        </w:tc>
        <w:tc>
          <w:tcPr>
            <w:tcW w:w="181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4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9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tblLayout w:type="fixed"/>
          <w:tblCellMar>
            <w:top w:w="0" w:type="dxa"/>
            <w:left w:w="0" w:type="dxa"/>
            <w:bottom w:w="0" w:type="dxa"/>
            <w:right w:w="0" w:type="dxa"/>
          </w:tblCellMar>
        </w:tblPrEx>
        <w:trPr>
          <w:trHeight w:val="300" w:hRule="atLeast"/>
        </w:trPr>
        <w:tc>
          <w:tcPr>
            <w:tcW w:w="32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政府性基金预算财政拨款</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w:t>
            </w:r>
          </w:p>
        </w:tc>
        <w:tc>
          <w:tcPr>
            <w:tcW w:w="16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3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09"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62</w:t>
            </w:r>
          </w:p>
        </w:tc>
        <w:tc>
          <w:tcPr>
            <w:tcW w:w="181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4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9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32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国有资本经营预算财政拨款</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w:t>
            </w:r>
          </w:p>
        </w:tc>
        <w:tc>
          <w:tcPr>
            <w:tcW w:w="16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3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09"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63</w:t>
            </w:r>
          </w:p>
        </w:tc>
        <w:tc>
          <w:tcPr>
            <w:tcW w:w="181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94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9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tblLayout w:type="fixed"/>
          <w:tblCellMar>
            <w:top w:w="0" w:type="dxa"/>
            <w:left w:w="0" w:type="dxa"/>
            <w:bottom w:w="0" w:type="dxa"/>
            <w:right w:w="0" w:type="dxa"/>
          </w:tblCellMar>
        </w:tblPrEx>
        <w:trPr>
          <w:trHeight w:val="300" w:hRule="atLeast"/>
        </w:trPr>
        <w:tc>
          <w:tcPr>
            <w:tcW w:w="32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总计</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w:t>
            </w:r>
          </w:p>
        </w:tc>
        <w:tc>
          <w:tcPr>
            <w:tcW w:w="16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10,656,600.00</w:t>
            </w:r>
          </w:p>
        </w:tc>
        <w:tc>
          <w:tcPr>
            <w:tcW w:w="43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总计</w:t>
            </w:r>
          </w:p>
        </w:tc>
        <w:tc>
          <w:tcPr>
            <w:tcW w:w="509"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64</w:t>
            </w:r>
          </w:p>
        </w:tc>
        <w:tc>
          <w:tcPr>
            <w:tcW w:w="181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10,656,600.00</w:t>
            </w:r>
          </w:p>
        </w:tc>
        <w:tc>
          <w:tcPr>
            <w:tcW w:w="194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10,656,600.00</w:t>
            </w:r>
          </w:p>
        </w:tc>
        <w:tc>
          <w:tcPr>
            <w:tcW w:w="119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bl>
    <w:p>
      <w:pPr>
        <w:widowControl/>
        <w:jc w:val="center"/>
        <w:rPr>
          <w:rFonts w:ascii="Times New Roman" w:hAnsi="Times New Roman" w:eastAsia="方正小标宋_GBK" w:cs="Times New Roman"/>
          <w:kern w:val="0"/>
          <w:sz w:val="36"/>
          <w:szCs w:val="36"/>
        </w:rPr>
      </w:pPr>
    </w:p>
    <w:p>
      <w:pPr>
        <w:pStyle w:val="2"/>
        <w:rPr>
          <w:rFonts w:ascii="Times New Roman" w:hAnsi="Times New Roman" w:eastAsia="方正小标宋_GBK" w:cs="Times New Roman"/>
          <w:kern w:val="0"/>
          <w:sz w:val="36"/>
          <w:szCs w:val="36"/>
        </w:rPr>
      </w:pPr>
    </w:p>
    <w:p>
      <w:pPr>
        <w:rPr>
          <w:rFonts w:ascii="Times New Roman" w:hAnsi="Times New Roman" w:eastAsia="方正小标宋_GBK" w:cs="Times New Roman"/>
          <w:kern w:val="0"/>
          <w:sz w:val="36"/>
          <w:szCs w:val="36"/>
        </w:rPr>
      </w:pPr>
    </w:p>
    <w:p>
      <w:pPr>
        <w:pStyle w:val="2"/>
        <w:rPr>
          <w:rFonts w:ascii="Times New Roman" w:hAnsi="Times New Roman" w:eastAsia="方正小标宋_GBK" w:cs="Times New Roman"/>
          <w:kern w:val="0"/>
          <w:sz w:val="36"/>
          <w:szCs w:val="36"/>
        </w:rPr>
      </w:pPr>
    </w:p>
    <w:p>
      <w:pPr>
        <w:rPr>
          <w:rFonts w:ascii="Times New Roman" w:hAnsi="Times New Roman" w:eastAsia="方正小标宋_GBK" w:cs="Times New Roman"/>
          <w:kern w:val="0"/>
          <w:sz w:val="36"/>
          <w:szCs w:val="36"/>
        </w:rPr>
      </w:pPr>
    </w:p>
    <w:p>
      <w:pPr>
        <w:pStyle w:val="2"/>
        <w:rPr>
          <w:rFonts w:ascii="Times New Roman" w:hAnsi="Times New Roman" w:eastAsia="方正小标宋_GBK" w:cs="Times New Roman"/>
          <w:kern w:val="0"/>
          <w:sz w:val="36"/>
          <w:szCs w:val="36"/>
        </w:rPr>
      </w:pPr>
    </w:p>
    <w:p>
      <w:pPr>
        <w:rPr>
          <w:rFonts w:ascii="Times New Roman" w:hAnsi="Times New Roman" w:eastAsia="方正小标宋_GBK" w:cs="Times New Roman"/>
          <w:kern w:val="0"/>
          <w:sz w:val="36"/>
          <w:szCs w:val="36"/>
        </w:rPr>
      </w:pPr>
    </w:p>
    <w:p>
      <w:pPr>
        <w:pStyle w:val="2"/>
        <w:rPr>
          <w:rFonts w:ascii="Times New Roman" w:hAnsi="Times New Roman" w:eastAsia="方正小标宋_GBK" w:cs="Times New Roman"/>
          <w:kern w:val="0"/>
          <w:sz w:val="36"/>
          <w:szCs w:val="36"/>
        </w:rPr>
      </w:pPr>
    </w:p>
    <w:p>
      <w:pPr>
        <w:rPr>
          <w:rFonts w:ascii="Times New Roman" w:hAnsi="Times New Roman" w:eastAsia="方正小标宋_GBK" w:cs="Times New Roman"/>
          <w:kern w:val="0"/>
          <w:sz w:val="36"/>
          <w:szCs w:val="36"/>
        </w:rPr>
      </w:pPr>
    </w:p>
    <w:p>
      <w:pPr>
        <w:pStyle w:val="2"/>
        <w:rPr>
          <w:rFonts w:hint="eastAsia" w:eastAsia="方正小标宋_GBK"/>
          <w:lang w:eastAsia="zh-CN"/>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p>
    <w:tbl>
      <w:tblPr>
        <w:tblW w:w="26221" w:type="dxa"/>
        <w:tblInd w:w="0" w:type="dxa"/>
        <w:shd w:val="clear"/>
        <w:tblLayout w:type="fixed"/>
        <w:tblCellMar>
          <w:top w:w="0" w:type="dxa"/>
          <w:left w:w="0" w:type="dxa"/>
          <w:bottom w:w="0" w:type="dxa"/>
          <w:right w:w="0" w:type="dxa"/>
        </w:tblCellMar>
      </w:tblPr>
      <w:tblGrid>
        <w:gridCol w:w="323"/>
        <w:gridCol w:w="323"/>
        <w:gridCol w:w="324"/>
        <w:gridCol w:w="4210"/>
        <w:gridCol w:w="1569"/>
        <w:gridCol w:w="1569"/>
        <w:gridCol w:w="1569"/>
        <w:gridCol w:w="1661"/>
        <w:gridCol w:w="1759"/>
        <w:gridCol w:w="1759"/>
        <w:gridCol w:w="1661"/>
        <w:gridCol w:w="1651"/>
        <w:gridCol w:w="1651"/>
        <w:gridCol w:w="1548"/>
        <w:gridCol w:w="1548"/>
        <w:gridCol w:w="1548"/>
        <w:gridCol w:w="1548"/>
      </w:tblGrid>
      <w:tr>
        <w:tblPrEx>
          <w:tblLayout w:type="fixed"/>
          <w:tblCellMar>
            <w:top w:w="0" w:type="dxa"/>
            <w:left w:w="0" w:type="dxa"/>
            <w:bottom w:w="0" w:type="dxa"/>
            <w:right w:w="0" w:type="dxa"/>
          </w:tblCellMar>
        </w:tblPrEx>
        <w:trPr>
          <w:trHeight w:val="300" w:hRule="atLeast"/>
        </w:trPr>
        <w:tc>
          <w:tcPr>
            <w:tcW w:w="970"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科目代码</w:t>
            </w:r>
          </w:p>
        </w:tc>
        <w:tc>
          <w:tcPr>
            <w:tcW w:w="4210"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科目名称</w:t>
            </w:r>
          </w:p>
        </w:tc>
        <w:tc>
          <w:tcPr>
            <w:tcW w:w="4707" w:type="dxa"/>
            <w:gridSpan w:val="3"/>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年初结转和结余</w:t>
            </w:r>
          </w:p>
        </w:tc>
        <w:tc>
          <w:tcPr>
            <w:tcW w:w="5179" w:type="dxa"/>
            <w:gridSpan w:val="3"/>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本年收入</w:t>
            </w:r>
          </w:p>
        </w:tc>
        <w:tc>
          <w:tcPr>
            <w:tcW w:w="4963" w:type="dxa"/>
            <w:gridSpan w:val="3"/>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本年支出</w:t>
            </w:r>
          </w:p>
        </w:tc>
        <w:tc>
          <w:tcPr>
            <w:tcW w:w="6192" w:type="dxa"/>
            <w:gridSpan w:val="4"/>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年末结转和结余</w:t>
            </w:r>
          </w:p>
        </w:tc>
      </w:tr>
      <w:tr>
        <w:tblPrEx>
          <w:tblLayout w:type="fixed"/>
          <w:tblCellMar>
            <w:top w:w="0" w:type="dxa"/>
            <w:left w:w="0" w:type="dxa"/>
            <w:bottom w:w="0" w:type="dxa"/>
            <w:right w:w="0" w:type="dxa"/>
          </w:tblCellMar>
        </w:tblPrEx>
        <w:trPr>
          <w:trHeight w:val="300" w:hRule="atLeast"/>
        </w:trPr>
        <w:tc>
          <w:tcPr>
            <w:tcW w:w="97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21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69"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合计</w:t>
            </w:r>
          </w:p>
        </w:tc>
        <w:tc>
          <w:tcPr>
            <w:tcW w:w="1569"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基本支出结转</w:t>
            </w:r>
          </w:p>
        </w:tc>
        <w:tc>
          <w:tcPr>
            <w:tcW w:w="1569"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项目支出结转和结余</w:t>
            </w:r>
          </w:p>
        </w:tc>
        <w:tc>
          <w:tcPr>
            <w:tcW w:w="1661"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合计</w:t>
            </w:r>
          </w:p>
        </w:tc>
        <w:tc>
          <w:tcPr>
            <w:tcW w:w="1759"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基本支出</w:t>
            </w:r>
          </w:p>
        </w:tc>
        <w:tc>
          <w:tcPr>
            <w:tcW w:w="1759"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项目支出</w:t>
            </w:r>
          </w:p>
        </w:tc>
        <w:tc>
          <w:tcPr>
            <w:tcW w:w="1661"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合计</w:t>
            </w:r>
          </w:p>
        </w:tc>
        <w:tc>
          <w:tcPr>
            <w:tcW w:w="1651"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基本支出</w:t>
            </w:r>
          </w:p>
        </w:tc>
        <w:tc>
          <w:tcPr>
            <w:tcW w:w="1651"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项目支出</w:t>
            </w:r>
          </w:p>
        </w:tc>
        <w:tc>
          <w:tcPr>
            <w:tcW w:w="1548"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合计</w:t>
            </w:r>
          </w:p>
        </w:tc>
        <w:tc>
          <w:tcPr>
            <w:tcW w:w="1548"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基本支出结转</w:t>
            </w:r>
          </w:p>
        </w:tc>
        <w:tc>
          <w:tcPr>
            <w:tcW w:w="3096" w:type="dxa"/>
            <w:gridSpan w:val="2"/>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项目支出结转和结余</w:t>
            </w:r>
          </w:p>
        </w:tc>
      </w:tr>
      <w:tr>
        <w:tblPrEx>
          <w:tblLayout w:type="fixed"/>
          <w:tblCellMar>
            <w:top w:w="0" w:type="dxa"/>
            <w:left w:w="0" w:type="dxa"/>
            <w:bottom w:w="0" w:type="dxa"/>
            <w:right w:w="0" w:type="dxa"/>
          </w:tblCellMar>
        </w:tblPrEx>
        <w:trPr>
          <w:trHeight w:val="270" w:hRule="atLeast"/>
        </w:trPr>
        <w:tc>
          <w:tcPr>
            <w:tcW w:w="97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21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69"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69"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69"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61"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9"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9"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61"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51"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51"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8"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8"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8"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项目支出结转</w:t>
            </w:r>
          </w:p>
        </w:tc>
        <w:tc>
          <w:tcPr>
            <w:tcW w:w="1548"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项目支出结余</w:t>
            </w:r>
          </w:p>
        </w:tc>
      </w:tr>
      <w:tr>
        <w:tblPrEx>
          <w:shd w:val="clear"/>
          <w:tblLayout w:type="fixed"/>
          <w:tblCellMar>
            <w:top w:w="0" w:type="dxa"/>
            <w:left w:w="0" w:type="dxa"/>
            <w:bottom w:w="0" w:type="dxa"/>
            <w:right w:w="0" w:type="dxa"/>
          </w:tblCellMar>
        </w:tblPrEx>
        <w:trPr>
          <w:trHeight w:val="600" w:hRule="atLeast"/>
        </w:trPr>
        <w:tc>
          <w:tcPr>
            <w:tcW w:w="97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21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69"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69"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69"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61"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9"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9"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61"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51"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51"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8"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8"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8"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8"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tblLayout w:type="fixed"/>
          <w:tblCellMar>
            <w:top w:w="0" w:type="dxa"/>
            <w:left w:w="0" w:type="dxa"/>
            <w:bottom w:w="0" w:type="dxa"/>
            <w:right w:w="0" w:type="dxa"/>
          </w:tblCellMar>
        </w:tblPrEx>
        <w:trPr>
          <w:trHeight w:val="300" w:hRule="atLeast"/>
        </w:trPr>
        <w:tc>
          <w:tcPr>
            <w:tcW w:w="323"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类</w:t>
            </w:r>
          </w:p>
        </w:tc>
        <w:tc>
          <w:tcPr>
            <w:tcW w:w="323"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款</w:t>
            </w:r>
          </w:p>
        </w:tc>
        <w:tc>
          <w:tcPr>
            <w:tcW w:w="324"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w:t>
            </w:r>
          </w:p>
        </w:tc>
        <w:tc>
          <w:tcPr>
            <w:tcW w:w="4210"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栏次</w:t>
            </w:r>
          </w:p>
        </w:tc>
        <w:tc>
          <w:tcPr>
            <w:tcW w:w="1569"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569"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569"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1661"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1759"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1759"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w:t>
            </w:r>
          </w:p>
        </w:tc>
        <w:tc>
          <w:tcPr>
            <w:tcW w:w="1661"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w:t>
            </w:r>
          </w:p>
        </w:tc>
        <w:tc>
          <w:tcPr>
            <w:tcW w:w="1651"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w:t>
            </w:r>
          </w:p>
        </w:tc>
        <w:tc>
          <w:tcPr>
            <w:tcW w:w="1651"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w:t>
            </w:r>
          </w:p>
        </w:tc>
        <w:tc>
          <w:tcPr>
            <w:tcW w:w="1548"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1548"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w:t>
            </w:r>
          </w:p>
        </w:tc>
        <w:tc>
          <w:tcPr>
            <w:tcW w:w="1548"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w:t>
            </w:r>
          </w:p>
        </w:tc>
        <w:tc>
          <w:tcPr>
            <w:tcW w:w="1548"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w:t>
            </w:r>
          </w:p>
        </w:tc>
      </w:tr>
      <w:tr>
        <w:tblPrEx>
          <w:tblLayout w:type="fixed"/>
          <w:tblCellMar>
            <w:top w:w="0" w:type="dxa"/>
            <w:left w:w="0" w:type="dxa"/>
            <w:bottom w:w="0" w:type="dxa"/>
            <w:right w:w="0" w:type="dxa"/>
          </w:tblCellMar>
        </w:tblPrEx>
        <w:trPr>
          <w:trHeight w:val="300" w:hRule="atLeast"/>
        </w:trPr>
        <w:tc>
          <w:tcPr>
            <w:tcW w:w="323"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23"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24"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210"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合计</w:t>
            </w: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0.00</w:t>
            </w: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0.00</w:t>
            </w: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0.00</w:t>
            </w:r>
          </w:p>
        </w:tc>
        <w:tc>
          <w:tcPr>
            <w:tcW w:w="166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10,656,600.00</w:t>
            </w:r>
          </w:p>
        </w:tc>
        <w:tc>
          <w:tcPr>
            <w:tcW w:w="175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4,903,100.00</w:t>
            </w:r>
          </w:p>
        </w:tc>
        <w:tc>
          <w:tcPr>
            <w:tcW w:w="175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5,753,500.00</w:t>
            </w:r>
          </w:p>
        </w:tc>
        <w:tc>
          <w:tcPr>
            <w:tcW w:w="166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10,656,600.00</w:t>
            </w:r>
          </w:p>
        </w:tc>
        <w:tc>
          <w:tcPr>
            <w:tcW w:w="165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4,903,100.00</w:t>
            </w:r>
          </w:p>
        </w:tc>
        <w:tc>
          <w:tcPr>
            <w:tcW w:w="165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5,753,500.00</w:t>
            </w:r>
          </w:p>
        </w:tc>
        <w:tc>
          <w:tcPr>
            <w:tcW w:w="154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54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54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54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shd w:val="clear"/>
          <w:tblLayout w:type="fixed"/>
          <w:tblCellMar>
            <w:top w:w="0" w:type="dxa"/>
            <w:left w:w="0" w:type="dxa"/>
            <w:bottom w:w="0" w:type="dxa"/>
            <w:right w:w="0" w:type="dxa"/>
          </w:tblCellMar>
        </w:tblPrEx>
        <w:trPr>
          <w:trHeight w:val="300" w:hRule="atLeast"/>
        </w:trPr>
        <w:tc>
          <w:tcPr>
            <w:tcW w:w="97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2010199</w:t>
            </w:r>
          </w:p>
        </w:tc>
        <w:tc>
          <w:tcPr>
            <w:tcW w:w="421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其他人大事务支出</w:t>
            </w: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166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71,300.00</w:t>
            </w:r>
          </w:p>
        </w:tc>
        <w:tc>
          <w:tcPr>
            <w:tcW w:w="175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5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71,300.00</w:t>
            </w:r>
          </w:p>
        </w:tc>
        <w:tc>
          <w:tcPr>
            <w:tcW w:w="166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71,300.00</w:t>
            </w:r>
          </w:p>
        </w:tc>
        <w:tc>
          <w:tcPr>
            <w:tcW w:w="165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5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71,300.00</w:t>
            </w:r>
          </w:p>
        </w:tc>
        <w:tc>
          <w:tcPr>
            <w:tcW w:w="154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4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4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4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97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2010301</w:t>
            </w:r>
          </w:p>
        </w:tc>
        <w:tc>
          <w:tcPr>
            <w:tcW w:w="421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行政运行</w:t>
            </w: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166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3,889,800.00</w:t>
            </w:r>
          </w:p>
        </w:tc>
        <w:tc>
          <w:tcPr>
            <w:tcW w:w="175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3,889,800.00</w:t>
            </w:r>
          </w:p>
        </w:tc>
        <w:tc>
          <w:tcPr>
            <w:tcW w:w="175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6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3,889,800.00</w:t>
            </w:r>
          </w:p>
        </w:tc>
        <w:tc>
          <w:tcPr>
            <w:tcW w:w="165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3,889,800.00</w:t>
            </w:r>
          </w:p>
        </w:tc>
        <w:tc>
          <w:tcPr>
            <w:tcW w:w="165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4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4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4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4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tblLayout w:type="fixed"/>
          <w:tblCellMar>
            <w:top w:w="0" w:type="dxa"/>
            <w:left w:w="0" w:type="dxa"/>
            <w:bottom w:w="0" w:type="dxa"/>
            <w:right w:w="0" w:type="dxa"/>
          </w:tblCellMar>
        </w:tblPrEx>
        <w:trPr>
          <w:trHeight w:val="300" w:hRule="atLeast"/>
        </w:trPr>
        <w:tc>
          <w:tcPr>
            <w:tcW w:w="97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2010350</w:t>
            </w:r>
          </w:p>
        </w:tc>
        <w:tc>
          <w:tcPr>
            <w:tcW w:w="421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事业运行</w:t>
            </w: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6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100,000.00</w:t>
            </w:r>
          </w:p>
        </w:tc>
        <w:tc>
          <w:tcPr>
            <w:tcW w:w="175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100,000.00</w:t>
            </w:r>
          </w:p>
        </w:tc>
        <w:tc>
          <w:tcPr>
            <w:tcW w:w="175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6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100,000.00</w:t>
            </w:r>
          </w:p>
        </w:tc>
        <w:tc>
          <w:tcPr>
            <w:tcW w:w="165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100,000.00</w:t>
            </w:r>
          </w:p>
        </w:tc>
        <w:tc>
          <w:tcPr>
            <w:tcW w:w="165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4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4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4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4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tblLayout w:type="fixed"/>
          <w:tblCellMar>
            <w:top w:w="0" w:type="dxa"/>
            <w:left w:w="0" w:type="dxa"/>
            <w:bottom w:w="0" w:type="dxa"/>
            <w:right w:w="0" w:type="dxa"/>
          </w:tblCellMar>
        </w:tblPrEx>
        <w:trPr>
          <w:trHeight w:val="300" w:hRule="atLeast"/>
        </w:trPr>
        <w:tc>
          <w:tcPr>
            <w:tcW w:w="97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2010399</w:t>
            </w:r>
          </w:p>
        </w:tc>
        <w:tc>
          <w:tcPr>
            <w:tcW w:w="421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其他政府办公厅（室）及相关机构事务支出</w:t>
            </w: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166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920,600.00</w:t>
            </w:r>
          </w:p>
        </w:tc>
        <w:tc>
          <w:tcPr>
            <w:tcW w:w="175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5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920,600.00</w:t>
            </w:r>
          </w:p>
        </w:tc>
        <w:tc>
          <w:tcPr>
            <w:tcW w:w="166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920,600.00</w:t>
            </w:r>
          </w:p>
        </w:tc>
        <w:tc>
          <w:tcPr>
            <w:tcW w:w="165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5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920,600.00</w:t>
            </w:r>
          </w:p>
        </w:tc>
        <w:tc>
          <w:tcPr>
            <w:tcW w:w="154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4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4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4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tblLayout w:type="fixed"/>
          <w:tblCellMar>
            <w:top w:w="0" w:type="dxa"/>
            <w:left w:w="0" w:type="dxa"/>
            <w:bottom w:w="0" w:type="dxa"/>
            <w:right w:w="0" w:type="dxa"/>
          </w:tblCellMar>
        </w:tblPrEx>
        <w:trPr>
          <w:trHeight w:val="300" w:hRule="atLeast"/>
        </w:trPr>
        <w:tc>
          <w:tcPr>
            <w:tcW w:w="97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2011199</w:t>
            </w:r>
          </w:p>
        </w:tc>
        <w:tc>
          <w:tcPr>
            <w:tcW w:w="421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其他纪检监察事务支出</w:t>
            </w: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6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63,000.00</w:t>
            </w:r>
          </w:p>
        </w:tc>
        <w:tc>
          <w:tcPr>
            <w:tcW w:w="175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5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63,000.00</w:t>
            </w:r>
          </w:p>
        </w:tc>
        <w:tc>
          <w:tcPr>
            <w:tcW w:w="166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63,000.00</w:t>
            </w:r>
          </w:p>
        </w:tc>
        <w:tc>
          <w:tcPr>
            <w:tcW w:w="165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5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63,000.00</w:t>
            </w:r>
          </w:p>
        </w:tc>
        <w:tc>
          <w:tcPr>
            <w:tcW w:w="154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4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4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4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97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2013699</w:t>
            </w:r>
          </w:p>
        </w:tc>
        <w:tc>
          <w:tcPr>
            <w:tcW w:w="421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其他共产党事务支出</w:t>
            </w: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6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75,600.00</w:t>
            </w:r>
          </w:p>
        </w:tc>
        <w:tc>
          <w:tcPr>
            <w:tcW w:w="175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5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75,600.00</w:t>
            </w:r>
          </w:p>
        </w:tc>
        <w:tc>
          <w:tcPr>
            <w:tcW w:w="166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75,600.00</w:t>
            </w:r>
          </w:p>
        </w:tc>
        <w:tc>
          <w:tcPr>
            <w:tcW w:w="165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5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75,600.00</w:t>
            </w:r>
          </w:p>
        </w:tc>
        <w:tc>
          <w:tcPr>
            <w:tcW w:w="154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4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4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4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tblLayout w:type="fixed"/>
          <w:tblCellMar>
            <w:top w:w="0" w:type="dxa"/>
            <w:left w:w="0" w:type="dxa"/>
            <w:bottom w:w="0" w:type="dxa"/>
            <w:right w:w="0" w:type="dxa"/>
          </w:tblCellMar>
        </w:tblPrEx>
        <w:trPr>
          <w:trHeight w:val="300" w:hRule="atLeast"/>
        </w:trPr>
        <w:tc>
          <w:tcPr>
            <w:tcW w:w="97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2080505</w:t>
            </w:r>
          </w:p>
        </w:tc>
        <w:tc>
          <w:tcPr>
            <w:tcW w:w="421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机关事业单位基本养老保险缴费支出</w:t>
            </w: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166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401,800.00</w:t>
            </w:r>
          </w:p>
        </w:tc>
        <w:tc>
          <w:tcPr>
            <w:tcW w:w="175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401,800.00</w:t>
            </w:r>
          </w:p>
        </w:tc>
        <w:tc>
          <w:tcPr>
            <w:tcW w:w="175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6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401,800.00</w:t>
            </w:r>
          </w:p>
        </w:tc>
        <w:tc>
          <w:tcPr>
            <w:tcW w:w="165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401,800.00</w:t>
            </w:r>
          </w:p>
        </w:tc>
        <w:tc>
          <w:tcPr>
            <w:tcW w:w="165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4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4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4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4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tblLayout w:type="fixed"/>
          <w:tblCellMar>
            <w:top w:w="0" w:type="dxa"/>
            <w:left w:w="0" w:type="dxa"/>
            <w:bottom w:w="0" w:type="dxa"/>
            <w:right w:w="0" w:type="dxa"/>
          </w:tblCellMar>
        </w:tblPrEx>
        <w:trPr>
          <w:trHeight w:val="300" w:hRule="atLeast"/>
        </w:trPr>
        <w:tc>
          <w:tcPr>
            <w:tcW w:w="97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2101101</w:t>
            </w:r>
          </w:p>
        </w:tc>
        <w:tc>
          <w:tcPr>
            <w:tcW w:w="421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行政单位医疗</w:t>
            </w: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166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218,500.00</w:t>
            </w:r>
          </w:p>
        </w:tc>
        <w:tc>
          <w:tcPr>
            <w:tcW w:w="175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218,500.00</w:t>
            </w:r>
          </w:p>
        </w:tc>
        <w:tc>
          <w:tcPr>
            <w:tcW w:w="175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6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218,500.00</w:t>
            </w:r>
          </w:p>
        </w:tc>
        <w:tc>
          <w:tcPr>
            <w:tcW w:w="165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218,500.00</w:t>
            </w:r>
          </w:p>
        </w:tc>
        <w:tc>
          <w:tcPr>
            <w:tcW w:w="165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4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4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4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4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tblLayout w:type="fixed"/>
          <w:tblCellMar>
            <w:top w:w="0" w:type="dxa"/>
            <w:left w:w="0" w:type="dxa"/>
            <w:bottom w:w="0" w:type="dxa"/>
            <w:right w:w="0" w:type="dxa"/>
          </w:tblCellMar>
        </w:tblPrEx>
        <w:trPr>
          <w:trHeight w:val="300" w:hRule="atLeast"/>
        </w:trPr>
        <w:tc>
          <w:tcPr>
            <w:tcW w:w="97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2130102</w:t>
            </w:r>
          </w:p>
        </w:tc>
        <w:tc>
          <w:tcPr>
            <w:tcW w:w="421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一般行政管理事务</w:t>
            </w: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6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4,583,000.00</w:t>
            </w:r>
          </w:p>
        </w:tc>
        <w:tc>
          <w:tcPr>
            <w:tcW w:w="175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5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4,583,000.00</w:t>
            </w:r>
          </w:p>
        </w:tc>
        <w:tc>
          <w:tcPr>
            <w:tcW w:w="166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4,583,000.00</w:t>
            </w:r>
          </w:p>
        </w:tc>
        <w:tc>
          <w:tcPr>
            <w:tcW w:w="165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5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4,583,000.00</w:t>
            </w:r>
          </w:p>
        </w:tc>
        <w:tc>
          <w:tcPr>
            <w:tcW w:w="154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4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4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4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97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2210201</w:t>
            </w:r>
          </w:p>
        </w:tc>
        <w:tc>
          <w:tcPr>
            <w:tcW w:w="421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住房公积金</w:t>
            </w: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166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293,000.00</w:t>
            </w:r>
          </w:p>
        </w:tc>
        <w:tc>
          <w:tcPr>
            <w:tcW w:w="175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293,000.00</w:t>
            </w:r>
          </w:p>
        </w:tc>
        <w:tc>
          <w:tcPr>
            <w:tcW w:w="175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6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293,000.00</w:t>
            </w:r>
          </w:p>
        </w:tc>
        <w:tc>
          <w:tcPr>
            <w:tcW w:w="165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293,000.00</w:t>
            </w:r>
          </w:p>
        </w:tc>
        <w:tc>
          <w:tcPr>
            <w:tcW w:w="165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4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4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4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4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97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2240699</w:t>
            </w:r>
          </w:p>
        </w:tc>
        <w:tc>
          <w:tcPr>
            <w:tcW w:w="421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其他自然灾害防治支出</w:t>
            </w: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6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40,000.00</w:t>
            </w:r>
          </w:p>
        </w:tc>
        <w:tc>
          <w:tcPr>
            <w:tcW w:w="175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5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40,000.00</w:t>
            </w:r>
          </w:p>
        </w:tc>
        <w:tc>
          <w:tcPr>
            <w:tcW w:w="166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40,000.00</w:t>
            </w:r>
          </w:p>
        </w:tc>
        <w:tc>
          <w:tcPr>
            <w:tcW w:w="165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5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40,000.00</w:t>
            </w:r>
          </w:p>
        </w:tc>
        <w:tc>
          <w:tcPr>
            <w:tcW w:w="154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4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4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4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bookmarkEnd w:id="4"/>
    </w:tbl>
    <w:p>
      <w:pPr>
        <w:widowControl/>
        <w:jc w:val="left"/>
        <w:rPr>
          <w:rFonts w:ascii="Times New Roman" w:hAnsi="Times New Roman" w:eastAsia="仿宋_GB2312" w:cs="Times New Roman"/>
          <w:bCs/>
          <w:kern w:val="0"/>
          <w:szCs w:val="21"/>
        </w:rPr>
      </w:pPr>
    </w:p>
    <w:p>
      <w:pPr>
        <w:widowControl/>
        <w:jc w:val="center"/>
        <w:rPr>
          <w:rFonts w:ascii="华文中宋" w:hAnsi="华文中宋" w:eastAsia="华文中宋" w:cs="宋体"/>
          <w:color w:val="000000"/>
          <w:kern w:val="0"/>
          <w:szCs w:val="32"/>
        </w:rPr>
      </w:pPr>
      <w:r>
        <w:rPr>
          <w:rFonts w:ascii="Times New Roman" w:hAnsi="Times New Roman" w:eastAsia="仿宋_GB2312" w:cs="Times New Roman"/>
          <w:bCs/>
          <w:kern w:val="0"/>
          <w:szCs w:val="21"/>
        </w:rPr>
        <w:br w:type="page"/>
      </w:r>
      <w:r>
        <w:rPr>
          <w:rFonts w:hint="eastAsia" w:ascii="华文中宋" w:hAnsi="华文中宋" w:eastAsia="华文中宋" w:cs="宋体"/>
          <w:color w:val="000000"/>
          <w:kern w:val="0"/>
          <w:szCs w:val="32"/>
        </w:rPr>
        <w:t>一般公共预算财政拨款基本支出决算明细表</w:t>
      </w:r>
    </w:p>
    <w:p>
      <w:pPr>
        <w:widowControl/>
        <w:jc w:val="left"/>
        <w:rPr>
          <w:rFonts w:ascii="Times New Roman" w:hAnsi="Times New Roman" w:eastAsia="仿宋_GB2312" w:cs="Times New Roman"/>
          <w:bCs/>
          <w:kern w:val="0"/>
          <w:szCs w:val="21"/>
        </w:rPr>
      </w:pPr>
    </w:p>
    <w:tbl>
      <w:tblPr>
        <w:tblW w:w="18450" w:type="dxa"/>
        <w:tblInd w:w="0" w:type="dxa"/>
        <w:shd w:val="clear"/>
        <w:tblLayout w:type="fixed"/>
        <w:tblCellMar>
          <w:top w:w="0" w:type="dxa"/>
          <w:left w:w="0" w:type="dxa"/>
          <w:bottom w:w="0" w:type="dxa"/>
          <w:right w:w="0" w:type="dxa"/>
        </w:tblCellMar>
      </w:tblPr>
      <w:tblGrid>
        <w:gridCol w:w="735"/>
        <w:gridCol w:w="3555"/>
        <w:gridCol w:w="1800"/>
        <w:gridCol w:w="735"/>
        <w:gridCol w:w="2775"/>
        <w:gridCol w:w="1800"/>
        <w:gridCol w:w="735"/>
        <w:gridCol w:w="4515"/>
        <w:gridCol w:w="1800"/>
      </w:tblGrid>
      <w:tr>
        <w:tblPrEx>
          <w:tblLayout w:type="fixed"/>
          <w:tblCellMar>
            <w:top w:w="0" w:type="dxa"/>
            <w:left w:w="0" w:type="dxa"/>
            <w:bottom w:w="0" w:type="dxa"/>
            <w:right w:w="0" w:type="dxa"/>
          </w:tblCellMar>
        </w:tblPrEx>
        <w:trPr>
          <w:trHeight w:val="300" w:hRule="atLeast"/>
        </w:trPr>
        <w:tc>
          <w:tcPr>
            <w:tcW w:w="6090" w:type="dxa"/>
            <w:gridSpan w:val="3"/>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人员经费</w:t>
            </w:r>
          </w:p>
        </w:tc>
        <w:tc>
          <w:tcPr>
            <w:tcW w:w="12360" w:type="dxa"/>
            <w:gridSpan w:val="6"/>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公用经费</w:t>
            </w:r>
          </w:p>
        </w:tc>
      </w:tr>
      <w:tr>
        <w:tblPrEx>
          <w:tblLayout w:type="fixed"/>
          <w:tblCellMar>
            <w:top w:w="0" w:type="dxa"/>
            <w:left w:w="0" w:type="dxa"/>
            <w:bottom w:w="0" w:type="dxa"/>
            <w:right w:w="0" w:type="dxa"/>
          </w:tblCellMar>
        </w:tblPrEx>
        <w:trPr>
          <w:trHeight w:val="300" w:hRule="atLeast"/>
        </w:trPr>
        <w:tc>
          <w:tcPr>
            <w:tcW w:w="735"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科目编码</w:t>
            </w:r>
          </w:p>
        </w:tc>
        <w:tc>
          <w:tcPr>
            <w:tcW w:w="3555"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科目名称</w:t>
            </w:r>
          </w:p>
        </w:tc>
        <w:tc>
          <w:tcPr>
            <w:tcW w:w="1800"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决算数</w:t>
            </w:r>
          </w:p>
        </w:tc>
        <w:tc>
          <w:tcPr>
            <w:tcW w:w="735"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科目编码</w:t>
            </w:r>
          </w:p>
        </w:tc>
        <w:tc>
          <w:tcPr>
            <w:tcW w:w="2775"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科目名称</w:t>
            </w:r>
          </w:p>
        </w:tc>
        <w:tc>
          <w:tcPr>
            <w:tcW w:w="1800"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决算数</w:t>
            </w:r>
          </w:p>
        </w:tc>
        <w:tc>
          <w:tcPr>
            <w:tcW w:w="735"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科目编码</w:t>
            </w:r>
          </w:p>
        </w:tc>
        <w:tc>
          <w:tcPr>
            <w:tcW w:w="4515"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科目名称</w:t>
            </w:r>
          </w:p>
        </w:tc>
        <w:tc>
          <w:tcPr>
            <w:tcW w:w="1800"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决算数</w:t>
            </w:r>
          </w:p>
        </w:tc>
      </w:tr>
      <w:tr>
        <w:tblPrEx>
          <w:tblLayout w:type="fixed"/>
          <w:tblCellMar>
            <w:top w:w="0" w:type="dxa"/>
            <w:left w:w="0" w:type="dxa"/>
            <w:bottom w:w="0" w:type="dxa"/>
            <w:right w:w="0" w:type="dxa"/>
          </w:tblCellMar>
        </w:tblPrEx>
        <w:trPr>
          <w:trHeight w:val="300" w:hRule="atLeast"/>
        </w:trPr>
        <w:tc>
          <w:tcPr>
            <w:tcW w:w="735"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555"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775"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515"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301</w:t>
            </w:r>
          </w:p>
        </w:tc>
        <w:tc>
          <w:tcPr>
            <w:tcW w:w="355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工资福利支出</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3,982,100.00</w:t>
            </w:r>
          </w:p>
        </w:tc>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w:t>
            </w:r>
          </w:p>
        </w:tc>
        <w:tc>
          <w:tcPr>
            <w:tcW w:w="277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商品和服务支出</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921,000.00</w:t>
            </w:r>
          </w:p>
        </w:tc>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307</w:t>
            </w:r>
          </w:p>
        </w:tc>
        <w:tc>
          <w:tcPr>
            <w:tcW w:w="451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债务利息及费用支出</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30101</w:t>
            </w:r>
          </w:p>
        </w:tc>
        <w:tc>
          <w:tcPr>
            <w:tcW w:w="355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基本工资</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1,837,900.00</w:t>
            </w:r>
          </w:p>
        </w:tc>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30201</w:t>
            </w:r>
          </w:p>
        </w:tc>
        <w:tc>
          <w:tcPr>
            <w:tcW w:w="277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办公费</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100,000.00</w:t>
            </w:r>
          </w:p>
        </w:tc>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30701</w:t>
            </w:r>
          </w:p>
        </w:tc>
        <w:tc>
          <w:tcPr>
            <w:tcW w:w="451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国内债务付息</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30102</w:t>
            </w:r>
          </w:p>
        </w:tc>
        <w:tc>
          <w:tcPr>
            <w:tcW w:w="355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津贴补贴</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599,300.00</w:t>
            </w:r>
          </w:p>
        </w:tc>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30202</w:t>
            </w:r>
          </w:p>
        </w:tc>
        <w:tc>
          <w:tcPr>
            <w:tcW w:w="277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印刷费</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50,000.00</w:t>
            </w:r>
          </w:p>
        </w:tc>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30702</w:t>
            </w:r>
          </w:p>
        </w:tc>
        <w:tc>
          <w:tcPr>
            <w:tcW w:w="451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国外债务付息</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30103</w:t>
            </w:r>
          </w:p>
        </w:tc>
        <w:tc>
          <w:tcPr>
            <w:tcW w:w="355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奖金</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213,900.00</w:t>
            </w:r>
          </w:p>
        </w:tc>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30203</w:t>
            </w:r>
          </w:p>
        </w:tc>
        <w:tc>
          <w:tcPr>
            <w:tcW w:w="277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咨询费</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30,000.00</w:t>
            </w:r>
          </w:p>
        </w:tc>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310</w:t>
            </w:r>
          </w:p>
        </w:tc>
        <w:tc>
          <w:tcPr>
            <w:tcW w:w="451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资本性支出</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30106</w:t>
            </w:r>
          </w:p>
        </w:tc>
        <w:tc>
          <w:tcPr>
            <w:tcW w:w="355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伙食补助费</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30204</w:t>
            </w:r>
          </w:p>
        </w:tc>
        <w:tc>
          <w:tcPr>
            <w:tcW w:w="277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手续费</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30,000.00</w:t>
            </w:r>
          </w:p>
        </w:tc>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31001</w:t>
            </w:r>
          </w:p>
        </w:tc>
        <w:tc>
          <w:tcPr>
            <w:tcW w:w="451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房屋建筑物购建</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30107</w:t>
            </w:r>
          </w:p>
        </w:tc>
        <w:tc>
          <w:tcPr>
            <w:tcW w:w="355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绩效工资</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417,700.00</w:t>
            </w:r>
          </w:p>
        </w:tc>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30205</w:t>
            </w:r>
          </w:p>
        </w:tc>
        <w:tc>
          <w:tcPr>
            <w:tcW w:w="277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水费</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20,000.00</w:t>
            </w:r>
          </w:p>
        </w:tc>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31002</w:t>
            </w:r>
          </w:p>
        </w:tc>
        <w:tc>
          <w:tcPr>
            <w:tcW w:w="451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办公设备购置</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30108</w:t>
            </w:r>
          </w:p>
        </w:tc>
        <w:tc>
          <w:tcPr>
            <w:tcW w:w="355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机关事业单位基本养老保险缴费</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401,800.00</w:t>
            </w:r>
          </w:p>
        </w:tc>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30206</w:t>
            </w:r>
          </w:p>
        </w:tc>
        <w:tc>
          <w:tcPr>
            <w:tcW w:w="277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电费</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50,000.00</w:t>
            </w:r>
          </w:p>
        </w:tc>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31003</w:t>
            </w:r>
          </w:p>
        </w:tc>
        <w:tc>
          <w:tcPr>
            <w:tcW w:w="451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专用设备购置</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30109</w:t>
            </w:r>
          </w:p>
        </w:tc>
        <w:tc>
          <w:tcPr>
            <w:tcW w:w="355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职业年金缴费</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30207</w:t>
            </w:r>
          </w:p>
        </w:tc>
        <w:tc>
          <w:tcPr>
            <w:tcW w:w="277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邮电费</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30,000.00</w:t>
            </w:r>
          </w:p>
        </w:tc>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31005</w:t>
            </w:r>
          </w:p>
        </w:tc>
        <w:tc>
          <w:tcPr>
            <w:tcW w:w="451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基础设施建设</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30110</w:t>
            </w:r>
          </w:p>
        </w:tc>
        <w:tc>
          <w:tcPr>
            <w:tcW w:w="355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职工基本医疗保险缴费</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218,500.00</w:t>
            </w:r>
          </w:p>
        </w:tc>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30208</w:t>
            </w:r>
          </w:p>
        </w:tc>
        <w:tc>
          <w:tcPr>
            <w:tcW w:w="277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取暖费</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30,000.00</w:t>
            </w:r>
          </w:p>
        </w:tc>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31006</w:t>
            </w:r>
          </w:p>
        </w:tc>
        <w:tc>
          <w:tcPr>
            <w:tcW w:w="451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大型修缮</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30111</w:t>
            </w:r>
          </w:p>
        </w:tc>
        <w:tc>
          <w:tcPr>
            <w:tcW w:w="355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公务员医疗补助缴费</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30209</w:t>
            </w:r>
          </w:p>
        </w:tc>
        <w:tc>
          <w:tcPr>
            <w:tcW w:w="277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物业管理费</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10,000.00</w:t>
            </w:r>
          </w:p>
        </w:tc>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31007</w:t>
            </w:r>
          </w:p>
        </w:tc>
        <w:tc>
          <w:tcPr>
            <w:tcW w:w="451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信息网络及软件购置更新</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30112</w:t>
            </w:r>
          </w:p>
        </w:tc>
        <w:tc>
          <w:tcPr>
            <w:tcW w:w="355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其他社会保障缴费</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30211</w:t>
            </w:r>
          </w:p>
        </w:tc>
        <w:tc>
          <w:tcPr>
            <w:tcW w:w="277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差旅费</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50,000.00</w:t>
            </w:r>
          </w:p>
        </w:tc>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31008</w:t>
            </w:r>
          </w:p>
        </w:tc>
        <w:tc>
          <w:tcPr>
            <w:tcW w:w="451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物资储备</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30113</w:t>
            </w:r>
          </w:p>
        </w:tc>
        <w:tc>
          <w:tcPr>
            <w:tcW w:w="355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住房公积金</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293,000.00</w:t>
            </w:r>
          </w:p>
        </w:tc>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30212</w:t>
            </w:r>
          </w:p>
        </w:tc>
        <w:tc>
          <w:tcPr>
            <w:tcW w:w="277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因公出国（境）费用</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31009</w:t>
            </w:r>
          </w:p>
        </w:tc>
        <w:tc>
          <w:tcPr>
            <w:tcW w:w="451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土地补偿</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30114</w:t>
            </w:r>
          </w:p>
        </w:tc>
        <w:tc>
          <w:tcPr>
            <w:tcW w:w="355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医疗费</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30213</w:t>
            </w:r>
          </w:p>
        </w:tc>
        <w:tc>
          <w:tcPr>
            <w:tcW w:w="277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维修（护）费</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50,000.00</w:t>
            </w:r>
          </w:p>
        </w:tc>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31010</w:t>
            </w:r>
          </w:p>
        </w:tc>
        <w:tc>
          <w:tcPr>
            <w:tcW w:w="451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安置补助</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30199</w:t>
            </w:r>
          </w:p>
        </w:tc>
        <w:tc>
          <w:tcPr>
            <w:tcW w:w="355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其他工资福利支出</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30214</w:t>
            </w:r>
          </w:p>
        </w:tc>
        <w:tc>
          <w:tcPr>
            <w:tcW w:w="277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租赁费</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10,000.00</w:t>
            </w:r>
          </w:p>
        </w:tc>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31011</w:t>
            </w:r>
          </w:p>
        </w:tc>
        <w:tc>
          <w:tcPr>
            <w:tcW w:w="451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地上附着物和青苗补偿</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303</w:t>
            </w:r>
          </w:p>
        </w:tc>
        <w:tc>
          <w:tcPr>
            <w:tcW w:w="355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对个人和家庭的补助</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30215</w:t>
            </w:r>
          </w:p>
        </w:tc>
        <w:tc>
          <w:tcPr>
            <w:tcW w:w="277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会议费</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30,000.00</w:t>
            </w:r>
          </w:p>
        </w:tc>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31012</w:t>
            </w:r>
          </w:p>
        </w:tc>
        <w:tc>
          <w:tcPr>
            <w:tcW w:w="451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拆迁补偿</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30301</w:t>
            </w:r>
          </w:p>
        </w:tc>
        <w:tc>
          <w:tcPr>
            <w:tcW w:w="355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离休费</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30216</w:t>
            </w:r>
          </w:p>
        </w:tc>
        <w:tc>
          <w:tcPr>
            <w:tcW w:w="277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培训费</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20,000.00</w:t>
            </w:r>
          </w:p>
        </w:tc>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31013</w:t>
            </w:r>
          </w:p>
        </w:tc>
        <w:tc>
          <w:tcPr>
            <w:tcW w:w="451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公务用车购置</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30302</w:t>
            </w:r>
          </w:p>
        </w:tc>
        <w:tc>
          <w:tcPr>
            <w:tcW w:w="355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退休费</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30217</w:t>
            </w:r>
          </w:p>
        </w:tc>
        <w:tc>
          <w:tcPr>
            <w:tcW w:w="277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公务接待费</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45,000.00</w:t>
            </w:r>
          </w:p>
        </w:tc>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31019</w:t>
            </w:r>
          </w:p>
        </w:tc>
        <w:tc>
          <w:tcPr>
            <w:tcW w:w="451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其他交通工具购置</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30303</w:t>
            </w:r>
          </w:p>
        </w:tc>
        <w:tc>
          <w:tcPr>
            <w:tcW w:w="355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退职（役）费</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30218</w:t>
            </w:r>
          </w:p>
        </w:tc>
        <w:tc>
          <w:tcPr>
            <w:tcW w:w="277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专用材料费</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10,000.00</w:t>
            </w:r>
          </w:p>
        </w:tc>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31021</w:t>
            </w:r>
          </w:p>
        </w:tc>
        <w:tc>
          <w:tcPr>
            <w:tcW w:w="451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文物和陈列品购置</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30304</w:t>
            </w:r>
          </w:p>
        </w:tc>
        <w:tc>
          <w:tcPr>
            <w:tcW w:w="355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抚恤金</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30224</w:t>
            </w:r>
          </w:p>
        </w:tc>
        <w:tc>
          <w:tcPr>
            <w:tcW w:w="277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被装购置费</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31022</w:t>
            </w:r>
          </w:p>
        </w:tc>
        <w:tc>
          <w:tcPr>
            <w:tcW w:w="451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无形资产购置</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30305</w:t>
            </w:r>
          </w:p>
        </w:tc>
        <w:tc>
          <w:tcPr>
            <w:tcW w:w="355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生活补助</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30225</w:t>
            </w:r>
          </w:p>
        </w:tc>
        <w:tc>
          <w:tcPr>
            <w:tcW w:w="277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专用燃料费</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20,000.00</w:t>
            </w:r>
          </w:p>
        </w:tc>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31099</w:t>
            </w:r>
          </w:p>
        </w:tc>
        <w:tc>
          <w:tcPr>
            <w:tcW w:w="451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其他资本性支出</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30306</w:t>
            </w:r>
          </w:p>
        </w:tc>
        <w:tc>
          <w:tcPr>
            <w:tcW w:w="355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救济费</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30226</w:t>
            </w:r>
          </w:p>
        </w:tc>
        <w:tc>
          <w:tcPr>
            <w:tcW w:w="277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劳务费</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50,000.00</w:t>
            </w:r>
          </w:p>
        </w:tc>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399</w:t>
            </w:r>
          </w:p>
        </w:tc>
        <w:tc>
          <w:tcPr>
            <w:tcW w:w="451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其他支出</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30307</w:t>
            </w:r>
          </w:p>
        </w:tc>
        <w:tc>
          <w:tcPr>
            <w:tcW w:w="355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医疗费补助</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30227</w:t>
            </w:r>
          </w:p>
        </w:tc>
        <w:tc>
          <w:tcPr>
            <w:tcW w:w="277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委托业务费</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10,000.00</w:t>
            </w:r>
          </w:p>
        </w:tc>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39907</w:t>
            </w:r>
          </w:p>
        </w:tc>
        <w:tc>
          <w:tcPr>
            <w:tcW w:w="451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国家赔偿费用支出</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30308</w:t>
            </w:r>
          </w:p>
        </w:tc>
        <w:tc>
          <w:tcPr>
            <w:tcW w:w="355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助学金</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30228</w:t>
            </w:r>
          </w:p>
        </w:tc>
        <w:tc>
          <w:tcPr>
            <w:tcW w:w="277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工会经费</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50,000.00</w:t>
            </w:r>
          </w:p>
        </w:tc>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39908</w:t>
            </w:r>
          </w:p>
        </w:tc>
        <w:tc>
          <w:tcPr>
            <w:tcW w:w="451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对民间非营利组织和群众性自治组织补贴</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30309</w:t>
            </w:r>
          </w:p>
        </w:tc>
        <w:tc>
          <w:tcPr>
            <w:tcW w:w="355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奖励金</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30229</w:t>
            </w:r>
          </w:p>
        </w:tc>
        <w:tc>
          <w:tcPr>
            <w:tcW w:w="277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福利费</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50,000.00</w:t>
            </w:r>
          </w:p>
        </w:tc>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39909</w:t>
            </w:r>
          </w:p>
        </w:tc>
        <w:tc>
          <w:tcPr>
            <w:tcW w:w="451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经常性赠与</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30310</w:t>
            </w:r>
          </w:p>
        </w:tc>
        <w:tc>
          <w:tcPr>
            <w:tcW w:w="355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个人农业生产补贴</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30231</w:t>
            </w:r>
          </w:p>
        </w:tc>
        <w:tc>
          <w:tcPr>
            <w:tcW w:w="277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公务用车运行维护费</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54,000.00</w:t>
            </w:r>
          </w:p>
        </w:tc>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39910</w:t>
            </w:r>
          </w:p>
        </w:tc>
        <w:tc>
          <w:tcPr>
            <w:tcW w:w="451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资本性赠与</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30311</w:t>
            </w:r>
          </w:p>
        </w:tc>
        <w:tc>
          <w:tcPr>
            <w:tcW w:w="355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代缴社会保险费</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30239</w:t>
            </w:r>
          </w:p>
        </w:tc>
        <w:tc>
          <w:tcPr>
            <w:tcW w:w="277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其他交通费用</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50,000.00</w:t>
            </w:r>
          </w:p>
        </w:tc>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39999</w:t>
            </w:r>
          </w:p>
        </w:tc>
        <w:tc>
          <w:tcPr>
            <w:tcW w:w="451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其他支出</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30399</w:t>
            </w:r>
          </w:p>
        </w:tc>
        <w:tc>
          <w:tcPr>
            <w:tcW w:w="355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其他对个人和家庭的补助</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30240</w:t>
            </w:r>
          </w:p>
        </w:tc>
        <w:tc>
          <w:tcPr>
            <w:tcW w:w="277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税金及附加费用</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2,000.00</w:t>
            </w:r>
          </w:p>
        </w:tc>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51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55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30299</w:t>
            </w:r>
          </w:p>
        </w:tc>
        <w:tc>
          <w:tcPr>
            <w:tcW w:w="277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其他商品和服务支出</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70,000.00</w:t>
            </w:r>
          </w:p>
        </w:tc>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51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55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7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1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290" w:type="dxa"/>
            <w:gridSpan w:val="2"/>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人员经费合计</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3,982,100.00</w:t>
            </w:r>
          </w:p>
        </w:tc>
        <w:tc>
          <w:tcPr>
            <w:tcW w:w="10560" w:type="dxa"/>
            <w:gridSpan w:val="5"/>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公用经费合计</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921,000.00</w:t>
            </w:r>
          </w:p>
        </w:tc>
      </w:tr>
    </w:tbl>
    <w:p>
      <w:pPr>
        <w:widowControl/>
        <w:jc w:val="left"/>
        <w:rPr>
          <w:rFonts w:ascii="Times New Roman" w:hAnsi="Times New Roman" w:eastAsia="仿宋_GB2312" w:cs="Times New Roman"/>
          <w:bCs/>
          <w:kern w:val="0"/>
          <w:szCs w:val="21"/>
        </w:rPr>
      </w:pPr>
    </w:p>
    <w:p>
      <w:pPr>
        <w:widowControl/>
        <w:jc w:val="center"/>
        <w:rPr>
          <w:rFonts w:ascii="黑体" w:hAnsi="黑体" w:eastAsia="黑体"/>
          <w:szCs w:val="21"/>
        </w:rPr>
      </w:pPr>
      <w:r>
        <w:rPr>
          <w:rFonts w:ascii="黑体" w:hAnsi="黑体" w:eastAsia="黑体"/>
          <w:szCs w:val="21"/>
        </w:rPr>
        <w:br w:type="page"/>
      </w:r>
      <w:r>
        <w:rPr>
          <w:rFonts w:hint="eastAsia" w:ascii="华文中宋" w:hAnsi="华文中宋" w:eastAsia="华文中宋" w:cs="华文中宋"/>
          <w:i w:val="0"/>
          <w:color w:val="000000"/>
          <w:kern w:val="0"/>
          <w:sz w:val="32"/>
          <w:szCs w:val="32"/>
          <w:u w:val="none"/>
          <w:lang w:val="en-US" w:eastAsia="zh-CN" w:bidi="ar"/>
        </w:rPr>
        <w:t>财政拨款“三公”经费支出决算表</w:t>
      </w:r>
    </w:p>
    <w:tbl>
      <w:tblPr>
        <w:tblW w:w="17640" w:type="dxa"/>
        <w:tblInd w:w="0" w:type="dxa"/>
        <w:shd w:val="clear"/>
        <w:tblLayout w:type="fixed"/>
        <w:tblCellMar>
          <w:top w:w="0" w:type="dxa"/>
          <w:left w:w="0" w:type="dxa"/>
          <w:bottom w:w="0" w:type="dxa"/>
          <w:right w:w="0" w:type="dxa"/>
        </w:tblCellMar>
      </w:tblPr>
      <w:tblGrid>
        <w:gridCol w:w="1470"/>
        <w:gridCol w:w="1470"/>
        <w:gridCol w:w="1470"/>
        <w:gridCol w:w="1470"/>
        <w:gridCol w:w="1470"/>
        <w:gridCol w:w="1470"/>
        <w:gridCol w:w="1470"/>
        <w:gridCol w:w="1470"/>
        <w:gridCol w:w="1470"/>
        <w:gridCol w:w="1470"/>
        <w:gridCol w:w="1470"/>
        <w:gridCol w:w="1470"/>
      </w:tblGrid>
      <w:tr>
        <w:tblPrEx>
          <w:shd w:val="clear"/>
          <w:tblLayout w:type="fixed"/>
          <w:tblCellMar>
            <w:top w:w="0" w:type="dxa"/>
            <w:left w:w="0" w:type="dxa"/>
            <w:bottom w:w="0" w:type="dxa"/>
            <w:right w:w="0" w:type="dxa"/>
          </w:tblCellMar>
        </w:tblPrEx>
        <w:trPr>
          <w:trHeight w:val="375" w:hRule="atLeast"/>
        </w:trPr>
        <w:tc>
          <w:tcPr>
            <w:tcW w:w="8820" w:type="dxa"/>
            <w:gridSpan w:val="6"/>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预算数</w:t>
            </w:r>
          </w:p>
        </w:tc>
        <w:tc>
          <w:tcPr>
            <w:tcW w:w="8820" w:type="dxa"/>
            <w:gridSpan w:val="6"/>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决算数</w:t>
            </w:r>
          </w:p>
        </w:tc>
      </w:tr>
      <w:tr>
        <w:tblPrEx>
          <w:shd w:val="clear"/>
          <w:tblLayout w:type="fixed"/>
          <w:tblCellMar>
            <w:top w:w="0" w:type="dxa"/>
            <w:left w:w="0" w:type="dxa"/>
            <w:bottom w:w="0" w:type="dxa"/>
            <w:right w:w="0" w:type="dxa"/>
          </w:tblCellMar>
        </w:tblPrEx>
        <w:trPr>
          <w:trHeight w:val="330" w:hRule="atLeast"/>
        </w:trPr>
        <w:tc>
          <w:tcPr>
            <w:tcW w:w="1470"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合计</w:t>
            </w:r>
          </w:p>
        </w:tc>
        <w:tc>
          <w:tcPr>
            <w:tcW w:w="1470"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因公出国(境)费</w:t>
            </w:r>
          </w:p>
        </w:tc>
        <w:tc>
          <w:tcPr>
            <w:tcW w:w="4410" w:type="dxa"/>
            <w:gridSpan w:val="3"/>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公务用车购置及运行维护费</w:t>
            </w:r>
          </w:p>
        </w:tc>
        <w:tc>
          <w:tcPr>
            <w:tcW w:w="1470"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公务接待费</w:t>
            </w:r>
          </w:p>
        </w:tc>
        <w:tc>
          <w:tcPr>
            <w:tcW w:w="1470"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合计</w:t>
            </w:r>
          </w:p>
        </w:tc>
        <w:tc>
          <w:tcPr>
            <w:tcW w:w="1470"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因公出国(境)费</w:t>
            </w:r>
          </w:p>
        </w:tc>
        <w:tc>
          <w:tcPr>
            <w:tcW w:w="4410" w:type="dxa"/>
            <w:gridSpan w:val="3"/>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公务用车购置及运行维护费</w:t>
            </w:r>
          </w:p>
        </w:tc>
        <w:tc>
          <w:tcPr>
            <w:tcW w:w="1470" w:type="dxa"/>
            <w:vMerge w:val="restart"/>
            <w:tcBorders>
              <w:top w:val="single" w:color="D4D4D4" w:sz="4" w:space="0"/>
              <w:left w:val="single" w:color="D4D4D4" w:sz="4" w:space="0"/>
              <w:bottom w:val="single" w:color="D4D4D4" w:sz="4" w:space="0"/>
              <w:right w:val="single" w:color="D4D4D4" w:sz="12"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公务接待费</w:t>
            </w:r>
          </w:p>
        </w:tc>
      </w:tr>
      <w:tr>
        <w:tblPrEx>
          <w:shd w:val="clear"/>
          <w:tblLayout w:type="fixed"/>
          <w:tblCellMar>
            <w:top w:w="0" w:type="dxa"/>
            <w:left w:w="0" w:type="dxa"/>
            <w:bottom w:w="0" w:type="dxa"/>
            <w:right w:w="0" w:type="dxa"/>
          </w:tblCellMar>
        </w:tblPrEx>
        <w:trPr>
          <w:trHeight w:val="525" w:hRule="atLeast"/>
        </w:trPr>
        <w:tc>
          <w:tcPr>
            <w:tcW w:w="147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0"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小计</w:t>
            </w:r>
          </w:p>
        </w:tc>
        <w:tc>
          <w:tcPr>
            <w:tcW w:w="1470"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公务用车购置费</w:t>
            </w:r>
          </w:p>
        </w:tc>
        <w:tc>
          <w:tcPr>
            <w:tcW w:w="1470"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公务用车运行维护费</w:t>
            </w:r>
          </w:p>
        </w:tc>
        <w:tc>
          <w:tcPr>
            <w:tcW w:w="147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0"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小计</w:t>
            </w:r>
          </w:p>
        </w:tc>
        <w:tc>
          <w:tcPr>
            <w:tcW w:w="1470"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公务用车购置费</w:t>
            </w:r>
          </w:p>
        </w:tc>
        <w:tc>
          <w:tcPr>
            <w:tcW w:w="1470"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公务用车运行维护费</w:t>
            </w:r>
          </w:p>
        </w:tc>
        <w:tc>
          <w:tcPr>
            <w:tcW w:w="1470" w:type="dxa"/>
            <w:vMerge w:val="continue"/>
            <w:tcBorders>
              <w:top w:val="single" w:color="D4D4D4" w:sz="4" w:space="0"/>
              <w:left w:val="single" w:color="D4D4D4" w:sz="4" w:space="0"/>
              <w:bottom w:val="single" w:color="D4D4D4" w:sz="4" w:space="0"/>
              <w:right w:val="single" w:color="D4D4D4" w:sz="12"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tblLayout w:type="fixed"/>
          <w:tblCellMar>
            <w:top w:w="0" w:type="dxa"/>
            <w:left w:w="0" w:type="dxa"/>
            <w:bottom w:w="0" w:type="dxa"/>
            <w:right w:w="0" w:type="dxa"/>
          </w:tblCellMar>
        </w:tblPrEx>
        <w:trPr>
          <w:trHeight w:val="300" w:hRule="atLeast"/>
        </w:trPr>
        <w:tc>
          <w:tcPr>
            <w:tcW w:w="14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4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4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14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14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14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w:t>
            </w:r>
          </w:p>
        </w:tc>
        <w:tc>
          <w:tcPr>
            <w:tcW w:w="14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w:t>
            </w:r>
          </w:p>
        </w:tc>
        <w:tc>
          <w:tcPr>
            <w:tcW w:w="14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w:t>
            </w:r>
          </w:p>
        </w:tc>
        <w:tc>
          <w:tcPr>
            <w:tcW w:w="14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w:t>
            </w:r>
          </w:p>
        </w:tc>
        <w:tc>
          <w:tcPr>
            <w:tcW w:w="14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147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w:t>
            </w:r>
          </w:p>
        </w:tc>
        <w:tc>
          <w:tcPr>
            <w:tcW w:w="1470" w:type="dxa"/>
            <w:tcBorders>
              <w:top w:val="single" w:color="D4D4D4" w:sz="4" w:space="0"/>
              <w:left w:val="single" w:color="D4D4D4" w:sz="4" w:space="0"/>
              <w:bottom w:val="single" w:color="D4D4D4" w:sz="4" w:space="0"/>
              <w:right w:val="single" w:color="D4D4D4" w:sz="12"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w:t>
            </w:r>
          </w:p>
        </w:tc>
      </w:tr>
      <w:tr>
        <w:tblPrEx>
          <w:shd w:val="clear"/>
          <w:tblLayout w:type="fixed"/>
          <w:tblCellMar>
            <w:top w:w="0" w:type="dxa"/>
            <w:left w:w="0" w:type="dxa"/>
            <w:bottom w:w="0" w:type="dxa"/>
            <w:right w:w="0" w:type="dxa"/>
          </w:tblCellMar>
        </w:tblPrEx>
        <w:trPr>
          <w:trHeight w:val="300" w:hRule="atLeast"/>
        </w:trPr>
        <w:tc>
          <w:tcPr>
            <w:tcW w:w="1470" w:type="dxa"/>
            <w:tcBorders>
              <w:top w:val="single" w:color="D4D4D4" w:sz="4" w:space="0"/>
              <w:left w:val="single" w:color="D4D4D4" w:sz="4" w:space="0"/>
              <w:bottom w:val="single" w:color="D4D4D4" w:sz="12"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99,000.00</w:t>
            </w:r>
          </w:p>
        </w:tc>
        <w:tc>
          <w:tcPr>
            <w:tcW w:w="1470" w:type="dxa"/>
            <w:tcBorders>
              <w:top w:val="single" w:color="D4D4D4" w:sz="4" w:space="0"/>
              <w:left w:val="single" w:color="D4D4D4" w:sz="4" w:space="0"/>
              <w:bottom w:val="single" w:color="D4D4D4" w:sz="12"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70" w:type="dxa"/>
            <w:tcBorders>
              <w:top w:val="single" w:color="D4D4D4" w:sz="4" w:space="0"/>
              <w:left w:val="single" w:color="D4D4D4" w:sz="4" w:space="0"/>
              <w:bottom w:val="single" w:color="D4D4D4" w:sz="12"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54,000.00</w:t>
            </w:r>
          </w:p>
        </w:tc>
        <w:tc>
          <w:tcPr>
            <w:tcW w:w="1470" w:type="dxa"/>
            <w:tcBorders>
              <w:top w:val="single" w:color="D4D4D4" w:sz="4" w:space="0"/>
              <w:left w:val="single" w:color="D4D4D4" w:sz="4" w:space="0"/>
              <w:bottom w:val="single" w:color="D4D4D4" w:sz="12"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70" w:type="dxa"/>
            <w:tcBorders>
              <w:top w:val="single" w:color="D4D4D4" w:sz="4" w:space="0"/>
              <w:left w:val="single" w:color="D4D4D4" w:sz="4" w:space="0"/>
              <w:bottom w:val="single" w:color="D4D4D4" w:sz="12"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54,000.00</w:t>
            </w:r>
          </w:p>
        </w:tc>
        <w:tc>
          <w:tcPr>
            <w:tcW w:w="1470" w:type="dxa"/>
            <w:tcBorders>
              <w:top w:val="single" w:color="D4D4D4" w:sz="4" w:space="0"/>
              <w:left w:val="single" w:color="D4D4D4" w:sz="4" w:space="0"/>
              <w:bottom w:val="single" w:color="D4D4D4" w:sz="12"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45,000.00</w:t>
            </w:r>
          </w:p>
        </w:tc>
        <w:tc>
          <w:tcPr>
            <w:tcW w:w="1470" w:type="dxa"/>
            <w:tcBorders>
              <w:top w:val="single" w:color="D4D4D4" w:sz="4" w:space="0"/>
              <w:left w:val="single" w:color="D4D4D4" w:sz="4" w:space="0"/>
              <w:bottom w:val="single" w:color="D4D4D4" w:sz="12"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99,000.00</w:t>
            </w:r>
          </w:p>
        </w:tc>
        <w:tc>
          <w:tcPr>
            <w:tcW w:w="1470" w:type="dxa"/>
            <w:tcBorders>
              <w:top w:val="single" w:color="D4D4D4" w:sz="4" w:space="0"/>
              <w:left w:val="single" w:color="D4D4D4" w:sz="4" w:space="0"/>
              <w:bottom w:val="single" w:color="D4D4D4" w:sz="12"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70" w:type="dxa"/>
            <w:tcBorders>
              <w:top w:val="single" w:color="D4D4D4" w:sz="4" w:space="0"/>
              <w:left w:val="single" w:color="D4D4D4" w:sz="4" w:space="0"/>
              <w:bottom w:val="single" w:color="D4D4D4" w:sz="12"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54,000.00</w:t>
            </w:r>
          </w:p>
        </w:tc>
        <w:tc>
          <w:tcPr>
            <w:tcW w:w="1470" w:type="dxa"/>
            <w:tcBorders>
              <w:top w:val="single" w:color="D4D4D4" w:sz="4" w:space="0"/>
              <w:left w:val="single" w:color="D4D4D4" w:sz="4" w:space="0"/>
              <w:bottom w:val="single" w:color="D4D4D4" w:sz="12"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70" w:type="dxa"/>
            <w:tcBorders>
              <w:top w:val="single" w:color="D4D4D4" w:sz="4" w:space="0"/>
              <w:left w:val="single" w:color="D4D4D4" w:sz="4" w:space="0"/>
              <w:bottom w:val="single" w:color="D4D4D4" w:sz="12"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54,000.00</w:t>
            </w:r>
          </w:p>
        </w:tc>
        <w:tc>
          <w:tcPr>
            <w:tcW w:w="1470" w:type="dxa"/>
            <w:tcBorders>
              <w:top w:val="single" w:color="D4D4D4" w:sz="4" w:space="0"/>
              <w:left w:val="single" w:color="D4D4D4" w:sz="4" w:space="0"/>
              <w:bottom w:val="single" w:color="D4D4D4" w:sz="12" w:space="0"/>
              <w:right w:val="single" w:color="D4D4D4" w:sz="12"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45,000.00</w:t>
            </w:r>
          </w:p>
        </w:tc>
      </w:tr>
    </w:tbl>
    <w:p>
      <w:pPr>
        <w:widowControl/>
        <w:jc w:val="both"/>
        <w:rPr>
          <w:sz w:val="72"/>
          <w:szCs w:val="72"/>
        </w:rPr>
        <w:sectPr>
          <w:pgSz w:w="16838" w:h="11906" w:orient="landscape"/>
          <w:pgMar w:top="720" w:right="720" w:bottom="720" w:left="720" w:header="851" w:footer="992" w:gutter="0"/>
          <w:cols w:space="425" w:num="1"/>
          <w:docGrid w:type="lines" w:linePitch="312" w:charSpace="0"/>
        </w:sectPr>
      </w:pPr>
    </w:p>
    <w:p>
      <w:pPr>
        <w:pStyle w:val="14"/>
        <w:rPr>
          <w:sz w:val="72"/>
          <w:szCs w:val="72"/>
        </w:rPr>
      </w:pPr>
    </w:p>
    <w:p>
      <w:pPr>
        <w:pStyle w:val="14"/>
        <w:rPr>
          <w:sz w:val="72"/>
          <w:szCs w:val="72"/>
        </w:rPr>
      </w:pPr>
    </w:p>
    <w:p>
      <w:pPr>
        <w:pStyle w:val="14"/>
        <w:rPr>
          <w:sz w:val="72"/>
          <w:szCs w:val="72"/>
        </w:rPr>
      </w:pPr>
    </w:p>
    <w:p>
      <w:pPr>
        <w:pStyle w:val="14"/>
        <w:rPr>
          <w:sz w:val="72"/>
          <w:szCs w:val="72"/>
        </w:rPr>
      </w:pPr>
    </w:p>
    <w:p>
      <w:pPr>
        <w:pStyle w:val="14"/>
        <w:jc w:val="center"/>
        <w:rPr>
          <w:sz w:val="72"/>
          <w:szCs w:val="72"/>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4"/>
        <w:jc w:val="center"/>
        <w:rPr>
          <w:rFonts w:hint="eastAsia" w:ascii="方正小标宋_GBK" w:hAnsi="方正小标宋_GBK" w:eastAsia="方正小标宋_GBK" w:cs="方正小标宋_GBK"/>
          <w:sz w:val="70"/>
          <w:szCs w:val="70"/>
        </w:rPr>
      </w:pPr>
    </w:p>
    <w:p>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年度收入总计</w:t>
      </w:r>
      <w:r>
        <w:rPr>
          <w:rFonts w:hint="eastAsia" w:ascii="Times New Roman" w:hAnsi="Times New Roman" w:eastAsia="仿宋_GB2312"/>
          <w:sz w:val="32"/>
          <w:szCs w:val="32"/>
          <w:lang w:val="en-US" w:eastAsia="zh-CN"/>
        </w:rPr>
        <w:t>1065.66</w:t>
      </w:r>
      <w:r>
        <w:rPr>
          <w:rFonts w:hint="eastAsia" w:ascii="Times New Roman" w:hAnsi="Times New Roman" w:eastAsia="仿宋_GB2312"/>
          <w:sz w:val="32"/>
          <w:szCs w:val="32"/>
        </w:rPr>
        <w:t>万元，</w:t>
      </w:r>
      <w:bookmarkStart w:id="5" w:name="START_INCOME_PAY_AMT"/>
      <w:bookmarkEnd w:id="5"/>
      <w:bookmarkStart w:id="6" w:name="START_IS_ZERO_04_1"/>
      <w:bookmarkEnd w:id="6"/>
      <w:bookmarkStart w:id="7" w:name="IS_ZERO_04"/>
      <w:bookmarkEnd w:id="7"/>
      <w:bookmarkStart w:id="8" w:name="DIS_MARK_INCOME_PAY_AMT"/>
      <w:bookmarkStart w:id="9" w:name="DIS_MARK_IS_ZERO_04_1"/>
      <w:r>
        <w:rPr>
          <w:rFonts w:hint="eastAsia" w:ascii="Times New Roman" w:hAnsi="Times New Roman" w:eastAsia="仿宋_GB2312"/>
          <w:sz w:val="32"/>
          <w:szCs w:val="32"/>
        </w:rPr>
        <w:t>与上年相比</w:t>
      </w:r>
      <w:r>
        <w:rPr>
          <w:rFonts w:hint="eastAsia" w:ascii="Times New Roman" w:hAnsi="Times New Roman" w:eastAsia="仿宋_GB2312"/>
          <w:sz w:val="32"/>
          <w:szCs w:val="32"/>
          <w:lang w:val="en-US" w:eastAsia="zh-CN"/>
        </w:rPr>
        <w:t>增加43.27</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增加4.23</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本年</w:t>
      </w:r>
      <w:r>
        <w:rPr>
          <w:rFonts w:hint="eastAsia" w:ascii="Times New Roman" w:hAnsi="Times New Roman" w:eastAsia="仿宋_GB2312"/>
          <w:sz w:val="32"/>
          <w:szCs w:val="32"/>
          <w:lang w:val="en-US" w:eastAsia="zh-CN"/>
        </w:rPr>
        <w:t>人员增加，</w:t>
      </w:r>
      <w:r>
        <w:rPr>
          <w:rFonts w:hint="eastAsia" w:ascii="Times New Roman" w:hAnsi="Times New Roman" w:eastAsia="仿宋_GB2312"/>
          <w:sz w:val="32"/>
          <w:szCs w:val="32"/>
          <w:lang w:eastAsia="zh-CN"/>
        </w:rPr>
        <w:t>业务活动开支</w:t>
      </w:r>
      <w:r>
        <w:rPr>
          <w:rFonts w:hint="eastAsia" w:ascii="Times New Roman" w:hAnsi="Times New Roman" w:eastAsia="仿宋_GB2312"/>
          <w:sz w:val="32"/>
          <w:szCs w:val="32"/>
          <w:lang w:val="en-US" w:eastAsia="zh-CN"/>
        </w:rPr>
        <w:t>增多</w:t>
      </w:r>
      <w:r>
        <w:rPr>
          <w:rFonts w:hint="eastAsia" w:ascii="Times New Roman" w:hAnsi="Times New Roman" w:eastAsia="仿宋_GB2312"/>
          <w:sz w:val="32"/>
          <w:szCs w:val="32"/>
          <w:lang w:eastAsia="zh-CN"/>
        </w:rPr>
        <w:t>，导致费用</w:t>
      </w:r>
      <w:r>
        <w:rPr>
          <w:rFonts w:hint="eastAsia" w:ascii="Times New Roman" w:hAnsi="Times New Roman" w:eastAsia="仿宋_GB2312"/>
          <w:sz w:val="32"/>
          <w:szCs w:val="32"/>
          <w:lang w:val="en-US" w:eastAsia="zh-CN"/>
        </w:rPr>
        <w:t>增加</w:t>
      </w:r>
      <w:r>
        <w:rPr>
          <w:rFonts w:hint="eastAsia" w:ascii="Times New Roman" w:hAnsi="Times New Roman" w:eastAsia="仿宋_GB2312"/>
          <w:sz w:val="32"/>
          <w:szCs w:val="32"/>
        </w:rPr>
        <w:t>。</w:t>
      </w:r>
      <w:bookmarkEnd w:id="8"/>
      <w:bookmarkEnd w:id="9"/>
      <w:bookmarkStart w:id="10" w:name="END_IS_ZERO_04_2"/>
      <w:bookmarkEnd w:id="10"/>
      <w:bookmarkStart w:id="11" w:name="END_INCOME_PAY_AMT"/>
      <w:bookmarkEnd w:id="11"/>
      <w:bookmarkStart w:id="12" w:name="START_IS_ZERO_04_2"/>
      <w:bookmarkEnd w:id="12"/>
      <w:bookmarkStart w:id="13" w:name="DIS_MARK_IS_ZERO_04_2"/>
      <w:bookmarkEnd w:id="13"/>
      <w:bookmarkStart w:id="14" w:name="END_IS_ZERO_04_1"/>
      <w:bookmarkEnd w:id="14"/>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w:t>
      </w:r>
      <w:r>
        <w:rPr>
          <w:rFonts w:hint="eastAsia" w:ascii="Times New Roman" w:hAnsi="Times New Roman" w:eastAsia="仿宋_GB2312"/>
          <w:sz w:val="32"/>
          <w:szCs w:val="32"/>
          <w:lang w:val="en-US" w:eastAsia="zh-CN"/>
        </w:rPr>
        <w:t>支出</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1065.66</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增加43.27</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增加4.23</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本年</w:t>
      </w:r>
      <w:r>
        <w:rPr>
          <w:rFonts w:hint="eastAsia" w:ascii="Times New Roman" w:hAnsi="Times New Roman" w:eastAsia="仿宋_GB2312"/>
          <w:sz w:val="32"/>
          <w:szCs w:val="32"/>
          <w:lang w:val="en-US" w:eastAsia="zh-CN"/>
        </w:rPr>
        <w:t>人员增加，</w:t>
      </w:r>
      <w:r>
        <w:rPr>
          <w:rFonts w:hint="eastAsia" w:ascii="Times New Roman" w:hAnsi="Times New Roman" w:eastAsia="仿宋_GB2312"/>
          <w:sz w:val="32"/>
          <w:szCs w:val="32"/>
          <w:lang w:eastAsia="zh-CN"/>
        </w:rPr>
        <w:t>业务活动开支</w:t>
      </w:r>
      <w:r>
        <w:rPr>
          <w:rFonts w:hint="eastAsia" w:ascii="Times New Roman" w:hAnsi="Times New Roman" w:eastAsia="仿宋_GB2312"/>
          <w:sz w:val="32"/>
          <w:szCs w:val="32"/>
          <w:lang w:val="en-US" w:eastAsia="zh-CN"/>
        </w:rPr>
        <w:t>增多</w:t>
      </w:r>
      <w:r>
        <w:rPr>
          <w:rFonts w:hint="eastAsia" w:ascii="Times New Roman" w:hAnsi="Times New Roman" w:eastAsia="仿宋_GB2312"/>
          <w:sz w:val="32"/>
          <w:szCs w:val="32"/>
          <w:lang w:eastAsia="zh-CN"/>
        </w:rPr>
        <w:t>，导致费用</w:t>
      </w:r>
      <w:r>
        <w:rPr>
          <w:rFonts w:hint="eastAsia" w:ascii="Times New Roman" w:hAnsi="Times New Roman" w:eastAsia="仿宋_GB2312"/>
          <w:sz w:val="32"/>
          <w:szCs w:val="32"/>
          <w:lang w:val="en-US" w:eastAsia="zh-CN"/>
        </w:rPr>
        <w:t>增加</w:t>
      </w:r>
      <w:r>
        <w:rPr>
          <w:rFonts w:hint="eastAsia" w:ascii="Times New Roman" w:hAnsi="Times New Roman" w:eastAsia="仿宋_GB2312"/>
          <w:sz w:val="32"/>
          <w:szCs w:val="32"/>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2"/>
        <w:tabs>
          <w:tab w:val="left" w:pos="3864"/>
          <w:tab w:val="left" w:pos="6248"/>
          <w:tab w:val="left" w:pos="7386"/>
        </w:tabs>
        <w:overflowPunct w:val="0"/>
        <w:spacing w:before="1" w:line="360" w:lineRule="auto"/>
        <w:ind w:right="420" w:firstLine="640" w:firstLineChars="200"/>
        <w:rPr>
          <w:rFonts w:hint="default"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2024年度收入合计</w:t>
      </w:r>
      <w:r>
        <w:rPr>
          <w:rFonts w:hint="eastAsia" w:ascii="Times New Roman" w:hAnsi="Times New Roman" w:eastAsia="仿宋_GB2312"/>
          <w:sz w:val="32"/>
          <w:szCs w:val="32"/>
          <w:lang w:val="en-US" w:eastAsia="zh-CN"/>
        </w:rPr>
        <w:t>1065.66</w:t>
      </w:r>
      <w:r>
        <w:rPr>
          <w:rFonts w:hint="eastAsia" w:ascii="Times New Roman" w:hAnsi="Times New Roman" w:eastAsia="仿宋_GB2312" w:cs="黑体"/>
          <w:color w:val="000000"/>
          <w:kern w:val="0"/>
          <w:sz w:val="32"/>
          <w:szCs w:val="32"/>
          <w:lang w:val="en-US" w:eastAsia="zh-CN" w:bidi="ar-SA"/>
        </w:rPr>
        <w:t>万元，</w:t>
      </w:r>
      <w:bookmarkStart w:id="15" w:name="START_INCOME_SRHJ_AMT"/>
      <w:bookmarkEnd w:id="15"/>
      <w:bookmarkStart w:id="16" w:name="DIS_MARK_INCOME_SRHJ_AMT"/>
      <w:r>
        <w:rPr>
          <w:rFonts w:hint="eastAsia" w:ascii="Times New Roman" w:hAnsi="Times New Roman" w:eastAsia="仿宋_GB2312" w:cs="黑体"/>
          <w:color w:val="000000"/>
          <w:kern w:val="0"/>
          <w:sz w:val="32"/>
          <w:szCs w:val="32"/>
          <w:lang w:val="en-US" w:eastAsia="zh-CN" w:bidi="ar-SA"/>
        </w:rPr>
        <w:t>其中：</w:t>
      </w:r>
      <w:bookmarkStart w:id="17" w:name="START_INCOME_CZBKSR_AMT"/>
      <w:bookmarkEnd w:id="17"/>
      <w:bookmarkStart w:id="18" w:name="DIS_MARK_INCOME_CZBKSR_AMT"/>
      <w:r>
        <w:rPr>
          <w:rFonts w:hint="eastAsia" w:ascii="Times New Roman" w:hAnsi="Times New Roman" w:eastAsia="仿宋_GB2312" w:cs="黑体"/>
          <w:color w:val="000000"/>
          <w:kern w:val="0"/>
          <w:sz w:val="32"/>
          <w:szCs w:val="32"/>
          <w:lang w:val="en-US" w:eastAsia="zh-CN" w:bidi="ar-SA"/>
        </w:rPr>
        <w:t>财政拨款收入1065.66万元，占100%</w:t>
      </w:r>
      <w:bookmarkEnd w:id="16"/>
      <w:bookmarkEnd w:id="18"/>
      <w:bookmarkStart w:id="19" w:name="END_INCOME_FSDWSJSR_AMT"/>
      <w:bookmarkEnd w:id="19"/>
      <w:bookmarkStart w:id="20" w:name="END_INCOME_JYSR_AMT"/>
      <w:bookmarkEnd w:id="20"/>
      <w:bookmarkStart w:id="21" w:name="START_INCOME_FSDWSJSR_AMT"/>
      <w:bookmarkEnd w:id="21"/>
      <w:bookmarkStart w:id="22" w:name="END_INCOME_SRHJ_AMT"/>
      <w:bookmarkEnd w:id="22"/>
      <w:bookmarkStart w:id="23" w:name="DIS_MARK_INCOME_SJBZSR_AMT"/>
      <w:bookmarkEnd w:id="23"/>
      <w:bookmarkStart w:id="24" w:name="START_INCOME_JYSR_AMT"/>
      <w:bookmarkEnd w:id="24"/>
      <w:bookmarkStart w:id="25" w:name="END_INCOME_CZBKSR_AMT"/>
      <w:bookmarkEnd w:id="25"/>
      <w:bookmarkStart w:id="26" w:name="DIS_MARK_INCOME_FSDWSJSR_AMT"/>
      <w:bookmarkEnd w:id="26"/>
      <w:bookmarkStart w:id="27" w:name="DIS_MARK_INCOME_JYSR_AMT"/>
      <w:bookmarkEnd w:id="27"/>
      <w:bookmarkStart w:id="28" w:name="START_INCOME_SYSR_AMT"/>
      <w:bookmarkEnd w:id="28"/>
      <w:bookmarkStart w:id="29" w:name="END_INCOME_SYSR_AMT"/>
      <w:bookmarkEnd w:id="29"/>
      <w:bookmarkStart w:id="30" w:name="DIS_MARK_INCOME_QTSR_AMT"/>
      <w:bookmarkEnd w:id="30"/>
      <w:bookmarkStart w:id="31" w:name="DIS_MARK_INCOME_SYSR_AMT"/>
      <w:bookmarkEnd w:id="31"/>
      <w:bookmarkStart w:id="32" w:name="END_INCOME_QTSR_AMT"/>
      <w:bookmarkEnd w:id="32"/>
      <w:bookmarkStart w:id="33" w:name="START_INCOME_QTSR_AMT"/>
      <w:bookmarkEnd w:id="33"/>
      <w:bookmarkStart w:id="34" w:name="START_INCOME_SJBZSR_AMT"/>
      <w:bookmarkEnd w:id="34"/>
      <w:bookmarkStart w:id="35" w:name="END_INCOME_SJBZSR_AMT"/>
      <w:bookmarkEnd w:id="35"/>
      <w:r>
        <w:rPr>
          <w:rFonts w:hint="eastAsia" w:ascii="Times New Roman" w:hAnsi="Times New Roman" w:eastAsia="仿宋_GB2312" w:cs="黑体"/>
          <w:color w:val="000000"/>
          <w:kern w:val="0"/>
          <w:sz w:val="32"/>
          <w:szCs w:val="32"/>
          <w:lang w:val="en-US" w:eastAsia="zh-CN" w:bidi="ar-SA"/>
        </w:rPr>
        <w:t>；政府性基金预算财政拨款收入0.00万元，占比0%。</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1065.66</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490.31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46</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项目支出575.35万元，</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54</w:t>
      </w:r>
      <w:r>
        <w:rPr>
          <w:rFonts w:hint="eastAsia" w:ascii="Times New Roman" w:hAnsi="Times New Roman" w:eastAsia="仿宋_GB2312"/>
          <w:sz w:val="32"/>
          <w:szCs w:val="32"/>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年度收入总计</w:t>
      </w:r>
      <w:r>
        <w:rPr>
          <w:rFonts w:hint="eastAsia" w:ascii="Times New Roman" w:hAnsi="Times New Roman" w:eastAsia="仿宋_GB2312"/>
          <w:sz w:val="32"/>
          <w:szCs w:val="32"/>
          <w:lang w:val="en-US" w:eastAsia="zh-CN"/>
        </w:rPr>
        <w:t>1065.66</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增加43.27</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增加4.23</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本年</w:t>
      </w:r>
      <w:r>
        <w:rPr>
          <w:rFonts w:hint="eastAsia" w:ascii="Times New Roman" w:hAnsi="Times New Roman" w:eastAsia="仿宋_GB2312"/>
          <w:sz w:val="32"/>
          <w:szCs w:val="32"/>
          <w:lang w:val="en-US" w:eastAsia="zh-CN"/>
        </w:rPr>
        <w:t>人员增加，</w:t>
      </w:r>
      <w:r>
        <w:rPr>
          <w:rFonts w:hint="eastAsia" w:ascii="Times New Roman" w:hAnsi="Times New Roman" w:eastAsia="仿宋_GB2312"/>
          <w:sz w:val="32"/>
          <w:szCs w:val="32"/>
          <w:lang w:eastAsia="zh-CN"/>
        </w:rPr>
        <w:t>业务活动开支</w:t>
      </w:r>
      <w:r>
        <w:rPr>
          <w:rFonts w:hint="eastAsia" w:ascii="Times New Roman" w:hAnsi="Times New Roman" w:eastAsia="仿宋_GB2312"/>
          <w:sz w:val="32"/>
          <w:szCs w:val="32"/>
          <w:lang w:val="en-US" w:eastAsia="zh-CN"/>
        </w:rPr>
        <w:t>增多</w:t>
      </w:r>
      <w:r>
        <w:rPr>
          <w:rFonts w:hint="eastAsia" w:ascii="Times New Roman" w:hAnsi="Times New Roman" w:eastAsia="仿宋_GB2312"/>
          <w:sz w:val="32"/>
          <w:szCs w:val="32"/>
          <w:lang w:eastAsia="zh-CN"/>
        </w:rPr>
        <w:t>，导致费用</w:t>
      </w:r>
      <w:r>
        <w:rPr>
          <w:rFonts w:hint="eastAsia" w:ascii="Times New Roman" w:hAnsi="Times New Roman" w:eastAsia="仿宋_GB2312"/>
          <w:sz w:val="32"/>
          <w:szCs w:val="32"/>
          <w:lang w:val="en-US" w:eastAsia="zh-CN"/>
        </w:rPr>
        <w:t>增加</w:t>
      </w:r>
      <w:r>
        <w:rPr>
          <w:rFonts w:hint="eastAsia" w:ascii="Times New Roman" w:hAnsi="Times New Roman" w:eastAsia="仿宋_GB2312"/>
          <w:sz w:val="32"/>
          <w:szCs w:val="32"/>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w:t>
      </w:r>
      <w:r>
        <w:rPr>
          <w:rFonts w:hint="eastAsia" w:ascii="Times New Roman" w:hAnsi="Times New Roman" w:eastAsia="仿宋_GB2312"/>
          <w:sz w:val="32"/>
          <w:szCs w:val="32"/>
          <w:lang w:val="en-US" w:eastAsia="zh-CN"/>
        </w:rPr>
        <w:t>支出</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1065.66</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增加43.27</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增加4.23</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本年</w:t>
      </w:r>
      <w:r>
        <w:rPr>
          <w:rFonts w:hint="eastAsia" w:ascii="Times New Roman" w:hAnsi="Times New Roman" w:eastAsia="仿宋_GB2312"/>
          <w:sz w:val="32"/>
          <w:szCs w:val="32"/>
          <w:lang w:val="en-US" w:eastAsia="zh-CN"/>
        </w:rPr>
        <w:t>人员增加，</w:t>
      </w:r>
      <w:r>
        <w:rPr>
          <w:rFonts w:hint="eastAsia" w:ascii="Times New Roman" w:hAnsi="Times New Roman" w:eastAsia="仿宋_GB2312"/>
          <w:sz w:val="32"/>
          <w:szCs w:val="32"/>
          <w:lang w:eastAsia="zh-CN"/>
        </w:rPr>
        <w:t>业务活动开支</w:t>
      </w:r>
      <w:r>
        <w:rPr>
          <w:rFonts w:hint="eastAsia" w:ascii="Times New Roman" w:hAnsi="Times New Roman" w:eastAsia="仿宋_GB2312"/>
          <w:sz w:val="32"/>
          <w:szCs w:val="32"/>
          <w:lang w:val="en-US" w:eastAsia="zh-CN"/>
        </w:rPr>
        <w:t>增多</w:t>
      </w:r>
      <w:r>
        <w:rPr>
          <w:rFonts w:hint="eastAsia" w:ascii="Times New Roman" w:hAnsi="Times New Roman" w:eastAsia="仿宋_GB2312"/>
          <w:sz w:val="32"/>
          <w:szCs w:val="32"/>
          <w:lang w:eastAsia="zh-CN"/>
        </w:rPr>
        <w:t>，导致费用</w:t>
      </w:r>
      <w:r>
        <w:rPr>
          <w:rFonts w:hint="eastAsia" w:ascii="Times New Roman" w:hAnsi="Times New Roman" w:eastAsia="仿宋_GB2312"/>
          <w:sz w:val="32"/>
          <w:szCs w:val="32"/>
          <w:lang w:val="en-US" w:eastAsia="zh-CN"/>
        </w:rPr>
        <w:t>增加</w:t>
      </w:r>
      <w:r>
        <w:rPr>
          <w:rFonts w:hint="eastAsia" w:ascii="Times New Roman" w:hAnsi="Times New Roman" w:eastAsia="仿宋_GB2312"/>
          <w:sz w:val="32"/>
          <w:szCs w:val="32"/>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（一）一般公共预算财政拨款支出决算总体情况</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1065.66</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100.00</w:t>
      </w:r>
      <w:r>
        <w:rPr>
          <w:rFonts w:hint="eastAsia" w:ascii="Times New Roman" w:hAnsi="Times New Roman" w:eastAsia="仿宋_GB2312"/>
          <w:sz w:val="32"/>
          <w:szCs w:val="32"/>
        </w:rPr>
        <w:t>%，与上年相比，财政拨款支出</w:t>
      </w:r>
      <w:r>
        <w:rPr>
          <w:rFonts w:hint="eastAsia" w:ascii="Times New Roman" w:hAnsi="Times New Roman" w:eastAsia="仿宋_GB2312"/>
          <w:sz w:val="32"/>
          <w:szCs w:val="32"/>
          <w:lang w:val="en-US" w:eastAsia="zh-CN"/>
        </w:rPr>
        <w:t>减少182.26</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减少15</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本年业务活动开支</w:t>
      </w:r>
      <w:r>
        <w:rPr>
          <w:rFonts w:hint="eastAsia" w:ascii="Times New Roman" w:hAnsi="Times New Roman" w:eastAsia="仿宋_GB2312"/>
          <w:sz w:val="32"/>
          <w:szCs w:val="32"/>
          <w:lang w:val="en-US" w:eastAsia="zh-CN"/>
        </w:rPr>
        <w:t>减少</w:t>
      </w:r>
      <w:r>
        <w:rPr>
          <w:rFonts w:hint="eastAsia" w:ascii="Times New Roman" w:hAnsi="Times New Roman" w:eastAsia="仿宋_GB2312"/>
          <w:sz w:val="32"/>
          <w:szCs w:val="32"/>
          <w:lang w:eastAsia="zh-CN"/>
        </w:rPr>
        <w:t>，导致费用</w:t>
      </w:r>
      <w:r>
        <w:rPr>
          <w:rFonts w:hint="eastAsia" w:ascii="Times New Roman" w:hAnsi="Times New Roman" w:eastAsia="仿宋_GB2312"/>
          <w:sz w:val="32"/>
          <w:szCs w:val="32"/>
          <w:lang w:val="en-US" w:eastAsia="zh-CN"/>
        </w:rPr>
        <w:t>减少</w:t>
      </w:r>
      <w:r>
        <w:rPr>
          <w:rFonts w:hint="eastAsia" w:ascii="Times New Roman" w:hAnsi="Times New Roman" w:eastAsia="仿宋_GB2312"/>
          <w:sz w:val="32"/>
          <w:szCs w:val="32"/>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（二）一般公共预算财政拨款支出决算结构情况</w:t>
      </w:r>
    </w:p>
    <w:p>
      <w:pPr>
        <w:pStyle w:val="2"/>
        <w:tabs>
          <w:tab w:val="left" w:pos="3864"/>
          <w:tab w:val="left" w:pos="6248"/>
          <w:tab w:val="left" w:pos="7386"/>
        </w:tabs>
        <w:overflowPunct w:val="0"/>
        <w:spacing w:before="1" w:line="360" w:lineRule="auto"/>
        <w:ind w:right="420" w:firstLine="640" w:firstLineChars="200"/>
        <w:rPr>
          <w:rFonts w:hint="default"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2024年度财政拨款支出</w:t>
      </w:r>
      <w:r>
        <w:rPr>
          <w:rFonts w:hint="eastAsia" w:ascii="Times New Roman" w:hAnsi="Times New Roman" w:eastAsia="仿宋_GB2312"/>
          <w:sz w:val="32"/>
          <w:szCs w:val="32"/>
          <w:lang w:val="en-US" w:eastAsia="zh-CN"/>
        </w:rPr>
        <w:t>1065.66</w:t>
      </w:r>
      <w:r>
        <w:rPr>
          <w:rFonts w:hint="eastAsia" w:ascii="Times New Roman" w:hAnsi="Times New Roman" w:eastAsia="仿宋_GB2312" w:cs="黑体"/>
          <w:color w:val="000000"/>
          <w:kern w:val="0"/>
          <w:sz w:val="32"/>
          <w:szCs w:val="32"/>
          <w:lang w:val="en-US" w:eastAsia="zh-CN" w:bidi="ar-SA"/>
        </w:rPr>
        <w:t>万元，</w:t>
      </w:r>
      <w:bookmarkStart w:id="36" w:name="START_PAY_AMT_1"/>
      <w:bookmarkEnd w:id="36"/>
      <w:bookmarkStart w:id="37" w:name="DIS_MARK_PAY_AMT_1"/>
      <w:r>
        <w:rPr>
          <w:rFonts w:hint="eastAsia" w:ascii="Times New Roman" w:hAnsi="Times New Roman" w:eastAsia="仿宋_GB2312" w:cs="黑体"/>
          <w:color w:val="000000"/>
          <w:kern w:val="0"/>
          <w:sz w:val="32"/>
          <w:szCs w:val="32"/>
          <w:lang w:val="en-US" w:eastAsia="zh-CN" w:bidi="ar-SA"/>
        </w:rPr>
        <w:t>主要用于以下方面：一般公共服务支出512.03万元，占比48%；社会保障和就业支出40.18万元，占比4%；农林水支出458.3万元，占比43%；住房保障支出29.3万元，占比3%</w:t>
      </w:r>
      <w:bookmarkEnd w:id="37"/>
      <w:bookmarkStart w:id="38" w:name="END_PAY_ZHFZJYJGLZC_AMT_1"/>
      <w:bookmarkEnd w:id="38"/>
      <w:bookmarkStart w:id="39" w:name="DIS_MARK_PAY_KYTBGZAPDZC_AMT_1"/>
      <w:bookmarkEnd w:id="39"/>
      <w:bookmarkStart w:id="40" w:name="START_PAY_QTZC_AMT_1"/>
      <w:bookmarkEnd w:id="40"/>
      <w:bookmarkStart w:id="41" w:name="START_PAY_KYTBGZAPDZC_AMT_1"/>
      <w:bookmarkEnd w:id="41"/>
      <w:bookmarkStart w:id="42" w:name="END_PAY_QTZC_AMT_1"/>
      <w:bookmarkEnd w:id="42"/>
      <w:bookmarkStart w:id="43" w:name="DIS_MARK_PAY_ZWFXFZC_AMT_1"/>
      <w:bookmarkEnd w:id="43"/>
      <w:bookmarkStart w:id="44" w:name="DIS_MARK_PAY_ZWHBZC_AMT_1"/>
      <w:bookmarkEnd w:id="44"/>
      <w:bookmarkStart w:id="45" w:name="DIS_MARK_PAY_QTZC_AMT_1"/>
      <w:bookmarkEnd w:id="45"/>
      <w:bookmarkStart w:id="46" w:name="END_PAY_ZWHBZC_AMT_1"/>
      <w:bookmarkEnd w:id="46"/>
      <w:bookmarkStart w:id="47" w:name="START_PAY_YBF_AMT_1"/>
      <w:bookmarkEnd w:id="47"/>
      <w:bookmarkStart w:id="48" w:name="END_PAY_YBF_AMT_1"/>
      <w:bookmarkEnd w:id="48"/>
      <w:bookmarkStart w:id="49" w:name="START_PAY_ZYXZCZC_AMT_1"/>
      <w:bookmarkEnd w:id="49"/>
      <w:bookmarkStart w:id="50" w:name="START_PAY_ZWFXFZC_AMT_1"/>
      <w:bookmarkEnd w:id="50"/>
      <w:bookmarkStart w:id="51" w:name="DIS_MARK_PAY_ZWFXZC_AMT_1"/>
      <w:bookmarkEnd w:id="51"/>
      <w:bookmarkStart w:id="52" w:name="START_PAY_ZWHBZC_AMT_1"/>
      <w:bookmarkEnd w:id="52"/>
      <w:bookmarkStart w:id="53" w:name="START_PAY_ZWFXZC_AMT_1"/>
      <w:bookmarkEnd w:id="53"/>
      <w:bookmarkStart w:id="54" w:name="END_PAY_AMT_1"/>
      <w:bookmarkEnd w:id="54"/>
      <w:bookmarkStart w:id="55" w:name="END_PAY_KYTBGZAPDZC_AMT_1"/>
      <w:bookmarkEnd w:id="55"/>
      <w:bookmarkStart w:id="56" w:name="END_PAY_ZWFXFZC_AMT_1"/>
      <w:bookmarkEnd w:id="56"/>
      <w:bookmarkStart w:id="57" w:name="END_PAY_ZYXZCZC_AMT_1"/>
      <w:bookmarkEnd w:id="57"/>
      <w:bookmarkStart w:id="58" w:name="DIS_MARK_PAY_YBF_AMT_1"/>
      <w:bookmarkEnd w:id="58"/>
      <w:bookmarkStart w:id="59" w:name="END_PAY_ZWFXZC_AMT_1"/>
      <w:bookmarkEnd w:id="59"/>
      <w:bookmarkStart w:id="60" w:name="DIS_MARK_PAY_ZYXZCZC_AMT_1"/>
      <w:bookmarkEnd w:id="60"/>
      <w:r>
        <w:rPr>
          <w:rFonts w:hint="eastAsia" w:ascii="Times New Roman" w:hAnsi="Times New Roman" w:eastAsia="仿宋_GB2312" w:cs="黑体"/>
          <w:color w:val="000000"/>
          <w:kern w:val="0"/>
          <w:sz w:val="32"/>
          <w:szCs w:val="32"/>
          <w:lang w:val="en-US" w:eastAsia="zh-CN" w:bidi="ar-SA"/>
        </w:rPr>
        <w:t>；灾害防治及应急管理支出4.0万元，占比0.37%。</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（三）一般公共预算财政拨款支出决算具体情况</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1065.66</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1065.66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100.00</w:t>
      </w:r>
      <w:r>
        <w:rPr>
          <w:rFonts w:hint="eastAsia" w:ascii="Times New Roman" w:hAnsi="Times New Roman" w:eastAsia="仿宋_GB2312"/>
          <w:sz w:val="32"/>
          <w:szCs w:val="32"/>
        </w:rPr>
        <w:t>%，其中：</w:t>
      </w:r>
      <w:bookmarkStart w:id="191" w:name="_GoBack"/>
      <w:bookmarkEnd w:id="191"/>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1、一般公共服务支出（类）人大事务（款）代表工作（项）。</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年初预算为1.7万元，支出决算为1.7万元，完成年初预算的100%。</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bookmarkStart w:id="61" w:name="LKX_BM"/>
      <w:r>
        <w:rPr>
          <w:rFonts w:hint="eastAsia" w:ascii="Times New Roman" w:hAnsi="Times New Roman" w:eastAsia="仿宋_GB2312" w:cs="黑体"/>
          <w:color w:val="000000"/>
          <w:kern w:val="0"/>
          <w:sz w:val="32"/>
          <w:szCs w:val="32"/>
          <w:lang w:val="en-US" w:eastAsia="zh-CN" w:bidi="ar-SA"/>
        </w:rPr>
        <w:t>2、一般公共服务支出（类）人大事务（款）其他人大事务支出（项）。</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年初预算为5.00万元，支出决算为5.00万元，完成年初预算的100%。</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3、一般公共服务支出（类）政府办公厅（室）及相关机构事务（款）行政运行（项）。</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年初预算为381.37万元，支出决算为381.37万元，完成年初预算的100%。</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4、一般公共服务支出（类）政府办公厅（室）及相关机构事务（款）其他政府办公厅（室）及相关机构事务支出（项）。</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年初预算为188.07万元，支出决算为188.07万元，完成年初预算的100%。</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5、一般公共服务支出（类）纪检监察事务（款）其他纪检监察事务支出（项）。</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年初预算为6万元，支出决算为6万元，完成年初预算的100%。</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6、一般公共服务支出（类）群众团体事务（款）其他群众团体事务支出（项）。</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年初预算为5.27万元，支出决算为5.27万元，完成年初预算的100%。</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7、一般公共服务支出（类）其他一般公共服务支出（款）其他一般公共服务支出（项）。</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年初预算为2.06万元，支出决算为2.06万元，完成年初预算的100%。</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8、社会保障和就业支出（类）人力资源和社会保障管理事务（款）社会保险业务管理事务（项）。</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年初预算为2.20万元，支出决算为2.20万元，完成年初预算的100%。</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9、社会保障和就业支出（类）抚恤（款）死亡抚恤（项）。</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年初预算为7.22万元，支出决算为7.22万元，完成年初预算的100%。</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10、城乡社区支出（类）城乡社区公共设施（款）小城镇基础设施建设（项）。</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年初预算为8万元，支出决算为8万元，完成年初预算的100%。</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11、农林水支出（类）巩固脱贫衔接乡村振兴（款）其他巩固脱贫衔接乡村振兴支出（项）。</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年初预算为133.05万元，支出决算为133.05万元，完成年初预算的100%。</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12、农林水支出（类）农村综合改革（款）对村级公益事业建设的补助（项）。</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年初预算为25.2万元，支出决算为25.2万元，完成年初预算的100%。</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13、农林水支出（类）农村综合改革（款）对村民委员会和村党支部的补助（项）。</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年初预算为212.1万元，支出决算为212.1万元，完成年初预算的100%。</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14、灾害防治及应急管理支出（类）消防救援事务（款）其他消防救援事务支出（项）。</w:t>
      </w:r>
    </w:p>
    <w:p>
      <w:pPr>
        <w:pStyle w:val="2"/>
        <w:tabs>
          <w:tab w:val="left" w:pos="3864"/>
          <w:tab w:val="left" w:pos="6248"/>
          <w:tab w:val="left" w:pos="7386"/>
        </w:tabs>
        <w:overflowPunct w:val="0"/>
        <w:spacing w:before="1" w:line="360" w:lineRule="auto"/>
        <w:ind w:right="420" w:firstLine="640" w:firstLineChars="200"/>
        <w:rPr>
          <w:rFonts w:hint="eastAsia"/>
          <w:lang w:val="en-US" w:eastAsia="zh-CN"/>
        </w:rPr>
      </w:pPr>
      <w:r>
        <w:rPr>
          <w:rFonts w:hint="eastAsia" w:ascii="Times New Roman" w:hAnsi="Times New Roman" w:eastAsia="仿宋_GB2312" w:cs="黑体"/>
          <w:color w:val="000000"/>
          <w:kern w:val="0"/>
          <w:sz w:val="32"/>
          <w:szCs w:val="32"/>
          <w:lang w:val="en-US" w:eastAsia="zh-CN" w:bidi="ar-SA"/>
        </w:rPr>
        <w:t>年初预算为2.0万元，支出决算为2.0万元，完成年初预算的100%。</w:t>
      </w:r>
    </w:p>
    <w:bookmarkEnd w:id="61"/>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490.31</w:t>
      </w:r>
      <w:r>
        <w:rPr>
          <w:rFonts w:hint="eastAsia" w:ascii="Times New Roman" w:hAnsi="Times New Roman" w:eastAsia="仿宋_GB2312"/>
          <w:sz w:val="32"/>
          <w:szCs w:val="32"/>
        </w:rPr>
        <w:t>万元，其中：</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人员经费</w:t>
      </w:r>
      <w:r>
        <w:rPr>
          <w:rFonts w:hint="eastAsia" w:ascii="Times New Roman" w:hAnsi="Times New Roman" w:eastAsia="仿宋_GB2312"/>
          <w:sz w:val="32"/>
          <w:szCs w:val="32"/>
          <w:lang w:val="en-US" w:eastAsia="zh-CN"/>
        </w:rPr>
        <w:t>464.55</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88.39</w:t>
      </w:r>
      <w:r>
        <w:rPr>
          <w:rFonts w:hint="eastAsia" w:ascii="Times New Roman" w:hAnsi="Times New Roman" w:eastAsia="仿宋_GB2312"/>
          <w:sz w:val="32"/>
          <w:szCs w:val="32"/>
        </w:rPr>
        <w:t>%，主要包括：基本工资、津贴补贴、奖金、伙食补助费、机关事业单位基本养老保险缴费、职业年金缴费、职工基本医疗保险缴费、其他社会保障缴费、住房公积金、退休费、抚恤金、生活补助、救济费、奖励金、其他对个人和家庭的补助</w:t>
      </w:r>
      <w:r>
        <w:rPr>
          <w:rFonts w:hint="eastAsia" w:ascii="Times New Roman" w:hAnsi="Times New Roman" w:eastAsia="仿宋_GB2312"/>
          <w:sz w:val="32"/>
          <w:szCs w:val="32"/>
          <w:lang w:eastAsia="zh-CN"/>
        </w:rPr>
        <w:t>等</w:t>
      </w:r>
      <w:r>
        <w:rPr>
          <w:rFonts w:hint="eastAsia" w:ascii="Times New Roman" w:hAnsi="Times New Roman" w:eastAsia="仿宋_GB2312"/>
          <w:sz w:val="32"/>
          <w:szCs w:val="32"/>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公用经费</w:t>
      </w:r>
      <w:r>
        <w:rPr>
          <w:rFonts w:hint="eastAsia" w:ascii="Times New Roman" w:hAnsi="Times New Roman" w:eastAsia="仿宋_GB2312"/>
          <w:sz w:val="32"/>
          <w:szCs w:val="32"/>
          <w:lang w:val="en-US" w:eastAsia="zh-CN"/>
        </w:rPr>
        <w:t>61.00</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11.61</w:t>
      </w:r>
      <w:r>
        <w:rPr>
          <w:rFonts w:hint="eastAsia" w:ascii="Times New Roman" w:hAnsi="Times New Roman" w:eastAsia="仿宋_GB2312"/>
          <w:sz w:val="32"/>
          <w:szCs w:val="32"/>
        </w:rPr>
        <w:t>%，主要包括：办公费、印刷费、咨询费、水费、电费、邮电费、物业管理费、差旅费、维修（护）费、会议费、培训费、公务接待费、劳务费、委托业务费、工会经费、福利费、公务用车运行维护费、其他商品和服务支出</w:t>
      </w:r>
      <w:r>
        <w:rPr>
          <w:rFonts w:hint="eastAsia" w:ascii="Times New Roman" w:hAnsi="Times New Roman" w:eastAsia="仿宋_GB2312"/>
          <w:sz w:val="32"/>
          <w:szCs w:val="32"/>
          <w:lang w:eastAsia="zh-CN"/>
        </w:rPr>
        <w:t>等</w:t>
      </w:r>
      <w:r>
        <w:rPr>
          <w:rFonts w:hint="eastAsia" w:ascii="Times New Roman" w:hAnsi="Times New Roman" w:eastAsia="仿宋_GB2312"/>
          <w:sz w:val="32"/>
          <w:szCs w:val="32"/>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“三公”经费财政拨款支出预算为12.5万元，支出决算为7.82万元，</w:t>
      </w:r>
      <w:bookmarkStart w:id="62" w:name="START_THERR_CZBK_BGT_AMT"/>
      <w:bookmarkEnd w:id="62"/>
      <w:bookmarkStart w:id="63" w:name="DIS_MARK_THERR_CZBK_BGT_AMT"/>
      <w:r>
        <w:rPr>
          <w:rFonts w:hint="eastAsia" w:ascii="Times New Roman" w:hAnsi="Times New Roman" w:eastAsia="仿宋_GB2312" w:cs="黑体"/>
          <w:color w:val="000000"/>
          <w:kern w:val="0"/>
          <w:sz w:val="32"/>
          <w:szCs w:val="32"/>
          <w:lang w:val="en-US" w:eastAsia="zh-CN" w:bidi="ar-SA"/>
        </w:rPr>
        <w:t>完成预算的40.18.56%，</w:t>
      </w:r>
      <w:bookmarkEnd w:id="63"/>
      <w:bookmarkStart w:id="64" w:name="END_THERR_CZBK_BGT_AMT"/>
      <w:bookmarkEnd w:id="64"/>
      <w:r>
        <w:rPr>
          <w:rFonts w:hint="eastAsia" w:ascii="Times New Roman" w:hAnsi="Times New Roman" w:eastAsia="仿宋_GB2312" w:cs="黑体"/>
          <w:color w:val="000000"/>
          <w:kern w:val="0"/>
          <w:sz w:val="32"/>
          <w:szCs w:val="32"/>
          <w:lang w:val="en-US" w:eastAsia="zh-CN" w:bidi="ar-SA"/>
        </w:rPr>
        <w:t>其中：</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因公出国（境）费支出预算为</w:t>
      </w:r>
      <w:bookmarkStart w:id="65" w:name="THERR_CZBK_YGCGJFY_BGT_AMT"/>
      <w:r>
        <w:rPr>
          <w:rFonts w:hint="eastAsia" w:ascii="Times New Roman" w:hAnsi="Times New Roman" w:eastAsia="仿宋_GB2312" w:cs="黑体"/>
          <w:color w:val="000000"/>
          <w:kern w:val="0"/>
          <w:sz w:val="32"/>
          <w:szCs w:val="32"/>
          <w:lang w:val="en-US" w:eastAsia="zh-CN" w:bidi="ar-SA"/>
        </w:rPr>
        <w:t>0.00</w:t>
      </w:r>
      <w:bookmarkEnd w:id="65"/>
      <w:r>
        <w:rPr>
          <w:rFonts w:hint="eastAsia" w:ascii="Times New Roman" w:hAnsi="Times New Roman" w:eastAsia="仿宋_GB2312" w:cs="黑体"/>
          <w:color w:val="000000"/>
          <w:kern w:val="0"/>
          <w:sz w:val="32"/>
          <w:szCs w:val="32"/>
          <w:lang w:val="en-US" w:eastAsia="zh-CN" w:bidi="ar-SA"/>
        </w:rPr>
        <w:t>万元，支出决算为</w:t>
      </w:r>
      <w:bookmarkStart w:id="66" w:name="THERR_CZBK_YGCGJFY_FINAL_ACCOUNTS_AMT"/>
      <w:r>
        <w:rPr>
          <w:rFonts w:hint="eastAsia" w:ascii="Times New Roman" w:hAnsi="Times New Roman" w:eastAsia="仿宋_GB2312" w:cs="黑体"/>
          <w:color w:val="000000"/>
          <w:kern w:val="0"/>
          <w:sz w:val="32"/>
          <w:szCs w:val="32"/>
          <w:lang w:val="en-US" w:eastAsia="zh-CN" w:bidi="ar-SA"/>
        </w:rPr>
        <w:t>0.00</w:t>
      </w:r>
      <w:bookmarkEnd w:id="66"/>
      <w:r>
        <w:rPr>
          <w:rFonts w:hint="eastAsia" w:ascii="Times New Roman" w:hAnsi="Times New Roman" w:eastAsia="仿宋_GB2312" w:cs="黑体"/>
          <w:color w:val="000000"/>
          <w:kern w:val="0"/>
          <w:sz w:val="32"/>
          <w:szCs w:val="32"/>
          <w:lang w:val="en-US" w:eastAsia="zh-CN" w:bidi="ar-SA"/>
        </w:rPr>
        <w:t>万元，</w:t>
      </w:r>
      <w:bookmarkStart w:id="67" w:name="DIS_MARK_THERR_CZBK_YGCGJFY_FINAL_BGT_DB"/>
      <w:bookmarkEnd w:id="67"/>
      <w:bookmarkStart w:id="68" w:name="START_THERR_CZBK_YGCGJFY_FINAL_BGT_DB1"/>
      <w:bookmarkEnd w:id="68"/>
      <w:bookmarkStart w:id="69" w:name="END_THERR_CZBK_YGCGJFY_BGT_AMT"/>
      <w:bookmarkEnd w:id="69"/>
      <w:bookmarkStart w:id="70" w:name="START_THERR_CZBK_YGCGJFY_FINAL_BGT_DB"/>
      <w:bookmarkEnd w:id="70"/>
      <w:bookmarkStart w:id="71" w:name="START_THERR_CZBK_YGCGJFY_BGT_AMT"/>
      <w:bookmarkEnd w:id="71"/>
      <w:bookmarkStart w:id="72" w:name="END_THERR_CZBK_YGCGJFY_FINAL_BGT_DB"/>
      <w:bookmarkEnd w:id="72"/>
      <w:bookmarkStart w:id="73" w:name="DIS_MARK_THERR_CZBK_YGCGJFY_BGT_AMT"/>
      <w:bookmarkEnd w:id="73"/>
      <w:r>
        <w:rPr>
          <w:rFonts w:hint="eastAsia" w:ascii="Times New Roman" w:hAnsi="Times New Roman" w:eastAsia="仿宋_GB2312" w:cs="黑体"/>
          <w:color w:val="000000"/>
          <w:kern w:val="0"/>
          <w:sz w:val="32"/>
          <w:szCs w:val="32"/>
          <w:lang w:val="en-US" w:eastAsia="zh-CN" w:bidi="ar-SA"/>
        </w:rPr>
        <w:t>与本年预算数相同，</w:t>
      </w:r>
      <w:bookmarkStart w:id="74" w:name="END_THERR_CZBK_YGCGJFY_FINAL_BGT_DB1"/>
      <w:bookmarkEnd w:id="74"/>
      <w:bookmarkStart w:id="75" w:name="IS_ZERO_01"/>
      <w:bookmarkEnd w:id="75"/>
      <w:bookmarkStart w:id="76" w:name="END_IS_ZERO_01_1"/>
      <w:bookmarkEnd w:id="76"/>
      <w:bookmarkStart w:id="77" w:name="DIS_MARK_IS_ZERO_01_1"/>
      <w:bookmarkEnd w:id="77"/>
      <w:bookmarkStart w:id="78" w:name="START_IS_ZERO_01_2"/>
      <w:bookmarkEnd w:id="78"/>
      <w:bookmarkStart w:id="79" w:name="START_IS_ZERO_01_1"/>
      <w:bookmarkEnd w:id="79"/>
      <w:bookmarkStart w:id="80" w:name="DIS_MARK_IS_ZERO_01_2"/>
      <w:r>
        <w:rPr>
          <w:rFonts w:hint="eastAsia" w:ascii="Times New Roman" w:hAnsi="Times New Roman" w:eastAsia="仿宋_GB2312" w:cs="黑体"/>
          <w:color w:val="000000"/>
          <w:kern w:val="0"/>
          <w:sz w:val="32"/>
          <w:szCs w:val="32"/>
          <w:lang w:val="en-US" w:eastAsia="zh-CN" w:bidi="ar-SA"/>
        </w:rPr>
        <w:t>与上年决算数相同。</w:t>
      </w:r>
      <w:bookmarkEnd w:id="80"/>
      <w:bookmarkStart w:id="81" w:name="END_IS_ZERO_01_2"/>
      <w:bookmarkEnd w:id="81"/>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公务接待费支出预算为8万元，支出决算为3万元，</w:t>
      </w:r>
      <w:bookmarkStart w:id="82" w:name="START_THERR_CZBK_GWJDF_BGT_AMT"/>
      <w:bookmarkEnd w:id="82"/>
      <w:bookmarkStart w:id="83" w:name="DIS_MARK_THERR_CZBK_GWJDF_BGT_AMT"/>
      <w:r>
        <w:rPr>
          <w:rFonts w:hint="eastAsia" w:ascii="Times New Roman" w:hAnsi="Times New Roman" w:eastAsia="仿宋_GB2312" w:cs="黑体"/>
          <w:color w:val="000000"/>
          <w:kern w:val="0"/>
          <w:sz w:val="32"/>
          <w:szCs w:val="32"/>
          <w:lang w:val="en-US" w:eastAsia="zh-CN" w:bidi="ar-SA"/>
        </w:rPr>
        <w:t>完成预算的37.50%</w:t>
      </w:r>
      <w:bookmarkEnd w:id="83"/>
      <w:bookmarkStart w:id="84" w:name="START_THERR_CZBK_GWJDF_FINAL_BGT_DB1"/>
      <w:bookmarkEnd w:id="84"/>
      <w:bookmarkStart w:id="85" w:name="DIS_MARK_THERR_CZBK_GWJDF_FINAL_BGT_DB"/>
      <w:bookmarkEnd w:id="85"/>
      <w:bookmarkStart w:id="86" w:name="START_THERR_CZBK_GWJDF_FINAL_BGT_DB"/>
      <w:bookmarkEnd w:id="86"/>
      <w:bookmarkStart w:id="87" w:name="END_THERR_CZBK_GWJDF_BGT_AMT"/>
      <w:bookmarkEnd w:id="87"/>
      <w:bookmarkStart w:id="88" w:name="END_THERR_CZBK_GWJDF_FINAL_BGT_DB"/>
      <w:bookmarkEnd w:id="88"/>
      <w:bookmarkStart w:id="89" w:name="DIS_MARK_THERR_CZBK_GWJDF_FINAL_BGT_DB1"/>
      <w:r>
        <w:rPr>
          <w:rFonts w:hint="eastAsia" w:ascii="Times New Roman" w:hAnsi="Times New Roman" w:eastAsia="仿宋_GB2312" w:cs="黑体"/>
          <w:color w:val="000000"/>
          <w:kern w:val="0"/>
          <w:sz w:val="32"/>
          <w:szCs w:val="32"/>
          <w:lang w:val="en-US" w:eastAsia="zh-CN" w:bidi="ar-SA"/>
        </w:rPr>
        <w:t>，</w:t>
      </w:r>
      <w:bookmarkEnd w:id="89"/>
      <w:bookmarkStart w:id="90" w:name="START_IS_ZERO_02_1"/>
      <w:bookmarkEnd w:id="90"/>
      <w:bookmarkStart w:id="91" w:name="IS_ZERO_02"/>
      <w:bookmarkEnd w:id="91"/>
      <w:bookmarkStart w:id="92" w:name="END_THERR_CZBK_GWJDF_FINAL_BGT_DB1"/>
      <w:bookmarkEnd w:id="92"/>
      <w:bookmarkStart w:id="93" w:name="DIS_MARK_IS_ZERO_02_1"/>
      <w:r>
        <w:rPr>
          <w:rFonts w:hint="eastAsia" w:ascii="Times New Roman" w:hAnsi="Times New Roman" w:eastAsia="仿宋_GB2312" w:cs="黑体"/>
          <w:color w:val="000000"/>
          <w:kern w:val="0"/>
          <w:sz w:val="32"/>
          <w:szCs w:val="32"/>
          <w:lang w:val="en-US" w:eastAsia="zh-CN" w:bidi="ar-SA"/>
        </w:rPr>
        <w:t>与上年相比减少1万元，</w:t>
      </w:r>
      <w:bookmarkStart w:id="94" w:name="START_IS_ZERO_THERR_02_1"/>
      <w:bookmarkEnd w:id="94"/>
      <w:bookmarkStart w:id="95" w:name="IS_ZERO_THERR_02"/>
      <w:bookmarkEnd w:id="95"/>
      <w:bookmarkStart w:id="96" w:name="DIS_MARK_IS_ZERO_THERR_02_1"/>
      <w:r>
        <w:rPr>
          <w:rFonts w:hint="eastAsia" w:ascii="Times New Roman" w:hAnsi="Times New Roman" w:eastAsia="仿宋_GB2312" w:cs="黑体"/>
          <w:color w:val="000000"/>
          <w:kern w:val="0"/>
          <w:sz w:val="32"/>
          <w:szCs w:val="32"/>
          <w:lang w:val="en-US" w:eastAsia="zh-CN" w:bidi="ar-SA"/>
        </w:rPr>
        <w:t>减少25%，</w:t>
      </w:r>
      <w:bookmarkEnd w:id="96"/>
      <w:bookmarkStart w:id="97" w:name="DIS_MARK_IS_ZERO_THERR_02_2"/>
      <w:bookmarkEnd w:id="97"/>
      <w:bookmarkStart w:id="98" w:name="END_IS_ZERO_THERR_02_1"/>
      <w:bookmarkEnd w:id="98"/>
      <w:bookmarkStart w:id="99" w:name="END_IS_ZERO_THERR_02_2"/>
      <w:bookmarkEnd w:id="99"/>
      <w:bookmarkStart w:id="100" w:name="START_IS_ZERO_THERR_02_2"/>
      <w:bookmarkEnd w:id="100"/>
      <w:r>
        <w:rPr>
          <w:rFonts w:hint="eastAsia" w:ascii="Times New Roman" w:hAnsi="Times New Roman" w:eastAsia="仿宋_GB2312" w:cs="黑体"/>
          <w:color w:val="000000"/>
          <w:kern w:val="0"/>
          <w:sz w:val="32"/>
          <w:szCs w:val="32"/>
          <w:lang w:val="en-US" w:eastAsia="zh-CN" w:bidi="ar-SA"/>
        </w:rPr>
        <w:t>减少的主要原因是</w:t>
      </w:r>
      <w:r>
        <w:rPr>
          <w:rFonts w:hint="eastAsia" w:ascii="Times New Roman" w:hAnsi="Times New Roman" w:eastAsia="仿宋_GB2312"/>
          <w:sz w:val="32"/>
          <w:szCs w:val="32"/>
          <w:lang w:eastAsia="zh-CN"/>
        </w:rPr>
        <w:t>本年业务活动开支</w:t>
      </w:r>
      <w:r>
        <w:rPr>
          <w:rFonts w:hint="eastAsia" w:ascii="Times New Roman" w:hAnsi="Times New Roman" w:eastAsia="仿宋_GB2312"/>
          <w:sz w:val="32"/>
          <w:szCs w:val="32"/>
          <w:lang w:val="en-US" w:eastAsia="zh-CN"/>
        </w:rPr>
        <w:t>减少</w:t>
      </w:r>
      <w:r>
        <w:rPr>
          <w:rFonts w:hint="eastAsia" w:ascii="Times New Roman" w:hAnsi="Times New Roman" w:eastAsia="仿宋_GB2312"/>
          <w:sz w:val="32"/>
          <w:szCs w:val="32"/>
          <w:lang w:eastAsia="zh-CN"/>
        </w:rPr>
        <w:t>，导致费用</w:t>
      </w:r>
      <w:r>
        <w:rPr>
          <w:rFonts w:hint="eastAsia" w:ascii="Times New Roman" w:hAnsi="Times New Roman" w:eastAsia="仿宋_GB2312"/>
          <w:sz w:val="32"/>
          <w:szCs w:val="32"/>
          <w:lang w:val="en-US" w:eastAsia="zh-CN"/>
        </w:rPr>
        <w:t>减少</w:t>
      </w:r>
      <w:r>
        <w:rPr>
          <w:rFonts w:hint="eastAsia" w:ascii="Times New Roman" w:hAnsi="Times New Roman" w:eastAsia="仿宋_GB2312" w:cs="黑体"/>
          <w:color w:val="000000"/>
          <w:kern w:val="0"/>
          <w:sz w:val="32"/>
          <w:szCs w:val="32"/>
          <w:lang w:val="en-US" w:eastAsia="zh-CN" w:bidi="ar-SA"/>
        </w:rPr>
        <w:t>。</w:t>
      </w:r>
      <w:bookmarkEnd w:id="93"/>
      <w:bookmarkStart w:id="101" w:name="END_IS_ZERO_02_2"/>
      <w:bookmarkEnd w:id="101"/>
      <w:bookmarkStart w:id="102" w:name="DIS_MARK_IS_ZERO_02_2"/>
      <w:bookmarkEnd w:id="102"/>
      <w:bookmarkStart w:id="103" w:name="END_IS_ZERO_02_1"/>
      <w:bookmarkEnd w:id="103"/>
      <w:bookmarkStart w:id="104" w:name="START_IS_ZERO_02_2"/>
      <w:bookmarkEnd w:id="104"/>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公务用车运行维护费支出预算为4.5万元，支出决算为4.82万元，</w:t>
      </w:r>
      <w:bookmarkStart w:id="105" w:name="START_THERR_CZBK_GWYCGZJYXW_BGT_AMT"/>
      <w:bookmarkEnd w:id="105"/>
      <w:bookmarkStart w:id="106" w:name="DIS_MARK_THERR_CZBK_GWYCGZJYXW_BGT_AMT"/>
      <w:r>
        <w:rPr>
          <w:rFonts w:hint="eastAsia" w:ascii="Times New Roman" w:hAnsi="Times New Roman" w:eastAsia="仿宋_GB2312" w:cs="黑体"/>
          <w:color w:val="000000"/>
          <w:kern w:val="0"/>
          <w:sz w:val="32"/>
          <w:szCs w:val="32"/>
          <w:lang w:val="en-US" w:eastAsia="zh-CN" w:bidi="ar-SA"/>
        </w:rPr>
        <w:t>完成预算的</w:t>
      </w:r>
      <w:bookmarkStart w:id="107" w:name="THERR_CZBK_GWYCGZJYXW_BGT_AMT_BL"/>
      <w:r>
        <w:rPr>
          <w:rFonts w:hint="eastAsia" w:ascii="Times New Roman" w:hAnsi="Times New Roman" w:eastAsia="仿宋_GB2312" w:cs="黑体"/>
          <w:color w:val="000000"/>
          <w:kern w:val="0"/>
          <w:sz w:val="32"/>
          <w:szCs w:val="32"/>
          <w:lang w:val="en-US" w:eastAsia="zh-CN" w:bidi="ar-SA"/>
        </w:rPr>
        <w:t>1</w:t>
      </w:r>
      <w:bookmarkEnd w:id="107"/>
      <w:r>
        <w:rPr>
          <w:rFonts w:hint="eastAsia" w:ascii="Times New Roman" w:hAnsi="Times New Roman" w:eastAsia="仿宋_GB2312" w:cs="黑体"/>
          <w:color w:val="000000"/>
          <w:kern w:val="0"/>
          <w:sz w:val="32"/>
          <w:szCs w:val="32"/>
          <w:lang w:val="en-US" w:eastAsia="zh-CN" w:bidi="ar-SA"/>
        </w:rPr>
        <w:t>07.11%，</w:t>
      </w:r>
      <w:bookmarkEnd w:id="106"/>
      <w:bookmarkStart w:id="108" w:name="END_IS_ZERO_THERR_03_2"/>
      <w:bookmarkEnd w:id="108"/>
      <w:bookmarkStart w:id="109" w:name="START_THERR_CZBK_GWYCGZJYXW_FINAL_BGT_D"/>
      <w:bookmarkEnd w:id="109"/>
      <w:bookmarkStart w:id="110" w:name="IS_ZERO_03"/>
      <w:bookmarkEnd w:id="110"/>
      <w:bookmarkStart w:id="111" w:name="END_THERR_CZBK_GWYCGZJYXW_FINAL_BGT_DB"/>
      <w:bookmarkEnd w:id="111"/>
      <w:bookmarkStart w:id="112" w:name="START_IS_ZERO_03_1"/>
      <w:bookmarkEnd w:id="112"/>
      <w:bookmarkStart w:id="113" w:name="START_THERR_CZBK_GWYCGZJYXW_FINAL_BGT_DB"/>
      <w:bookmarkEnd w:id="113"/>
      <w:bookmarkStart w:id="114" w:name="START_IS_ZERO_THERR_03_2"/>
      <w:bookmarkEnd w:id="114"/>
      <w:bookmarkStart w:id="115" w:name="END_THERR_CZBK_GWYCGZJYXW_BGT_AMT"/>
      <w:bookmarkEnd w:id="115"/>
      <w:bookmarkStart w:id="116" w:name="DIS_MARK_IS_ZERO_THERR_03_2"/>
      <w:bookmarkEnd w:id="116"/>
      <w:bookmarkStart w:id="117" w:name="DIS_MARK_THERR_CZBK_GWYCGZJYXW_FINAL_BGT"/>
      <w:bookmarkEnd w:id="117"/>
      <w:bookmarkStart w:id="118" w:name="END_THERR_CZBK_GWYCGZJYXW_FINAL_BGT_D"/>
      <w:bookmarkEnd w:id="118"/>
      <w:bookmarkStart w:id="119" w:name="END_IS_ZERO_THERR_03_1"/>
      <w:bookmarkEnd w:id="119"/>
      <w:bookmarkStart w:id="120" w:name="THERR_CZBK_GWYCG_FINAL_ACCOUNTS_AMT_DB"/>
      <w:bookmarkStart w:id="121" w:name="DIS_MARK_IS_ZERO_03_1"/>
      <w:r>
        <w:rPr>
          <w:rFonts w:hint="eastAsia" w:ascii="Times New Roman" w:hAnsi="Times New Roman" w:eastAsia="仿宋_GB2312" w:cs="黑体"/>
          <w:color w:val="000000"/>
          <w:kern w:val="0"/>
          <w:sz w:val="32"/>
          <w:szCs w:val="32"/>
          <w:lang w:val="en-US" w:eastAsia="zh-CN" w:bidi="ar-SA"/>
        </w:rPr>
        <w:t>与上年相比减少0.3万元，减少5.90%，</w:t>
      </w:r>
      <w:bookmarkEnd w:id="120"/>
      <w:bookmarkEnd w:id="121"/>
      <w:r>
        <w:rPr>
          <w:rFonts w:hint="eastAsia" w:ascii="Times New Roman" w:hAnsi="Times New Roman" w:eastAsia="仿宋_GB2312" w:cs="黑体"/>
          <w:color w:val="000000"/>
          <w:kern w:val="0"/>
          <w:sz w:val="32"/>
          <w:szCs w:val="32"/>
          <w:lang w:val="en-US" w:eastAsia="zh-CN" w:bidi="ar-SA"/>
        </w:rPr>
        <w:t>减少的主要原因是</w:t>
      </w:r>
      <w:r>
        <w:rPr>
          <w:rFonts w:hint="eastAsia" w:ascii="Times New Roman" w:hAnsi="Times New Roman" w:eastAsia="仿宋_GB2312"/>
          <w:sz w:val="32"/>
          <w:szCs w:val="32"/>
          <w:lang w:eastAsia="zh-CN"/>
        </w:rPr>
        <w:t>本年业务活动开支</w:t>
      </w:r>
      <w:r>
        <w:rPr>
          <w:rFonts w:hint="eastAsia" w:ascii="Times New Roman" w:hAnsi="Times New Roman" w:eastAsia="仿宋_GB2312"/>
          <w:sz w:val="32"/>
          <w:szCs w:val="32"/>
          <w:lang w:val="en-US" w:eastAsia="zh-CN"/>
        </w:rPr>
        <w:t>减少</w:t>
      </w:r>
      <w:r>
        <w:rPr>
          <w:rFonts w:hint="eastAsia" w:ascii="Times New Roman" w:hAnsi="Times New Roman" w:eastAsia="仿宋_GB2312"/>
          <w:sz w:val="32"/>
          <w:szCs w:val="32"/>
          <w:lang w:eastAsia="zh-CN"/>
        </w:rPr>
        <w:t>，导致费用</w:t>
      </w:r>
      <w:r>
        <w:rPr>
          <w:rFonts w:hint="eastAsia" w:ascii="Times New Roman" w:hAnsi="Times New Roman" w:eastAsia="仿宋_GB2312"/>
          <w:sz w:val="32"/>
          <w:szCs w:val="32"/>
          <w:lang w:val="en-US" w:eastAsia="zh-CN"/>
        </w:rPr>
        <w:t>减少</w:t>
      </w:r>
      <w:r>
        <w:rPr>
          <w:rFonts w:hint="eastAsia" w:ascii="Times New Roman" w:hAnsi="Times New Roman" w:eastAsia="仿宋_GB2312" w:cs="黑体"/>
          <w:color w:val="000000"/>
          <w:kern w:val="0"/>
          <w:sz w:val="32"/>
          <w:szCs w:val="32"/>
          <w:lang w:val="en-US" w:eastAsia="zh-CN" w:bidi="ar-SA"/>
        </w:rPr>
        <w:t>。</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公务用车购置费支出预算为</w:t>
      </w:r>
      <w:bookmarkStart w:id="122" w:name="THERR_CZBK_GWYC_BGT_AMT"/>
      <w:r>
        <w:rPr>
          <w:rFonts w:hint="eastAsia" w:ascii="Times New Roman" w:hAnsi="Times New Roman" w:eastAsia="仿宋_GB2312" w:cs="黑体"/>
          <w:color w:val="000000"/>
          <w:kern w:val="0"/>
          <w:sz w:val="32"/>
          <w:szCs w:val="32"/>
          <w:lang w:val="en-US" w:eastAsia="zh-CN" w:bidi="ar-SA"/>
        </w:rPr>
        <w:t>0.00</w:t>
      </w:r>
      <w:bookmarkEnd w:id="122"/>
      <w:r>
        <w:rPr>
          <w:rFonts w:hint="eastAsia" w:ascii="Times New Roman" w:hAnsi="Times New Roman" w:eastAsia="仿宋_GB2312" w:cs="黑体"/>
          <w:color w:val="000000"/>
          <w:kern w:val="0"/>
          <w:sz w:val="32"/>
          <w:szCs w:val="32"/>
          <w:lang w:val="en-US" w:eastAsia="zh-CN" w:bidi="ar-SA"/>
        </w:rPr>
        <w:t>万元，支出决算为</w:t>
      </w:r>
      <w:bookmarkStart w:id="123" w:name="THERR_CZBK_GWYC_FINAL_ACCOUNTS_AMT"/>
      <w:r>
        <w:rPr>
          <w:rFonts w:hint="eastAsia" w:ascii="Times New Roman" w:hAnsi="Times New Roman" w:eastAsia="仿宋_GB2312" w:cs="黑体"/>
          <w:color w:val="000000"/>
          <w:kern w:val="0"/>
          <w:sz w:val="32"/>
          <w:szCs w:val="32"/>
          <w:lang w:val="en-US" w:eastAsia="zh-CN" w:bidi="ar-SA"/>
        </w:rPr>
        <w:t>0.00</w:t>
      </w:r>
      <w:bookmarkEnd w:id="123"/>
      <w:r>
        <w:rPr>
          <w:rFonts w:hint="eastAsia" w:ascii="Times New Roman" w:hAnsi="Times New Roman" w:eastAsia="仿宋_GB2312" w:cs="黑体"/>
          <w:color w:val="000000"/>
          <w:kern w:val="0"/>
          <w:sz w:val="32"/>
          <w:szCs w:val="32"/>
          <w:lang w:val="en-US" w:eastAsia="zh-CN" w:bidi="ar-SA"/>
        </w:rPr>
        <w:t>万元，</w:t>
      </w:r>
      <w:bookmarkStart w:id="124" w:name="START_THERR_CZBK_GWYC_FINAL_BGT_D"/>
      <w:bookmarkEnd w:id="124"/>
      <w:bookmarkStart w:id="125" w:name="START_THERR_CZBK_GWYC_FINAL_BGT_DB"/>
      <w:bookmarkEnd w:id="125"/>
      <w:bookmarkStart w:id="126" w:name="END_THERR_CZBK_GWYC_BGT_AMT"/>
      <w:bookmarkEnd w:id="126"/>
      <w:bookmarkStart w:id="127" w:name="START_THERR_CZBK_GWYC_BGT_AMT"/>
      <w:bookmarkEnd w:id="127"/>
      <w:bookmarkStart w:id="128" w:name="DIS_MARK_THERR_CZBK_GWYC_FINAL_BGT_DB"/>
      <w:bookmarkEnd w:id="128"/>
      <w:bookmarkStart w:id="129" w:name="END_THERR_CZBK_GWYC_FINAL_BGT_DB"/>
      <w:bookmarkEnd w:id="129"/>
      <w:bookmarkStart w:id="130" w:name="DIS_MARK_THERR_CZBK_GWYC_BGT_AMT"/>
      <w:bookmarkEnd w:id="130"/>
      <w:bookmarkStart w:id="131" w:name="DIS_MARK_THERR_CZBK_GWYC_FINAL_BGT_D"/>
      <w:r>
        <w:rPr>
          <w:rFonts w:hint="eastAsia" w:ascii="Times New Roman" w:hAnsi="Times New Roman" w:eastAsia="仿宋_GB2312" w:cs="黑体"/>
          <w:color w:val="000000"/>
          <w:kern w:val="0"/>
          <w:sz w:val="32"/>
          <w:szCs w:val="32"/>
          <w:lang w:val="en-US" w:eastAsia="zh-CN" w:bidi="ar-SA"/>
        </w:rPr>
        <w:t>与本年预算数相同，</w:t>
      </w:r>
      <w:bookmarkEnd w:id="131"/>
      <w:bookmarkStart w:id="132" w:name="END_THERR_CZBK_GWYC_FINAL_BGT_D"/>
      <w:bookmarkEnd w:id="132"/>
      <w:bookmarkStart w:id="133" w:name="START_IS_ZERO_14_1"/>
      <w:bookmarkEnd w:id="133"/>
      <w:bookmarkStart w:id="134" w:name="DIS_MARK_IS_ZERO_14_1"/>
      <w:bookmarkEnd w:id="134"/>
      <w:bookmarkStart w:id="135" w:name="END_IS_ZERO_14_1"/>
      <w:bookmarkEnd w:id="135"/>
      <w:bookmarkStart w:id="136" w:name="IS_ZERO_14"/>
      <w:bookmarkEnd w:id="136"/>
      <w:bookmarkStart w:id="137" w:name="START_IS_ZERO_14_2"/>
      <w:bookmarkEnd w:id="137"/>
      <w:bookmarkStart w:id="138" w:name="DIS_MARK_IS_ZERO_14_2"/>
      <w:r>
        <w:rPr>
          <w:rFonts w:hint="eastAsia" w:ascii="Times New Roman" w:hAnsi="Times New Roman" w:eastAsia="仿宋_GB2312" w:cs="黑体"/>
          <w:color w:val="000000"/>
          <w:kern w:val="0"/>
          <w:sz w:val="32"/>
          <w:szCs w:val="32"/>
          <w:lang w:val="en-US" w:eastAsia="zh-CN" w:bidi="ar-SA"/>
        </w:rPr>
        <w:t>与上年决算数相同。</w:t>
      </w:r>
      <w:bookmarkEnd w:id="138"/>
      <w:bookmarkStart w:id="139" w:name="END_IS_ZERO_14_2"/>
      <w:bookmarkEnd w:id="139"/>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2024年度“三公”经费财政拨款支出决算中，公务接待费支出决算3万元，占38.36%，因公出国（境）费支出决算</w:t>
      </w:r>
      <w:bookmarkStart w:id="140" w:name="THERR_30212_AMT"/>
      <w:r>
        <w:rPr>
          <w:rFonts w:hint="eastAsia" w:ascii="Times New Roman" w:hAnsi="Times New Roman" w:eastAsia="仿宋_GB2312" w:cs="黑体"/>
          <w:color w:val="000000"/>
          <w:kern w:val="0"/>
          <w:sz w:val="32"/>
          <w:szCs w:val="32"/>
          <w:lang w:val="en-US" w:eastAsia="zh-CN" w:bidi="ar-SA"/>
        </w:rPr>
        <w:t>0.00</w:t>
      </w:r>
      <w:bookmarkEnd w:id="140"/>
      <w:r>
        <w:rPr>
          <w:rFonts w:hint="eastAsia" w:ascii="Times New Roman" w:hAnsi="Times New Roman" w:eastAsia="仿宋_GB2312" w:cs="黑体"/>
          <w:color w:val="000000"/>
          <w:kern w:val="0"/>
          <w:sz w:val="32"/>
          <w:szCs w:val="32"/>
          <w:lang w:val="en-US" w:eastAsia="zh-CN" w:bidi="ar-SA"/>
        </w:rPr>
        <w:t>万元，占</w:t>
      </w:r>
      <w:bookmarkStart w:id="141" w:name="THERR_30212_AMT_BL"/>
      <w:r>
        <w:rPr>
          <w:rFonts w:hint="eastAsia" w:ascii="Times New Roman" w:hAnsi="Times New Roman" w:eastAsia="仿宋_GB2312" w:cs="黑体"/>
          <w:color w:val="000000"/>
          <w:kern w:val="0"/>
          <w:sz w:val="32"/>
          <w:szCs w:val="32"/>
          <w:lang w:val="en-US" w:eastAsia="zh-CN" w:bidi="ar-SA"/>
        </w:rPr>
        <w:t>0.00</w:t>
      </w:r>
      <w:bookmarkEnd w:id="141"/>
      <w:r>
        <w:rPr>
          <w:rFonts w:hint="eastAsia" w:ascii="Times New Roman" w:hAnsi="Times New Roman" w:eastAsia="仿宋_GB2312" w:cs="黑体"/>
          <w:color w:val="000000"/>
          <w:kern w:val="0"/>
          <w:sz w:val="32"/>
          <w:szCs w:val="32"/>
          <w:lang w:val="en-US" w:eastAsia="zh-CN" w:bidi="ar-SA"/>
        </w:rPr>
        <w:t>%，公务用车购置费及运行维护费支出决算4.82万元，占61.64%。具体情况如下：</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1、因公出国（境）费支出决算为</w:t>
      </w:r>
      <w:bookmarkStart w:id="142" w:name="THERR_YGCGJFY_AMT"/>
      <w:r>
        <w:rPr>
          <w:rFonts w:hint="eastAsia" w:ascii="Times New Roman" w:hAnsi="Times New Roman" w:eastAsia="仿宋_GB2312" w:cs="黑体"/>
          <w:color w:val="000000"/>
          <w:kern w:val="0"/>
          <w:sz w:val="32"/>
          <w:szCs w:val="32"/>
          <w:lang w:val="en-US" w:eastAsia="zh-CN" w:bidi="ar-SA"/>
        </w:rPr>
        <w:t>0.00</w:t>
      </w:r>
      <w:bookmarkEnd w:id="142"/>
      <w:r>
        <w:rPr>
          <w:rFonts w:hint="eastAsia" w:ascii="Times New Roman" w:hAnsi="Times New Roman" w:eastAsia="仿宋_GB2312" w:cs="黑体"/>
          <w:color w:val="000000"/>
          <w:kern w:val="0"/>
          <w:sz w:val="32"/>
          <w:szCs w:val="32"/>
          <w:lang w:val="en-US" w:eastAsia="zh-CN" w:bidi="ar-SA"/>
        </w:rPr>
        <w:t>万元</w:t>
      </w:r>
      <w:bookmarkStart w:id="143" w:name="START_THERR_YGCGJFY_AMT"/>
      <w:bookmarkEnd w:id="143"/>
      <w:bookmarkStart w:id="144" w:name="DIS_MARK_THERR_YGCGJFY_AMT"/>
      <w:bookmarkEnd w:id="144"/>
      <w:bookmarkStart w:id="145" w:name="THERR_YGCGJFY_ZYYY"/>
      <w:bookmarkEnd w:id="145"/>
      <w:bookmarkStart w:id="146" w:name="END_THERR_YGCGJFY_AMT"/>
      <w:bookmarkEnd w:id="146"/>
      <w:r>
        <w:rPr>
          <w:rFonts w:hint="eastAsia" w:ascii="Times New Roman" w:hAnsi="Times New Roman" w:eastAsia="仿宋_GB2312" w:cs="黑体"/>
          <w:color w:val="000000"/>
          <w:kern w:val="0"/>
          <w:sz w:val="32"/>
          <w:szCs w:val="32"/>
          <w:lang w:val="en-US" w:eastAsia="zh-CN" w:bidi="ar-SA"/>
        </w:rPr>
        <w:t>。</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2、公务接待费支出决算为3万元</w:t>
      </w:r>
      <w:bookmarkStart w:id="147" w:name="START_THERR_GWJDF_AMT"/>
      <w:bookmarkEnd w:id="147"/>
      <w:bookmarkStart w:id="148" w:name="DIS_MARK_THERR_GWJDF_AMT"/>
      <w:r>
        <w:rPr>
          <w:rFonts w:hint="eastAsia" w:ascii="Times New Roman" w:hAnsi="Times New Roman" w:eastAsia="仿宋_GB2312" w:cs="黑体"/>
          <w:color w:val="000000"/>
          <w:kern w:val="0"/>
          <w:sz w:val="32"/>
          <w:szCs w:val="32"/>
          <w:lang w:val="en-US" w:eastAsia="zh-CN" w:bidi="ar-SA"/>
        </w:rPr>
        <w:t>，全年共接待来访团组50个，来宾215人次，主要是</w:t>
      </w:r>
      <w:bookmarkStart w:id="149" w:name="THERR_GWJDF_AMT_ZYYY"/>
      <w:r>
        <w:rPr>
          <w:rFonts w:hint="eastAsia" w:ascii="Times New Roman" w:hAnsi="Times New Roman" w:eastAsia="仿宋_GB2312" w:cs="黑体"/>
          <w:color w:val="000000"/>
          <w:kern w:val="0"/>
          <w:sz w:val="32"/>
          <w:szCs w:val="32"/>
          <w:lang w:val="en-US" w:eastAsia="zh-CN" w:bidi="ar-SA"/>
        </w:rPr>
        <w:t>接待来宾，领导</w:t>
      </w:r>
      <w:bookmarkEnd w:id="148"/>
      <w:bookmarkEnd w:id="149"/>
      <w:bookmarkStart w:id="150" w:name="END_THERR_GWJDF_AMT"/>
      <w:bookmarkEnd w:id="150"/>
      <w:r>
        <w:rPr>
          <w:rFonts w:hint="eastAsia" w:ascii="Times New Roman" w:hAnsi="Times New Roman" w:eastAsia="仿宋_GB2312" w:cs="黑体"/>
          <w:color w:val="000000"/>
          <w:kern w:val="0"/>
          <w:sz w:val="32"/>
          <w:szCs w:val="32"/>
          <w:lang w:val="en-US" w:eastAsia="zh-CN" w:bidi="ar-SA"/>
        </w:rPr>
        <w:t>。</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3、公务用车购置费及运行维护费支出决算为4.82万元</w:t>
      </w:r>
      <w:bookmarkStart w:id="151" w:name="START_THERR_GWYCGZJYXWHF_AMT"/>
      <w:bookmarkEnd w:id="151"/>
      <w:bookmarkStart w:id="152" w:name="DIS_MARK_THERR_GWYCGZJYXWHF_AMT"/>
      <w:r>
        <w:rPr>
          <w:rFonts w:hint="eastAsia" w:ascii="Times New Roman" w:hAnsi="Times New Roman" w:eastAsia="仿宋_GB2312" w:cs="黑体"/>
          <w:color w:val="000000"/>
          <w:kern w:val="0"/>
          <w:sz w:val="32"/>
          <w:szCs w:val="32"/>
          <w:lang w:val="en-US" w:eastAsia="zh-CN" w:bidi="ar-SA"/>
        </w:rPr>
        <w:t>，其中：公务用车购置费</w:t>
      </w:r>
      <w:bookmarkStart w:id="153" w:name="THERR_30913_31013_AMT"/>
      <w:r>
        <w:rPr>
          <w:rFonts w:hint="eastAsia" w:ascii="Times New Roman" w:hAnsi="Times New Roman" w:eastAsia="仿宋_GB2312" w:cs="黑体"/>
          <w:color w:val="000000"/>
          <w:kern w:val="0"/>
          <w:sz w:val="32"/>
          <w:szCs w:val="32"/>
          <w:lang w:val="en-US" w:eastAsia="zh-CN" w:bidi="ar-SA"/>
        </w:rPr>
        <w:t>0.00</w:t>
      </w:r>
      <w:bookmarkEnd w:id="153"/>
      <w:r>
        <w:rPr>
          <w:rFonts w:hint="eastAsia" w:ascii="Times New Roman" w:hAnsi="Times New Roman" w:eastAsia="仿宋_GB2312" w:cs="黑体"/>
          <w:color w:val="000000"/>
          <w:kern w:val="0"/>
          <w:sz w:val="32"/>
          <w:szCs w:val="32"/>
          <w:lang w:val="en-US" w:eastAsia="zh-CN" w:bidi="ar-SA"/>
        </w:rPr>
        <w:t>万元，</w:t>
      </w:r>
      <w:bookmarkStart w:id="154" w:name="AGENCY_NAME_TITLE2"/>
      <w:r>
        <w:rPr>
          <w:rFonts w:hint="eastAsia" w:ascii="Times New Roman" w:hAnsi="Times New Roman" w:eastAsia="仿宋_GB2312" w:cs="黑体"/>
          <w:color w:val="000000"/>
          <w:kern w:val="0"/>
          <w:sz w:val="32"/>
          <w:szCs w:val="32"/>
          <w:lang w:val="en-US" w:eastAsia="zh-CN" w:bidi="ar-SA"/>
        </w:rPr>
        <w:t>道县桥头镇财政所</w:t>
      </w:r>
      <w:bookmarkEnd w:id="154"/>
      <w:r>
        <w:rPr>
          <w:rFonts w:hint="eastAsia" w:ascii="Times New Roman" w:hAnsi="Times New Roman" w:eastAsia="仿宋_GB2312" w:cs="黑体"/>
          <w:color w:val="000000"/>
          <w:kern w:val="0"/>
          <w:sz w:val="32"/>
          <w:szCs w:val="32"/>
          <w:lang w:val="en-US" w:eastAsia="zh-CN" w:bidi="ar-SA"/>
        </w:rPr>
        <w:t>更新公务用车</w:t>
      </w:r>
      <w:bookmarkStart w:id="155" w:name="THERR_GWYCGZJYXWHF_BFZHS"/>
      <w:r>
        <w:rPr>
          <w:rFonts w:hint="eastAsia" w:ascii="Times New Roman" w:hAnsi="Times New Roman" w:eastAsia="仿宋_GB2312" w:cs="黑体"/>
          <w:color w:val="000000"/>
          <w:kern w:val="0"/>
          <w:sz w:val="32"/>
          <w:szCs w:val="32"/>
          <w:lang w:val="en-US" w:eastAsia="zh-CN" w:bidi="ar-SA"/>
        </w:rPr>
        <w:t>0</w:t>
      </w:r>
      <w:bookmarkEnd w:id="155"/>
      <w:r>
        <w:rPr>
          <w:rFonts w:hint="eastAsia" w:ascii="Times New Roman" w:hAnsi="Times New Roman" w:eastAsia="仿宋_GB2312" w:cs="黑体"/>
          <w:color w:val="000000"/>
          <w:kern w:val="0"/>
          <w:sz w:val="32"/>
          <w:szCs w:val="32"/>
          <w:lang w:val="en-US" w:eastAsia="zh-CN" w:bidi="ar-SA"/>
        </w:rPr>
        <w:t>辆。公务用车运行维护费4.82万元，主要是</w:t>
      </w:r>
      <w:bookmarkStart w:id="156" w:name="THERR_GWYCGZJYXWHF_ZYYY"/>
      <w:r>
        <w:rPr>
          <w:rFonts w:hint="eastAsia" w:ascii="Times New Roman" w:hAnsi="Times New Roman" w:eastAsia="仿宋_GB2312" w:cs="黑体"/>
          <w:color w:val="000000"/>
          <w:kern w:val="0"/>
          <w:sz w:val="32"/>
          <w:szCs w:val="32"/>
          <w:lang w:val="en-US" w:eastAsia="zh-CN" w:bidi="ar-SA"/>
        </w:rPr>
        <w:t>运营维护本单位车辆</w:t>
      </w:r>
      <w:bookmarkEnd w:id="156"/>
      <w:r>
        <w:rPr>
          <w:rFonts w:hint="eastAsia" w:ascii="Times New Roman" w:hAnsi="Times New Roman" w:eastAsia="仿宋_GB2312" w:cs="黑体"/>
          <w:color w:val="000000"/>
          <w:kern w:val="0"/>
          <w:sz w:val="32"/>
          <w:szCs w:val="32"/>
          <w:lang w:val="en-US" w:eastAsia="zh-CN" w:bidi="ar-SA"/>
        </w:rPr>
        <w:t>，截止2024年12月31日，我单位开支财政拨款的公务用车保有量为</w:t>
      </w:r>
      <w:bookmarkStart w:id="157" w:name="THERR_GWYCGZJYXWHF_SJCLS"/>
      <w:r>
        <w:rPr>
          <w:rFonts w:hint="eastAsia" w:ascii="Times New Roman" w:hAnsi="Times New Roman" w:eastAsia="仿宋_GB2312" w:cs="黑体"/>
          <w:color w:val="000000"/>
          <w:kern w:val="0"/>
          <w:sz w:val="32"/>
          <w:szCs w:val="32"/>
          <w:lang w:val="en-US" w:eastAsia="zh-CN" w:bidi="ar-SA"/>
        </w:rPr>
        <w:t>1</w:t>
      </w:r>
      <w:bookmarkEnd w:id="157"/>
      <w:r>
        <w:rPr>
          <w:rFonts w:hint="eastAsia" w:ascii="Times New Roman" w:hAnsi="Times New Roman" w:eastAsia="仿宋_GB2312" w:cs="黑体"/>
          <w:color w:val="000000"/>
          <w:kern w:val="0"/>
          <w:sz w:val="32"/>
          <w:szCs w:val="32"/>
          <w:lang w:val="en-US" w:eastAsia="zh-CN" w:bidi="ar-SA"/>
        </w:rPr>
        <w:t>辆</w:t>
      </w:r>
      <w:bookmarkEnd w:id="152"/>
      <w:bookmarkStart w:id="158" w:name="END_THERR_GWYCGZJYXWHF_AMT"/>
      <w:bookmarkEnd w:id="158"/>
      <w:r>
        <w:rPr>
          <w:rFonts w:hint="eastAsia" w:ascii="Times New Roman" w:hAnsi="Times New Roman" w:eastAsia="仿宋_GB2312" w:cs="黑体"/>
          <w:color w:val="000000"/>
          <w:kern w:val="0"/>
          <w:sz w:val="32"/>
          <w:szCs w:val="32"/>
          <w:lang w:val="en-US" w:eastAsia="zh-CN" w:bidi="ar-SA"/>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14"/>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sz w:val="32"/>
          <w:szCs w:val="32"/>
        </w:rPr>
        <w:t xml:space="preserve">  </w:t>
      </w:r>
      <w:r>
        <w:rPr>
          <w:rFonts w:hint="eastAsia" w:ascii="Times New Roman" w:hAnsi="Times New Roman" w:eastAsia="仿宋_GB2312" w:cs="黑体"/>
          <w:color w:val="000000"/>
          <w:kern w:val="0"/>
          <w:sz w:val="32"/>
          <w:szCs w:val="32"/>
          <w:lang w:val="en-US" w:eastAsia="zh-CN" w:bidi="ar-SA"/>
        </w:rPr>
        <w:t xml:space="preserve">   2024年度政府性基金预算财政拨款收入0.00万元；年初结转和结余</w:t>
      </w:r>
      <w:bookmarkStart w:id="159" w:name="INCOME_ZFXJJ_JZJY_AMT"/>
      <w:r>
        <w:rPr>
          <w:rFonts w:hint="eastAsia" w:ascii="Times New Roman" w:hAnsi="Times New Roman" w:eastAsia="仿宋_GB2312" w:cs="黑体"/>
          <w:color w:val="000000"/>
          <w:kern w:val="0"/>
          <w:sz w:val="32"/>
          <w:szCs w:val="32"/>
          <w:lang w:val="en-US" w:eastAsia="zh-CN" w:bidi="ar-SA"/>
        </w:rPr>
        <w:t>0.00</w:t>
      </w:r>
      <w:bookmarkEnd w:id="159"/>
      <w:r>
        <w:rPr>
          <w:rFonts w:hint="eastAsia" w:ascii="Times New Roman" w:hAnsi="Times New Roman" w:eastAsia="仿宋_GB2312" w:cs="黑体"/>
          <w:color w:val="000000"/>
          <w:kern w:val="0"/>
          <w:sz w:val="32"/>
          <w:szCs w:val="32"/>
          <w:lang w:val="en-US" w:eastAsia="zh-CN" w:bidi="ar-SA"/>
        </w:rPr>
        <w:t>万元；支出0.00元，其中:基本支出</w:t>
      </w:r>
      <w:bookmarkStart w:id="160" w:name="PAY_ZFXJJZC_JBZC_AMT"/>
      <w:r>
        <w:rPr>
          <w:rFonts w:hint="eastAsia" w:ascii="Times New Roman" w:hAnsi="Times New Roman" w:eastAsia="仿宋_GB2312" w:cs="黑体"/>
          <w:color w:val="000000"/>
          <w:kern w:val="0"/>
          <w:sz w:val="32"/>
          <w:szCs w:val="32"/>
          <w:lang w:val="en-US" w:eastAsia="zh-CN" w:bidi="ar-SA"/>
        </w:rPr>
        <w:t>0.00</w:t>
      </w:r>
      <w:bookmarkEnd w:id="160"/>
      <w:r>
        <w:rPr>
          <w:rFonts w:hint="eastAsia" w:ascii="Times New Roman" w:hAnsi="Times New Roman" w:eastAsia="仿宋_GB2312" w:cs="黑体"/>
          <w:color w:val="000000"/>
          <w:kern w:val="0"/>
          <w:sz w:val="32"/>
          <w:szCs w:val="32"/>
          <w:lang w:val="en-US" w:eastAsia="zh-CN" w:bidi="ar-SA"/>
        </w:rPr>
        <w:t>万元，项目支出0.00万元；年末结转和结余</w:t>
      </w:r>
      <w:bookmarkStart w:id="161" w:name="PAY_ZFXJJZC_JZJY_AMT"/>
      <w:r>
        <w:rPr>
          <w:rFonts w:hint="eastAsia" w:ascii="Times New Roman" w:hAnsi="Times New Roman" w:eastAsia="仿宋_GB2312" w:cs="黑体"/>
          <w:color w:val="000000"/>
          <w:kern w:val="0"/>
          <w:sz w:val="32"/>
          <w:szCs w:val="32"/>
          <w:lang w:val="en-US" w:eastAsia="zh-CN" w:bidi="ar-SA"/>
        </w:rPr>
        <w:t>0.00</w:t>
      </w:r>
      <w:bookmarkEnd w:id="161"/>
      <w:r>
        <w:rPr>
          <w:rFonts w:hint="eastAsia" w:ascii="Times New Roman" w:hAnsi="Times New Roman" w:eastAsia="仿宋_GB2312" w:cs="黑体"/>
          <w:color w:val="000000"/>
          <w:kern w:val="0"/>
          <w:sz w:val="32"/>
          <w:szCs w:val="32"/>
          <w:lang w:val="en-US" w:eastAsia="zh-CN" w:bidi="ar-SA"/>
        </w:rPr>
        <w:t>万元。</w:t>
      </w:r>
      <w:r>
        <w:rPr>
          <w:rFonts w:hint="eastAsia" w:ascii="Times New Roman" w:hAnsi="Times New Roman" w:eastAsia="仿宋_GB2312"/>
          <w:sz w:val="32"/>
          <w:szCs w:val="32"/>
        </w:rPr>
        <w:t>具体情况如下：</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1、城乡社区支出（类）国有土地使用权出让收入安排的支出（款）其他国有土地使用权出让收入安排的支出（项）。</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年初预算为54万元，支出决算为54万元，完成年初预算的100%。</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2、其他支出（类）彩票公益金安排的支出（款）用于体育事业的彩票公益金支出（项）。</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年初预算为30万元，支出决算为30万元，完成年初预算的100%。</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pPr>
        <w:pStyle w:val="2"/>
        <w:tabs>
          <w:tab w:val="left" w:pos="3864"/>
          <w:tab w:val="left" w:pos="6248"/>
          <w:tab w:val="left" w:pos="7386"/>
        </w:tabs>
        <w:overflowPunct w:val="0"/>
        <w:spacing w:before="1" w:line="360" w:lineRule="auto"/>
        <w:ind w:right="420" w:firstLine="960" w:firstLineChars="300"/>
        <w:rPr>
          <w:rFonts w:hint="eastAsia"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61.00</w:t>
      </w:r>
      <w:r>
        <w:rPr>
          <w:rFonts w:hint="eastAsia" w:ascii="Times New Roman" w:hAnsi="Times New Roman" w:eastAsia="仿宋_GB2312"/>
          <w:sz w:val="32"/>
          <w:szCs w:val="32"/>
        </w:rPr>
        <w:t>万元，年初预算数</w:t>
      </w:r>
      <w:r>
        <w:rPr>
          <w:rFonts w:hint="eastAsia" w:ascii="Times New Roman" w:hAnsi="Times New Roman" w:eastAsia="仿宋_GB2312"/>
          <w:sz w:val="32"/>
          <w:szCs w:val="32"/>
          <w:lang w:val="en-US" w:eastAsia="zh-CN"/>
        </w:rPr>
        <w:t>61.00</w:t>
      </w:r>
      <w:r>
        <w:rPr>
          <w:rFonts w:hint="eastAsia" w:ascii="Times New Roman" w:hAnsi="Times New Roman" w:eastAsia="仿宋_GB2312"/>
          <w:sz w:val="32"/>
          <w:szCs w:val="32"/>
        </w:rPr>
        <w:t>万元，</w:t>
      </w:r>
      <w:bookmarkStart w:id="162" w:name="JGYXJF_BD_REMAK"/>
      <w:r>
        <w:rPr>
          <w:rFonts w:hint="eastAsia" w:ascii="Times New Roman" w:hAnsi="Times New Roman" w:eastAsia="仿宋_GB2312"/>
          <w:sz w:val="32"/>
          <w:szCs w:val="32"/>
        </w:rPr>
        <w:t>与年初预算持平，完成年初预算的100%</w:t>
      </w:r>
      <w:bookmarkEnd w:id="162"/>
      <w:r>
        <w:rPr>
          <w:rFonts w:hint="eastAsia" w:ascii="Times New Roman" w:hAnsi="Times New Roman" w:eastAsia="仿宋_GB2312"/>
          <w:sz w:val="32"/>
          <w:szCs w:val="32"/>
        </w:rPr>
        <w:t>。</w:t>
      </w:r>
      <w:bookmarkStart w:id="163" w:name="END_JGYXJF_FUNDS_AMT"/>
      <w:bookmarkEnd w:id="163"/>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pPr>
        <w:pStyle w:val="2"/>
        <w:tabs>
          <w:tab w:val="left" w:pos="3864"/>
          <w:tab w:val="left" w:pos="6248"/>
          <w:tab w:val="left" w:pos="7386"/>
        </w:tabs>
        <w:overflowPunct w:val="0"/>
        <w:spacing w:before="1" w:line="360" w:lineRule="auto"/>
        <w:ind w:right="420" w:firstLine="960" w:firstLineChars="300"/>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0.49</w:t>
      </w:r>
      <w:r>
        <w:rPr>
          <w:rFonts w:hint="eastAsia" w:ascii="Times New Roman" w:hAnsi="Times New Roman" w:eastAsia="仿宋_GB2312"/>
          <w:sz w:val="32"/>
          <w:szCs w:val="32"/>
        </w:rPr>
        <w:t>万元</w:t>
      </w:r>
      <w:bookmarkStart w:id="164" w:name="START_MEET_FUNDS_AMT"/>
      <w:bookmarkEnd w:id="164"/>
      <w:bookmarkStart w:id="165" w:name="DIS_MARK_MEET_FUNDS_AMT"/>
      <w:r>
        <w:rPr>
          <w:rFonts w:hint="eastAsia" w:ascii="Times New Roman" w:hAnsi="Times New Roman" w:eastAsia="仿宋_GB2312"/>
          <w:sz w:val="32"/>
          <w:szCs w:val="32"/>
        </w:rPr>
        <w:t>，用于</w:t>
      </w:r>
      <w:bookmarkStart w:id="166" w:name="MEET_FUNDS_COUNT"/>
      <w:r>
        <w:rPr>
          <w:rFonts w:hint="eastAsia" w:ascii="Times New Roman" w:hAnsi="Times New Roman" w:eastAsia="仿宋_GB2312"/>
          <w:sz w:val="32"/>
          <w:szCs w:val="32"/>
        </w:rPr>
        <w:t>开展工作</w:t>
      </w:r>
      <w:bookmarkEnd w:id="166"/>
      <w:r>
        <w:rPr>
          <w:rFonts w:hint="eastAsia" w:ascii="Times New Roman" w:hAnsi="Times New Roman" w:eastAsia="仿宋_GB2312"/>
          <w:sz w:val="32"/>
          <w:szCs w:val="32"/>
        </w:rPr>
        <w:t>会议，人数</w:t>
      </w:r>
      <w:r>
        <w:rPr>
          <w:rFonts w:hint="eastAsia" w:ascii="Times New Roman" w:hAnsi="Times New Roman" w:eastAsia="仿宋_GB2312"/>
          <w:sz w:val="32"/>
          <w:szCs w:val="32"/>
          <w:lang w:val="en-US" w:eastAsia="zh-CN"/>
        </w:rPr>
        <w:t>122</w:t>
      </w:r>
      <w:r>
        <w:rPr>
          <w:rFonts w:hint="eastAsia" w:ascii="Times New Roman" w:hAnsi="Times New Roman" w:eastAsia="仿宋_GB2312"/>
          <w:sz w:val="32"/>
          <w:szCs w:val="32"/>
        </w:rPr>
        <w:t>人，内容为</w:t>
      </w:r>
      <w:bookmarkEnd w:id="165"/>
      <w:bookmarkStart w:id="167" w:name="END_MEET_FUNDS_AMT"/>
      <w:bookmarkEnd w:id="167"/>
      <w:r>
        <w:rPr>
          <w:rFonts w:hint="eastAsia" w:ascii="Times New Roman" w:hAnsi="Times New Roman" w:eastAsia="仿宋_GB2312"/>
          <w:sz w:val="32"/>
          <w:szCs w:val="32"/>
        </w:rPr>
        <w:t>选举人大副主席、安排镇里重点工作、农村人居环境卫生整治、乡村振兴等会议；开支培训费</w:t>
      </w:r>
      <w:r>
        <w:rPr>
          <w:rFonts w:hint="eastAsia" w:ascii="Times New Roman" w:hAnsi="Times New Roman" w:eastAsia="仿宋_GB2312"/>
          <w:sz w:val="32"/>
          <w:szCs w:val="32"/>
          <w:lang w:val="en-US" w:eastAsia="zh-CN"/>
        </w:rPr>
        <w:t>0.63</w:t>
      </w:r>
      <w:r>
        <w:rPr>
          <w:rFonts w:hint="eastAsia" w:ascii="Times New Roman" w:hAnsi="Times New Roman" w:eastAsia="仿宋_GB2312"/>
          <w:sz w:val="32"/>
          <w:szCs w:val="32"/>
        </w:rPr>
        <w:t>万元</w:t>
      </w:r>
      <w:bookmarkStart w:id="168" w:name="START_TRAIN_FUNDS_AMT"/>
      <w:bookmarkEnd w:id="168"/>
      <w:bookmarkStart w:id="169" w:name="DIS_MARK_TRAIN_FUNDS_AMT"/>
      <w:r>
        <w:rPr>
          <w:rFonts w:hint="eastAsia" w:ascii="Times New Roman" w:hAnsi="Times New Roman" w:eastAsia="仿宋_GB2312"/>
          <w:sz w:val="32"/>
          <w:szCs w:val="32"/>
        </w:rPr>
        <w:t>，用于</w:t>
      </w:r>
      <w:bookmarkStart w:id="170" w:name="TRAIN_FUNDS_COUNT"/>
      <w:r>
        <w:rPr>
          <w:rFonts w:hint="eastAsia" w:ascii="Times New Roman" w:hAnsi="Times New Roman" w:eastAsia="仿宋_GB2312"/>
          <w:sz w:val="32"/>
          <w:szCs w:val="32"/>
        </w:rPr>
        <w:t>干部</w:t>
      </w:r>
      <w:bookmarkEnd w:id="170"/>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157</w:t>
      </w:r>
      <w:r>
        <w:rPr>
          <w:rFonts w:hint="eastAsia" w:ascii="Times New Roman" w:hAnsi="Times New Roman" w:eastAsia="仿宋_GB2312"/>
          <w:sz w:val="32"/>
          <w:szCs w:val="32"/>
        </w:rPr>
        <w:t>人，内容为</w:t>
      </w:r>
      <w:bookmarkStart w:id="171" w:name="TRAIN_FUNDS_PXNR"/>
      <w:r>
        <w:rPr>
          <w:rFonts w:hint="eastAsia" w:ascii="Times New Roman" w:hAnsi="Times New Roman" w:eastAsia="仿宋_GB2312"/>
          <w:sz w:val="32"/>
          <w:szCs w:val="32"/>
        </w:rPr>
        <w:t>县党校培训</w:t>
      </w:r>
      <w:bookmarkEnd w:id="169"/>
      <w:bookmarkEnd w:id="171"/>
      <w:bookmarkStart w:id="172" w:name="END_TRAIN_FUNDS_AMT"/>
      <w:bookmarkEnd w:id="172"/>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陈树湘教育基地开展培训等；</w:t>
      </w:r>
      <w:bookmarkStart w:id="173" w:name="START_NO"/>
      <w:bookmarkEnd w:id="173"/>
      <w:bookmarkStart w:id="174" w:name="DIS_MARK_YES"/>
      <w:bookmarkEnd w:id="174"/>
      <w:bookmarkStart w:id="175" w:name="END_YES"/>
      <w:bookmarkEnd w:id="175"/>
      <w:bookmarkStart w:id="176" w:name="START_YES"/>
      <w:bookmarkEnd w:id="176"/>
      <w:bookmarkStart w:id="177" w:name="YES_NO"/>
      <w:bookmarkEnd w:id="177"/>
      <w:bookmarkStart w:id="178" w:name="DIS_MARK_NO"/>
      <w:r>
        <w:rPr>
          <w:rFonts w:hint="eastAsia" w:ascii="Times New Roman" w:hAnsi="Times New Roman" w:eastAsia="仿宋_GB2312"/>
          <w:sz w:val="32"/>
          <w:szCs w:val="32"/>
        </w:rPr>
        <w:t>未举办节庆、论坛、赛事活动。</w:t>
      </w:r>
      <w:bookmarkEnd w:id="178"/>
      <w:bookmarkStart w:id="179" w:name="END_NO"/>
      <w:bookmarkEnd w:id="179"/>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104</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5.00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4.80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5.00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100.0</w:t>
      </w:r>
      <w:r>
        <w:rPr>
          <w:rFonts w:hint="eastAsia" w:ascii="Times New Roman" w:hAnsi="Times New Roman" w:eastAsia="仿宋_GB2312"/>
          <w:sz w:val="32"/>
          <w:szCs w:val="32"/>
          <w:lang w:val="en-US"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sz w:val="32"/>
          <w:szCs w:val="32"/>
          <w:lang w:val="en-US" w:eastAsia="zh-CN"/>
        </w:rPr>
        <w:t>0.00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sz w:val="32"/>
          <w:szCs w:val="32"/>
          <w:lang w:val="en-US" w:eastAsia="zh-CN"/>
        </w:rPr>
        <w:t>0.00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sz w:val="32"/>
          <w:szCs w:val="32"/>
          <w:lang w:val="en-US" w:eastAsia="zh-CN"/>
        </w:rPr>
        <w:t>0.00</w:t>
      </w:r>
      <w:r>
        <w:rPr>
          <w:rFonts w:hint="eastAsia" w:ascii="Times New Roman" w:hAnsi="Times New Roman" w:eastAsia="仿宋_GB2312"/>
          <w:color w:val="auto"/>
          <w:sz w:val="32"/>
          <w:szCs w:val="32"/>
        </w:rPr>
        <w:t>%。</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截至2024年12月31日，本部门共有公务用车</w:t>
      </w:r>
      <w:bookmarkStart w:id="180" w:name="GYZC_TOTAL_GWYC"/>
      <w:r>
        <w:rPr>
          <w:rFonts w:hint="eastAsia" w:ascii="Times New Roman" w:hAnsi="Times New Roman" w:eastAsia="仿宋_GB2312" w:cs="黑体"/>
          <w:color w:val="000000"/>
          <w:kern w:val="0"/>
          <w:sz w:val="32"/>
          <w:szCs w:val="32"/>
          <w:lang w:val="en-US" w:eastAsia="zh-CN" w:bidi="ar-SA"/>
        </w:rPr>
        <w:t>1</w:t>
      </w:r>
      <w:bookmarkEnd w:id="180"/>
      <w:r>
        <w:rPr>
          <w:rFonts w:hint="eastAsia" w:ascii="Times New Roman" w:hAnsi="Times New Roman" w:eastAsia="仿宋_GB2312" w:cs="黑体"/>
          <w:color w:val="000000"/>
          <w:kern w:val="0"/>
          <w:sz w:val="32"/>
          <w:szCs w:val="32"/>
          <w:lang w:val="en-US" w:eastAsia="zh-CN" w:bidi="ar-SA"/>
        </w:rPr>
        <w:t>辆，其中，主要领导干部用车1辆、机要通信用车</w:t>
      </w:r>
      <w:bookmarkStart w:id="181" w:name="GYZC_TOTAL_JYTXYC"/>
      <w:r>
        <w:rPr>
          <w:rFonts w:hint="eastAsia" w:ascii="Times New Roman" w:hAnsi="Times New Roman" w:eastAsia="仿宋_GB2312" w:cs="黑体"/>
          <w:color w:val="000000"/>
          <w:kern w:val="0"/>
          <w:sz w:val="32"/>
          <w:szCs w:val="32"/>
          <w:lang w:val="en-US" w:eastAsia="zh-CN" w:bidi="ar-SA"/>
        </w:rPr>
        <w:t>0</w:t>
      </w:r>
      <w:bookmarkEnd w:id="181"/>
      <w:r>
        <w:rPr>
          <w:rFonts w:hint="eastAsia" w:ascii="Times New Roman" w:hAnsi="Times New Roman" w:eastAsia="仿宋_GB2312" w:cs="黑体"/>
          <w:color w:val="000000"/>
          <w:kern w:val="0"/>
          <w:sz w:val="32"/>
          <w:szCs w:val="32"/>
          <w:lang w:val="en-US" w:eastAsia="zh-CN" w:bidi="ar-SA"/>
        </w:rPr>
        <w:t>辆、应急保障用车0辆、执法执勤用车</w:t>
      </w:r>
      <w:bookmarkStart w:id="182" w:name="GYZC_TOTAL_ZFZQYC"/>
      <w:r>
        <w:rPr>
          <w:rFonts w:hint="eastAsia" w:ascii="Times New Roman" w:hAnsi="Times New Roman" w:eastAsia="仿宋_GB2312" w:cs="黑体"/>
          <w:color w:val="000000"/>
          <w:kern w:val="0"/>
          <w:sz w:val="32"/>
          <w:szCs w:val="32"/>
          <w:lang w:val="en-US" w:eastAsia="zh-CN" w:bidi="ar-SA"/>
        </w:rPr>
        <w:t>0</w:t>
      </w:r>
      <w:bookmarkEnd w:id="182"/>
      <w:r>
        <w:rPr>
          <w:rFonts w:hint="eastAsia" w:ascii="Times New Roman" w:hAnsi="Times New Roman" w:eastAsia="仿宋_GB2312" w:cs="黑体"/>
          <w:color w:val="000000"/>
          <w:kern w:val="0"/>
          <w:sz w:val="32"/>
          <w:szCs w:val="32"/>
          <w:lang w:val="en-US" w:eastAsia="zh-CN" w:bidi="ar-SA"/>
        </w:rPr>
        <w:t>辆、特种专业技术用车</w:t>
      </w:r>
      <w:bookmarkStart w:id="183" w:name="GYZC_TOTAL_TZZYJSYC"/>
      <w:r>
        <w:rPr>
          <w:rFonts w:hint="eastAsia" w:ascii="Times New Roman" w:hAnsi="Times New Roman" w:eastAsia="仿宋_GB2312" w:cs="黑体"/>
          <w:color w:val="000000"/>
          <w:kern w:val="0"/>
          <w:sz w:val="32"/>
          <w:szCs w:val="32"/>
          <w:lang w:val="en-US" w:eastAsia="zh-CN" w:bidi="ar-SA"/>
        </w:rPr>
        <w:t>0</w:t>
      </w:r>
      <w:bookmarkEnd w:id="183"/>
      <w:r>
        <w:rPr>
          <w:rFonts w:hint="eastAsia" w:ascii="Times New Roman" w:hAnsi="Times New Roman" w:eastAsia="仿宋_GB2312" w:cs="黑体"/>
          <w:color w:val="000000"/>
          <w:kern w:val="0"/>
          <w:sz w:val="32"/>
          <w:szCs w:val="32"/>
          <w:lang w:val="en-US" w:eastAsia="zh-CN" w:bidi="ar-SA"/>
        </w:rPr>
        <w:t>辆、其他按照规定配备的公务用车</w:t>
      </w:r>
      <w:bookmarkStart w:id="184" w:name="GYZC_TOTAL_QTYC"/>
      <w:r>
        <w:rPr>
          <w:rFonts w:hint="eastAsia" w:ascii="Times New Roman" w:hAnsi="Times New Roman" w:eastAsia="仿宋_GB2312" w:cs="黑体"/>
          <w:color w:val="000000"/>
          <w:kern w:val="0"/>
          <w:sz w:val="32"/>
          <w:szCs w:val="32"/>
          <w:lang w:val="en-US" w:eastAsia="zh-CN" w:bidi="ar-SA"/>
        </w:rPr>
        <w:t>0</w:t>
      </w:r>
      <w:bookmarkEnd w:id="184"/>
      <w:r>
        <w:rPr>
          <w:rFonts w:hint="eastAsia" w:ascii="Times New Roman" w:hAnsi="Times New Roman" w:eastAsia="仿宋_GB2312" w:cs="黑体"/>
          <w:color w:val="000000"/>
          <w:kern w:val="0"/>
          <w:sz w:val="32"/>
          <w:szCs w:val="32"/>
          <w:lang w:val="en-US" w:eastAsia="zh-CN" w:bidi="ar-SA"/>
        </w:rPr>
        <w:t>辆</w:t>
      </w:r>
      <w:bookmarkStart w:id="185" w:name="END_GYZC_TOTAL_QTYC"/>
      <w:bookmarkEnd w:id="185"/>
      <w:bookmarkStart w:id="186" w:name="START_GYZC_TOTAL_QTYC"/>
      <w:bookmarkEnd w:id="186"/>
      <w:bookmarkStart w:id="187" w:name="GYZC_TOTAL_QTCL_YT"/>
      <w:bookmarkEnd w:id="187"/>
      <w:bookmarkStart w:id="188" w:name="DIS_MARK_GYZC_TOTAL_QTYC"/>
      <w:bookmarkEnd w:id="188"/>
      <w:r>
        <w:rPr>
          <w:rFonts w:hint="eastAsia" w:ascii="Times New Roman" w:hAnsi="Times New Roman" w:eastAsia="仿宋_GB2312" w:cs="黑体"/>
          <w:color w:val="000000"/>
          <w:kern w:val="0"/>
          <w:sz w:val="32"/>
          <w:szCs w:val="32"/>
          <w:lang w:val="en-US" w:eastAsia="zh-CN" w:bidi="ar-SA"/>
        </w:rPr>
        <w:t>；单位价值50万元以上通用设备</w:t>
      </w:r>
      <w:bookmarkStart w:id="189" w:name="GYZC_TOTAL_DJ_50"/>
      <w:r>
        <w:rPr>
          <w:rFonts w:hint="eastAsia" w:ascii="Times New Roman" w:hAnsi="Times New Roman" w:eastAsia="仿宋_GB2312" w:cs="黑体"/>
          <w:color w:val="000000"/>
          <w:kern w:val="0"/>
          <w:sz w:val="32"/>
          <w:szCs w:val="32"/>
          <w:lang w:val="en-US" w:eastAsia="zh-CN" w:bidi="ar-SA"/>
        </w:rPr>
        <w:t>0</w:t>
      </w:r>
      <w:bookmarkEnd w:id="189"/>
      <w:r>
        <w:rPr>
          <w:rFonts w:hint="eastAsia" w:ascii="Times New Roman" w:hAnsi="Times New Roman" w:eastAsia="仿宋_GB2312" w:cs="黑体"/>
          <w:color w:val="000000"/>
          <w:kern w:val="0"/>
          <w:sz w:val="32"/>
          <w:szCs w:val="32"/>
          <w:lang w:val="en-US" w:eastAsia="zh-CN" w:bidi="ar-SA"/>
        </w:rPr>
        <w:t>台（套），单位价值100万元以上专用设备</w:t>
      </w:r>
      <w:bookmarkStart w:id="190" w:name="GYZC_TOTAL_DJ_100"/>
      <w:r>
        <w:rPr>
          <w:rFonts w:hint="eastAsia" w:ascii="Times New Roman" w:hAnsi="Times New Roman" w:eastAsia="仿宋_GB2312" w:cs="黑体"/>
          <w:color w:val="000000"/>
          <w:kern w:val="0"/>
          <w:sz w:val="32"/>
          <w:szCs w:val="32"/>
          <w:lang w:val="en-US" w:eastAsia="zh-CN" w:bidi="ar-SA"/>
        </w:rPr>
        <w:t>0</w:t>
      </w:r>
      <w:bookmarkEnd w:id="190"/>
      <w:r>
        <w:rPr>
          <w:rFonts w:hint="eastAsia" w:ascii="Times New Roman" w:hAnsi="Times New Roman" w:eastAsia="仿宋_GB2312" w:cs="黑体"/>
          <w:color w:val="000000"/>
          <w:kern w:val="0"/>
          <w:sz w:val="32"/>
          <w:szCs w:val="32"/>
          <w:lang w:val="en-US" w:eastAsia="zh-CN" w:bidi="ar-SA"/>
        </w:rPr>
        <w:t>台（套）。</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本部门预算绩效管理开展情况、绩效目标和绩效评价报告等见附件。</w:t>
      </w: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both"/>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lang w:val="en-US" w:eastAsia="zh-CN"/>
        </w:rPr>
        <w:t xml:space="preserve">   </w:t>
      </w:r>
      <w:r>
        <w:rPr>
          <w:rFonts w:hint="eastAsia" w:cs="黑体" w:asciiTheme="minorEastAsia" w:hAnsiTheme="minorEastAsia"/>
          <w:color w:val="000000"/>
          <w:kern w:val="0"/>
          <w:sz w:val="32"/>
          <w:szCs w:val="32"/>
        </w:rPr>
        <w:t>1．财政拨款收入：指单位本年度从同级财政部门取得的各类财政拨款。</w:t>
      </w:r>
    </w:p>
    <w:p>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2．上级补助收入：指事业单位从主管部门和上级单位取得的非财政补助收入。</w:t>
      </w:r>
    </w:p>
    <w:p>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3．机关运行经费：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4．“三公”经费：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5．对附属单位补助支出：指事业单位用财政拨款收入之外的收入对附属单位补助发生的支出。</w:t>
      </w:r>
    </w:p>
    <w:p>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6．经营支出：指事业单位在专业业务活动及其辅助活动之外开展非独立核算经营活动发生的支出。</w:t>
      </w:r>
    </w:p>
    <w:p>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7．上缴上级支出：指事业单位按照财政部门和主管部门的规定上缴上级单位的支出。</w:t>
      </w:r>
    </w:p>
    <w:p>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8．项目支出：指在为完成特定的工作任务和事业发展目标所发生的支出。</w:t>
      </w:r>
    </w:p>
    <w:p>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9．基本支出：指为保障机构正常运转、完成日常工作任务而发生的支出，包括人员经费和公用经费。</w:t>
      </w:r>
    </w:p>
    <w:p>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10．年末结转和结余资金：指本年度或以前年度预算安排、因客观条件发生变化无法按原计划实施，需要延迟到以后年度按有关规定继续使用的资金。</w:t>
      </w:r>
    </w:p>
    <w:p>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11．结余分配：指事业单位按规定对非财政拨款结余资金提取的专用基金、缴纳的所得税和转入非财政拨款结余等。</w:t>
      </w:r>
    </w:p>
    <w:p>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12．年初结转和结余：指单位上年结转本年使用的基本支出结转、项目支出结转和结余和经营结余。</w:t>
      </w:r>
    </w:p>
    <w:p>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13．使用非财政拨款结余：指事业单位使用非财政拨款结余（原事业基金）弥补当年收支差额的数额。</w:t>
      </w:r>
    </w:p>
    <w:p>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14．其他收入：指单位取得的除上述“财政拨款收入”、“事业收入”、“经营收入”等以外的各项收入。</w:t>
      </w:r>
    </w:p>
    <w:p>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15．事业收入：指事业单位开展专业业务活动及其辅助活动取得的收入，事业单位收到的财政专户实际核拨的教育收费等资金在此反映。</w:t>
      </w:r>
    </w:p>
    <w:p>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16．经营收入：指事业单位在专业业务活动及其辅助活动之外开展非独立核算经营活动取得的收入。</w:t>
      </w:r>
    </w:p>
    <w:p>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17．附属单位上缴收入：指事业单位附属独立核算单位按照有关规定上缴的收入。</w:t>
      </w:r>
    </w:p>
    <w:p>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18．一般公共服务支出（类）人大事务（款）其他人大事务支出（项）：反映除上述项目以外的其他人大事务支出。</w:t>
      </w:r>
    </w:p>
    <w:p>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19．一般公共服务支出（类）政府办公厅（室）及相关机构事务（款）行政运行（项）：反映行政单位（包括实行公务员管理的事业单位）的基本 支出。</w:t>
      </w:r>
    </w:p>
    <w:p>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20．一般公共服务支出（类）政府办公厅（室）及相关机构事务（款）其他政府办公厅（室）及相关机构事务支出（项）：反映除上述项目以外的其他政府办公厅（室）及相关机构事 务支出。</w:t>
      </w:r>
    </w:p>
    <w:p>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21．一般公共服务支出（类）纪检监察事务（款）其他纪检监察事务支出（项）：反映除上述项目以外其他纪检监察事务方面的支出。</w:t>
      </w:r>
    </w:p>
    <w:p>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22．一般公共服务支出（类）群众团体事务（款）其他群众团体事务支出（项）：反映除上述项目以外其他用于群众团体事务方面的支出。</w:t>
      </w:r>
    </w:p>
    <w:p>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23．一般公共服务支出（类）其他一般公共服务支出（款）其他一般公共服务支出（项）：反映除上述项目以外的其他一般公共服务支出O</w:t>
      </w:r>
    </w:p>
    <w:p>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24．社会保障和就业支出（类）行政事业单位养老支出（款）机关事业单位基本养老保险缴费支出（项）：反映机关事业单位实施养老保险制度由单位缴纳的基本养老保险费支出。</w:t>
      </w:r>
    </w:p>
    <w:p>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25．社会保障和就业支出（类）抚恤（款）死亡抚恤（项）：反映按规定用于烈士和牺牲、病故人员家属的一次性和定期 抚恤金、丧葬补助费以及烈士褒扬金。</w:t>
      </w:r>
    </w:p>
    <w:p>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26．卫生健康支出（类）行政事业单位医疗（款）行政单位医疗（项）：反映财政部门安排的行政单位（包括实行公务员管理的事业 单位，下同）基本医疗保险缴费经费，未参加医疗保险的行政 单位的公费医疗经费，按国家规定享受离休人员、红军老战士 待遇人员的医疗经费。</w:t>
      </w:r>
    </w:p>
    <w:p>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27．农林水支出（类）巩固脱贫衔接乡村振兴（款）其他巩固脱贫衔接乡村振兴支出（项）：反映除上述项目以外其他用于巩固拓展脱贫攻坚成果同乡村</w:t>
      </w:r>
    </w:p>
    <w:p>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28．农林水支出（类）农村综合改革（款）对村级公益事业建设的补助（项）：反映农村综合改革方面的支出。</w:t>
      </w:r>
    </w:p>
    <w:p>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29．农林水支出（类）农村综合改革（款）对村民委员会和村党支部的补助（项）：反映各级财政对村民委员会和村党支部的补助支出，以及支持建立县级基本财力保障机制安排的村级组织运转奖补资金。</w:t>
      </w:r>
    </w:p>
    <w:p>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30．灾害防治及应急管理支出（类）自然灾害防治（款）森林草原防灾减灾（项）：反映防治森林草原火灾、自然水呈灾害等发生的支出。</w:t>
      </w:r>
    </w:p>
    <w:p>
      <w:pPr>
        <w:pStyle w:val="14"/>
        <w:jc w:val="both"/>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rPr>
          <w:sz w:val="72"/>
          <w:szCs w:val="72"/>
        </w:rPr>
      </w:pPr>
      <w:r>
        <w:rPr>
          <w:sz w:val="72"/>
          <w:szCs w:val="72"/>
        </w:rPr>
        <w:br w:type="page"/>
      </w: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4"/>
        <w:jc w:val="center"/>
        <w:rPr>
          <w:rFonts w:hint="eastAsia" w:ascii="方正小标宋_GBK" w:hAnsi="方正小标宋_GBK" w:eastAsia="方正小标宋_GBK" w:cs="方正小标宋_GBK"/>
          <w:sz w:val="70"/>
          <w:szCs w:val="70"/>
        </w:rPr>
      </w:pPr>
    </w:p>
    <w:p>
      <w:pPr>
        <w:pStyle w:val="14"/>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rPr>
          <w:rFonts w:cs="黑体" w:asciiTheme="minorEastAsia" w:hAnsiTheme="minorEastAsia"/>
          <w:color w:val="000000"/>
          <w:kern w:val="0"/>
          <w:sz w:val="32"/>
          <w:szCs w:val="32"/>
        </w:rPr>
      </w:pPr>
      <w:r>
        <w:rPr>
          <w:sz w:val="72"/>
          <w:szCs w:val="72"/>
        </w:rPr>
        <w:br w:type="page"/>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4647CE"/>
    <w:multiLevelType w:val="singleLevel"/>
    <w:tmpl w:val="9D4647CE"/>
    <w:lvl w:ilvl="0" w:tentative="0">
      <w:start w:val="2"/>
      <w:numFmt w:val="chineseCounting"/>
      <w:suff w:val="nothing"/>
      <w:lvlText w:val="（%1）"/>
      <w:lvlJc w:val="left"/>
      <w:rPr>
        <w:rFonts w:hint="eastAsia"/>
      </w:rPr>
    </w:lvl>
  </w:abstractNum>
  <w:abstractNum w:abstractNumId="1">
    <w:nsid w:val="77AA1E04"/>
    <w:multiLevelType w:val="singleLevel"/>
    <w:tmpl w:val="77AA1E0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jZTYxNGFhY2MyNzExMmFkZTk3ZDQ0NmJkMWQ0ODI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7E613F"/>
    <w:rsid w:val="0B014A4F"/>
    <w:rsid w:val="11282C3F"/>
    <w:rsid w:val="1917700C"/>
    <w:rsid w:val="1D97DEFF"/>
    <w:rsid w:val="1DFF72E5"/>
    <w:rsid w:val="1EFC6F07"/>
    <w:rsid w:val="1F726592"/>
    <w:rsid w:val="230A1F70"/>
    <w:rsid w:val="272051E8"/>
    <w:rsid w:val="28A517CF"/>
    <w:rsid w:val="2FDF85B8"/>
    <w:rsid w:val="2FFFEE04"/>
    <w:rsid w:val="34DF85B0"/>
    <w:rsid w:val="3A0D740F"/>
    <w:rsid w:val="3B8F36BC"/>
    <w:rsid w:val="446A6C06"/>
    <w:rsid w:val="48F74167"/>
    <w:rsid w:val="491FF225"/>
    <w:rsid w:val="4D7668DC"/>
    <w:rsid w:val="4FE6591E"/>
    <w:rsid w:val="4FFD214C"/>
    <w:rsid w:val="524D19FA"/>
    <w:rsid w:val="55AE1887"/>
    <w:rsid w:val="5777D4F5"/>
    <w:rsid w:val="59DD8326"/>
    <w:rsid w:val="5DEF592A"/>
    <w:rsid w:val="5FC6BB1E"/>
    <w:rsid w:val="5FF720F1"/>
    <w:rsid w:val="619517C1"/>
    <w:rsid w:val="67FF5C0B"/>
    <w:rsid w:val="6EFC0924"/>
    <w:rsid w:val="6FB74722"/>
    <w:rsid w:val="6FEA072C"/>
    <w:rsid w:val="6FEF8B7E"/>
    <w:rsid w:val="71A6591B"/>
    <w:rsid w:val="737D59BA"/>
    <w:rsid w:val="77C37683"/>
    <w:rsid w:val="79FF515B"/>
    <w:rsid w:val="7BEC1B1B"/>
    <w:rsid w:val="7C5078B0"/>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1"/>
    <w:pPr>
      <w:widowControl w:val="0"/>
      <w:jc w:val="both"/>
    </w:pPr>
    <w:rPr>
      <w:rFonts w:ascii="Calibri" w:hAnsi="Calibri" w:eastAsia="宋体"/>
      <w:kern w:val="2"/>
      <w:sz w:val="32"/>
      <w:szCs w:val="32"/>
      <w:lang w:val="en-US" w:eastAsia="zh-CN" w:bidi="ar-SA"/>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Normal (Web)"/>
    <w:basedOn w:val="1"/>
    <w:unhideWhenUsed/>
    <w:qFormat/>
    <w:uiPriority w:val="0"/>
    <w:pPr>
      <w:spacing w:before="100" w:beforeAutospacing="1" w:after="100" w:afterAutospacing="1"/>
      <w:jc w:val="left"/>
    </w:pPr>
    <w:rPr>
      <w:rFonts w:ascii="Calibri" w:hAnsi="Calibri"/>
      <w:kern w:val="0"/>
      <w:sz w:val="24"/>
      <w:szCs w:val="24"/>
    </w:r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5"/>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38</Pages>
  <Words>12156</Words>
  <Characters>15092</Characters>
  <Lines>63</Lines>
  <Paragraphs>18</Paragraphs>
  <TotalTime>7</TotalTime>
  <ScaleCrop>false</ScaleCrop>
  <LinksUpToDate>false</LinksUpToDate>
  <CharactersWithSpaces>16034</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Administrator</cp:lastModifiedBy>
  <cp:lastPrinted>2024-08-08T10:20:00Z</cp:lastPrinted>
  <dcterms:modified xsi:type="dcterms:W3CDTF">2025-08-28T02:52:48Z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8AC39F27AF3D4785AE898AB1D590805D_12</vt:lpwstr>
  </property>
</Properties>
</file>