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A07C8">
      <w:pPr>
        <w:tabs>
          <w:tab w:val="left" w:pos="2189"/>
        </w:tabs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13" w:name="_GoBack"/>
      <w:bookmarkEnd w:id="13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关于2024年道县国有资产运营服务中心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支出的绩效自评报告</w:t>
      </w:r>
    </w:p>
    <w:p w14:paraId="2F3BB677">
      <w:pPr>
        <w:tabs>
          <w:tab w:val="left" w:pos="2189"/>
        </w:tabs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BE0DA9C">
      <w:pPr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根据《中共湖南省委办公厅 湖南省人民政府办公厅关于全面实施预算绩效管理的实施意见》（湘办发[2019]10号） 《湖南省财政厅关于印发＜预算绩效目标管理办法＞》(湘财绩[2020]6号)等文件的要求,道县财政对道县国有资产运营服务中心开展2024年度专项资金及部门整体支出绩效自评工作,主要从基本情况、一般公共预算支出情况、社会保险基金预算支出情况、部门整体支出绩效情况进行自评。现将我中心整体支出的绩效自评报告如下：</w:t>
      </w:r>
    </w:p>
    <w:p w14:paraId="656BF840">
      <w:pPr>
        <w:pStyle w:val="7"/>
        <w:rPr>
          <w:rFonts w:ascii="华文仿宋" w:hAnsi="华文仿宋" w:eastAsia="华文仿宋" w:cs="华文仿宋"/>
          <w:sz w:val="32"/>
          <w:szCs w:val="32"/>
        </w:rPr>
      </w:pPr>
    </w:p>
    <w:p w14:paraId="2E855637">
      <w:pPr>
        <w:widowControl/>
        <w:spacing w:line="570" w:lineRule="atLeast"/>
        <w:rPr>
          <w:rFonts w:ascii="华文仿宋" w:hAnsi="华文仿宋" w:eastAsia="华文仿宋" w:cs="华文仿宋"/>
          <w:b/>
          <w:bCs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</w:rPr>
        <w:t>一、部门基本概况</w:t>
      </w:r>
    </w:p>
    <w:p w14:paraId="7C4E54D6">
      <w:pPr>
        <w:spacing w:line="570" w:lineRule="atLeast"/>
        <w:ind w:firstLine="641" w:firstLineChars="200"/>
        <w:rPr>
          <w:rFonts w:ascii="华文仿宋" w:hAnsi="华文仿宋" w:eastAsia="华文仿宋" w:cs="华文仿宋"/>
          <w:color w:val="000000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 w14:paraId="6BABE6BC">
      <w:pPr>
        <w:spacing w:line="570" w:lineRule="atLeast"/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  <w:bookmarkStart w:id="0" w:name="AGENCY_NAME_TITLE3"/>
      <w:r>
        <w:rPr>
          <w:rFonts w:hint="eastAsia" w:ascii="华文仿宋" w:hAnsi="华文仿宋" w:eastAsia="华文仿宋" w:cs="华文仿宋"/>
          <w:color w:val="000000"/>
          <w:sz w:val="32"/>
          <w:szCs w:val="32"/>
          <w:shd w:val="clear" w:color="auto" w:fill="FFFFFF"/>
        </w:rPr>
        <w:t>道县</w:t>
      </w:r>
      <w:bookmarkEnd w:id="0"/>
      <w:r>
        <w:rPr>
          <w:rFonts w:hint="eastAsia" w:ascii="华文仿宋" w:hAnsi="华文仿宋" w:eastAsia="华文仿宋" w:cs="华文仿宋"/>
          <w:color w:val="000000"/>
          <w:sz w:val="32"/>
          <w:szCs w:val="32"/>
          <w:shd w:val="clear" w:color="auto" w:fill="FFFFFF"/>
        </w:rPr>
        <w:t>国有资产运营服务中心的主要职责是：</w:t>
      </w:r>
      <w:r>
        <w:rPr>
          <w:rFonts w:hint="eastAsia" w:ascii="华文仿宋" w:hAnsi="华文仿宋" w:eastAsia="华文仿宋" w:cs="华文仿宋"/>
          <w:sz w:val="32"/>
          <w:szCs w:val="32"/>
        </w:rPr>
        <w:t>贯彻落实中央、省、市有关国有资产运营管理的有关方针政策和部署要求，承担实施县属国有企业改革发展战略、发展规划、年度计划等方面的事务性服务性工作;承担县属国有企业设置、合并、撤分、重组、改制等国有资本优化布局，企业产业结构调整等方面的事务性工作;开展县属国有企业统计监测分析和经营业绩评价服务;负责县属国有企业管理机制体制创新、收入分配制度创新等方面的事务性服务性工作;建立和完善并考核国有资产保值增值指标体系；参与全县经营性国有资产权属的产权界定、登记、资产纠纷处理；完成县委、县政府交办的其他事项。</w:t>
      </w:r>
    </w:p>
    <w:p w14:paraId="0404DEC8">
      <w:pPr>
        <w:spacing w:line="570" w:lineRule="atLeast"/>
        <w:ind w:firstLine="641" w:firstLineChars="200"/>
        <w:rPr>
          <w:rFonts w:ascii="华文仿宋" w:hAnsi="华文仿宋" w:eastAsia="华文仿宋" w:cs="华文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 w14:paraId="293E4F8B">
      <w:pPr>
        <w:widowControl/>
        <w:spacing w:line="560" w:lineRule="exact"/>
        <w:ind w:firstLine="640" w:firstLineChars="200"/>
        <w:jc w:val="left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本单位下设综合办公室、规划发展与改革改制室、党建人事与社会责任室、产权管理与运营考核室。现有工作人员8人，实际在岗8人。</w:t>
      </w:r>
    </w:p>
    <w:p w14:paraId="1F2B2BA4">
      <w:pPr>
        <w:ind w:left="420"/>
        <w:rPr>
          <w:rFonts w:ascii="华文仿宋" w:hAnsi="华文仿宋" w:eastAsia="华文仿宋" w:cs="华文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shd w:val="clear" w:color="auto" w:fill="FFFFFF"/>
        </w:rPr>
        <w:t>（三）单位年度整体支出绩效目标</w:t>
      </w:r>
    </w:p>
    <w:p w14:paraId="4F332C94">
      <w:pPr>
        <w:ind w:left="420"/>
        <w:rPr>
          <w:rFonts w:ascii="华文仿宋" w:hAnsi="华文仿宋" w:eastAsia="仿宋" w:cs="华文仿宋"/>
          <w:color w:val="000000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shd w:val="clear" w:color="auto" w:fill="FFFFFF"/>
        </w:rPr>
        <w:t>1.</w:t>
      </w:r>
      <w:r>
        <w:rPr>
          <w:rFonts w:hint="eastAsia" w:ascii="宋体" w:hAnsi="宋体" w:eastAsia="仿宋" w:cs="宋体"/>
          <w:kern w:val="0"/>
          <w:sz w:val="32"/>
          <w:szCs w:val="32"/>
        </w:rPr>
        <w:t>严格支出管理，压缩“三公”经费支出，确保机构运转。</w:t>
      </w:r>
    </w:p>
    <w:p w14:paraId="3A3CF109">
      <w:pPr>
        <w:ind w:left="420"/>
        <w:rPr>
          <w:rFonts w:ascii="华文仿宋" w:hAnsi="华文仿宋" w:eastAsia="华文仿宋" w:cs="华文仿宋"/>
          <w:color w:val="000000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shd w:val="clear" w:color="auto" w:fill="FFFFFF"/>
        </w:rPr>
        <w:t>2.完成好国有企业年度经营利润审计、全县国有“三资”清查处置与管理改革专项工作经费、行政事业单位国有资产网络维护、</w:t>
      </w:r>
      <w:r>
        <w:rPr>
          <w:rFonts w:hint="eastAsia" w:ascii="华文仿宋" w:hAnsi="华文仿宋" w:eastAsia="华文仿宋" w:cs="华文仿宋"/>
          <w:sz w:val="32"/>
          <w:szCs w:val="32"/>
        </w:rPr>
        <w:t>国有企业项目分析论证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shd w:val="clear" w:color="auto" w:fill="FFFFFF"/>
        </w:rPr>
        <w:t>项目。</w:t>
      </w:r>
    </w:p>
    <w:p w14:paraId="2497D01A">
      <w:pPr>
        <w:ind w:left="42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shd w:val="clear" w:color="auto" w:fill="FFFFFF"/>
        </w:rPr>
        <w:t>3.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实现财源建设提质增效；进行行业监管，</w:t>
      </w:r>
      <w:r>
        <w:rPr>
          <w:rFonts w:hint="eastAsia" w:ascii="华文仿宋" w:hAnsi="华文仿宋" w:eastAsia="华文仿宋" w:cs="华文仿宋"/>
          <w:sz w:val="32"/>
          <w:szCs w:val="32"/>
        </w:rPr>
        <w:t>实现国有企业安全生产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；进行</w:t>
      </w:r>
      <w:r>
        <w:rPr>
          <w:rFonts w:hint="eastAsia" w:ascii="华文仿宋" w:hAnsi="华文仿宋" w:eastAsia="华文仿宋" w:cs="华文仿宋"/>
          <w:sz w:val="32"/>
          <w:szCs w:val="32"/>
        </w:rPr>
        <w:t>三资”清查，处置盘活，实现国有资产保值增值；推动企业薪酬与考核体制改革。</w:t>
      </w:r>
    </w:p>
    <w:p w14:paraId="3A3F1A0A">
      <w:pPr>
        <w:ind w:left="420"/>
        <w:rPr>
          <w:rFonts w:hint="eastAsia" w:ascii="华文仿宋" w:hAnsi="华文仿宋" w:eastAsia="华文仿宋" w:cs="华文仿宋"/>
          <w:sz w:val="32"/>
          <w:szCs w:val="32"/>
        </w:rPr>
      </w:pPr>
    </w:p>
    <w:p w14:paraId="76F22BD3">
      <w:pPr>
        <w:ind w:firstLine="641" w:firstLineChars="200"/>
        <w:rPr>
          <w:rFonts w:ascii="华文仿宋" w:hAnsi="华文仿宋" w:eastAsia="华文仿宋" w:cs="华文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shd w:val="clear" w:color="auto" w:fill="FFFFFF"/>
          <w:lang w:eastAsia="zh-CN"/>
        </w:rPr>
        <w:t>二、</w:t>
      </w: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shd w:val="clear" w:color="auto" w:fill="FFFFFF"/>
        </w:rPr>
        <w:t>项目支出情况</w:t>
      </w:r>
    </w:p>
    <w:p w14:paraId="1CB412EB">
      <w:pPr>
        <w:ind w:firstLine="640" w:firstLineChars="200"/>
        <w:rPr>
          <w:rFonts w:ascii="华文仿宋" w:hAnsi="华文仿宋" w:eastAsia="华文仿宋" w:cs="华文仿宋"/>
          <w:color w:val="000000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shd w:val="clear" w:color="auto" w:fill="FFFFFF"/>
        </w:rPr>
        <w:t>2024年项目支出年初预算数为51.2万元，包括四个项目。</w:t>
      </w:r>
    </w:p>
    <w:p w14:paraId="4AFBFD1D">
      <w:pPr>
        <w:ind w:firstLine="640" w:firstLineChars="200"/>
        <w:rPr>
          <w:rFonts w:hint="eastAsia" w:ascii="华文仿宋" w:hAnsi="华文仿宋" w:eastAsia="华文仿宋" w:cs="华文仿宋"/>
          <w:color w:val="000000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shd w:val="clear" w:color="auto" w:fill="FFFFFF"/>
        </w:rPr>
        <w:t>1.全县国有“三资”清查处置与改革专项工作经费年初预算为20万元，实际支出20万元。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对全县国有“三资”清查处置与管理改革。其中，20万元用于第三方机构测绘、评估、挂网等。</w:t>
      </w:r>
    </w:p>
    <w:p w14:paraId="23F90D67">
      <w:pPr>
        <w:ind w:firstLine="640" w:firstLineChars="200"/>
        <w:rPr>
          <w:rFonts w:ascii="华文仿宋" w:hAnsi="华文仿宋" w:eastAsia="华文仿宋" w:cs="华文仿宋"/>
          <w:color w:val="000000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shd w:val="clear" w:color="auto" w:fill="FFFFFF"/>
        </w:rPr>
        <w:t>2.国有企业年度经营利润审计费用年初预算20万元，实际支出19.2万元。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shd w:val="clear" w:color="auto" w:fill="FFFFFF"/>
          <w:lang w:val="en-US" w:eastAsia="zh-CN"/>
        </w:rPr>
        <w:t>主要用于对县属6家国有企业的专业审计。其中，19.2万元全部用于聘请湖南信大华林会计事务所出具审计报告。</w:t>
      </w:r>
    </w:p>
    <w:p w14:paraId="148B5905">
      <w:pPr>
        <w:ind w:firstLine="640" w:firstLineChars="200"/>
        <w:rPr>
          <w:rFonts w:ascii="华文仿宋" w:hAnsi="华文仿宋" w:eastAsia="华文仿宋" w:cs="华文仿宋"/>
          <w:color w:val="000000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shd w:val="clear" w:color="auto" w:fill="FFFFFF"/>
        </w:rPr>
        <w:t>3.行政事业单位国有资产网络维护费年初预算6万元，实际支出6万元。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对233家县行政事业单位使用国有资产网络系统全覆盖。其中，6万元全部用于年报、月报、智慧国资系统维护费用。</w:t>
      </w:r>
    </w:p>
    <w:p w14:paraId="41904D44">
      <w:pPr>
        <w:pStyle w:val="2"/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4.国有企业项目分析论证费用年初预算6万元，实际支出5.4 万元。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对县属国有企业投融资等重大事项分析论证。其中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5.4万元全部用于对县属国有企业投融资等重大事项分析论证。</w:t>
      </w:r>
    </w:p>
    <w:p w14:paraId="1B46A3C1">
      <w:pPr>
        <w:widowControl/>
        <w:spacing w:line="570" w:lineRule="atLeast"/>
        <w:rPr>
          <w:rFonts w:ascii="华文仿宋" w:hAnsi="华文仿宋" w:eastAsia="华文仿宋" w:cs="华文仿宋"/>
          <w:b/>
          <w:bCs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</w:rPr>
        <w:t>三、政府性基金预算支出</w:t>
      </w:r>
    </w:p>
    <w:p w14:paraId="2DBFD31B">
      <w:pPr>
        <w:ind w:firstLine="640" w:firstLineChars="200"/>
        <w:rPr>
          <w:rFonts w:ascii="华文仿宋" w:hAnsi="华文仿宋" w:eastAsia="华文仿宋" w:cs="华文仿宋"/>
          <w:color w:val="000000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shd w:val="clear" w:color="auto" w:fill="FFFFFF"/>
        </w:rPr>
        <w:t>2024年本部门</w:t>
      </w:r>
      <w:bookmarkStart w:id="1" w:name="DIS_MARK_PAY_ZFXJJZC_AMT"/>
      <w:bookmarkEnd w:id="1"/>
      <w:bookmarkStart w:id="2" w:name="START_PAY_ZFXJJZC"/>
      <w:bookmarkEnd w:id="2"/>
      <w:bookmarkStart w:id="3" w:name="START_PAY_ZFXJJZC_AMT"/>
      <w:bookmarkEnd w:id="3"/>
      <w:bookmarkStart w:id="4" w:name="END_PAY_ZFXJJZC_AMT"/>
      <w:bookmarkEnd w:id="4"/>
      <w:bookmarkStart w:id="5" w:name="DIS_MARK_PAY_ZFXJJZC"/>
      <w:r>
        <w:rPr>
          <w:rFonts w:hint="eastAsia" w:ascii="华文仿宋" w:hAnsi="华文仿宋" w:eastAsia="华文仿宋" w:cs="华文仿宋"/>
          <w:color w:val="000000"/>
          <w:sz w:val="32"/>
          <w:szCs w:val="32"/>
          <w:shd w:val="clear" w:color="auto" w:fill="FFFFFF"/>
        </w:rPr>
        <w:t>无政府性基金安排的支出。</w:t>
      </w:r>
      <w:bookmarkEnd w:id="5"/>
      <w:bookmarkStart w:id="6" w:name="END_PAY_ZFXJJZC"/>
      <w:bookmarkEnd w:id="6"/>
    </w:p>
    <w:p w14:paraId="3C1FCB94">
      <w:pPr>
        <w:widowControl/>
        <w:spacing w:line="570" w:lineRule="atLeast"/>
        <w:rPr>
          <w:rFonts w:ascii="华文仿宋" w:hAnsi="华文仿宋" w:eastAsia="华文仿宋" w:cs="华文仿宋"/>
          <w:b/>
          <w:bCs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</w:rPr>
        <w:t>四、国有资本经营预算支出</w:t>
      </w:r>
    </w:p>
    <w:p w14:paraId="3515FEA8">
      <w:pPr>
        <w:ind w:firstLine="640" w:firstLineChars="200"/>
        <w:rPr>
          <w:rFonts w:ascii="华文仿宋" w:hAnsi="华文仿宋" w:eastAsia="华文仿宋" w:cs="华文仿宋"/>
          <w:color w:val="000000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shd w:val="clear" w:color="auto" w:fill="FFFFFF"/>
        </w:rPr>
        <w:t>2024年本部门</w:t>
      </w:r>
      <w:bookmarkStart w:id="7" w:name="END_PAY_GYZBJYYSZC_AMT_ALL"/>
      <w:bookmarkEnd w:id="7"/>
      <w:bookmarkStart w:id="8" w:name="DIS_MARK_PAY_GYZBJYYSZC_AMT_ALL"/>
      <w:bookmarkEnd w:id="8"/>
      <w:bookmarkStart w:id="9" w:name="START_PAY_GYZBJYYSZC_AMT_ALL"/>
      <w:bookmarkEnd w:id="9"/>
      <w:bookmarkStart w:id="10" w:name="START_PAY_GYZBJYYSZC"/>
      <w:bookmarkEnd w:id="10"/>
      <w:bookmarkStart w:id="11" w:name="DIS_MARK_PAY_GYZBJYYSZC"/>
      <w:r>
        <w:rPr>
          <w:rFonts w:hint="eastAsia" w:ascii="华文仿宋" w:hAnsi="华文仿宋" w:eastAsia="华文仿宋" w:cs="华文仿宋"/>
          <w:color w:val="000000"/>
          <w:sz w:val="32"/>
          <w:szCs w:val="32"/>
          <w:shd w:val="clear" w:color="auto" w:fill="FFFFFF"/>
        </w:rPr>
        <w:t>无国有资本经营预算安排的支出。</w:t>
      </w:r>
      <w:bookmarkEnd w:id="11"/>
      <w:bookmarkStart w:id="12" w:name="END_PAY_GYZBJYYSZC"/>
      <w:bookmarkEnd w:id="12"/>
    </w:p>
    <w:p w14:paraId="370B39E7">
      <w:pPr>
        <w:widowControl/>
        <w:spacing w:line="570" w:lineRule="atLeast"/>
        <w:rPr>
          <w:rFonts w:ascii="华文仿宋" w:hAnsi="华文仿宋" w:eastAsia="华文仿宋" w:cs="华文仿宋"/>
          <w:b/>
          <w:bCs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</w:rPr>
        <w:t>五、社会保险基金预算支出情况</w:t>
      </w:r>
    </w:p>
    <w:p w14:paraId="3A154CF4">
      <w:pPr>
        <w:ind w:firstLine="640" w:firstLineChars="200"/>
        <w:rPr>
          <w:rFonts w:ascii="华文仿宋" w:hAnsi="华文仿宋" w:eastAsia="华文仿宋" w:cs="华文仿宋"/>
          <w:color w:val="000000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shd w:val="clear" w:color="auto" w:fill="FFFFFF"/>
        </w:rPr>
        <w:t>2024年本部门无社会保险基金预算安排的支出。</w:t>
      </w:r>
    </w:p>
    <w:p w14:paraId="429E073E">
      <w:pPr>
        <w:widowControl/>
        <w:numPr>
          <w:ilvl w:val="0"/>
          <w:numId w:val="1"/>
        </w:numPr>
        <w:spacing w:line="570" w:lineRule="atLeast"/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</w:rPr>
        <w:t>部门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lang w:eastAsia="zh-CN"/>
        </w:rPr>
        <w:t>项目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</w:rPr>
        <w:t>支出绩效情况</w:t>
      </w:r>
    </w:p>
    <w:p w14:paraId="2D1815B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right="0" w:firstLine="641" w:firstLineChars="200"/>
        <w:jc w:val="both"/>
        <w:textAlignment w:val="baseline"/>
        <w:rPr>
          <w:rFonts w:hint="default" w:ascii="华文仿宋" w:hAnsi="华文仿宋" w:eastAsia="华文仿宋" w:cs="华文仿宋"/>
          <w:color w:val="00000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lang w:val="en-US" w:eastAsia="zh-CN"/>
        </w:rPr>
        <w:t>1.规范处置，积极拓展，实现</w:t>
      </w: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lang w:val="en" w:eastAsia="zh-CN"/>
        </w:rPr>
        <w:t>财源建设提质增效。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  <w:t>紧紧围绕全县财源建设工作目标任务，着力攻坚国有资产盘活利用，取得了一定的成效。2024年国有资产盘活目标任务为7300万元。截止目前，国有闲置资产处置收入885.55万元，国有资产出租收入4237.60万元，总计收入5123.15万元。国企增收创利目标任务4460万元，现已完成入库4548.03万元。</w:t>
      </w:r>
    </w:p>
    <w:p w14:paraId="1AA7415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right="0" w:firstLine="641" w:firstLineChars="200"/>
        <w:jc w:val="both"/>
        <w:textAlignment w:val="baseline"/>
        <w:rPr>
          <w:rFonts w:hint="default" w:ascii="华文仿宋" w:hAnsi="华文仿宋" w:eastAsia="华文仿宋" w:cs="华文仿宋"/>
          <w:color w:val="00000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2.“三资”清查，处置盘活，实现国有资产保值增值。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按照</w:t>
      </w: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《道县国有“三资”清查处置与管理改革总体实施方案》中</w:t>
      </w: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“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全领域、全口径、全覆盖</w:t>
      </w: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”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的要求，精准清查政府拥有、管控的国有</w:t>
      </w: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“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三资</w:t>
      </w: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”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  <w:lang w:val="en" w:eastAsia="zh-CN"/>
        </w:rPr>
        <w:t>对国有“三资”进行科学处置，高效盘活。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  <w:t>2024年全县共盘活国有“三资”总价值63085.84万元，入库收益34443.54万元，按入库数据的统计口径计算，今年改革任务完成任务量为8443.54万元。县域高质量发展的直接融资占比考核指标，全年完成0.17%，排全市第2名。</w:t>
      </w:r>
    </w:p>
    <w:p w14:paraId="433936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right="0" w:firstLine="641" w:firstLineChars="200"/>
        <w:jc w:val="both"/>
        <w:textAlignment w:val="baseline"/>
        <w:rPr>
          <w:rFonts w:hint="default" w:ascii="华文仿宋" w:hAnsi="华文仿宋" w:eastAsia="华文仿宋" w:cs="华文仿宋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lang w:val="en-US" w:eastAsia="zh-CN"/>
        </w:rPr>
        <w:t>3.坚持原则，开展排查，实现国有资产规范管理。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  <w:t>全面开展对行政事业单位资产清查。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通过启动“智慧国资”系统开展排查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，我县231家行政事业单位及国有企业入录国有“三资”数据49012条。经统计，土地3063万平方米，车辆639台，房屋200.87万平方米，股权1300万股，设备设施97.9万套。全面规范国有资产的审批，今年来共审核批准96家行政事业单位新购置电脑等办公用品34994件、金额2153万元；办公用房改造维修共计34家行政事业单位，合计价值1514万元；按程序处置报废物品(含车辆)共1173件，处置报废固定资产收入9.5万元，土地资产调拨8家单位，共40万平方米，车辆调拨13辆，通用设备调剂调拨7家单位共289件。</w:t>
      </w:r>
    </w:p>
    <w:p w14:paraId="15711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4.聚焦反馈，专项整治，实现构建国资监管大格局。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聚焦省委第十二巡视组巡视道县的巡视问题反馈，制定出台《全县国有资产专项整治实施方案》，5-9月份在全县范围内开展专项整治活动，下发各单位交办函76份，已全部整改到位。对巡视发现的新鑫房地产开发有限责任公司重大交办问题，积极会同相关部门开展专项审计、资产清算，查明资金使用去向，中心代管该公司半年，制定相关财务及日常管理制度，较好完成该公司的日常运营。完成上关城关生猪屠宰场资产、资金的顺利移交工作。全年来，共处理群众和企业职工来信来访22批次，接待上访群众110余人次，及时回复上访事项8件。通过财政预算管理一体化系统报送台账，加快国资国企在线监管信息化建设，并对行政事业单位经营性国有资产出台管理制度，规范出租、处置行为，已初步形成国资监管一盘棋局面，3月份在全市国资国企工作会议上，我中心作交流典型发言。</w:t>
      </w:r>
    </w:p>
    <w:p w14:paraId="4299B79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 w:firstLineChars="200"/>
        <w:contextualSpacing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5.深化改革，全面落实，实现国有企业增添活力。一是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为了平台转型发展的需要，配合莲城集团积极开展项目建设、基地运营、渣土运输、广告服务、资产投资等经营性业务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  <w:t>。中心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会同县财政协调相关银行，督促平台压降1家任务工作加快推进，现已基本完成任务。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制定出台《道县国有资产运营服务中心监管企业重大事项监督管理办法（试行）》文件，对6家国企重大投融资项目全面进行监管。今年来配合协调县公交公司招标购置40台新能源车；县国投公司的现代畜牧产业园项目和河道采砂项目、光伏招租等招标工作；组织矿投公司的拌合站建设项目论证。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根据国企功能定位、行业特点和发展阶段，差异化设置考核指标，严格按照《2023年国有企业年度考核方案》，对6家国有企业组织开展专项审计并考核，考核结果提交县政府常务会研究通过，合理拉开县属国企之间薪酬差距，真正做到绩升薪升、绩降薪降，充分激发了县属国企想干事、能干事、干成事的活力。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严格规范国企人员招聘工作。制定出台《监管企业选人用人管理办法（试行）》文件，今年参与指导各国企采取公开招聘、劳务派遣方式，组织招聘国企员工7批次，新招聘27人次。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  <w:t>截止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val="en" w:eastAsia="zh-CN"/>
        </w:rPr>
        <w:t>目前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，县属国有企业员工总数为537人；党员76人。其中学历包括研究生、本科、专科、高中；本科人数同比增加65.8%，专科人数同比增加20%，国企人才队伍建设进一步得到充实和壮大。</w:t>
      </w:r>
    </w:p>
    <w:p w14:paraId="4E7F9B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5A32FBB9">
      <w:pPr>
        <w:widowControl/>
        <w:numPr>
          <w:ilvl w:val="0"/>
          <w:numId w:val="1"/>
        </w:numPr>
        <w:spacing w:line="570" w:lineRule="atLeast"/>
        <w:ind w:left="0" w:leftChars="0" w:firstLine="0" w:firstLineChars="0"/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</w:rPr>
        <w:t>存在的问题及原因分析</w:t>
      </w:r>
    </w:p>
    <w:p w14:paraId="0DA8E9C7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</w:t>
      </w:r>
      <w:r>
        <w:rPr>
          <w:rFonts w:ascii="仿宋" w:hAnsi="仿宋" w:eastAsia="仿宋"/>
          <w:sz w:val="30"/>
          <w:szCs w:val="30"/>
        </w:rPr>
        <w:t>预算绩效管理机制有待进一步完善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ascii="仿宋" w:hAnsi="仿宋" w:eastAsia="仿宋"/>
          <w:sz w:val="30"/>
          <w:szCs w:val="30"/>
        </w:rPr>
        <w:t>需进一步结合工作实际完善资金管理文件办法等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0080004D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</w:t>
      </w:r>
      <w:r>
        <w:rPr>
          <w:rFonts w:ascii="仿宋" w:hAnsi="仿宋" w:eastAsia="仿宋"/>
          <w:sz w:val="30"/>
          <w:szCs w:val="30"/>
        </w:rPr>
        <w:t>绩效目标设定不够细化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ascii="仿宋" w:hAnsi="仿宋" w:eastAsia="仿宋"/>
          <w:sz w:val="30"/>
          <w:szCs w:val="30"/>
        </w:rPr>
        <w:t>绩效目标的科学性、合理性以及量化可考核性有待进一步加强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5FEE33D6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</w:t>
      </w:r>
      <w:r>
        <w:rPr>
          <w:rFonts w:ascii="仿宋" w:hAnsi="仿宋" w:eastAsia="仿宋"/>
          <w:sz w:val="30"/>
          <w:szCs w:val="30"/>
        </w:rPr>
        <w:t>内控制度执行有待进一步规范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3531DCDA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4、存在预算资金不够细，支出与预算不够专的问题。</w:t>
      </w:r>
    </w:p>
    <w:p w14:paraId="2F59E112">
      <w:pPr>
        <w:pStyle w:val="4"/>
        <w:widowControl/>
        <w:spacing w:before="0" w:beforeAutospacing="0" w:after="0" w:afterAutospacing="0"/>
        <w:ind w:right="11" w:firstLine="602" w:firstLineChars="200"/>
        <w:rPr>
          <w:rFonts w:hint="eastAsia" w:ascii="仿宋" w:hAnsi="仿宋" w:eastAsia="仿宋" w:cs="宋体"/>
          <w:b/>
          <w:color w:val="000000"/>
          <w:sz w:val="30"/>
          <w:szCs w:val="30"/>
        </w:rPr>
      </w:pPr>
      <w:r>
        <w:rPr>
          <w:rFonts w:hint="eastAsia" w:ascii="仿宋" w:hAnsi="仿宋" w:eastAsia="仿宋" w:cs="宋体"/>
          <w:b/>
          <w:color w:val="000000"/>
          <w:sz w:val="30"/>
          <w:szCs w:val="30"/>
        </w:rPr>
        <w:t>八、下一步改进措施</w:t>
      </w:r>
    </w:p>
    <w:p w14:paraId="320ABB50">
      <w:pPr>
        <w:pStyle w:val="4"/>
        <w:widowControl/>
        <w:spacing w:before="0" w:beforeAutospacing="0" w:after="0" w:afterAutospacing="0"/>
        <w:ind w:right="11" w:firstLine="600" w:firstLineChars="200"/>
        <w:rPr>
          <w:rFonts w:ascii="仿宋" w:hAnsi="仿宋" w:eastAsia="仿宋" w:cs="宋体"/>
          <w:bCs/>
          <w:color w:val="000000"/>
          <w:sz w:val="30"/>
          <w:szCs w:val="30"/>
        </w:rPr>
      </w:pPr>
      <w:r>
        <w:rPr>
          <w:rFonts w:hint="eastAsia" w:ascii="仿宋" w:hAnsi="仿宋" w:eastAsia="仿宋" w:cs="宋体"/>
          <w:bCs/>
          <w:color w:val="000000"/>
          <w:sz w:val="30"/>
          <w:szCs w:val="30"/>
        </w:rPr>
        <w:t>1、</w:t>
      </w:r>
      <w:r>
        <w:rPr>
          <w:rFonts w:hint="eastAsia" w:ascii="仿宋" w:hAnsi="仿宋" w:eastAsia="仿宋" w:cs="宋体"/>
          <w:bCs/>
          <w:color w:val="010101"/>
          <w:sz w:val="32"/>
          <w:szCs w:val="32"/>
        </w:rPr>
        <w:t>规范账务处理，提高财务信息质量。</w:t>
      </w:r>
      <w:r>
        <w:rPr>
          <w:rFonts w:hint="eastAsia" w:ascii="仿宋" w:hAnsi="仿宋" w:eastAsia="仿宋" w:cs="宋体"/>
          <w:color w:val="010101"/>
          <w:sz w:val="32"/>
          <w:szCs w:val="32"/>
        </w:rPr>
        <w:t>严格按照《会计法》、《政府会计制度》等规定执行财务核算，并结合实际情况，完整、准确地披露相关信息，做到决算与预算相衔接。</w:t>
      </w:r>
      <w:r>
        <w:rPr>
          <w:rFonts w:hint="eastAsia" w:ascii="仿宋" w:hAnsi="仿宋" w:eastAsia="仿宋"/>
          <w:color w:val="010101"/>
          <w:sz w:val="30"/>
          <w:szCs w:val="30"/>
        </w:rPr>
        <w:t>财务部门应加强与各部门的沟通，了解具体的事项，合理安排资金支付，提高财务核算的准确性，加强人才队伍建设，提高业务能力水平。</w:t>
      </w:r>
    </w:p>
    <w:p w14:paraId="6B5CFC84">
      <w:pPr>
        <w:pStyle w:val="4"/>
        <w:widowControl/>
        <w:spacing w:before="0" w:beforeAutospacing="0" w:after="0" w:afterAutospacing="0"/>
        <w:ind w:right="11" w:firstLine="600" w:firstLineChars="200"/>
        <w:rPr>
          <w:rFonts w:hint="eastAsia" w:ascii="仿宋" w:hAnsi="仿宋" w:eastAsia="仿宋"/>
          <w:color w:val="010101"/>
          <w:sz w:val="30"/>
          <w:szCs w:val="30"/>
        </w:rPr>
      </w:pPr>
      <w:r>
        <w:rPr>
          <w:rFonts w:hint="eastAsia" w:ascii="仿宋" w:hAnsi="仿宋" w:eastAsia="仿宋"/>
          <w:bCs/>
          <w:color w:val="010101"/>
          <w:sz w:val="30"/>
          <w:szCs w:val="30"/>
        </w:rPr>
        <w:t>2、明确职责，加强项目管理。一是应针对每一个项目制定工作目标，科学编制和</w:t>
      </w:r>
      <w:r>
        <w:rPr>
          <w:rFonts w:hint="eastAsia" w:ascii="仿宋" w:hAnsi="仿宋" w:eastAsia="仿宋"/>
          <w:color w:val="010101"/>
          <w:sz w:val="30"/>
          <w:szCs w:val="30"/>
        </w:rPr>
        <w:t>细化预算，做到预算有目标，执行有细则，控制专项支出，提高资金的使用效益。</w:t>
      </w:r>
    </w:p>
    <w:p w14:paraId="2B0ECB34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ascii="仿宋" w:hAnsi="仿宋" w:eastAsia="仿宋"/>
          <w:sz w:val="32"/>
          <w:szCs w:val="32"/>
        </w:rPr>
        <w:t>通过对预算绩效管理工作的制度、流程和职责的梳理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制定适应</w:t>
      </w:r>
      <w:r>
        <w:rPr>
          <w:rFonts w:hint="eastAsia" w:ascii="仿宋" w:hAnsi="仿宋" w:eastAsia="仿宋"/>
          <w:sz w:val="32"/>
          <w:szCs w:val="32"/>
        </w:rPr>
        <w:t>单位</w:t>
      </w:r>
      <w:r>
        <w:rPr>
          <w:rFonts w:ascii="仿宋" w:hAnsi="仿宋" w:eastAsia="仿宋"/>
          <w:sz w:val="32"/>
          <w:szCs w:val="32"/>
        </w:rPr>
        <w:t>特点的预算绩效管理制度及相关实施细则，以提升预算绩效管理工作的整体规划性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7B28A792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</w:t>
      </w:r>
      <w:r>
        <w:rPr>
          <w:rFonts w:ascii="仿宋" w:hAnsi="仿宋" w:eastAsia="仿宋"/>
          <w:sz w:val="32"/>
          <w:szCs w:val="32"/>
        </w:rPr>
        <w:t>构建更为科学合理的财政资金绩效评价体系，合理化设置绩效目标指标体系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充分激发科技创新活力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63EE521A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</w:t>
      </w:r>
      <w:r>
        <w:rPr>
          <w:rFonts w:ascii="仿宋" w:hAnsi="仿宋" w:eastAsia="仿宋"/>
          <w:sz w:val="32"/>
          <w:szCs w:val="32"/>
        </w:rPr>
        <w:t>加强内控管理保障各项工作合规进行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通过定期绩效评价规范内控执行，并根据绩效评价结果及时纠偏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确保内控执行的有效性。</w:t>
      </w:r>
    </w:p>
    <w:p w14:paraId="49E423D2">
      <w:pPr>
        <w:widowControl/>
        <w:shd w:val="clear" w:color="auto" w:fill="FFFFFF"/>
        <w:ind w:firstLine="602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</w:rPr>
        <w:t>九、绩效自评结果拟应用和公开情况</w:t>
      </w:r>
    </w:p>
    <w:p w14:paraId="365A3871">
      <w:pPr>
        <w:widowControl/>
        <w:shd w:val="clear" w:color="auto" w:fill="FFFFFF"/>
        <w:ind w:firstLine="600" w:firstLineChars="200"/>
        <w:jc w:val="left"/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按照要求将部门整体支出自评结果在部门门户网站进行公开，优化支出结构、完善相关办法、改进预算管理。强化结果应用，建立完善评价结果与预算调整、改进管理、完善政策挂钩机制。</w:t>
      </w:r>
    </w:p>
    <w:p w14:paraId="3C894B16">
      <w:pPr>
        <w:widowControl/>
        <w:shd w:val="clear" w:color="auto" w:fill="FFFFFF"/>
        <w:ind w:firstLine="602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</w:rPr>
        <w:t>十、其他需要说明的情况</w:t>
      </w:r>
    </w:p>
    <w:p w14:paraId="55EDC825">
      <w:pPr>
        <w:pStyle w:val="4"/>
        <w:widowControl/>
        <w:spacing w:before="0" w:beforeAutospacing="0" w:after="0" w:afterAutospacing="0"/>
        <w:ind w:right="11" w:firstLine="600" w:firstLineChars="200"/>
        <w:rPr>
          <w:rFonts w:ascii="仿宋" w:hAnsi="仿宋" w:eastAsia="仿宋"/>
          <w:color w:val="010101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sz w:val="30"/>
          <w:szCs w:val="30"/>
        </w:rPr>
        <w:t>无。</w:t>
      </w:r>
    </w:p>
    <w:p w14:paraId="7CABE778">
      <w:pPr>
        <w:pStyle w:val="7"/>
        <w:ind w:firstLine="0"/>
        <w:rPr>
          <w:rFonts w:ascii="华文仿宋" w:hAnsi="华文仿宋" w:eastAsia="华文仿宋" w:cs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2025年6月23日</w:t>
      </w:r>
    </w:p>
    <w:p w14:paraId="0A5AC4E6">
      <w:pPr>
        <w:widowControl/>
        <w:numPr>
          <w:ilvl w:val="0"/>
          <w:numId w:val="0"/>
        </w:numPr>
        <w:spacing w:line="570" w:lineRule="atLeast"/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 xml:space="preserve">                           道县国有资产运营服务中心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BC3DC3"/>
    <w:multiLevelType w:val="singleLevel"/>
    <w:tmpl w:val="A7BC3DC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EDDF0D40"/>
    <w:rsid w:val="EEEB17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paragraph" w:customStyle="1" w:styleId="7">
    <w:name w:val="列出段落1"/>
    <w:basedOn w:val="1"/>
    <w:qFormat/>
    <w:uiPriority w:val="0"/>
    <w:pPr>
      <w:ind w:firstLine="42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2025-06-25T16:42:08Z</dcterms:created>
  <dc:creator>kylin</dc:creator>
  <cp:lastModifiedBy>wjq</cp:lastModifiedBy>
  <dcterms:modified xsi:type="dcterms:W3CDTF">2025-06-25T09:22:41Z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98108E9E2A944424614F5B6846C199F7_43</vt:lpwstr>
  </property>
</Properties>
</file>