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600" w:lineRule="auto"/>
        <w:jc w:val="center"/>
        <w:textAlignment w:val="auto"/>
        <w:rPr>
          <w:rFonts w:hint="eastAsia" w:ascii="方正小标宋简体" w:hAnsi="方正小标宋简体" w:eastAsia="方正小标宋简体" w:cs="方正小标宋简体"/>
          <w:b w:val="0"/>
          <w:bCs/>
          <w:sz w:val="44"/>
          <w:szCs w:val="44"/>
        </w:rPr>
      </w:pPr>
      <w:bookmarkStart w:id="2" w:name="_GoBack"/>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年度道县营江街道办事处整体支出</w:t>
      </w:r>
    </w:p>
    <w:p>
      <w:pPr>
        <w:pageBreakBefore w:val="0"/>
        <w:kinsoku/>
        <w:wordWrap/>
        <w:overflowPunct/>
        <w:topLinePunct w:val="0"/>
        <w:autoSpaceDE/>
        <w:autoSpaceDN/>
        <w:bidi w:val="0"/>
        <w:spacing w:line="600" w:lineRule="auto"/>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绩效评价报告</w:t>
      </w:r>
    </w:p>
    <w:bookmarkEnd w:id="2"/>
    <w:p>
      <w:pPr>
        <w:pageBreakBefore w:val="0"/>
        <w:numPr>
          <w:ilvl w:val="0"/>
          <w:numId w:val="1"/>
        </w:numPr>
        <w:kinsoku/>
        <w:wordWrap/>
        <w:overflowPunct/>
        <w:topLinePunct w:val="0"/>
        <w:autoSpaceDE/>
        <w:autoSpaceDN/>
        <w:bidi w:val="0"/>
        <w:spacing w:beforeAutospacing="0" w:afterAutospacing="0" w:line="560" w:lineRule="exact"/>
        <w:ind w:left="0" w:leftChars="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部门概况</w:t>
      </w:r>
    </w:p>
    <w:p>
      <w:pPr>
        <w:pageBreakBefore w:val="0"/>
        <w:widowControl/>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（一）部门职责</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bookmarkStart w:id="0" w:name="OLE_LINK1"/>
      <w:bookmarkStart w:id="1" w:name="_Hlk73825013"/>
      <w:r>
        <w:rPr>
          <w:rFonts w:hint="eastAsia" w:ascii="仿宋_GB2312" w:hAnsi="仿宋_GB2312" w:eastAsia="仿宋_GB2312" w:cs="仿宋_GB2312"/>
          <w:b w:val="0"/>
          <w:bCs w:val="0"/>
          <w:color w:val="auto"/>
          <w:sz w:val="32"/>
          <w:szCs w:val="32"/>
        </w:rPr>
        <w:t>（1）执行本级人民代表大会的决议和上级国家行政机关的决定和命令，发布决定和命令。</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（2）执行本行政区域内的经济和社会发展计划，加强公共设施的建设和管理，发展各项服务事业。</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（3）依法管理本级财政、执行本级预算。</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（4）为农民提供有效的科技、教育、文化、信息、卫生、体育、医疗、人才开发、劳动就业、安全生产等方面的服务。</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（5）保护国有资产和集体所有的财产，保护公民私人所有的合法财产、保障公民的人身权利、民主权利和其他权利，保护各种组织的合法权益。</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（6）开展社会主义民主与法制教育，加强社会治安综合治理，调解民事纠纷，维护社会秩序。</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）负责民政工作，发展社会福利事业，做好社会保障工作，办理兵役事项。</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）承办上级人民政府交办的其他事项。</w:t>
      </w:r>
    </w:p>
    <w:bookmarkEnd w:id="0"/>
    <w:p>
      <w:pPr>
        <w:pageBreakBefore w:val="0"/>
        <w:widowControl/>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(二)机构设置及决算单位构成</w:t>
      </w:r>
    </w:p>
    <w:p>
      <w:pPr>
        <w:pageBreakBefore w:val="0"/>
        <w:widowControl/>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（1）内设机构设置。</w:t>
      </w:r>
      <w:r>
        <w:rPr>
          <w:rFonts w:hint="eastAsia" w:ascii="仿宋_GB2312" w:hAnsi="仿宋_GB2312" w:eastAsia="仿宋_GB2312" w:cs="仿宋_GB2312"/>
          <w:color w:val="auto"/>
          <w:sz w:val="32"/>
          <w:szCs w:val="32"/>
        </w:rPr>
        <w:t>道县营江街道办事处</w:t>
      </w:r>
      <w:r>
        <w:rPr>
          <w:rFonts w:hint="eastAsia" w:ascii="仿宋_GB2312" w:hAnsi="仿宋_GB2312" w:eastAsia="仿宋_GB2312" w:cs="仿宋_GB2312"/>
          <w:bCs/>
          <w:color w:val="auto"/>
          <w:sz w:val="32"/>
          <w:szCs w:val="32"/>
        </w:rPr>
        <w:t>内设机构包括：党政综合办公室、社会治安和应急管理办公室、经济发展办公室、社会事务办公室、基层党建办公室、自然资源和生态环境办公室、街道财政所、退役军人服务站、综合行政执法大队、社会事业综合服务中心、农业综合服务中心、政务（便民）服务中心。</w:t>
      </w:r>
    </w:p>
    <w:bookmarkEnd w:id="1"/>
    <w:p>
      <w:pPr>
        <w:pageBreakBefore w:val="0"/>
        <w:widowControl/>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color w:val="auto"/>
          <w:sz w:val="32"/>
          <w:szCs w:val="32"/>
        </w:rPr>
        <w:t>决算单位构成</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道县营江街道办事处单位</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年部门决算汇总公开单位构成包括：道县营江街道办事处单位本级。</w:t>
      </w:r>
    </w:p>
    <w:p>
      <w:pPr>
        <w:pageBreakBefore w:val="0"/>
        <w:widowControl/>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（三）部门整体支出规模、使用方向和主要内容</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1、收入决算:202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年收入决算数</w:t>
      </w:r>
      <w:r>
        <w:rPr>
          <w:rFonts w:hint="eastAsia" w:ascii="仿宋_GB2312" w:hAnsi="仿宋_GB2312" w:eastAsia="仿宋_GB2312" w:cs="仿宋_GB2312"/>
          <w:color w:val="auto"/>
          <w:sz w:val="32"/>
          <w:szCs w:val="32"/>
          <w:lang w:val="en-US" w:eastAsia="zh-CN"/>
        </w:rPr>
        <w:t>1632.5</w:t>
      </w:r>
      <w:r>
        <w:rPr>
          <w:rFonts w:hint="eastAsia" w:ascii="仿宋_GB2312" w:hAnsi="仿宋_GB2312" w:eastAsia="仿宋_GB2312" w:cs="仿宋_GB2312"/>
          <w:color w:val="auto"/>
          <w:sz w:val="32"/>
          <w:szCs w:val="32"/>
        </w:rPr>
        <w:t>万元；其中：财政拨款收入</w:t>
      </w:r>
      <w:r>
        <w:rPr>
          <w:rFonts w:hint="eastAsia" w:ascii="仿宋_GB2312" w:hAnsi="仿宋_GB2312" w:eastAsia="仿宋_GB2312" w:cs="仿宋_GB2312"/>
          <w:color w:val="auto"/>
          <w:sz w:val="32"/>
          <w:szCs w:val="32"/>
          <w:lang w:val="en-US" w:eastAsia="zh-CN"/>
        </w:rPr>
        <w:t>1599.5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，政府性基金拨款收入</w:t>
      </w:r>
      <w:r>
        <w:rPr>
          <w:rFonts w:hint="eastAsia" w:ascii="仿宋_GB2312" w:hAnsi="仿宋_GB2312" w:eastAsia="仿宋_GB2312" w:cs="仿宋_GB2312"/>
          <w:color w:val="auto"/>
          <w:sz w:val="32"/>
          <w:szCs w:val="32"/>
          <w:lang w:val="en-US" w:eastAsia="zh-CN"/>
        </w:rPr>
        <w:t>33万元。</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2、支出决算：202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年支出决算数</w:t>
      </w:r>
      <w:r>
        <w:rPr>
          <w:rFonts w:hint="eastAsia" w:ascii="仿宋_GB2312" w:hAnsi="仿宋_GB2312" w:eastAsia="仿宋_GB2312" w:cs="仿宋_GB2312"/>
          <w:color w:val="auto"/>
          <w:sz w:val="32"/>
          <w:szCs w:val="32"/>
          <w:lang w:val="en-US" w:eastAsia="zh-CN"/>
        </w:rPr>
        <w:t>1632.5</w:t>
      </w:r>
      <w:r>
        <w:rPr>
          <w:rFonts w:hint="eastAsia" w:ascii="仿宋_GB2312" w:hAnsi="仿宋_GB2312" w:eastAsia="仿宋_GB2312" w:cs="仿宋_GB2312"/>
          <w:color w:val="auto"/>
          <w:sz w:val="32"/>
          <w:szCs w:val="32"/>
        </w:rPr>
        <w:t>万元；按经济分类：工资福利支出</w:t>
      </w:r>
      <w:r>
        <w:rPr>
          <w:rFonts w:hint="eastAsia" w:ascii="仿宋_GB2312" w:hAnsi="仿宋_GB2312" w:eastAsia="仿宋_GB2312" w:cs="仿宋_GB2312"/>
          <w:color w:val="auto"/>
          <w:sz w:val="32"/>
          <w:szCs w:val="32"/>
          <w:lang w:val="en-US" w:eastAsia="zh-CN"/>
        </w:rPr>
        <w:t>809.93</w:t>
      </w:r>
      <w:r>
        <w:rPr>
          <w:rFonts w:hint="eastAsia" w:ascii="仿宋_GB2312" w:hAnsi="仿宋_GB2312" w:eastAsia="仿宋_GB2312" w:cs="仿宋_GB2312"/>
          <w:color w:val="auto"/>
          <w:sz w:val="32"/>
          <w:szCs w:val="32"/>
        </w:rPr>
        <w:t>万元，商品和服务支出</w:t>
      </w:r>
      <w:r>
        <w:rPr>
          <w:rFonts w:hint="eastAsia" w:ascii="仿宋_GB2312" w:hAnsi="仿宋_GB2312" w:eastAsia="仿宋_GB2312" w:cs="仿宋_GB2312"/>
          <w:color w:val="auto"/>
          <w:sz w:val="32"/>
          <w:szCs w:val="32"/>
          <w:lang w:val="en-US" w:eastAsia="zh-CN"/>
        </w:rPr>
        <w:t>494.41</w:t>
      </w:r>
      <w:r>
        <w:rPr>
          <w:rFonts w:hint="eastAsia" w:ascii="仿宋_GB2312" w:hAnsi="仿宋_GB2312" w:eastAsia="仿宋_GB2312" w:cs="仿宋_GB2312"/>
          <w:color w:val="auto"/>
          <w:sz w:val="32"/>
          <w:szCs w:val="32"/>
        </w:rPr>
        <w:t>万元，对个人和家庭补助支出</w:t>
      </w:r>
      <w:r>
        <w:rPr>
          <w:rFonts w:hint="eastAsia" w:ascii="仿宋_GB2312" w:hAnsi="仿宋_GB2312" w:eastAsia="仿宋_GB2312" w:cs="仿宋_GB2312"/>
          <w:color w:val="auto"/>
          <w:sz w:val="32"/>
          <w:szCs w:val="32"/>
          <w:lang w:val="en-US" w:eastAsia="zh-CN"/>
        </w:rPr>
        <w:t>246.16</w:t>
      </w:r>
      <w:r>
        <w:rPr>
          <w:rFonts w:hint="eastAsia" w:ascii="仿宋_GB2312" w:hAnsi="仿宋_GB2312" w:eastAsia="仿宋_GB2312" w:cs="仿宋_GB2312"/>
          <w:color w:val="auto"/>
          <w:sz w:val="32"/>
          <w:szCs w:val="32"/>
        </w:rPr>
        <w:t>万元（现任村、社区干部工资及离任老干部生活补助等</w:t>
      </w:r>
      <w:r>
        <w:rPr>
          <w:rFonts w:hint="eastAsia" w:ascii="仿宋_GB2312" w:hAnsi="仿宋_GB2312" w:eastAsia="仿宋_GB2312" w:cs="仿宋_GB2312"/>
          <w:color w:val="auto"/>
          <w:sz w:val="32"/>
          <w:szCs w:val="32"/>
          <w:lang w:val="en-US" w:eastAsia="zh-CN"/>
        </w:rPr>
        <w:t>239.1</w:t>
      </w:r>
      <w:r>
        <w:rPr>
          <w:rFonts w:hint="eastAsia" w:ascii="仿宋_GB2312" w:hAnsi="仿宋_GB2312" w:eastAsia="仿宋_GB2312" w:cs="仿宋_GB2312"/>
          <w:color w:val="auto"/>
          <w:sz w:val="32"/>
          <w:szCs w:val="32"/>
        </w:rPr>
        <w:t>万元，抚恤金7.06万元），基础设施建设支出</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万元。</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二、部门整体支出使用情况</w:t>
      </w:r>
    </w:p>
    <w:p>
      <w:pPr>
        <w:pageBreakBefore w:val="0"/>
        <w:kinsoku/>
        <w:wordWrap/>
        <w:overflowPunct/>
        <w:topLinePunct w:val="0"/>
        <w:autoSpaceDE/>
        <w:autoSpaceDN/>
        <w:bidi w:val="0"/>
        <w:adjustRightInd w:val="0"/>
        <w:snapToGrid w:val="0"/>
        <w:spacing w:beforeAutospacing="0" w:afterAutospacing="0" w:line="560" w:lineRule="exact"/>
        <w:ind w:left="0" w:right="0" w:firstLine="643" w:firstLineChars="200"/>
        <w:textAlignment w:val="auto"/>
        <w:rPr>
          <w:rFonts w:hint="eastAsia" w:ascii="仿宋_GB2312" w:hAnsi="仿宋_GB2312" w:eastAsia="仿宋_GB2312" w:cs="仿宋_GB2312"/>
          <w:b/>
          <w:color w:val="auto"/>
          <w:sz w:val="32"/>
          <w:szCs w:val="32"/>
        </w:rPr>
      </w:pPr>
      <w:r>
        <w:rPr>
          <w:rFonts w:hint="eastAsia" w:ascii="楷体" w:hAnsi="楷体" w:eastAsia="楷体" w:cs="楷体"/>
          <w:b/>
          <w:color w:val="auto"/>
          <w:sz w:val="32"/>
          <w:szCs w:val="32"/>
        </w:rPr>
        <w:t>（一）基本支出</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营江街道办事处202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年基本支出</w:t>
      </w:r>
      <w:r>
        <w:rPr>
          <w:rFonts w:hint="eastAsia" w:ascii="仿宋_GB2312" w:hAnsi="仿宋_GB2312" w:eastAsia="仿宋_GB2312" w:cs="仿宋_GB2312"/>
          <w:color w:val="auto"/>
          <w:sz w:val="32"/>
          <w:szCs w:val="32"/>
          <w:lang w:val="en-US" w:eastAsia="zh-CN"/>
        </w:rPr>
        <w:t>1650.5</w:t>
      </w:r>
      <w:r>
        <w:rPr>
          <w:rFonts w:hint="eastAsia" w:ascii="仿宋_GB2312" w:hAnsi="仿宋_GB2312" w:eastAsia="仿宋_GB2312" w:cs="仿宋_GB2312"/>
          <w:color w:val="auto"/>
          <w:sz w:val="32"/>
          <w:szCs w:val="32"/>
        </w:rPr>
        <w:t>万元，具体使用情况如下：</w:t>
      </w:r>
    </w:p>
    <w:p>
      <w:pPr>
        <w:pageBreakBefore w:val="0"/>
        <w:numPr>
          <w:ilvl w:val="0"/>
          <w:numId w:val="2"/>
        </w:numPr>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工资福利支出</w:t>
      </w:r>
      <w:r>
        <w:rPr>
          <w:rFonts w:hint="eastAsia" w:ascii="仿宋_GB2312" w:hAnsi="仿宋_GB2312" w:eastAsia="仿宋_GB2312" w:cs="仿宋_GB2312"/>
          <w:color w:val="auto"/>
          <w:sz w:val="32"/>
          <w:szCs w:val="32"/>
          <w:lang w:val="en-US" w:eastAsia="zh-CN"/>
        </w:rPr>
        <w:t>809.93</w:t>
      </w:r>
      <w:r>
        <w:rPr>
          <w:rFonts w:hint="eastAsia" w:ascii="仿宋_GB2312" w:hAnsi="仿宋_GB2312" w:eastAsia="仿宋_GB2312" w:cs="仿宋_GB2312"/>
          <w:color w:val="auto"/>
          <w:sz w:val="32"/>
          <w:szCs w:val="32"/>
        </w:rPr>
        <w:t>万元，其中：基本工资</w:t>
      </w:r>
      <w:r>
        <w:rPr>
          <w:rFonts w:hint="eastAsia" w:ascii="仿宋_GB2312" w:hAnsi="仿宋_GB2312" w:eastAsia="仿宋_GB2312" w:cs="仿宋_GB2312"/>
          <w:color w:val="auto"/>
          <w:sz w:val="32"/>
          <w:szCs w:val="32"/>
          <w:lang w:val="en-US" w:eastAsia="zh-CN"/>
        </w:rPr>
        <w:t>384.92</w:t>
      </w:r>
      <w:r>
        <w:rPr>
          <w:rFonts w:hint="eastAsia" w:ascii="仿宋_GB2312" w:hAnsi="仿宋_GB2312" w:eastAsia="仿宋_GB2312" w:cs="仿宋_GB2312"/>
          <w:color w:val="auto"/>
          <w:sz w:val="32"/>
          <w:szCs w:val="32"/>
        </w:rPr>
        <w:t>万元，津贴补贴</w:t>
      </w:r>
      <w:r>
        <w:rPr>
          <w:rFonts w:hint="eastAsia" w:ascii="仿宋_GB2312" w:hAnsi="仿宋_GB2312" w:eastAsia="仿宋_GB2312" w:cs="仿宋_GB2312"/>
          <w:color w:val="auto"/>
          <w:sz w:val="32"/>
          <w:szCs w:val="32"/>
          <w:lang w:val="en-US" w:eastAsia="zh-CN"/>
        </w:rPr>
        <w:t>144.56</w:t>
      </w:r>
      <w:r>
        <w:rPr>
          <w:rFonts w:hint="eastAsia" w:ascii="仿宋_GB2312" w:hAnsi="仿宋_GB2312" w:eastAsia="仿宋_GB2312" w:cs="仿宋_GB2312"/>
          <w:color w:val="auto"/>
          <w:sz w:val="32"/>
          <w:szCs w:val="32"/>
        </w:rPr>
        <w:t>万元，奖金</w:t>
      </w:r>
      <w:r>
        <w:rPr>
          <w:rFonts w:hint="eastAsia" w:ascii="仿宋_GB2312" w:hAnsi="仿宋_GB2312" w:eastAsia="仿宋_GB2312" w:cs="仿宋_GB2312"/>
          <w:color w:val="auto"/>
          <w:sz w:val="32"/>
          <w:szCs w:val="32"/>
          <w:lang w:val="en-US" w:eastAsia="zh-CN"/>
        </w:rPr>
        <w:t>140.69</w:t>
      </w:r>
      <w:r>
        <w:rPr>
          <w:rFonts w:hint="eastAsia" w:ascii="仿宋_GB2312" w:hAnsi="仿宋_GB2312" w:eastAsia="仿宋_GB2312" w:cs="仿宋_GB2312"/>
          <w:color w:val="auto"/>
          <w:sz w:val="32"/>
          <w:szCs w:val="32"/>
        </w:rPr>
        <w:t>万元，绩效工资</w:t>
      </w:r>
      <w:r>
        <w:rPr>
          <w:rFonts w:hint="eastAsia" w:ascii="仿宋_GB2312" w:hAnsi="仿宋_GB2312" w:eastAsia="仿宋_GB2312" w:cs="仿宋_GB2312"/>
          <w:color w:val="auto"/>
          <w:sz w:val="32"/>
          <w:szCs w:val="32"/>
          <w:lang w:val="en-US" w:eastAsia="zh-CN"/>
        </w:rPr>
        <w:t>24.33</w:t>
      </w:r>
      <w:r>
        <w:rPr>
          <w:rFonts w:hint="eastAsia" w:ascii="仿宋_GB2312" w:hAnsi="仿宋_GB2312" w:eastAsia="仿宋_GB2312" w:cs="仿宋_GB2312"/>
          <w:color w:val="auto"/>
          <w:sz w:val="32"/>
          <w:szCs w:val="32"/>
        </w:rPr>
        <w:t>万元，社会保障缴费</w:t>
      </w:r>
      <w:r>
        <w:rPr>
          <w:rFonts w:hint="eastAsia" w:ascii="仿宋_GB2312" w:hAnsi="仿宋_GB2312" w:eastAsia="仿宋_GB2312" w:cs="仿宋_GB2312"/>
          <w:color w:val="auto"/>
          <w:sz w:val="32"/>
          <w:szCs w:val="32"/>
          <w:lang w:val="en-US" w:eastAsia="zh-CN"/>
        </w:rPr>
        <w:t>115.43</w:t>
      </w:r>
      <w:r>
        <w:rPr>
          <w:rFonts w:hint="eastAsia" w:ascii="仿宋_GB2312" w:hAnsi="仿宋_GB2312" w:eastAsia="仿宋_GB2312" w:cs="仿宋_GB2312"/>
          <w:color w:val="auto"/>
          <w:sz w:val="32"/>
          <w:szCs w:val="32"/>
        </w:rPr>
        <w:t>万元。</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公用</w:t>
      </w:r>
      <w:r>
        <w:rPr>
          <w:rFonts w:hint="eastAsia" w:ascii="仿宋_GB2312" w:hAnsi="仿宋_GB2312" w:eastAsia="仿宋_GB2312" w:cs="仿宋_GB2312"/>
          <w:color w:val="auto"/>
          <w:sz w:val="32"/>
          <w:szCs w:val="32"/>
        </w:rPr>
        <w:t>经费情况</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公用</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val="en-US" w:eastAsia="zh-CN"/>
        </w:rPr>
        <w:t>494.41</w:t>
      </w:r>
      <w:r>
        <w:rPr>
          <w:rFonts w:hint="eastAsia" w:ascii="仿宋_GB2312" w:hAnsi="仿宋_GB2312" w:eastAsia="仿宋_GB2312" w:cs="仿宋_GB2312"/>
          <w:color w:val="auto"/>
          <w:sz w:val="32"/>
          <w:szCs w:val="32"/>
        </w:rPr>
        <w:t>万元，主要包括办公费</w:t>
      </w:r>
      <w:r>
        <w:rPr>
          <w:rFonts w:hint="eastAsia" w:ascii="仿宋_GB2312" w:hAnsi="仿宋_GB2312" w:eastAsia="仿宋_GB2312" w:cs="仿宋_GB2312"/>
          <w:color w:val="auto"/>
          <w:sz w:val="32"/>
          <w:szCs w:val="32"/>
          <w:lang w:val="en-US" w:eastAsia="zh-CN"/>
        </w:rPr>
        <w:t>68.98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（其中村办公经费</w:t>
      </w:r>
      <w:r>
        <w:rPr>
          <w:rFonts w:hint="eastAsia" w:ascii="仿宋_GB2312" w:hAnsi="仿宋_GB2312" w:eastAsia="仿宋_GB2312" w:cs="仿宋_GB2312"/>
          <w:color w:val="auto"/>
          <w:sz w:val="32"/>
          <w:szCs w:val="32"/>
          <w:lang w:val="en-US" w:eastAsia="zh-CN"/>
        </w:rPr>
        <w:t>53万元）</w:t>
      </w:r>
      <w:r>
        <w:rPr>
          <w:rFonts w:hint="eastAsia" w:ascii="仿宋_GB2312" w:hAnsi="仿宋_GB2312" w:eastAsia="仿宋_GB2312" w:cs="仿宋_GB2312"/>
          <w:color w:val="auto"/>
          <w:sz w:val="32"/>
          <w:szCs w:val="32"/>
        </w:rPr>
        <w:t>，印刷费</w:t>
      </w:r>
      <w:r>
        <w:rPr>
          <w:rFonts w:hint="eastAsia" w:ascii="仿宋_GB2312" w:hAnsi="仿宋_GB2312" w:eastAsia="仿宋_GB2312" w:cs="仿宋_GB2312"/>
          <w:color w:val="auto"/>
          <w:sz w:val="32"/>
          <w:szCs w:val="32"/>
          <w:lang w:val="en-US" w:eastAsia="zh-CN"/>
        </w:rPr>
        <w:t>15.46</w:t>
      </w:r>
      <w:r>
        <w:rPr>
          <w:rFonts w:hint="eastAsia" w:ascii="仿宋_GB2312" w:hAnsi="仿宋_GB2312" w:eastAsia="仿宋_GB2312" w:cs="仿宋_GB2312"/>
          <w:color w:val="auto"/>
          <w:sz w:val="32"/>
          <w:szCs w:val="32"/>
        </w:rPr>
        <w:t>万元，电费</w:t>
      </w:r>
      <w:r>
        <w:rPr>
          <w:rFonts w:hint="eastAsia" w:ascii="仿宋_GB2312" w:hAnsi="仿宋_GB2312" w:eastAsia="仿宋_GB2312" w:cs="仿宋_GB2312"/>
          <w:color w:val="auto"/>
          <w:sz w:val="32"/>
          <w:szCs w:val="32"/>
          <w:lang w:val="en-US" w:eastAsia="zh-CN"/>
        </w:rPr>
        <w:t>5.45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水费</w:t>
      </w:r>
      <w:r>
        <w:rPr>
          <w:rFonts w:hint="eastAsia" w:ascii="仿宋_GB2312" w:hAnsi="仿宋_GB2312" w:eastAsia="仿宋_GB2312" w:cs="仿宋_GB2312"/>
          <w:color w:val="auto"/>
          <w:sz w:val="32"/>
          <w:szCs w:val="32"/>
          <w:lang w:val="en-US" w:eastAsia="zh-CN"/>
        </w:rPr>
        <w:t>1.22万元，咨询费4.08万元，</w:t>
      </w:r>
      <w:r>
        <w:rPr>
          <w:rFonts w:hint="eastAsia" w:ascii="仿宋_GB2312" w:hAnsi="仿宋_GB2312" w:eastAsia="仿宋_GB2312" w:cs="仿宋_GB2312"/>
          <w:color w:val="auto"/>
          <w:sz w:val="32"/>
          <w:szCs w:val="32"/>
        </w:rPr>
        <w:t>邮电费</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万元，差旅费5.</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6万元，维修费</w:t>
      </w:r>
      <w:r>
        <w:rPr>
          <w:rFonts w:hint="eastAsia" w:ascii="仿宋_GB2312" w:hAnsi="仿宋_GB2312" w:eastAsia="仿宋_GB2312" w:cs="仿宋_GB2312"/>
          <w:color w:val="auto"/>
          <w:sz w:val="32"/>
          <w:szCs w:val="32"/>
          <w:lang w:val="en-US" w:eastAsia="zh-CN"/>
        </w:rPr>
        <w:t>124.05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（其中村设施维护</w:t>
      </w:r>
      <w:r>
        <w:rPr>
          <w:rFonts w:hint="eastAsia" w:ascii="仿宋_GB2312" w:hAnsi="仿宋_GB2312" w:eastAsia="仿宋_GB2312" w:cs="仿宋_GB2312"/>
          <w:color w:val="auto"/>
          <w:sz w:val="32"/>
          <w:szCs w:val="32"/>
          <w:lang w:val="en-US" w:eastAsia="zh-CN"/>
        </w:rPr>
        <w:t>104.7万元）</w:t>
      </w:r>
      <w:r>
        <w:rPr>
          <w:rFonts w:hint="eastAsia" w:ascii="仿宋_GB2312" w:hAnsi="仿宋_GB2312" w:eastAsia="仿宋_GB2312" w:cs="仿宋_GB2312"/>
          <w:color w:val="auto"/>
          <w:sz w:val="32"/>
          <w:szCs w:val="32"/>
        </w:rPr>
        <w:t>，会议费</w:t>
      </w:r>
      <w:r>
        <w:rPr>
          <w:rFonts w:hint="eastAsia" w:ascii="仿宋_GB2312" w:hAnsi="仿宋_GB2312" w:eastAsia="仿宋_GB2312" w:cs="仿宋_GB2312"/>
          <w:color w:val="auto"/>
          <w:sz w:val="32"/>
          <w:szCs w:val="32"/>
          <w:lang w:val="en-US" w:eastAsia="zh-CN"/>
        </w:rPr>
        <w:t>6.18</w:t>
      </w:r>
      <w:r>
        <w:rPr>
          <w:rFonts w:hint="eastAsia" w:ascii="仿宋_GB2312" w:hAnsi="仿宋_GB2312" w:eastAsia="仿宋_GB2312" w:cs="仿宋_GB2312"/>
          <w:color w:val="auto"/>
          <w:sz w:val="32"/>
          <w:szCs w:val="32"/>
        </w:rPr>
        <w:t>万元，培训费</w:t>
      </w:r>
      <w:r>
        <w:rPr>
          <w:rFonts w:hint="eastAsia" w:ascii="仿宋_GB2312" w:hAnsi="仿宋_GB2312" w:eastAsia="仿宋_GB2312" w:cs="仿宋_GB2312"/>
          <w:color w:val="auto"/>
          <w:sz w:val="32"/>
          <w:szCs w:val="32"/>
          <w:lang w:val="en-US" w:eastAsia="zh-CN"/>
        </w:rPr>
        <w:t>3.49</w:t>
      </w:r>
      <w:r>
        <w:rPr>
          <w:rFonts w:hint="eastAsia" w:ascii="仿宋_GB2312" w:hAnsi="仿宋_GB2312" w:eastAsia="仿宋_GB2312" w:cs="仿宋_GB2312"/>
          <w:color w:val="auto"/>
          <w:sz w:val="32"/>
          <w:szCs w:val="32"/>
        </w:rPr>
        <w:t>万元，公务接待费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万元，劳务费</w:t>
      </w:r>
      <w:r>
        <w:rPr>
          <w:rFonts w:hint="eastAsia" w:ascii="仿宋_GB2312" w:hAnsi="仿宋_GB2312" w:eastAsia="仿宋_GB2312" w:cs="仿宋_GB2312"/>
          <w:color w:val="auto"/>
          <w:sz w:val="32"/>
          <w:szCs w:val="32"/>
          <w:lang w:val="en-US" w:eastAsia="zh-CN"/>
        </w:rPr>
        <w:t>23.28</w:t>
      </w:r>
      <w:r>
        <w:rPr>
          <w:rFonts w:hint="eastAsia" w:ascii="仿宋_GB2312" w:hAnsi="仿宋_GB2312" w:eastAsia="仿宋_GB2312" w:cs="仿宋_GB2312"/>
          <w:color w:val="auto"/>
          <w:sz w:val="32"/>
          <w:szCs w:val="32"/>
        </w:rPr>
        <w:t>万元，工会经费</w:t>
      </w:r>
      <w:r>
        <w:rPr>
          <w:rFonts w:hint="eastAsia" w:ascii="仿宋_GB2312" w:hAnsi="仿宋_GB2312" w:eastAsia="仿宋_GB2312" w:cs="仿宋_GB2312"/>
          <w:color w:val="auto"/>
          <w:sz w:val="32"/>
          <w:szCs w:val="32"/>
          <w:lang w:val="en-US" w:eastAsia="zh-CN"/>
        </w:rPr>
        <w:t>18.5</w:t>
      </w:r>
      <w:r>
        <w:rPr>
          <w:rFonts w:hint="eastAsia" w:ascii="仿宋_GB2312" w:hAnsi="仿宋_GB2312" w:eastAsia="仿宋_GB2312" w:cs="仿宋_GB2312"/>
          <w:color w:val="auto"/>
          <w:sz w:val="32"/>
          <w:szCs w:val="32"/>
        </w:rPr>
        <w:t>万元，福利费</w:t>
      </w:r>
      <w:r>
        <w:rPr>
          <w:rFonts w:hint="eastAsia" w:ascii="仿宋_GB2312" w:hAnsi="仿宋_GB2312" w:eastAsia="仿宋_GB2312" w:cs="仿宋_GB2312"/>
          <w:color w:val="auto"/>
          <w:sz w:val="32"/>
          <w:szCs w:val="32"/>
          <w:lang w:val="en-US" w:eastAsia="zh-CN"/>
        </w:rPr>
        <w:t>11.37</w:t>
      </w:r>
      <w:r>
        <w:rPr>
          <w:rFonts w:hint="eastAsia" w:ascii="仿宋_GB2312" w:hAnsi="仿宋_GB2312" w:eastAsia="仿宋_GB2312" w:cs="仿宋_GB2312"/>
          <w:color w:val="auto"/>
          <w:sz w:val="32"/>
          <w:szCs w:val="32"/>
        </w:rPr>
        <w:t>万元，公务用车运行维护费</w:t>
      </w:r>
      <w:r>
        <w:rPr>
          <w:rFonts w:hint="eastAsia" w:ascii="仿宋_GB2312" w:hAnsi="仿宋_GB2312" w:eastAsia="仿宋_GB2312" w:cs="仿宋_GB2312"/>
          <w:color w:val="auto"/>
          <w:sz w:val="32"/>
          <w:szCs w:val="32"/>
          <w:lang w:val="en-US" w:eastAsia="zh-CN"/>
        </w:rPr>
        <w:t>4.49</w:t>
      </w:r>
      <w:r>
        <w:rPr>
          <w:rFonts w:hint="eastAsia" w:ascii="仿宋_GB2312" w:hAnsi="仿宋_GB2312" w:eastAsia="仿宋_GB2312" w:cs="仿宋_GB2312"/>
          <w:color w:val="auto"/>
          <w:sz w:val="32"/>
          <w:szCs w:val="32"/>
        </w:rPr>
        <w:t>万元，其他交通费用</w:t>
      </w:r>
      <w:r>
        <w:rPr>
          <w:rFonts w:hint="eastAsia" w:ascii="仿宋_GB2312" w:hAnsi="仿宋_GB2312" w:eastAsia="仿宋_GB2312" w:cs="仿宋_GB2312"/>
          <w:color w:val="auto"/>
          <w:sz w:val="32"/>
          <w:szCs w:val="32"/>
          <w:lang w:val="en-US" w:eastAsia="zh-CN"/>
        </w:rPr>
        <w:t>27.15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税金及附加费</w:t>
      </w:r>
      <w:r>
        <w:rPr>
          <w:rFonts w:hint="eastAsia" w:ascii="仿宋_GB2312" w:hAnsi="仿宋_GB2312" w:eastAsia="仿宋_GB2312" w:cs="仿宋_GB2312"/>
          <w:color w:val="auto"/>
          <w:sz w:val="32"/>
          <w:szCs w:val="32"/>
          <w:lang w:val="en-US" w:eastAsia="zh-CN"/>
        </w:rPr>
        <w:t>123万元，</w:t>
      </w:r>
      <w:r>
        <w:rPr>
          <w:rFonts w:hint="eastAsia" w:ascii="仿宋_GB2312" w:hAnsi="仿宋_GB2312" w:eastAsia="仿宋_GB2312" w:cs="仿宋_GB2312"/>
          <w:color w:val="auto"/>
          <w:sz w:val="32"/>
          <w:szCs w:val="32"/>
        </w:rPr>
        <w:t>其他商品服务支出</w:t>
      </w:r>
      <w:r>
        <w:rPr>
          <w:rFonts w:hint="eastAsia" w:ascii="仿宋_GB2312" w:hAnsi="仿宋_GB2312" w:eastAsia="仿宋_GB2312" w:cs="仿宋_GB2312"/>
          <w:color w:val="auto"/>
          <w:sz w:val="32"/>
          <w:szCs w:val="32"/>
          <w:lang w:val="en-US" w:eastAsia="zh-CN"/>
        </w:rPr>
        <w:t>51.17</w:t>
      </w:r>
      <w:r>
        <w:rPr>
          <w:rFonts w:hint="eastAsia" w:ascii="仿宋_GB2312" w:hAnsi="仿宋_GB2312" w:eastAsia="仿宋_GB2312" w:cs="仿宋_GB2312"/>
          <w:color w:val="auto"/>
          <w:sz w:val="32"/>
          <w:szCs w:val="32"/>
        </w:rPr>
        <w:t>万元。</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3、对个人和家庭补助支出</w:t>
      </w:r>
      <w:r>
        <w:rPr>
          <w:rFonts w:hint="eastAsia" w:ascii="仿宋_GB2312" w:hAnsi="仿宋_GB2312" w:eastAsia="仿宋_GB2312" w:cs="仿宋_GB2312"/>
          <w:color w:val="auto"/>
          <w:sz w:val="32"/>
          <w:szCs w:val="32"/>
          <w:lang w:val="en-US" w:eastAsia="zh-CN"/>
        </w:rPr>
        <w:t>246.16</w:t>
      </w:r>
      <w:r>
        <w:rPr>
          <w:rFonts w:hint="eastAsia" w:ascii="仿宋_GB2312" w:hAnsi="仿宋_GB2312" w:eastAsia="仿宋_GB2312" w:cs="仿宋_GB2312"/>
          <w:color w:val="auto"/>
          <w:sz w:val="32"/>
          <w:szCs w:val="32"/>
        </w:rPr>
        <w:t>万元，其中：生活补助</w:t>
      </w:r>
      <w:r>
        <w:rPr>
          <w:rFonts w:hint="eastAsia" w:ascii="仿宋_GB2312" w:hAnsi="仿宋_GB2312" w:eastAsia="仿宋_GB2312" w:cs="仿宋_GB2312"/>
          <w:color w:val="auto"/>
          <w:sz w:val="32"/>
          <w:szCs w:val="32"/>
          <w:lang w:val="en-US" w:eastAsia="zh-CN"/>
        </w:rPr>
        <w:t>239.1</w:t>
      </w:r>
      <w:r>
        <w:rPr>
          <w:rFonts w:hint="eastAsia" w:ascii="仿宋_GB2312" w:hAnsi="仿宋_GB2312" w:eastAsia="仿宋_GB2312" w:cs="仿宋_GB2312"/>
          <w:color w:val="auto"/>
          <w:sz w:val="32"/>
          <w:szCs w:val="32"/>
        </w:rPr>
        <w:t>万元（现任村、居委干部工资及离任老干部生活补助等），抚恤金7.06万元。</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4、“三公”经费情况：</w:t>
      </w:r>
    </w:p>
    <w:p>
      <w:pPr>
        <w:adjustRightInd w:val="0"/>
        <w:snapToGrid w:val="0"/>
        <w:spacing w:line="600" w:lineRule="exact"/>
        <w:ind w:firstLine="480" w:firstLineChars="150"/>
        <w:rPr>
          <w:rFonts w:hint="eastAsia" w:ascii="仿宋" w:hAnsi="仿宋" w:eastAsia="仿宋" w:cs="仿宋"/>
          <w:sz w:val="32"/>
          <w:szCs w:val="32"/>
        </w:rPr>
      </w:pPr>
      <w:r>
        <w:rPr>
          <w:rFonts w:hint="eastAsia" w:ascii="仿宋_GB2312" w:hAnsi="仿宋_GB2312" w:eastAsia="仿宋_GB2312" w:cs="仿宋_GB2312"/>
          <w:color w:val="auto"/>
          <w:sz w:val="32"/>
          <w:szCs w:val="32"/>
        </w:rPr>
        <w:t>营江街道办事处202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年的“三公”经费预算</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万元，其中：1、出国出境 0 万元、2、公务接待</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万元、3、公务用车4</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万元。实际支出</w:t>
      </w:r>
      <w:r>
        <w:rPr>
          <w:rFonts w:hint="eastAsia" w:ascii="仿宋_GB2312" w:hAnsi="仿宋_GB2312" w:eastAsia="仿宋_GB2312" w:cs="仿宋_GB2312"/>
          <w:color w:val="auto"/>
          <w:sz w:val="32"/>
          <w:szCs w:val="32"/>
          <w:lang w:val="en-US" w:eastAsia="zh-CN"/>
        </w:rPr>
        <w:t>4.49</w:t>
      </w:r>
      <w:r>
        <w:rPr>
          <w:rFonts w:hint="eastAsia" w:ascii="仿宋_GB2312" w:hAnsi="仿宋_GB2312" w:eastAsia="仿宋_GB2312" w:cs="仿宋_GB2312"/>
          <w:color w:val="auto"/>
          <w:sz w:val="32"/>
          <w:szCs w:val="32"/>
        </w:rPr>
        <w:t>万元，其中：出国出境 0 万元,公务接待费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万元，公务用车购置及运行维护费</w:t>
      </w:r>
      <w:r>
        <w:rPr>
          <w:rFonts w:hint="eastAsia" w:ascii="仿宋_GB2312" w:hAnsi="仿宋_GB2312" w:eastAsia="仿宋_GB2312" w:cs="仿宋_GB2312"/>
          <w:color w:val="auto"/>
          <w:sz w:val="32"/>
          <w:szCs w:val="32"/>
          <w:lang w:val="en-US" w:eastAsia="zh-CN"/>
        </w:rPr>
        <w:t>4.49</w:t>
      </w:r>
      <w:r>
        <w:rPr>
          <w:rFonts w:hint="eastAsia" w:ascii="仿宋_GB2312" w:hAnsi="仿宋_GB2312" w:eastAsia="仿宋_GB2312" w:cs="仿宋_GB2312"/>
          <w:color w:val="auto"/>
          <w:sz w:val="32"/>
          <w:szCs w:val="32"/>
        </w:rPr>
        <w:t>万元。实际支出比预算支出较减少了</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万元， “三公”经费得到有效控制，实现了有效压减。</w:t>
      </w:r>
    </w:p>
    <w:p>
      <w:pPr>
        <w:pageBreakBefore w:val="0"/>
        <w:kinsoku/>
        <w:wordWrap/>
        <w:overflowPunct/>
        <w:topLinePunct w:val="0"/>
        <w:autoSpaceDE/>
        <w:autoSpaceDN/>
        <w:bidi w:val="0"/>
        <w:adjustRightInd w:val="0"/>
        <w:snapToGrid w:val="0"/>
        <w:spacing w:beforeAutospacing="0" w:afterAutospacing="0" w:line="560" w:lineRule="exact"/>
        <w:ind w:right="0" w:firstLine="643" w:firstLineChars="200"/>
        <w:textAlignment w:val="auto"/>
        <w:rPr>
          <w:rFonts w:hint="eastAsia" w:ascii="仿宋_GB2312" w:hAnsi="仿宋_GB2312" w:eastAsia="仿宋_GB2312" w:cs="仿宋_GB2312"/>
          <w:b/>
          <w:color w:val="auto"/>
          <w:sz w:val="32"/>
          <w:szCs w:val="32"/>
        </w:rPr>
      </w:pPr>
      <w:r>
        <w:rPr>
          <w:rFonts w:hint="eastAsia" w:ascii="楷体" w:hAnsi="楷体" w:eastAsia="楷体" w:cs="楷体"/>
          <w:b/>
          <w:color w:val="auto"/>
          <w:sz w:val="32"/>
          <w:szCs w:val="32"/>
        </w:rPr>
        <w:t>（二）项目支出</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年项目资金</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万元，其中：农村公益事业财政奖补项目</w:t>
      </w:r>
      <w:r>
        <w:rPr>
          <w:rFonts w:hint="eastAsia" w:ascii="仿宋_GB2312" w:hAnsi="仿宋_GB2312" w:eastAsia="仿宋_GB2312" w:cs="仿宋_GB2312"/>
          <w:color w:val="auto"/>
          <w:sz w:val="32"/>
          <w:szCs w:val="32"/>
          <w:lang w:val="en-US" w:eastAsia="zh-CN"/>
        </w:rPr>
        <w:t>62</w:t>
      </w:r>
      <w:r>
        <w:rPr>
          <w:rFonts w:hint="eastAsia" w:ascii="仿宋_GB2312" w:hAnsi="仿宋_GB2312" w:eastAsia="仿宋_GB2312" w:cs="仿宋_GB2312"/>
          <w:color w:val="auto"/>
          <w:sz w:val="32"/>
          <w:szCs w:val="32"/>
        </w:rPr>
        <w:t>万元，村乡村振兴项目</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p>
    <w:p>
      <w:pPr>
        <w:pageBreakBefore w:val="0"/>
        <w:widowControl/>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三、政府性基金预算支出情况</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color w:val="auto"/>
          <w:sz w:val="32"/>
          <w:szCs w:val="32"/>
        </w:rPr>
        <w:t>营江街道办事处202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年政府性基金</w:t>
      </w:r>
      <w:r>
        <w:rPr>
          <w:rFonts w:hint="eastAsia" w:ascii="仿宋_GB2312" w:hAnsi="仿宋_GB2312" w:eastAsia="仿宋_GB2312" w:cs="仿宋_GB2312"/>
          <w:color w:val="auto"/>
          <w:sz w:val="32"/>
          <w:szCs w:val="32"/>
          <w:lang w:val="en-US" w:eastAsia="zh-CN"/>
        </w:rPr>
        <w:t>支出33万元。</w:t>
      </w:r>
    </w:p>
    <w:p>
      <w:pPr>
        <w:pageBreakBefore w:val="0"/>
        <w:widowControl/>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四、国有资本经营预算支出情况</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营江街道办事处202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年无国有资本经营预算支出。</w:t>
      </w:r>
    </w:p>
    <w:p>
      <w:pPr>
        <w:pageBreakBefore w:val="0"/>
        <w:widowControl/>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五、社会保险基金预算支出情况</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rPr>
        <w:t>营江街道办事处202</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年无社会保险基金预算支出。</w:t>
      </w:r>
    </w:p>
    <w:p>
      <w:pPr>
        <w:pageBreakBefore w:val="0"/>
        <w:widowControl/>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六、部门整体支出绩效情况</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（一）严格控制支出，保障机关工作正常运转。</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坚持保工资、保运转、保民生的基本原则，严控会议费、培训费及公务接待费等非生产性支出，确保机关的正常运转。</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（二）各项工作落到实处，群众满意度提升。</w:t>
      </w:r>
    </w:p>
    <w:p>
      <w:pPr>
        <w:pageBreakBefore w:val="0"/>
        <w:widowControl/>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切实保障民生支出，群众生活有保障。宣传落实惠农惠民补贴政策，打卡发放惠农惠民补贴项目66项、资金1801.22万元、涉及农户50689户。其中：油茶大县奖励资金24.95万元；耕地地力保护补贴单季（内）200.21万元；耕地地力保护补贴双季（内）58.38万元；粮食适度规模经营补贴38.87万元；稻谷目标价格补贴71.7万元；种粮农民一次性补贴资金157.29万元；森林生态效益林补贴15.92万元；柑桔低产园改造补贴4.8万元；油茶林补助5.11万元；自然灾害生活救助12.21万元；农机具购置补贴32.72万元；村干部工资257.37万元；离任村干部工资20.41万元；困难群众一次性生活补助25.78万元。对惠农惠民补贴资金做到及时足额发放，并全程实施监管。</w:t>
      </w:r>
    </w:p>
    <w:p>
      <w:pPr>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2、推动乡村振兴衔接，筑牢群众基础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1.基础农业</w:t>
      </w:r>
      <w:r>
        <w:rPr>
          <w:rFonts w:hint="eastAsia" w:ascii="仿宋_GB2312" w:hAnsi="仿宋_GB2312" w:eastAsia="仿宋_GB2312" w:cs="仿宋_GB2312"/>
          <w:b/>
          <w:bCs/>
          <w:color w:val="auto"/>
          <w:sz w:val="32"/>
          <w:szCs w:val="32"/>
        </w:rPr>
        <w:t>固本提质。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真落实惠农政策，加大支农力度，引进推广新品种、新技术，狠抓土地流转和土地抛荒治理工作，抓实抓细粮食产前准备、产中管理和产后销售服务工作。今年以来，修缮山塘1口，维修加固水库3座，维修水沟6公里为农业生产提供供水保障，整治非粮化图斑3个、面积56亩，整治耕地抛荒40余亩，耕地恢复面积200余亩，建设高标准农田500余亩，全力落细落实县委、县政府下达的粮食生产任务，早、中、晚稻播种面积2.26万亩，为粮食生产稳产高效贡献了营江力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2.重点项目</w:t>
      </w:r>
      <w:r>
        <w:rPr>
          <w:rFonts w:hint="eastAsia" w:ascii="仿宋_GB2312" w:hAnsi="仿宋_GB2312" w:eastAsia="仿宋_GB2312" w:cs="仿宋_GB2312"/>
          <w:b/>
          <w:bCs/>
          <w:color w:val="auto"/>
          <w:sz w:val="32"/>
          <w:szCs w:val="32"/>
        </w:rPr>
        <w:t>增效提速。</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bCs/>
          <w:color w:val="auto"/>
          <w:sz w:val="32"/>
          <w:szCs w:val="32"/>
          <w:lang w:val="en"/>
        </w:rPr>
        <w:t>零道高速公路</w:t>
      </w: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US" w:eastAsia="zh-CN"/>
        </w:rPr>
        <w:t>营江段</w:t>
      </w: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
        </w:rPr>
        <w:t>项目</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
        </w:rPr>
        <w:t>营江街道办事处共征收房屋及设施39座，已经全部完成房屋及附属设施征收协议签订，目前已</w:t>
      </w:r>
      <w:r>
        <w:rPr>
          <w:rFonts w:hint="eastAsia" w:ascii="仿宋_GB2312" w:hAnsi="仿宋_GB2312" w:eastAsia="仿宋_GB2312" w:cs="仿宋_GB2312"/>
          <w:color w:val="auto"/>
          <w:sz w:val="32"/>
          <w:szCs w:val="32"/>
          <w:lang w:val="en-US" w:eastAsia="zh-CN"/>
        </w:rPr>
        <w:t>拆除</w:t>
      </w:r>
      <w:r>
        <w:rPr>
          <w:rFonts w:hint="eastAsia" w:ascii="仿宋_GB2312" w:hAnsi="仿宋_GB2312" w:eastAsia="仿宋_GB2312" w:cs="仿宋_GB2312"/>
          <w:color w:val="auto"/>
          <w:sz w:val="32"/>
          <w:szCs w:val="32"/>
          <w:lang w:val="en"/>
        </w:rPr>
        <w:t>32座</w:t>
      </w:r>
      <w:r>
        <w:rPr>
          <w:rFonts w:hint="eastAsia" w:ascii="仿宋_GB2312" w:hAnsi="仿宋_GB2312" w:eastAsia="仿宋_GB2312" w:cs="仿宋_GB2312"/>
          <w:color w:val="auto"/>
          <w:sz w:val="32"/>
          <w:szCs w:val="32"/>
          <w:lang w:val="en-US" w:eastAsia="zh-CN"/>
        </w:rPr>
        <w:t>；营江街道境内21个35千伏以上高压杆线改迁已全面完成施工前准备工作，调处各种矛盾纠纷18起。</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二是城西物流商贸新城项园项目。</w:t>
      </w:r>
      <w:r>
        <w:rPr>
          <w:rFonts w:hint="eastAsia" w:ascii="仿宋_GB2312" w:hAnsi="仿宋_GB2312" w:eastAsia="仿宋_GB2312" w:cs="仿宋_GB2312"/>
          <w:color w:val="auto"/>
          <w:sz w:val="32"/>
          <w:szCs w:val="32"/>
          <w:lang w:val="en-US" w:eastAsia="zh-CN"/>
        </w:rPr>
        <w:t>积极配合城西”四路-中心“项目建设施工，做好迁坟、青苗补偿，迁坟112座,青苗补偿7户共计22.3万元,配合县里执法拆除非法占地1处、民事诉讼1起,调解群众征地拆迁补偿遗留问题13起，结案率100%。</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三是城西防洪保护圈（营江段）项目。</w:t>
      </w:r>
      <w:r>
        <w:rPr>
          <w:rFonts w:hint="eastAsia" w:ascii="仿宋_GB2312" w:hAnsi="仿宋_GB2312" w:eastAsia="仿宋_GB2312" w:cs="仿宋_GB2312"/>
          <w:color w:val="auto"/>
          <w:sz w:val="32"/>
          <w:szCs w:val="32"/>
          <w:lang w:val="en-US" w:eastAsia="zh-CN"/>
        </w:rPr>
        <w:t>今年主要做好征地准备、高压电杆迁移、临时用地租赁及青苗补偿和社区及居民的矛盾问题协调等。41.9亩的征地合同正在签订中，6组跨河高压电杆将在年前迁移完成，协调社区和群众生产生活矛盾问题3个。</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四是村（社区）饮水供水项目。</w:t>
      </w:r>
      <w:r>
        <w:rPr>
          <w:rFonts w:hint="eastAsia" w:ascii="仿宋_GB2312" w:hAnsi="仿宋_GB2312" w:eastAsia="仿宋_GB2312" w:cs="仿宋_GB2312"/>
          <w:color w:val="auto"/>
          <w:sz w:val="32"/>
          <w:szCs w:val="32"/>
          <w:lang w:val="en-US" w:eastAsia="zh-CN"/>
        </w:rPr>
        <w:t>今年县自来水公司在车边社区投资约260万元实施供水项目工程,目前施工安装社区分支管网、入户缴费装表同步进行中；同时积极配合农村饮水供水项目县云溪水厂的扩改建工作，对9个未通自来水的村饮水供水问题进行了详细摸底排查，为云溪水厂扩改建最终确定提供依据，切实解决营江农村饮水供水困难问题。</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五是营江街道办事处“六小一中心”暨保障性租赁住房建设项目稳步推进。</w:t>
      </w:r>
      <w:r>
        <w:rPr>
          <w:rFonts w:hint="eastAsia" w:ascii="仿宋_GB2312" w:hAnsi="仿宋_GB2312" w:eastAsia="仿宋_GB2312" w:cs="仿宋_GB2312"/>
          <w:b w:val="0"/>
          <w:bCs w:val="0"/>
          <w:color w:val="auto"/>
          <w:sz w:val="32"/>
          <w:szCs w:val="32"/>
          <w:lang w:val="en-US" w:eastAsia="zh-CN"/>
        </w:rPr>
        <w:t>该项目用于</w:t>
      </w:r>
      <w:r>
        <w:rPr>
          <w:rFonts w:hint="eastAsia" w:ascii="仿宋_GB2312" w:hAnsi="仿宋_GB2312" w:eastAsia="仿宋_GB2312" w:cs="仿宋_GB2312"/>
          <w:color w:val="auto"/>
          <w:sz w:val="32"/>
          <w:szCs w:val="32"/>
          <w:lang w:val="en-US" w:eastAsia="zh-CN"/>
        </w:rPr>
        <w:t>改善街道干部办公生活条件，提升街道便民服务功能，增强基层组织凝聚力、战斗力和号召力，打通联系服务群众的“最后一公里”。项目现已完成消防水池浇筑、正负零浇筑，主体工程准备施工中。</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、为民谋福祉，乡村振兴更有力量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加强政策见效，兜底乡村振兴。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积极向上级争取资金，辖区内新增乡村振兴有效衔接项目8个，主要用于美丽乡村建设和提高群众的生产生活条件，目前已经完工6个。辖区内共有4个帮扶车间，共吸纳脱贫人口33人，发放一次性交通补助446人，共计168700元，极大提高了务工人员的满意度。今年全年雨露计划一共发放133人，共计199500元。今年厕所革命一共改造46个户厕，新增3个公厕，目前已经全部完工，深入贯彻了习近平总书记关于农村厕所革命的重要指示精神。今年累计发放《防止返贫监测帮扶相关政策“明白手册”》500余份、《防止返贫监测对象申报政策“明白纸”》7000余份，对辖区内所有户进行了全覆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加强增能提升，护航乡村振兴。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以打好特色牌、扶好大农户、唱好融合戏等措施，突出蔬菜、水果、水稻、油茶、烤烟生产五大产业规划。</w:t>
      </w:r>
      <w:r>
        <w:rPr>
          <w:rFonts w:hint="eastAsia" w:ascii="仿宋_GB2312" w:hAnsi="仿宋_GB2312" w:eastAsia="仿宋_GB2312" w:cs="仿宋_GB2312"/>
          <w:color w:val="auto"/>
          <w:sz w:val="32"/>
          <w:szCs w:val="32"/>
          <w:lang w:val="en-US" w:eastAsia="zh-CN"/>
        </w:rPr>
        <w:t>大力发展早中熟柑橘、藠头、</w:t>
      </w:r>
      <w:r>
        <w:rPr>
          <w:rFonts w:hint="eastAsia" w:ascii="仿宋_GB2312" w:hAnsi="仿宋_GB2312" w:eastAsia="仿宋_GB2312" w:cs="仿宋_GB2312"/>
          <w:color w:val="auto"/>
          <w:sz w:val="32"/>
          <w:szCs w:val="32"/>
          <w:lang w:eastAsia="zh-CN"/>
        </w:rPr>
        <w:t>供港蔬菜</w:t>
      </w:r>
      <w:r>
        <w:rPr>
          <w:rFonts w:hint="eastAsia" w:ascii="仿宋_GB2312" w:hAnsi="仿宋_GB2312" w:eastAsia="仿宋_GB2312" w:cs="仿宋_GB2312"/>
          <w:color w:val="auto"/>
          <w:sz w:val="32"/>
          <w:szCs w:val="32"/>
          <w:lang w:val="en-US" w:eastAsia="zh-CN"/>
        </w:rPr>
        <w:t>、烤烟种植等产业。今年以来，蔬菜播种面积（含复种）6500亩，其中藠头种植面积约1500余亩，总产值预计达到1800万元；油菜播种5000亩；油茶扩种面积600 亩；柑桔、葡萄等水果扩种300亩，累计2000余亩；烤烟种植2500余亩，上交烟叶5700余担；猪、牛和家禽养殖存栏年分别达6000头、1500头和110多万羽；稻田、山塘和水库养鱼面积1600亩。打造了营江大洞和芒头寨大洞蔬菜基地、午田村连片800亩烤烟基地、上汶村、下汶村和濂南村7000多亩连片柑桔和葡萄水果基地、新屋和上汶两村3000头牲猪养殖基地、午田、达石元、上汶和车边社区近千头养牛基地现初具规模，发展势头良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聚焦安全生产，提振乡村振兴。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按照管行业管安全、管业务管安全的原则，严格落实“三管三必须”党政领导干部</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"http://www.mswk.cn/Article/List/List_95.html"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责任制，全面执行安全生产职责清单和履职</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"http://www.mswk.cn/Article/Special/dangan/Index.html" \t "http://www.mswk.cn/Article/_blank"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档案</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一是强化队伍建设，加强隐患排查。</w:t>
      </w:r>
      <w:r>
        <w:rPr>
          <w:rFonts w:hint="eastAsia" w:ascii="仿宋_GB2312" w:hAnsi="仿宋_GB2312" w:eastAsia="仿宋_GB2312" w:cs="仿宋_GB2312"/>
          <w:b w:val="0"/>
          <w:bCs w:val="0"/>
          <w:color w:val="auto"/>
          <w:sz w:val="32"/>
          <w:szCs w:val="32"/>
          <w:lang w:val="en-US" w:eastAsia="zh-CN"/>
        </w:rPr>
        <w:t>今年以来，成立了街道安全生产委员会,</w:t>
      </w:r>
      <w:r>
        <w:rPr>
          <w:rFonts w:hint="eastAsia" w:ascii="仿宋_GB2312" w:hAnsi="仿宋_GB2312" w:eastAsia="仿宋_GB2312" w:cs="仿宋_GB2312"/>
          <w:color w:val="auto"/>
          <w:sz w:val="32"/>
          <w:szCs w:val="32"/>
          <w:lang w:val="en-US" w:eastAsia="zh-CN"/>
        </w:rPr>
        <w:t>调整综合执法中队8人，应急救援中队330人（其中街道办事处30人、村社300人），围绕防汛、消防、森林防火等重点工作开展应急演练3次，大大提升了应急救援队伍应对各类灾害事故的应急处置能力。积极开展“三抓三查三严”安全生产百日攻坚行动活动，共排查整治道路交通、农村建房、消防、防溺水、森林防灭火等各类安全隐患200余处，制止农户占用耕地建房3起，对村户建房安全领域处置案件6起，现场警告3起，处罚2起。</w:t>
      </w:r>
    </w:p>
    <w:p>
      <w:pPr>
        <w:keepNext/>
        <w:keepLines/>
        <w:pageBreakBefore w:val="0"/>
        <w:widowControl w:val="0"/>
        <w:numPr>
          <w:ilvl w:val="0"/>
          <w:numId w:val="0"/>
        </w:numPr>
        <w:kinsoku/>
        <w:wordWrap/>
        <w:overflowPunct/>
        <w:topLinePunct w:val="0"/>
        <w:autoSpaceDE/>
        <w:autoSpaceDN/>
        <w:bidi w:val="0"/>
        <w:snapToGrid w:val="0"/>
        <w:spacing w:beforeAutospacing="0" w:afterAutospacing="0" w:line="560" w:lineRule="exact"/>
        <w:ind w:left="0" w:right="0" w:firstLine="643" w:firstLineChars="200"/>
        <w:jc w:val="both"/>
        <w:textAlignment w:val="auto"/>
        <w:outlineLvl w:val="0"/>
        <w:rPr>
          <w:rFonts w:hint="eastAsia" w:ascii="仿宋_GB2312" w:hAnsi="仿宋_GB2312" w:eastAsia="仿宋_GB2312" w:cs="仿宋_GB2312"/>
          <w:b/>
          <w:bCs/>
          <w:color w:val="auto"/>
          <w:kern w:val="44"/>
          <w:sz w:val="32"/>
          <w:szCs w:val="32"/>
          <w:lang w:val="en-US" w:eastAsia="zh-CN" w:bidi="ar-SA"/>
        </w:rPr>
      </w:pPr>
      <w:r>
        <w:rPr>
          <w:rFonts w:hint="eastAsia" w:ascii="仿宋_GB2312" w:hAnsi="仿宋_GB2312" w:eastAsia="仿宋_GB2312" w:cs="仿宋_GB2312"/>
          <w:b/>
          <w:bCs/>
          <w:color w:val="auto"/>
          <w:kern w:val="44"/>
          <w:sz w:val="32"/>
          <w:szCs w:val="32"/>
          <w:lang w:val="en-US" w:eastAsia="zh-CN" w:bidi="ar-SA"/>
        </w:rPr>
        <w:t>4.社会各项事业蓬勃发展。社会救助和保障。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2024年街道新增城乡低保73户99人；因为经济条件好转停止享受低保政策49人，截至11月底，享受城乡低保人数 457户1028人发放低保金26.6893万元，享受城市低保43户100人发放低保金3.947万元;开展临时生活救助118人次，救助金额199300元；关爱退役军人群体，走访发放慰问金17200元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2024年医疗保险征缴工作全县排名第10名。</w:t>
      </w:r>
      <w:r>
        <w:rPr>
          <w:rFonts w:hint="eastAsia" w:ascii="仿宋_GB2312" w:hAnsi="仿宋_GB2312" w:eastAsia="仿宋_GB2312" w:cs="仿宋_GB2312"/>
          <w:b/>
          <w:bCs/>
          <w:color w:val="auto"/>
          <w:sz w:val="32"/>
          <w:szCs w:val="32"/>
          <w:highlight w:val="none"/>
        </w:rPr>
        <w:t>环保工作。</w:t>
      </w:r>
      <w:r>
        <w:rPr>
          <w:rFonts w:hint="eastAsia" w:ascii="仿宋_GB2312" w:hAnsi="仿宋_GB2312" w:eastAsia="仿宋_GB2312" w:cs="仿宋_GB2312"/>
          <w:b w:val="0"/>
          <w:bCs w:val="0"/>
          <w:color w:val="auto"/>
          <w:sz w:val="32"/>
          <w:szCs w:val="32"/>
          <w:highlight w:val="none"/>
        </w:rPr>
        <w:t>对于环保工作，街道领导高度重视，成立了由书记挂帅的领导小组，制定了一系列行之有效的工作措施，对违法违章行为进行依法处理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拆除了</w:t>
      </w:r>
      <w:r>
        <w:rPr>
          <w:rFonts w:hint="eastAsia" w:ascii="仿宋_GB2312" w:hAnsi="仿宋_GB2312" w:eastAsia="仿宋_GB2312" w:cs="仿宋_GB2312"/>
          <w:b w:val="0"/>
          <w:bCs w:val="0"/>
          <w:color w:val="auto"/>
          <w:sz w:val="32"/>
          <w:szCs w:val="32"/>
          <w:highlight w:val="none"/>
          <w:lang w:val="en-US" w:eastAsia="zh-CN"/>
        </w:rPr>
        <w:t>濂南蛙场、车坝废品场。</w:t>
      </w:r>
      <w:r>
        <w:rPr>
          <w:rFonts w:hint="eastAsia" w:ascii="仿宋_GB2312" w:hAnsi="仿宋_GB2312" w:eastAsia="仿宋_GB2312" w:cs="仿宋_GB2312"/>
          <w:b/>
          <w:bCs/>
          <w:color w:val="auto"/>
          <w:sz w:val="32"/>
          <w:szCs w:val="32"/>
          <w:highlight w:val="none"/>
        </w:rPr>
        <w:t>河长制工作。</w:t>
      </w:r>
      <w:r>
        <w:rPr>
          <w:rFonts w:hint="eastAsia" w:ascii="仿宋_GB2312" w:hAnsi="仿宋_GB2312" w:eastAsia="仿宋_GB2312" w:cs="仿宋_GB2312"/>
          <w:b w:val="0"/>
          <w:bCs w:val="0"/>
          <w:color w:val="auto"/>
          <w:sz w:val="32"/>
          <w:szCs w:val="32"/>
          <w:highlight w:val="none"/>
        </w:rPr>
        <w:t>按照省、市、县</w:t>
      </w:r>
      <w:r>
        <w:rPr>
          <w:rFonts w:hint="eastAsia" w:ascii="仿宋_GB2312" w:hAnsi="仿宋_GB2312" w:eastAsia="仿宋_GB2312" w:cs="仿宋_GB2312"/>
          <w:b w:val="0"/>
          <w:bCs w:val="0"/>
          <w:color w:val="auto"/>
          <w:sz w:val="32"/>
          <w:szCs w:val="32"/>
          <w:highlight w:val="none"/>
          <w:lang w:val="en-US" w:eastAsia="zh-CN"/>
        </w:rPr>
        <w:t>委</w:t>
      </w:r>
      <w:r>
        <w:rPr>
          <w:rFonts w:hint="eastAsia" w:ascii="仿宋_GB2312" w:hAnsi="仿宋_GB2312" w:eastAsia="仿宋_GB2312" w:cs="仿宋_GB2312"/>
          <w:b w:val="0"/>
          <w:bCs w:val="0"/>
          <w:color w:val="auto"/>
          <w:sz w:val="32"/>
          <w:szCs w:val="32"/>
          <w:highlight w:val="none"/>
        </w:rPr>
        <w:t>要求，在我街道河沟塘管理中全面推行了河长制，构建了目标明确、责任落实、监管有力、考核严格的河沟塘管理保护机制，实现了从“见河长、见行动”到“见成效”，取得了阶段性成效。一年来，更新河库长公示牌</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块，</w:t>
      </w:r>
      <w:r>
        <w:rPr>
          <w:rFonts w:hint="eastAsia" w:ascii="仿宋_GB2312" w:hAnsi="仿宋_GB2312" w:eastAsia="仿宋_GB2312" w:cs="仿宋_GB2312"/>
          <w:b w:val="0"/>
          <w:bCs w:val="0"/>
          <w:color w:val="auto"/>
          <w:sz w:val="32"/>
          <w:szCs w:val="32"/>
          <w:highlight w:val="none"/>
          <w:lang w:val="en-US" w:eastAsia="zh-CN"/>
        </w:rPr>
        <w:t>开展河道清理专项行动9次，</w:t>
      </w:r>
      <w:r>
        <w:rPr>
          <w:rFonts w:hint="eastAsia" w:ascii="仿宋_GB2312" w:hAnsi="仿宋_GB2312" w:eastAsia="仿宋_GB2312" w:cs="仿宋_GB2312"/>
          <w:b w:val="0"/>
          <w:bCs w:val="0"/>
          <w:color w:val="auto"/>
          <w:sz w:val="32"/>
          <w:szCs w:val="32"/>
          <w:highlight w:val="none"/>
        </w:rPr>
        <w:t>清理白色垃圾、生活垃圾、砂石等</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余堆，通过一年的工作努力，河长制工作取得了明显的成效；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多措并举，精神文明向好发展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开展城乡环境综合整治。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街道党工委每季度对各村（社区）进行人居环境整治考核，查明问题立即整改，同时进行打分评比，制定奖罚制度，切实落实“一约四制”、“卫生收费”、“卫生评比”等制度。今年以来，各村（社区）积极主动组织保洁员、志愿者及两委干部投入到人居环境整治工作中。重点对空心危房、残垣断壁、臭水沟、垃圾死角及旱厕等进行清理，截至目前已累计清理空心危房或旱厕30余座，拆除总面积达2400余平方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扎实开展</w:t>
      </w:r>
      <w:r>
        <w:rPr>
          <w:rFonts w:hint="eastAsia" w:ascii="仿宋_GB2312" w:hAnsi="仿宋_GB2312" w:eastAsia="仿宋_GB2312" w:cs="仿宋_GB2312"/>
          <w:b/>
          <w:bCs/>
          <w:color w:val="auto"/>
          <w:sz w:val="32"/>
          <w:szCs w:val="32"/>
          <w:lang w:val="en-US" w:eastAsia="zh-CN"/>
        </w:rPr>
        <w:t>新时代文明实践</w:t>
      </w:r>
      <w:r>
        <w:rPr>
          <w:rFonts w:hint="eastAsia" w:ascii="仿宋_GB2312" w:hAnsi="仿宋_GB2312" w:eastAsia="仿宋_GB2312" w:cs="仿宋_GB2312"/>
          <w:b/>
          <w:bCs/>
          <w:color w:val="auto"/>
          <w:sz w:val="32"/>
          <w:szCs w:val="32"/>
        </w:rPr>
        <w:t>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充分利用文明创建日活动，组织机关工作人员开展环境卫生整治，加强了对环境卫生死角、盲区、“脏、乱、差”等突出问题的重点整治。2024年街道、社区先后清除小广告200余处，清理建筑垃圾和死角死面垃圾60余车，清理乱堆乱放350多处;清理反弹旱厕3座；入户发放宣传文明养犬倡议书600余张，为道县创建全国文明城市贡献营江力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加强意识形态和舆情工作。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街道党工委组织召开专题研究意识形态工作2次；召开2次意识形态领域情况分析研判会，对意识形态工作进行分析研判，切实保障了辖区内的安全与稳定。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2024年开展宗教领域巡逻15次，查处问题2个，整改问题2个，成功对阳乐田社区露天造像进行整改到位；共处置回复6件网络交办件、处理6起网络舆情，处置成功率均为100%。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止到11月27日，我街道分别在新湖南网、红网、今日永州、永州新闻网、道州新闻网等媒体上发表各类正面的新闻报道114篇，同比增长375%。其中市级以上媒体上稿80篇，宣传氛围不断浓厚，展示出了良好营江形象。</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七、部门整体支出管理情况</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（一）建章建制，制度建立完善。</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根据《会计法》、《预算法》、《政府会计制度》等法律和财政部及省财政厅有关财务规章的规定，街道办事处先后制订了《财务管理制度》、《营江街道办事处公务接待管理办法》、</w:t>
      </w:r>
      <w:r>
        <w:rPr>
          <w:rFonts w:hint="eastAsia" w:ascii="仿宋" w:hAnsi="仿宋" w:eastAsia="仿宋" w:cs="仿宋"/>
          <w:sz w:val="32"/>
          <w:szCs w:val="32"/>
        </w:rPr>
        <w:t>《</w:t>
      </w:r>
      <w:r>
        <w:rPr>
          <w:rFonts w:hint="eastAsia" w:ascii="仿宋" w:hAnsi="仿宋" w:eastAsia="仿宋" w:cs="仿宋"/>
          <w:sz w:val="32"/>
          <w:szCs w:val="32"/>
          <w:lang w:eastAsia="zh-CN"/>
        </w:rPr>
        <w:t>营江</w:t>
      </w:r>
      <w:r>
        <w:rPr>
          <w:rFonts w:hint="eastAsia" w:ascii="仿宋" w:hAnsi="仿宋" w:eastAsia="仿宋" w:cs="仿宋"/>
          <w:sz w:val="32"/>
          <w:szCs w:val="32"/>
        </w:rPr>
        <w:t>街道办事处</w:t>
      </w:r>
      <w:r>
        <w:rPr>
          <w:rFonts w:hint="eastAsia" w:ascii="仿宋" w:hAnsi="仿宋" w:eastAsia="仿宋" w:cs="仿宋"/>
          <w:sz w:val="32"/>
          <w:szCs w:val="32"/>
          <w:lang w:val="en-US" w:eastAsia="zh-CN"/>
        </w:rPr>
        <w:t>公务用车</w:t>
      </w:r>
      <w:r>
        <w:rPr>
          <w:rFonts w:hint="eastAsia" w:ascii="仿宋" w:hAnsi="仿宋" w:eastAsia="仿宋" w:cs="仿宋"/>
          <w:sz w:val="32"/>
          <w:szCs w:val="32"/>
        </w:rPr>
        <w:t>管理办法》</w:t>
      </w:r>
      <w:r>
        <w:rPr>
          <w:rFonts w:hint="eastAsia" w:ascii="仿宋_GB2312" w:hAnsi="仿宋_GB2312" w:eastAsia="仿宋_GB2312" w:cs="仿宋_GB2312"/>
          <w:color w:val="auto"/>
          <w:sz w:val="32"/>
          <w:szCs w:val="32"/>
        </w:rPr>
        <w:t>《营江街道办事处会议费管理办法》、《营江街道办事处差旅费管理办法》等制度，制度明确了经费审批权限及程序，经费预算、核算管理、资产购置与处置、财务监督等，针对“三公”经费建立公用经费标准定额体系，开展公用经费使用监督和绩效评估，领导重视，员工参与，制度建立完善。</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（二）制度执行比较到位，提高了资金使用效益。</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年度加强了财务管理，落实厉行节约的各项规定，“三公”经费实现了有效压缩。</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年度的“三公”经费中，无因公出国（境）费用，公务接待费和公务用车购置及运行费实际支出</w:t>
      </w:r>
      <w:r>
        <w:rPr>
          <w:rFonts w:hint="eastAsia" w:ascii="仿宋_GB2312" w:hAnsi="仿宋_GB2312" w:eastAsia="仿宋_GB2312" w:cs="仿宋_GB2312"/>
          <w:color w:val="auto"/>
          <w:sz w:val="32"/>
          <w:szCs w:val="32"/>
          <w:lang w:val="en-US" w:eastAsia="zh-CN"/>
        </w:rPr>
        <w:t>4.49</w:t>
      </w:r>
      <w:r>
        <w:rPr>
          <w:rFonts w:hint="eastAsia" w:ascii="仿宋_GB2312" w:hAnsi="仿宋_GB2312" w:eastAsia="仿宋_GB2312" w:cs="仿宋_GB2312"/>
          <w:color w:val="auto"/>
          <w:sz w:val="32"/>
          <w:szCs w:val="32"/>
        </w:rPr>
        <w:t>万元，比预算减少</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万元，压缩</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八、存在的主要问题</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1、财务核算待进一步规范；</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2、公务接待方面有待进一步完善；</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3、电子卖场采购制度待建全。</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九、改进措施和有关建议</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（一）规范账务处理，提高财务信息质量 。</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严格按照《会计法》、《政府会计制度》等规定执行财务核算，并结合实际情况，完整、准确地披露相关信息，做到决算与预算相衔接。</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（二）落实管理制度，进一步加强接待管理。</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按照《道县党政机关公务接待管理实施细则》的加强接待管理工作，对被接待单位人员要及时取得接待函，对存在的问题认真进行整改。</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（三）加强会计机构队伍建设</w:t>
      </w:r>
    </w:p>
    <w:p>
      <w:pPr>
        <w:pageBreakBefore w:val="0"/>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按照《中华人民共和国会计法》要求建立会计机关，配备齐会计人员，做到不相容岗位分设，加强会计监督。</w:t>
      </w:r>
    </w:p>
    <w:p>
      <w:pPr>
        <w:pageBreakBefore w:val="0"/>
        <w:kinsoku/>
        <w:wordWrap/>
        <w:overflowPunct/>
        <w:topLinePunct w:val="0"/>
        <w:autoSpaceDE/>
        <w:autoSpaceDN/>
        <w:bidi w:val="0"/>
        <w:spacing w:beforeAutospacing="0" w:afterAutospacing="0" w:line="560" w:lineRule="exact"/>
        <w:ind w:left="0" w:right="0"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rPr>
        <w:t>（四）对大额支出无补充附件及说明</w:t>
      </w:r>
      <w:r>
        <w:rPr>
          <w:rFonts w:hint="eastAsia" w:ascii="楷体" w:hAnsi="楷体" w:eastAsia="楷体" w:cs="楷体"/>
          <w:b/>
          <w:bCs/>
          <w:color w:val="auto"/>
          <w:sz w:val="32"/>
          <w:szCs w:val="32"/>
          <w:lang w:eastAsia="zh-CN"/>
        </w:rPr>
        <w:t>。</w:t>
      </w:r>
    </w:p>
    <w:p>
      <w:pPr>
        <w:pageBreakBefore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完善手续，各项专项资金纳入专项资金专户核算，工程项目按规定进行招投标。</w:t>
      </w:r>
    </w:p>
    <w:p>
      <w:pPr>
        <w:spacing w:line="360" w:lineRule="auto"/>
        <w:rPr>
          <w:rFonts w:hint="eastAsia" w:ascii="仿宋" w:hAnsi="仿宋" w:eastAsia="仿宋" w:cs="仿宋"/>
          <w:b/>
          <w:sz w:val="32"/>
          <w:szCs w:val="32"/>
        </w:rPr>
      </w:pPr>
      <w:r>
        <w:rPr>
          <w:rFonts w:hint="eastAsia" w:ascii="仿宋_GB2312" w:hAnsi="仿宋_GB2312" w:eastAsia="仿宋_GB2312" w:cs="仿宋_GB2312"/>
          <w:b/>
          <w:color w:val="auto"/>
          <w:sz w:val="32"/>
          <w:szCs w:val="32"/>
        </w:rPr>
        <w:t xml:space="preserve">   </w:t>
      </w:r>
      <w:r>
        <w:rPr>
          <w:rFonts w:hint="eastAsia" w:ascii="仿宋" w:hAnsi="仿宋" w:eastAsia="仿宋" w:cs="仿宋"/>
          <w:b/>
          <w:sz w:val="32"/>
          <w:szCs w:val="32"/>
          <w:lang w:val="en-US" w:eastAsia="zh-CN"/>
        </w:rPr>
        <w:t>十</w:t>
      </w:r>
      <w:r>
        <w:rPr>
          <w:rFonts w:hint="eastAsia" w:ascii="仿宋" w:hAnsi="仿宋" w:eastAsia="仿宋" w:cs="仿宋"/>
          <w:b/>
          <w:sz w:val="32"/>
          <w:szCs w:val="32"/>
        </w:rPr>
        <w:t>、绩效自评结果拟就用和公开情况</w:t>
      </w:r>
    </w:p>
    <w:p>
      <w:pPr>
        <w:spacing w:line="360" w:lineRule="auto"/>
        <w:ind w:firstLine="640" w:firstLineChars="200"/>
        <w:rPr>
          <w:rFonts w:hint="eastAsia" w:ascii="仿宋" w:hAnsi="仿宋" w:eastAsia="仿宋" w:cs="仿宋"/>
          <w:b/>
          <w:sz w:val="32"/>
          <w:szCs w:val="32"/>
        </w:rPr>
      </w:pPr>
      <w:r>
        <w:rPr>
          <w:rFonts w:hint="eastAsia" w:ascii="仿宋" w:hAnsi="仿宋" w:eastAsia="仿宋" w:cs="仿宋"/>
          <w:sz w:val="32"/>
          <w:szCs w:val="32"/>
        </w:rPr>
        <w:t>根据财政部门要求及时在门户网站公开预决算及整体支出绩效自评报告</w:t>
      </w:r>
      <w:r>
        <w:rPr>
          <w:rFonts w:hint="eastAsia" w:ascii="仿宋" w:hAnsi="仿宋" w:eastAsia="仿宋" w:cs="仿宋"/>
          <w:b/>
          <w:sz w:val="32"/>
          <w:szCs w:val="32"/>
        </w:rPr>
        <w:t>。</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一</w:t>
      </w:r>
      <w:r>
        <w:rPr>
          <w:rFonts w:hint="eastAsia" w:ascii="仿宋" w:hAnsi="仿宋" w:eastAsia="仿宋" w:cs="仿宋"/>
          <w:b/>
          <w:sz w:val="32"/>
          <w:szCs w:val="32"/>
        </w:rPr>
        <w:t>、其他需要说明的情况</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无其他需要说明的情况。</w:t>
      </w:r>
    </w:p>
    <w:p>
      <w:pPr>
        <w:pageBreakBefore w:val="0"/>
        <w:kinsoku/>
        <w:wordWrap/>
        <w:overflowPunct/>
        <w:topLinePunct w:val="0"/>
        <w:autoSpaceDE/>
        <w:autoSpaceDN/>
        <w:bidi w:val="0"/>
        <w:spacing w:beforeAutospacing="0" w:afterAutospacing="0" w:line="560" w:lineRule="exact"/>
        <w:ind w:left="0" w:right="0" w:firstLine="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w:t>
      </w:r>
    </w:p>
    <w:p>
      <w:pPr>
        <w:pageBreakBefore w:val="0"/>
        <w:kinsoku/>
        <w:wordWrap/>
        <w:overflowPunct/>
        <w:topLinePunct w:val="0"/>
        <w:autoSpaceDE/>
        <w:autoSpaceDN/>
        <w:bidi w:val="0"/>
        <w:spacing w:beforeAutospacing="0" w:afterAutospacing="0" w:line="560" w:lineRule="exact"/>
        <w:ind w:left="0" w:right="0" w:firstLine="0" w:firstLineChars="0"/>
        <w:jc w:val="righ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道县营江街道办事处     </w:t>
      </w:r>
    </w:p>
    <w:p>
      <w:pPr>
        <w:pageBreakBefore w:val="0"/>
        <w:kinsoku/>
        <w:wordWrap/>
        <w:overflowPunct/>
        <w:topLinePunct w:val="0"/>
        <w:autoSpaceDE/>
        <w:autoSpaceDN/>
        <w:bidi w:val="0"/>
        <w:spacing w:beforeAutospacing="0" w:afterAutospacing="0" w:line="560" w:lineRule="exact"/>
        <w:ind w:left="0" w:right="0" w:firstLine="0" w:firstLineChars="0"/>
        <w:jc w:val="center"/>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月2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6F96C"/>
    <w:multiLevelType w:val="singleLevel"/>
    <w:tmpl w:val="5956F96C"/>
    <w:lvl w:ilvl="0" w:tentative="0">
      <w:start w:val="1"/>
      <w:numFmt w:val="decimal"/>
      <w:suff w:val="nothing"/>
      <w:lvlText w:val="%1、"/>
      <w:lvlJc w:val="left"/>
      <w:rPr>
        <w:rFonts w:cs="Times New Roman"/>
      </w:rPr>
    </w:lvl>
  </w:abstractNum>
  <w:abstractNum w:abstractNumId="1">
    <w:nsid w:val="5DB29C50"/>
    <w:multiLevelType w:val="singleLevel"/>
    <w:tmpl w:val="5DB29C50"/>
    <w:lvl w:ilvl="0" w:tentative="0">
      <w:start w:val="1"/>
      <w:numFmt w:val="chineseCounting"/>
      <w:suff w:val="nothing"/>
      <w:lvlText w:val="%1、"/>
      <w:lvlJc w:val="left"/>
      <w:pPr>
        <w:ind w:left="-1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WM5OWQ0ZTI0ZDQwMmVlOWRlOGE1YTc5ZTgzZDEifQ=="/>
  </w:docVars>
  <w:rsids>
    <w:rsidRoot w:val="00000000"/>
    <w:rsid w:val="6FB0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napToGrid w:val="0"/>
      <w:jc w:val="center"/>
      <w:outlineLvl w:val="0"/>
    </w:pPr>
    <w:rPr>
      <w:rFonts w:ascii="Times New Roman" w:hAnsi="Times New Roman" w:eastAsia="方正小标宋简体"/>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样式2"/>
    <w:basedOn w:val="1"/>
    <w:autoRedefine/>
    <w:qFormat/>
    <w:uiPriority w:val="0"/>
    <w:pPr>
      <w:widowControl/>
      <w:shd w:val="clear" w:color="auto" w:fill="FFFFFF"/>
      <w:spacing w:before="100" w:beforeAutospacing="1" w:after="100" w:afterAutospacing="1"/>
      <w:ind w:left="562"/>
      <w:jc w:val="center"/>
    </w:pPr>
    <w:rPr>
      <w:rFonts w:ascii="宋体"/>
      <w:b/>
      <w:bCs/>
      <w:szCs w:val="21"/>
    </w:rPr>
  </w:style>
  <w:style w:type="paragraph" w:styleId="4">
    <w:name w:val="Normal (Web)"/>
    <w:basedOn w:val="1"/>
    <w:qFormat/>
    <w:uiPriority w:val="99"/>
    <w:pPr>
      <w:spacing w:before="100" w:beforeAutospacing="1" w:after="100" w:afterAutospacing="1"/>
      <w:jc w:val="left"/>
    </w:pPr>
    <w:rPr>
      <w:sz w:val="24"/>
    </w:rPr>
  </w:style>
  <w:style w:type="paragraph" w:customStyle="1" w:styleId="7">
    <w:name w:val="排版"/>
    <w:basedOn w:val="1"/>
    <w:autoRedefine/>
    <w:qFormat/>
    <w:uiPriority w:val="99"/>
    <w:pPr>
      <w:spacing w:before="300" w:after="150" w:line="580" w:lineRule="exact"/>
      <w:ind w:firstLine="640" w:firstLineChars="200"/>
    </w:pPr>
    <w:rPr>
      <w:rFonts w:ascii="仿宋" w:hAnsi="仿宋" w:eastAsia="仿宋_GB2312"/>
      <w:color w:val="000000"/>
      <w:sz w:val="32"/>
      <w:szCs w:val="32"/>
    </w:rPr>
  </w:style>
  <w:style w:type="paragraph" w:customStyle="1" w:styleId="8">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2025-08-25T03:10:08Z</dcterms:created>
  <dc:creator>Administrator</dc:creator>
  <cp:lastModifiedBy>道县营江街道办事处</cp:lastModifiedBy>
  <dcterms:modified xsi:type="dcterms:W3CDTF">2025-08-25T03:10:30Z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ED391BF50D434410BB6D041B08FAA0D1_12</vt:lpwstr>
  </property>
</Properties>
</file>