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w:t>
      </w:r>
      <w:bookmarkStart w:id="0" w:name="_GoBack"/>
      <w:bookmarkEnd w:id="0"/>
      <w:r>
        <w:rPr>
          <w:rFonts w:hint="eastAsia" w:ascii="方正小标宋简体" w:hAnsi="方正小标宋简体" w:eastAsia="方正小标宋简体" w:cs="方正小标宋简体"/>
          <w:b w:val="0"/>
          <w:bCs w:val="0"/>
          <w:sz w:val="44"/>
          <w:szCs w:val="44"/>
        </w:rPr>
        <w:t>月岩-周敦颐故里风景名胜区管理处</w:t>
      </w:r>
      <w:r>
        <w:rPr>
          <w:rFonts w:hint="eastAsia" w:ascii="方正小标宋简体" w:hAnsi="方正小标宋简体" w:eastAsia="方正小标宋简体" w:cs="方正小标宋简体"/>
          <w:b w:val="0"/>
          <w:bCs w:val="0"/>
          <w:sz w:val="44"/>
          <w:szCs w:val="44"/>
          <w:lang w:eastAsia="zh-CN"/>
        </w:rPr>
        <w:t>整体支出</w:t>
      </w:r>
      <w:r>
        <w:rPr>
          <w:rFonts w:hint="eastAsia" w:ascii="方正小标宋简体" w:hAnsi="方正小标宋简体" w:eastAsia="方正小标宋简体" w:cs="方正小标宋简体"/>
          <w:b w:val="0"/>
          <w:bCs w:val="0"/>
          <w:sz w:val="44"/>
          <w:szCs w:val="44"/>
        </w:rPr>
        <w:t>绩效自评报告</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(一）部门（单位）基本情况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月岩-周敦颐故里风景名胜区管理处为副处级单位，内设4个科室:综合办公室、旅游发展科、工程建设科、文物保护科，编制数16人，其中正副科级7人，其它人员7人，实际在岗15人，实有车辆0台。</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主要职能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根据《湖南省风景名胜区管理条例》规定，月岩-周敦颐故里风景名胜区管理处主要是保护月岩、周敦颐故里、玉蟾岩国保单位的古迹，开发名胜古迹，供游人参观</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（二）部门（单位）年度整体支出绩效目标，省级专项资金绩效目标、其他项目支出（除省级专项资金以外）绩效目标</w:t>
      </w:r>
    </w:p>
    <w:p>
      <w:pPr>
        <w:ind w:left="150" w:firstLine="640" w:firstLineChars="200"/>
        <w:rPr>
          <w:rFonts w:hint="eastAsia" w:ascii="宋体" w:hAnsi="宋体" w:eastAsia="宋体" w:cs="宋体"/>
          <w:sz w:val="32"/>
          <w:szCs w:val="32"/>
        </w:rPr>
      </w:pPr>
      <w:r>
        <w:rPr>
          <w:rFonts w:hint="eastAsia" w:ascii="宋体" w:hAnsi="宋体" w:eastAsia="宋体" w:cs="宋体"/>
          <w:sz w:val="32"/>
          <w:szCs w:val="32"/>
        </w:rPr>
        <w:t>1、年度总体支出绩效目标：</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目标1、完成对濂溪总祠项目的立项、放线、踏界、设计、预算。</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目标2、完成月岩景区停车场新建厕所工程的建设、验收，财政结算评审。</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目标3、完成周敦颐故居布展的设计和预算。</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目标4、完成风景区疑似图斑核查。</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目标5、完成濂溪故里古建筑群修缮二期工程的设计。</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目标6、完成濂溪故里古建筑群安防、防雷计划项目上报省文物局。</w:t>
      </w:r>
    </w:p>
    <w:p>
      <w:pPr>
        <w:snapToGrid w:val="0"/>
        <w:spacing w:line="600" w:lineRule="exact"/>
        <w:ind w:left="559" w:firstLine="640" w:firstLineChars="200"/>
        <w:rPr>
          <w:rFonts w:hint="eastAsia" w:ascii="宋体" w:hAnsi="宋体" w:eastAsia="宋体" w:cs="宋体"/>
          <w:sz w:val="32"/>
          <w:szCs w:val="32"/>
        </w:rPr>
      </w:pPr>
      <w:r>
        <w:rPr>
          <w:rFonts w:hint="eastAsia" w:ascii="宋体" w:hAnsi="宋体" w:eastAsia="宋体" w:cs="宋体"/>
          <w:sz w:val="32"/>
          <w:szCs w:val="32"/>
        </w:rPr>
        <w:t>目标7、加强基础建设，完善景区遗留部分断头路和安全护栏。             目标8、智慧景区、导视系统（标识标牌）等工程均处在建设和不断完善中。</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二、一般公共预算支出情况</w:t>
      </w:r>
    </w:p>
    <w:p>
      <w:pPr>
        <w:snapToGrid w:val="0"/>
        <w:spacing w:line="600" w:lineRule="exact"/>
        <w:ind w:firstLine="640" w:firstLineChars="200"/>
        <w:rPr>
          <w:rFonts w:hint="eastAsia" w:ascii="宋体" w:hAnsi="宋体" w:eastAsia="宋体" w:cs="宋体"/>
          <w:b/>
          <w:bCs/>
          <w:sz w:val="32"/>
          <w:szCs w:val="32"/>
        </w:rPr>
      </w:pPr>
      <w:r>
        <w:rPr>
          <w:rFonts w:hint="eastAsia" w:ascii="宋体" w:hAnsi="宋体" w:eastAsia="宋体" w:cs="宋体"/>
          <w:sz w:val="32"/>
          <w:szCs w:val="32"/>
        </w:rPr>
        <w:t>2024年月岩-周敦颐故里风景名胜区管理处整体支出9266.12万元。一般公共预算财政拨款收入558.84万元。</w:t>
      </w:r>
    </w:p>
    <w:p>
      <w:pPr>
        <w:numPr>
          <w:ilvl w:val="0"/>
          <w:numId w:val="1"/>
        </w:numPr>
        <w:ind w:firstLine="640" w:firstLineChars="200"/>
        <w:rPr>
          <w:rFonts w:hint="eastAsia" w:ascii="宋体" w:hAnsi="宋体" w:eastAsia="宋体" w:cs="宋体"/>
          <w:sz w:val="32"/>
          <w:szCs w:val="32"/>
        </w:rPr>
      </w:pPr>
      <w:r>
        <w:rPr>
          <w:rFonts w:hint="eastAsia" w:ascii="宋体" w:hAnsi="宋体" w:eastAsia="宋体" w:cs="宋体"/>
          <w:sz w:val="32"/>
          <w:szCs w:val="32"/>
        </w:rPr>
        <w:t>基本支出情况：基本支出192.14万元，其中：基本工资支出63.29万元,奖金25.57万元,绩效工资36.51万元,基本养老保险22.28万元，医疗保险经费10.14万元，住房公积金10.30万元。一般商品服务支出23.75万元：办公费4.95万元；印刷费2.46万元；水费0.20万元；电费0.30万元；邮电费1.37万元;差旅费2.81万元；公务接待费1.94万元；工会经费8.10万元；其他交通费1.25万元; 其他商品和服务支出0.38万元。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项目支出情况：2024年年初预算数为366.7万元，其中：周敦颐故里运营管理经费（专批）108万元；月岩玉蟾岩楼田故里保护经费（核拨）8万元；“楼田惨案”爱教基地经费6万元；自然保护地巡查、核查、执法（专批）7万元；周子理学文化协会10万元；游客集散中心荷花池租金10万元；2024年物业服务费缺口资金60万元；月岩景区运营管理10万元；第十一届周敦颐国际理学文化节活动筹备工作经费6万元; 白蚁防治13万元; 道县濂溪博物馆改造工程 60.6万元; 新游客中心室内配套设施设备68.10万元。</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三、政府性基金预算支出情况</w:t>
      </w:r>
    </w:p>
    <w:p>
      <w:pPr>
        <w:pStyle w:val="22"/>
        <w:ind w:firstLine="640" w:firstLineChars="200"/>
        <w:rPr>
          <w:rFonts w:hint="eastAsia" w:ascii="宋体" w:hAnsi="宋体" w:eastAsia="宋体" w:cs="宋体"/>
          <w:sz w:val="32"/>
          <w:szCs w:val="32"/>
        </w:rPr>
      </w:pPr>
      <w:r>
        <w:rPr>
          <w:rFonts w:hint="eastAsia" w:ascii="宋体" w:hAnsi="宋体" w:eastAsia="宋体" w:cs="宋体"/>
          <w:sz w:val="32"/>
          <w:szCs w:val="32"/>
        </w:rPr>
        <w:t>月岩-周敦颐故里风景名胜区管理处2024年政府性基金预算8707.28万元,其中: 2024年周敦颐廉洁文化展示馆运营管理费用（专批）3.28万元; 玉蟾岩遗址保护规划所需地形测绘费用4万元; 濂溪故里景区提质升级建设项目8700万元。</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四、国有资本经营预算支出情况</w:t>
      </w:r>
    </w:p>
    <w:p>
      <w:pPr>
        <w:ind w:firstLine="640" w:firstLineChars="200"/>
        <w:rPr>
          <w:rFonts w:hint="eastAsia" w:ascii="宋体" w:hAnsi="宋体" w:eastAsia="宋体" w:cs="宋体"/>
          <w:b/>
          <w:bCs/>
          <w:sz w:val="32"/>
          <w:szCs w:val="32"/>
        </w:rPr>
      </w:pPr>
      <w:r>
        <w:rPr>
          <w:rFonts w:hint="eastAsia" w:ascii="宋体" w:hAnsi="宋体" w:eastAsia="宋体" w:cs="宋体"/>
          <w:sz w:val="32"/>
          <w:szCs w:val="32"/>
        </w:rPr>
        <w:t>月岩-周敦颐故里风景名胜区管理处2024年无国有资本经营预算支出。</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五、社会保险基金预算支出情况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月岩-周敦颐故里风景名胜区管理处2024年无社会保险基金预算支出。</w:t>
      </w:r>
    </w:p>
    <w:p>
      <w:pPr>
        <w:numPr>
          <w:ilvl w:val="0"/>
          <w:numId w:val="2"/>
        </w:num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部门整体支出绩效情况</w:t>
      </w:r>
    </w:p>
    <w:p>
      <w:pPr>
        <w:pStyle w:val="2"/>
        <w:spacing w:before="240" w:after="0"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2024年，月岩-周敦颐故里风景名胜区管理处在县委、县政府的正确领导下，深入学习贯彻党的二十大和二十届三中全会精神，立足景区实际，紧紧围绕县委、县政府“四个十”重点工作部署，以饱满的热情，务实的作风，扎实推动各项工作落实落地落细。现将工作情况汇报如下：</w:t>
      </w:r>
    </w:p>
    <w:p>
      <w:pPr>
        <w:widowControl/>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紧抓目标任务，推进项目建设。一是“精提升”核心景区。完成了周敦颐廉洁文化展示馆多媒体项目，投资金额153.8万元。濂溪故里景区提质升级建设项目，到位资金8700万元，完成施工图的设计和预算。濂溪总祠完成了重大项目选址论证，成功办理了林业用地及采伐手续，完成了土石方招标及开工建设。二是“微改造”配套项目。完成了濂溪故里供水工程,投资金额10.3万元。完成了濂溪故里10kv供电工程，投资金额82.4万元。完成了濂溪故里景区物业服务项目的政府采购工作，中标金额58.6万元。完成月岩景区创3A级景区基础设施建设项目专项债5500万元已获双通过，拟进入项目初步设计阶段。三是“小更新”基础设施。对景区内的道路、桥梁、栏杆、标识牌等基础设施定期进行检查和维护，确保游客的安全。同时，根据游客的需求和景区的发展，适时更新和完善了部分设施，增设了8张休息石长椅、16个垃圾桶等，提升了游客的游览体验。</w:t>
      </w:r>
    </w:p>
    <w:p>
      <w:pPr>
        <w:widowControl/>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提升游览体验，强化景区管理。一是集中整治“保环境”。针对古民居、爱莲湖、休闲广场等重点区域，开展景区环境集中整治提升行动，组织人员进行拉网式卫生环境清理，新增加了保洁人员和垃圾清运次数，确保景区环境整洁干净。特别是在旅游旺季，加大了对重点区域的清扫力度，为游客营造了一个舒适、优美的环境。二是提升服务“保质量”。今年，管理处组织讲解员培训开展2期，组织保洁人员培训12余次、安保人员培训16余次，全方位大力提高了景区讲解员、保洁、保安等景区工作人员服务意识和服务水平。进一步加强对游客的引导和管理，维护了景区的正常游览秩序。三是加强巡查“保安全”。制定了完善的安全管理制度和应急预案，对古建筑、古民居群等重点场所及消防安全、食品安全、道路交通安全、特种设备等重点行业领域开展常态化风险隐患排查。节假日期间实行24小时在岗值守，解决游客高峰期景区内自来水压力低、电力不稳和手机网络信号差等问题，为游客提供了一个安全放心的游览环境。</w:t>
      </w:r>
    </w:p>
    <w:p>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强化品牌引领，赋能旅游发展。一是“建品牌”扩大影响力。制定《关于扩大周敦颐理学文化思想影响力的工作实施方案》，通过举办一个节庆活动、编排一个情景剧、开办一个濂溪讲坛等“七个一”活动，全面推动周敦颐理学文化思想的传承和传播，打造一个具有国际影响力的理学文化品牌。二是“办活动”扩大传播力。对景区的旅游资源包括自然景观、文化遗产和民俗活动等进行了全面整合，并通过线上线下的多种渠道，加大对景区的宣传力度。1月，玉蟾岩遗址入选第一批省级大遗址名单；5月，全国首个周敦颐廉洁文化展馆开馆，成为打卡“廉洁新地标”，6月，在“文化中国行”活动中宣传景区，提升了景区知名度和美誉度；8月，开展“沿着周敦颐理学思想和足迹游世界”散文征文活动；11月，成功举办“周敦颐遗迹遗址地政协协商协作会议”系列活动，提升了景区的知名度和影响力。三是“推新品”扩大吸引力。与文生旅公司合作开发了一系列具有特色的旅游产品、特色线路和定制化讲解服务。加强旅游产品创新，推出新颖的旅游融合项目。今年5月道县“开展“理学圣地，龙腾潇湘”国家非遗龙船赛活动”，吸引了大量游客在观看龙舟赛的同时了解周敦颐文化思想，提高景区吸引力。四是“搞服务”扩大凝聚力。今年，高质量完成各项政务考察、各单位廉政教育、爱国主义教育、系列党员主题活动、社科、研学考察团队等接待讲解工作，其中接待中纪委、民政部、中国发展出版社、中央美院、红旗杂志、南京市、省委、省人大、省政府、省政协、省纪委、省统战部、湖南大江集团、湖南大学、湖南师范大学、永州市委、市政府、市政协、市纪委、市宣传部等全国各地政务考察与调研。</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保护文化遗产，守护文物安全。一是保护规划“绘蓝图”。编制《濂溪故里古建筑文物保护规划（2023-2035年》；启动了《玉蟾岩遗址保护规划》修编工作；申报《濂溪故里古建筑群防雷项目》；编制《玉蟾岩危岩体加固项目设计方案》。二是文物保护“抓项目”。积极申报濂溪故里古建筑群安防项目，专项保护资金352万元，现已到位资金228万元。玉蟾岩危岩体加固1200万元项目已批，周敦颐廉洁文化展示馆多媒体建设60万元，古建筑群二期修缮11万元等。三是安全整改“强保护”。根据《风景名胜区条例》和《中华人民共和国文物保护法》等法律法律要求，管理处联合有关部门，按照《月岩－周敦颐故里风景名胜区总体规划》要求，积极开展日常监管巡查工作，查处整改影响景区资源的周祖郁、周祖友违章建筑2处，确保了风景名胜区辖区内自然生态资源安全。</w:t>
      </w:r>
    </w:p>
    <w:p>
      <w:pPr>
        <w:widowControl/>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五）聚焦职能职责，提升工作质效。一是强化政治理论学习。坚持“三会一课”制度，严格执行“一月一课一片一实践”活动要求，积极开展党纪学习教育，党的二十届三中全会精神学习，严格落实“第一议题制度”“理论中心组学习制度”。截至目前，管理处理论中心组集中学习了12次，领导班子上了4次党课，召开了12次支部委员会和7次党员大会，12次主题党日活动。二是落实意识形态工作责任制。单位主要负责人为第一责任人，通过“三带头三亲自”落实意识形态工作责任制，班子成员按照“一岗双责”要求，抓好分管科室的意识形态工作，确保上级意识形态工作的决策部署得到贯彻落实。始终坚持正确的政治方向、舆论导向、价值取向，发挥思想引领、舆论推动、精神激励的重要作用。全面提升了干部职工对意识形态工作重要性的认识，强化了意识形态工作责任。三是履行</w:t>
      </w:r>
      <w:r>
        <w:rPr>
          <w:rFonts w:hint="eastAsia" w:ascii="宋体" w:hAnsi="宋体" w:eastAsia="宋体" w:cs="宋体"/>
          <w:b/>
          <w:sz w:val="32"/>
          <w:szCs w:val="32"/>
        </w:rPr>
        <w:t>党风廉政建设责任制</w:t>
      </w:r>
      <w:r>
        <w:rPr>
          <w:rFonts w:hint="eastAsia" w:ascii="宋体" w:hAnsi="宋体" w:eastAsia="宋体" w:cs="宋体"/>
          <w:sz w:val="32"/>
          <w:szCs w:val="32"/>
        </w:rPr>
        <w:t>。准确把握党中央全面从严治党战略部署，结合清廉道州建设，不断加强党风廉政建设，进一步完善单位各项制度。坚持厉行节约的原则，强化中央八项规定及省、市、县委关于纪律要求的有关规定，组织主要领导与分管领导，分管领导与分管科室负责人签订《党风廉政建设责任书》，所有党员签订《廉政承诺书》。四是加强基层工作推动乡村振兴实效。坚持每月到联系的棉竹源村开展巩固脱贫攻坚成果与乡村振兴有效衔接工作，与结对所联系监测户、脱贫户开展帮扶。组织管理处同志按时到所结对的楼田村、月岩村开展帮扶走访，通过开展入走访、开展志愿服务等形式，认真开展乡村振兴工作，解决楼田村旅游发展、月岩村停车等问题。五是抓好创建工作提升文明形象。积极配合县里做好创建国家文明县城、国家</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"http://toutiao.eastday.com/search.html?kw=生态" \h </w:instrText>
      </w:r>
      <w:r>
        <w:rPr>
          <w:rFonts w:hint="eastAsia" w:ascii="宋体" w:hAnsi="宋体" w:eastAsia="宋体" w:cs="宋体"/>
          <w:sz w:val="32"/>
          <w:szCs w:val="32"/>
        </w:rPr>
        <w:fldChar w:fldCharType="separate"/>
      </w:r>
      <w:r>
        <w:rPr>
          <w:rFonts w:hint="eastAsia" w:ascii="宋体" w:hAnsi="宋体" w:eastAsia="宋体" w:cs="宋体"/>
          <w:sz w:val="32"/>
          <w:szCs w:val="32"/>
        </w:rPr>
        <w:t>生态</w:t>
      </w:r>
      <w:r>
        <w:rPr>
          <w:rFonts w:hint="eastAsia" w:ascii="宋体" w:hAnsi="宋体" w:eastAsia="宋体" w:cs="宋体"/>
          <w:sz w:val="32"/>
          <w:szCs w:val="32"/>
        </w:rPr>
        <w:fldChar w:fldCharType="end"/>
      </w:r>
      <w:r>
        <w:rPr>
          <w:rFonts w:hint="eastAsia" w:ascii="宋体" w:hAnsi="宋体" w:eastAsia="宋体" w:cs="宋体"/>
          <w:sz w:val="32"/>
          <w:szCs w:val="32"/>
        </w:rPr>
        <w:t>文明</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"http://toutiao.eastday.com/search.html?kw=建设" \h </w:instrText>
      </w:r>
      <w:r>
        <w:rPr>
          <w:rFonts w:hint="eastAsia" w:ascii="宋体" w:hAnsi="宋体" w:eastAsia="宋体" w:cs="宋体"/>
          <w:sz w:val="32"/>
          <w:szCs w:val="32"/>
        </w:rPr>
        <w:fldChar w:fldCharType="separate"/>
      </w:r>
      <w:r>
        <w:rPr>
          <w:rFonts w:hint="eastAsia" w:ascii="宋体" w:hAnsi="宋体" w:eastAsia="宋体" w:cs="宋体"/>
          <w:sz w:val="32"/>
          <w:szCs w:val="32"/>
        </w:rPr>
        <w:t>建设</w:t>
      </w:r>
      <w:r>
        <w:rPr>
          <w:rFonts w:hint="eastAsia" w:ascii="宋体" w:hAnsi="宋体" w:eastAsia="宋体" w:cs="宋体"/>
          <w:sz w:val="32"/>
          <w:szCs w:val="32"/>
        </w:rPr>
        <w:fldChar w:fldCharType="end"/>
      </w:r>
      <w:r>
        <w:rPr>
          <w:rFonts w:hint="eastAsia" w:ascii="宋体" w:hAnsi="宋体" w:eastAsia="宋体" w:cs="宋体"/>
          <w:sz w:val="32"/>
          <w:szCs w:val="32"/>
        </w:rPr>
        <w:t>示范县工作。组织干部职工参加每周四下午的文明创建日活动，并在景区广泛开展国家安全教育日、文明旅游宣传、生态保护宣传、成年人保护宣传、文明创建志愿活动等，提高干部群众文明创建的意识，弘扬时代新风尚。</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七、存在的问题及原因分析</w:t>
      </w:r>
    </w:p>
    <w:p>
      <w:pPr>
        <w:pStyle w:val="10"/>
        <w:widowControl/>
        <w:spacing w:before="0" w:beforeAutospacing="0" w:after="0" w:afterAutospacing="0" w:line="33" w:lineRule="atLeast"/>
        <w:ind w:firstLine="640" w:firstLineChars="200"/>
        <w:jc w:val="both"/>
        <w:rPr>
          <w:rFonts w:hint="eastAsia" w:ascii="宋体" w:hAnsi="宋体" w:eastAsia="宋体" w:cs="宋体"/>
          <w:kern w:val="2"/>
          <w:sz w:val="32"/>
          <w:szCs w:val="32"/>
        </w:rPr>
      </w:pPr>
      <w:r>
        <w:rPr>
          <w:rFonts w:hint="eastAsia" w:ascii="宋体" w:hAnsi="宋体" w:eastAsia="宋体" w:cs="宋体"/>
          <w:kern w:val="2"/>
          <w:sz w:val="32"/>
          <w:szCs w:val="32"/>
        </w:rPr>
        <w:t>一是专项资金拨付不及时，资金使用与专项工作运行时间不对口，凸显出账目不规范。</w:t>
      </w:r>
    </w:p>
    <w:p>
      <w:pPr>
        <w:pStyle w:val="10"/>
        <w:widowControl/>
        <w:spacing w:before="0" w:beforeAutospacing="0" w:after="0" w:afterAutospacing="0" w:line="33" w:lineRule="atLeast"/>
        <w:ind w:firstLine="640" w:firstLineChars="200"/>
        <w:jc w:val="both"/>
        <w:rPr>
          <w:rFonts w:hint="eastAsia" w:ascii="宋体" w:hAnsi="宋体" w:eastAsia="宋体" w:cs="宋体"/>
          <w:kern w:val="2"/>
          <w:sz w:val="32"/>
          <w:szCs w:val="32"/>
        </w:rPr>
      </w:pPr>
      <w:r>
        <w:rPr>
          <w:rFonts w:hint="eastAsia" w:ascii="宋体" w:hAnsi="宋体" w:eastAsia="宋体" w:cs="宋体"/>
          <w:kern w:val="2"/>
          <w:sz w:val="32"/>
          <w:szCs w:val="32"/>
        </w:rPr>
        <w:t>二是财政预算安排单项工作经费不足，难于足额保障开展专项工作。</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八、下一步改进措施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1、严格按照《会计法》、《行政事业单位会计制度》等规定执行财务核算，结合实际情况，完整、准确披露相关信息，做到决算和预算相结合。</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2、加强资金的使用管理，让各类资金用到实处。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3、加强队伍建设，抓好绩效评价管理部门的队伍建设和业务指导，培养部门的绩效管理队伍，建立绩效评价的长期机制。</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九、绩效自评结果拟应用和公开情况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本年度绩效自评结果为90分。按规定时间内将2024年度专项资金绩效自评报告、整体部门支出绩效自评报告在本部门门户网站公开，并接受社会监督。</w:t>
      </w:r>
    </w:p>
    <w:p>
      <w:pPr>
        <w:pStyle w:val="2"/>
        <w:rPr>
          <w:rFonts w:hint="eastAsia" w:ascii="宋体" w:hAnsi="宋体" w:eastAsia="宋体" w:cs="宋体"/>
          <w:sz w:val="32"/>
          <w:szCs w:val="32"/>
        </w:rPr>
      </w:pPr>
    </w:p>
    <w:p>
      <w:pPr>
        <w:pStyle w:val="3"/>
        <w:rPr>
          <w:rFonts w:hint="eastAsia"/>
        </w:rPr>
      </w:pPr>
    </w:p>
    <w:p>
      <w:pPr>
        <w:ind w:firstLine="640" w:firstLineChars="200"/>
        <w:jc w:val="right"/>
        <w:rPr>
          <w:rFonts w:hint="eastAsia" w:ascii="宋体" w:hAnsi="宋体" w:eastAsia="宋体" w:cs="宋体"/>
          <w:sz w:val="32"/>
          <w:szCs w:val="32"/>
        </w:rPr>
      </w:pPr>
      <w:r>
        <w:rPr>
          <w:rFonts w:hint="eastAsia" w:ascii="宋体" w:hAnsi="宋体" w:eastAsia="宋体" w:cs="宋体"/>
          <w:sz w:val="32"/>
          <w:szCs w:val="32"/>
        </w:rPr>
        <w:t>月岩-周敦颐故里风景名胜区管理处</w:t>
      </w:r>
    </w:p>
    <w:p>
      <w:pPr>
        <w:ind w:firstLine="640" w:firstLineChars="200"/>
        <w:jc w:val="center"/>
        <w:rPr>
          <w:rFonts w:ascii="仿宋" w:hAnsi="仿宋" w:eastAsia="仿宋" w:cs="仿宋"/>
          <w:sz w:val="28"/>
          <w:szCs w:val="28"/>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月6日</w:t>
      </w:r>
    </w:p>
    <w:sectPr>
      <w:pgSz w:w="11906" w:h="16838"/>
      <w:pgMar w:top="1440" w:right="1800" w:bottom="1440" w:left="1800" w:header="0" w:footer="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sanscjksc">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Noto Sans CJK SC">
    <w:altName w:val="ksdb"/>
    <w:panose1 w:val="00000000000000000000"/>
    <w:charset w:val="01"/>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roma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6"/>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53208E"/>
    <w:multiLevelType w:val="multilevel"/>
    <w:tmpl w:val="0053208E"/>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autoHyphenation/>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A056C"/>
    <w:rsid w:val="54A523BC"/>
    <w:rsid w:val="5E3F7D40"/>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spacing w:before="0" w:after="0"/>
      <w:jc w:val="both"/>
    </w:pPr>
    <w:rPr>
      <w:rFonts w:cs="notosanscjksc" w:asciiTheme="minorHAnsi" w:hAnsiTheme="minorHAnsi" w:eastAsiaTheme="minorEastAsia"/>
      <w:color w:val="auto"/>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0" w:after="120"/>
    </w:pPr>
  </w:style>
  <w:style w:type="paragraph" w:styleId="3">
    <w:name w:val="Body Text Indent 2"/>
    <w:basedOn w:val="1"/>
    <w:qFormat/>
    <w:uiPriority w:val="0"/>
    <w:pPr>
      <w:spacing w:before="0" w:after="120" w:line="480" w:lineRule="auto"/>
      <w:ind w:left="420" w:firstLine="0"/>
    </w:pPr>
  </w:style>
  <w:style w:type="paragraph" w:styleId="4">
    <w:name w:val="Normal Indent"/>
    <w:basedOn w:val="1"/>
    <w:qFormat/>
    <w:uiPriority w:val="0"/>
    <w:pPr>
      <w:ind w:firstLine="420"/>
    </w:pPr>
  </w:style>
  <w:style w:type="paragraph" w:styleId="5">
    <w:name w:val="caption"/>
    <w:basedOn w:val="1"/>
    <w:next w:val="1"/>
    <w:qFormat/>
    <w:uiPriority w:val="0"/>
    <w:pPr>
      <w:suppressLineNumbers/>
      <w:spacing w:before="120" w:after="120"/>
    </w:pPr>
    <w:rPr>
      <w:i/>
      <w:iCs/>
      <w:sz w:val="24"/>
      <w:szCs w:val="24"/>
    </w:rPr>
  </w:style>
  <w:style w:type="paragraph" w:styleId="6">
    <w:name w:val="Balloon Text"/>
    <w:basedOn w:val="1"/>
    <w:qFormat/>
    <w:uiPriority w:val="0"/>
    <w:rPr>
      <w:sz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000000" w:sz="6" w:space="1"/>
      </w:pBdr>
      <w:tabs>
        <w:tab w:val="center" w:pos="4153"/>
        <w:tab w:val="right" w:pos="8306"/>
      </w:tabs>
      <w:snapToGrid w:val="0"/>
      <w:jc w:val="center"/>
    </w:pPr>
    <w:rPr>
      <w:sz w:val="18"/>
      <w:szCs w:val="18"/>
    </w:rPr>
  </w:style>
  <w:style w:type="paragraph" w:styleId="9">
    <w:name w:val="List"/>
    <w:basedOn w:val="2"/>
    <w:qFormat/>
    <w:uiPriority w:val="0"/>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Internet 链接"/>
    <w:basedOn w:val="12"/>
    <w:qFormat/>
    <w:uiPriority w:val="0"/>
    <w:rPr>
      <w:color w:val="0000FF"/>
      <w:u w:val="single"/>
    </w:rPr>
  </w:style>
  <w:style w:type="character" w:customStyle="1" w:styleId="15">
    <w:name w:val="页眉 Char"/>
    <w:basedOn w:val="12"/>
    <w:link w:val="8"/>
    <w:qFormat/>
    <w:uiPriority w:val="0"/>
    <w:rPr>
      <w:rFonts w:cs="notosanscjksc" w:asciiTheme="minorHAnsi" w:hAnsiTheme="minorHAnsi" w:eastAsiaTheme="minorEastAsia"/>
      <w:kern w:val="2"/>
      <w:sz w:val="18"/>
      <w:szCs w:val="18"/>
    </w:rPr>
  </w:style>
  <w:style w:type="character" w:customStyle="1" w:styleId="16">
    <w:name w:val="页脚 Char"/>
    <w:basedOn w:val="12"/>
    <w:link w:val="7"/>
    <w:qFormat/>
    <w:uiPriority w:val="0"/>
    <w:rPr>
      <w:rFonts w:cs="notosanscjksc" w:asciiTheme="minorHAnsi" w:hAnsiTheme="minorHAnsi" w:eastAsiaTheme="minorEastAsia"/>
      <w:kern w:val="2"/>
      <w:sz w:val="18"/>
      <w:szCs w:val="18"/>
    </w:rPr>
  </w:style>
  <w:style w:type="character" w:customStyle="1" w:styleId="17">
    <w:name w:val="style401"/>
    <w:basedOn w:val="12"/>
    <w:qFormat/>
    <w:uiPriority w:val="0"/>
    <w:rPr>
      <w:rFonts w:ascii="Calibri" w:hAnsi="Calibri" w:eastAsia="宋体" w:cs="Arial"/>
      <w:sz w:val="20"/>
      <w:szCs w:val="20"/>
    </w:rPr>
  </w:style>
  <w:style w:type="paragraph" w:customStyle="1" w:styleId="18">
    <w:name w:val="标题样式"/>
    <w:basedOn w:val="1"/>
    <w:next w:val="2"/>
    <w:qFormat/>
    <w:uiPriority w:val="0"/>
    <w:pPr>
      <w:keepNext/>
      <w:spacing w:before="240" w:after="120"/>
    </w:pPr>
    <w:rPr>
      <w:rFonts w:ascii="Noto Sans CJK SC" w:hAnsi="Noto Sans CJK SC" w:eastAsia="Noto Sans CJK SC" w:cs="Noto Sans CJK SC"/>
      <w:sz w:val="28"/>
      <w:szCs w:val="28"/>
    </w:rPr>
  </w:style>
  <w:style w:type="paragraph" w:customStyle="1" w:styleId="19">
    <w:name w:val="索引"/>
    <w:basedOn w:val="1"/>
    <w:qFormat/>
    <w:uiPriority w:val="0"/>
    <w:pPr>
      <w:suppressLineNumbers/>
    </w:pPr>
    <w:rPr>
      <w:lang w:val="zh-CN" w:eastAsia="zh-CN" w:bidi="zh-CN"/>
    </w:rPr>
  </w:style>
  <w:style w:type="paragraph" w:customStyle="1" w:styleId="20">
    <w:name w:val="页眉与页脚"/>
    <w:basedOn w:val="1"/>
    <w:qFormat/>
    <w:uiPriority w:val="0"/>
  </w:style>
  <w:style w:type="paragraph" w:styleId="21">
    <w:name w:val="List Paragraph"/>
    <w:basedOn w:val="1"/>
    <w:unhideWhenUsed/>
    <w:qFormat/>
    <w:uiPriority w:val="99"/>
    <w:pPr>
      <w:ind w:firstLine="420"/>
    </w:pPr>
  </w:style>
  <w:style w:type="paragraph" w:customStyle="1" w:styleId="22">
    <w:name w:val="列出段落1"/>
    <w:qFormat/>
    <w:uiPriority w:val="0"/>
    <w:pPr>
      <w:widowControl w:val="0"/>
      <w:suppressAutoHyphens/>
      <w:bidi w:val="0"/>
      <w:spacing w:before="0" w:after="0"/>
      <w:ind w:firstLine="420"/>
      <w:jc w:val="both"/>
    </w:pPr>
    <w:rPr>
      <w:rFonts w:ascii="Times New Roman" w:hAnsi="Times New Roman" w:eastAsia="宋体" w:cs="黑体"/>
      <w:color w:val="auto"/>
      <w:kern w:val="2"/>
      <w:sz w:val="21"/>
      <w:szCs w:val="24"/>
      <w:lang w:val="en-US" w:eastAsia="zh-CN" w:bidi="ar-SA"/>
    </w:rPr>
  </w:style>
  <w:style w:type="paragraph" w:customStyle="1" w:styleId="23">
    <w:name w:val="p0"/>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4183</Words>
  <Characters>4373</Characters>
  <Paragraphs>44</Paragraphs>
  <TotalTime>59</TotalTime>
  <ScaleCrop>false</ScaleCrop>
  <LinksUpToDate>false</LinksUpToDate>
  <CharactersWithSpaces>4404</CharactersWithSpaces>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2025-06-14T02:50:00Z</dcterms:created>
  <dc:creator>WPS_1483577055</dc:creator>
  <cp:lastModifiedBy>MR</cp:lastModifiedBy>
  <dcterms:modified xsi:type="dcterms:W3CDTF">2025-08-22T07:52:17Z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F119EE33BA364410A60F8032AC9AA72A</vt:lpwstr>
  </property>
  <property fmtid="{D5CDD505-2E9C-101B-9397-08002B2CF9AE}" pid="3" name="KSOProductBuildVer">
    <vt:lpwstr>2052-11.8.2.10972</vt:lpwstr>
  </property>
</Properties>
</file>