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道县信访局</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道县信访局</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道县信访局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根据道办[2010]36号文件规定，本单位主要工作职责是：用群众工作统揽信访调纠工作的长效机制，构建“一站式接待、一条龙办理、一揽子解决”的工作模式。实现信息联通、工作联手、措施联动，提高处理问题、化解矛盾的效率和做好群众工作的水平，确保各类信访问题和矛盾纠纷隐患化解在基层、消除在萌芽状态，有效预防和化解群体性事件和非正常上访，维护社会和谐稳定。 </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default"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本单位有驻京办、驻长办两个二下级预算单位，下设办公室（内设信访导访室、复查复核室、信访办理室等三个室）、应急处突室、接访调处一室（涉法涉诉）、接访调处二室（企业改制、交通和劳动社会保障等）、接访调处三室（国土、规划、城管）、接访调处四室（农业、农村工作）、接访调处五室（文化、教育、卫生、计生）、接访调处六室（军队退役人员、民政工作）、接访调处七室（三大权属调纠）、督办追责室等10个职能股室。现有工作人员</w:t>
      </w:r>
      <w:r>
        <w:rPr>
          <w:rFonts w:hint="eastAsia" w:ascii="Times New Roman" w:hAnsi="Times New Roman" w:eastAsia="仿宋_GB2312" w:cs="仿宋_GB2312"/>
          <w:bCs/>
          <w:kern w:val="0"/>
          <w:sz w:val="32"/>
          <w:szCs w:val="32"/>
          <w:lang w:val="en-US" w:eastAsia="zh-CN"/>
        </w:rPr>
        <w:t>40</w:t>
      </w:r>
      <w:r>
        <w:rPr>
          <w:rFonts w:hint="eastAsia" w:ascii="Times New Roman" w:hAnsi="Times New Roman" w:eastAsia="仿宋_GB2312" w:cs="仿宋_GB2312"/>
          <w:bCs/>
          <w:kern w:val="0"/>
          <w:sz w:val="32"/>
          <w:szCs w:val="32"/>
        </w:rPr>
        <w:t>人。车辆共</w:t>
      </w:r>
      <w:r>
        <w:rPr>
          <w:rFonts w:hint="eastAsia" w:ascii="Times New Roman" w:hAnsi="Times New Roman" w:eastAsia="仿宋_GB2312" w:cs="仿宋_GB2312"/>
          <w:bCs/>
          <w:kern w:val="0"/>
          <w:sz w:val="32"/>
          <w:szCs w:val="32"/>
          <w:lang w:val="en-US" w:eastAsia="zh-CN"/>
        </w:rPr>
        <w:t>1</w:t>
      </w:r>
      <w:r>
        <w:rPr>
          <w:rFonts w:hint="eastAsia" w:ascii="Times New Roman" w:hAnsi="Times New Roman" w:eastAsia="仿宋_GB2312" w:cs="仿宋_GB2312"/>
          <w:bCs/>
          <w:kern w:val="0"/>
          <w:sz w:val="32"/>
          <w:szCs w:val="32"/>
        </w:rPr>
        <w:t>辆。</w:t>
      </w:r>
    </w:p>
    <w:p>
      <w:pPr>
        <w:widowControl/>
        <w:spacing w:line="600" w:lineRule="exact"/>
        <w:ind w:firstLine="640" w:firstLineChars="200"/>
        <w:rPr>
          <w:rFonts w:hint="default"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县委群工部</w:t>
      </w:r>
      <w:r>
        <w:rPr>
          <w:rFonts w:hint="default"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年部门决算汇总公开单位构成包括：县委群工部本级以及驻京办、驻长办。</w:t>
      </w:r>
    </w:p>
    <w:p>
      <w:pPr>
        <w:widowControl/>
        <w:spacing w:line="600" w:lineRule="exact"/>
        <w:rPr>
          <w:rFonts w:hint="eastAsia" w:ascii="Times New Roman" w:hAnsi="Times New Roman" w:eastAsia="仿宋_GB2312" w:cs="仿宋_GB2312"/>
          <w:bCs/>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2"/>
        <w:jc w:val="both"/>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both"/>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98"/>
        <w:gridCol w:w="1246"/>
        <w:gridCol w:w="1459"/>
        <w:gridCol w:w="1691"/>
        <w:gridCol w:w="1691"/>
        <w:gridCol w:w="1827"/>
        <w:gridCol w:w="1059"/>
        <w:gridCol w:w="1801"/>
        <w:gridCol w:w="1801"/>
        <w:gridCol w:w="2555"/>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2"/>
              <w:gridCol w:w="592"/>
              <w:gridCol w:w="2473"/>
              <w:gridCol w:w="3789"/>
              <w:gridCol w:w="1537"/>
              <w:gridCol w:w="44"/>
              <w:gridCol w:w="2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32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2"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47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378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58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641" w:type="dxa"/>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32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9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7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78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4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32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部门：道县信访局</w:t>
                  </w:r>
                </w:p>
              </w:tc>
              <w:tc>
                <w:tcPr>
                  <w:tcW w:w="59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7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78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4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3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01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734.17</w:t>
                  </w:r>
                </w:p>
              </w:tc>
              <w:tc>
                <w:tcPr>
                  <w:tcW w:w="3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tbl>
                  <w:tblPr>
                    <w:tblStyle w:val="8"/>
                    <w:tblW w:w="1444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445" w:type="dxa"/>
                        <w:tcBorders>
                          <w:top w:val="single" w:color="D4D4D4"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注：1.本表依据《收入支出决算总表》（财决01表）进行批复。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4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4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3.本套报表金额单位转换时可能存在尾数误差。</w:t>
                        </w:r>
                      </w:p>
                    </w:tc>
                  </w:tr>
                </w:tbl>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354" w:hRule="atLeast"/>
        </w:trPr>
        <w:tc>
          <w:tcPr>
            <w:tcW w:w="2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2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5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000000"/>
                <w:sz w:val="20"/>
                <w:szCs w:val="20"/>
                <w:lang w:eastAsia="zh-CN"/>
              </w:rPr>
            </w:pPr>
            <w:r>
              <w:rPr>
                <w:rFonts w:hint="eastAsia"/>
                <w:color w:val="000000"/>
                <w:sz w:val="20"/>
                <w:szCs w:val="20"/>
              </w:rPr>
              <w:t>部门：</w:t>
            </w:r>
            <w:r>
              <w:rPr>
                <w:rFonts w:hint="eastAsia"/>
                <w:color w:val="000000"/>
                <w:sz w:val="20"/>
                <w:szCs w:val="20"/>
                <w:lang w:eastAsia="zh-CN"/>
              </w:rPr>
              <w:t>道县信访局</w:t>
            </w:r>
          </w:p>
        </w:tc>
        <w:tc>
          <w:tcPr>
            <w:tcW w:w="14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2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0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00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0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54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54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00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0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00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734.17</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734.17</w:t>
            </w:r>
          </w:p>
        </w:tc>
        <w:tc>
          <w:tcPr>
            <w:tcW w:w="1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2014001</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26.00</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26.00</w:t>
            </w:r>
          </w:p>
        </w:tc>
        <w:tc>
          <w:tcPr>
            <w:tcW w:w="1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0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2014004</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信访业务</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16.00</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16.00</w:t>
            </w:r>
          </w:p>
        </w:tc>
        <w:tc>
          <w:tcPr>
            <w:tcW w:w="1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0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2014099</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其他信访事务支出</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463.90</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463.90</w:t>
            </w:r>
          </w:p>
        </w:tc>
        <w:tc>
          <w:tcPr>
            <w:tcW w:w="1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0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2049999</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其他公共安全支出</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210.81</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210.81</w:t>
            </w:r>
          </w:p>
        </w:tc>
        <w:tc>
          <w:tcPr>
            <w:tcW w:w="1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0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17.46</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17.46</w:t>
            </w:r>
          </w:p>
        </w:tc>
        <w:tc>
          <w:tcPr>
            <w:tcW w:w="1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0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8"/>
              <w:tblW w:w="1530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05" w:type="dxa"/>
                  <w:tcBorders>
                    <w:top w:val="single" w:color="D4D4D4"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注：1.本表依据《收入决算表》（财决03表）进行批复。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0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2.本表含一般公共预算财政拨款、政府性基金预算财政拨款和国有资本经营预算财政拨款。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0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0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4.本表以“万元”为金额单位（保留两位小数）。</w:t>
                  </w:r>
                </w:p>
              </w:tc>
            </w:tr>
          </w:tbl>
          <w:p>
            <w:pPr>
              <w:rPr>
                <w:rFonts w:ascii="宋体" w:hAnsi="宋体" w:eastAsia="宋体" w:cs="宋体"/>
                <w:sz w:val="24"/>
                <w:szCs w:val="24"/>
              </w:rPr>
            </w:pP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8523" w:type="dxa"/>
        <w:tblInd w:w="93" w:type="dxa"/>
        <w:tblLayout w:type="fixed"/>
        <w:tblCellMar>
          <w:top w:w="0" w:type="dxa"/>
          <w:left w:w="108" w:type="dxa"/>
          <w:bottom w:w="0" w:type="dxa"/>
          <w:right w:w="108" w:type="dxa"/>
        </w:tblCellMar>
      </w:tblPr>
      <w:tblGrid>
        <w:gridCol w:w="1551"/>
        <w:gridCol w:w="330"/>
        <w:gridCol w:w="1859"/>
        <w:gridCol w:w="2450"/>
        <w:gridCol w:w="1763"/>
        <w:gridCol w:w="1855"/>
        <w:gridCol w:w="300"/>
        <w:gridCol w:w="1377"/>
        <w:gridCol w:w="1774"/>
        <w:gridCol w:w="2337"/>
        <w:gridCol w:w="2927"/>
      </w:tblGrid>
      <w:tr>
        <w:tblPrEx>
          <w:tblCellMar>
            <w:top w:w="0" w:type="dxa"/>
            <w:left w:w="108" w:type="dxa"/>
            <w:bottom w:w="0" w:type="dxa"/>
            <w:right w:w="108" w:type="dxa"/>
          </w:tblCellMar>
        </w:tblPrEx>
        <w:trPr>
          <w:trHeight w:val="807" w:hRule="atLeast"/>
        </w:trPr>
        <w:tc>
          <w:tcPr>
            <w:tcW w:w="18523"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2927" w:type="dxa"/>
          <w:trHeight w:val="403" w:hRule="atLeast"/>
        </w:trPr>
        <w:tc>
          <w:tcPr>
            <w:tcW w:w="155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5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2927" w:type="dxa"/>
          <w:trHeight w:val="403" w:hRule="atLeast"/>
        </w:trPr>
        <w:tc>
          <w:tcPr>
            <w:tcW w:w="1551"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16"/>
                <w:szCs w:val="16"/>
              </w:rPr>
              <w:t>部门：</w:t>
            </w:r>
            <w:r>
              <w:rPr>
                <w:rFonts w:hint="eastAsia" w:ascii="宋体" w:hAnsi="宋体" w:eastAsia="宋体" w:cs="宋体"/>
                <w:color w:val="000000"/>
                <w:kern w:val="0"/>
                <w:sz w:val="16"/>
                <w:szCs w:val="16"/>
                <w:lang w:eastAsia="zh-CN"/>
              </w:rPr>
              <w:t>道县信访局</w:t>
            </w:r>
          </w:p>
        </w:tc>
        <w:tc>
          <w:tcPr>
            <w:tcW w:w="3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nil"/>
              <w:right w:val="nil"/>
            </w:tcBorders>
            <w:shd w:val="clear" w:color="000000" w:fill="FFFFFF"/>
            <w:noWrap/>
            <w:vAlign w:val="center"/>
          </w:tcPr>
          <w:p>
            <w:pPr>
              <w:widowControl/>
              <w:tabs>
                <w:tab w:val="left" w:pos="3990"/>
              </w:tabs>
              <w:ind w:right="483" w:rightChars="23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2927" w:type="dxa"/>
          <w:trHeight w:val="595" w:hRule="atLeast"/>
        </w:trPr>
        <w:tc>
          <w:tcPr>
            <w:tcW w:w="374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4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6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2927" w:type="dxa"/>
          <w:trHeight w:val="595" w:hRule="atLeast"/>
        </w:trPr>
        <w:tc>
          <w:tcPr>
            <w:tcW w:w="188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2927" w:type="dxa"/>
          <w:trHeight w:val="595" w:hRule="atLeast"/>
        </w:trPr>
        <w:tc>
          <w:tcPr>
            <w:tcW w:w="18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2927" w:type="dxa"/>
          <w:trHeight w:val="595" w:hRule="atLeast"/>
        </w:trPr>
        <w:tc>
          <w:tcPr>
            <w:tcW w:w="37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4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6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5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7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3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2927" w:type="dxa"/>
          <w:trHeight w:val="595" w:hRule="atLeast"/>
        </w:trPr>
        <w:tc>
          <w:tcPr>
            <w:tcW w:w="37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734.17</w:t>
            </w:r>
          </w:p>
        </w:tc>
        <w:tc>
          <w:tcPr>
            <w:tcW w:w="17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254.26</w:t>
            </w:r>
          </w:p>
        </w:tc>
        <w:tc>
          <w:tcPr>
            <w:tcW w:w="18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479.91</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927" w:type="dxa"/>
          <w:trHeight w:val="595" w:hRule="atLeast"/>
        </w:trPr>
        <w:tc>
          <w:tcPr>
            <w:tcW w:w="188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2014001</w:t>
            </w:r>
          </w:p>
        </w:tc>
        <w:tc>
          <w:tcPr>
            <w:tcW w:w="185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17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26.00</w:t>
            </w:r>
          </w:p>
        </w:tc>
        <w:tc>
          <w:tcPr>
            <w:tcW w:w="185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927" w:type="dxa"/>
          <w:trHeight w:val="595" w:hRule="atLeast"/>
        </w:trPr>
        <w:tc>
          <w:tcPr>
            <w:tcW w:w="188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2014004</w:t>
            </w:r>
          </w:p>
        </w:tc>
        <w:tc>
          <w:tcPr>
            <w:tcW w:w="185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信访业务</w:t>
            </w:r>
          </w:p>
        </w:tc>
        <w:tc>
          <w:tcPr>
            <w:tcW w:w="2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76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8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16.00</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927" w:type="dxa"/>
          <w:trHeight w:val="595" w:hRule="atLeast"/>
        </w:trPr>
        <w:tc>
          <w:tcPr>
            <w:tcW w:w="188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2014099</w:t>
            </w:r>
          </w:p>
        </w:tc>
        <w:tc>
          <w:tcPr>
            <w:tcW w:w="185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其他信访事务支出</w:t>
            </w:r>
          </w:p>
        </w:tc>
        <w:tc>
          <w:tcPr>
            <w:tcW w:w="2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463.90</w:t>
            </w:r>
          </w:p>
        </w:tc>
        <w:tc>
          <w:tcPr>
            <w:tcW w:w="176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8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463.90</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927" w:type="dxa"/>
          <w:trHeight w:val="595" w:hRule="atLeast"/>
        </w:trPr>
        <w:tc>
          <w:tcPr>
            <w:tcW w:w="188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2049999</w:t>
            </w:r>
          </w:p>
        </w:tc>
        <w:tc>
          <w:tcPr>
            <w:tcW w:w="185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其他公共安全支出</w:t>
            </w:r>
          </w:p>
        </w:tc>
        <w:tc>
          <w:tcPr>
            <w:tcW w:w="2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210.81</w:t>
            </w:r>
          </w:p>
        </w:tc>
        <w:tc>
          <w:tcPr>
            <w:tcW w:w="17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210.81</w:t>
            </w:r>
          </w:p>
        </w:tc>
        <w:tc>
          <w:tcPr>
            <w:tcW w:w="185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927" w:type="dxa"/>
          <w:trHeight w:val="595" w:hRule="atLeast"/>
        </w:trPr>
        <w:tc>
          <w:tcPr>
            <w:tcW w:w="188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85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2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17.46</w:t>
            </w:r>
          </w:p>
        </w:tc>
        <w:tc>
          <w:tcPr>
            <w:tcW w:w="17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17.46</w:t>
            </w:r>
          </w:p>
        </w:tc>
        <w:tc>
          <w:tcPr>
            <w:tcW w:w="185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927" w:type="dxa"/>
          <w:trHeight w:val="595" w:hRule="atLeast"/>
        </w:trPr>
        <w:tc>
          <w:tcPr>
            <w:tcW w:w="188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5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4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8523" w:type="dxa"/>
            <w:gridSpan w:val="11"/>
            <w:tcBorders>
              <w:top w:val="nil"/>
              <w:left w:val="nil"/>
              <w:bottom w:val="nil"/>
              <w:right w:val="nil"/>
            </w:tcBorders>
            <w:shd w:val="clear" w:color="auto" w:fill="auto"/>
            <w:vAlign w:val="center"/>
          </w:tcPr>
          <w:tbl>
            <w:tblPr>
              <w:tblStyle w:val="8"/>
              <w:tblW w:w="1932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320" w:type="dxa"/>
                  <w:tcBorders>
                    <w:top w:val="single" w:color="D4D4D4"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注：1.本表依据《支出决算表》（财决04表）进行批复。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2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2.本表含一般公共预算财政拨款、政府性基金预算财政拨款和国有资本经营预算财政拨款。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2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2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4.本表以“万元”为金额单位（保留两位小数）。</w:t>
                  </w:r>
                </w:p>
              </w:tc>
            </w:tr>
          </w:tbl>
          <w:p>
            <w:pPr>
              <w:widowControl/>
              <w:jc w:val="left"/>
              <w:rPr>
                <w:rFonts w:ascii="宋体" w:hAnsi="宋体" w:eastAsia="宋体" w:cs="宋体"/>
                <w:kern w:val="0"/>
                <w:sz w:val="24"/>
                <w:szCs w:val="24"/>
              </w:rPr>
            </w:pPr>
          </w:p>
        </w:tc>
      </w:tr>
    </w:tbl>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452"/>
        <w:gridCol w:w="427"/>
        <w:gridCol w:w="1480"/>
        <w:gridCol w:w="3454"/>
        <w:gridCol w:w="428"/>
        <w:gridCol w:w="426"/>
        <w:gridCol w:w="102"/>
        <w:gridCol w:w="1413"/>
        <w:gridCol w:w="179"/>
        <w:gridCol w:w="1301"/>
        <w:gridCol w:w="179"/>
        <w:gridCol w:w="1165"/>
        <w:gridCol w:w="112"/>
        <w:gridCol w:w="1403"/>
      </w:tblGrid>
      <w:tr>
        <w:tblPrEx>
          <w:tblCellMar>
            <w:top w:w="0" w:type="dxa"/>
            <w:left w:w="108" w:type="dxa"/>
            <w:bottom w:w="0" w:type="dxa"/>
            <w:right w:w="108" w:type="dxa"/>
          </w:tblCellMar>
        </w:tblPrEx>
        <w:trPr>
          <w:trHeight w:val="360" w:hRule="atLeast"/>
        </w:trPr>
        <w:tc>
          <w:tcPr>
            <w:tcW w:w="15521" w:type="dxa"/>
            <w:gridSpan w:val="1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28"/>
                <w:szCs w:val="28"/>
              </w:rPr>
            </w:pPr>
            <w:bookmarkStart w:id="0" w:name="RANGE!A1:I22"/>
            <w:bookmarkEnd w:id="0"/>
            <w:bookmarkStart w:id="1" w:name="RANGE!A1:F16"/>
            <w:r>
              <w:rPr>
                <w:rFonts w:hint="eastAsia" w:ascii="华文中宋" w:hAnsi="华文中宋" w:eastAsia="华文中宋" w:cs="宋体"/>
                <w:color w:val="000000"/>
                <w:kern w:val="0"/>
                <w:sz w:val="28"/>
                <w:szCs w:val="28"/>
              </w:rPr>
              <w:t>财政拨款收入支出决算总表</w:t>
            </w:r>
          </w:p>
        </w:tc>
      </w:tr>
      <w:tr>
        <w:tblPrEx>
          <w:tblCellMar>
            <w:top w:w="0" w:type="dxa"/>
            <w:left w:w="108" w:type="dxa"/>
            <w:bottom w:w="0" w:type="dxa"/>
            <w:right w:w="108" w:type="dxa"/>
          </w:tblCellMar>
        </w:tblPrEx>
        <w:trPr>
          <w:trHeight w:val="300" w:hRule="atLeast"/>
        </w:trPr>
        <w:tc>
          <w:tcPr>
            <w:tcW w:w="3452"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部门：</w:t>
            </w:r>
            <w:r>
              <w:rPr>
                <w:rFonts w:hint="eastAsia" w:ascii="宋体" w:hAnsi="宋体" w:eastAsia="宋体" w:cs="宋体"/>
                <w:color w:val="000000"/>
                <w:kern w:val="0"/>
                <w:sz w:val="18"/>
                <w:szCs w:val="18"/>
                <w:lang w:eastAsia="zh-CN"/>
              </w:rPr>
              <w:t>道县信访局</w:t>
            </w:r>
          </w:p>
        </w:tc>
        <w:tc>
          <w:tcPr>
            <w:tcW w:w="42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88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2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单位：万元</w:t>
            </w:r>
          </w:p>
        </w:tc>
      </w:tr>
      <w:tr>
        <w:tblPrEx>
          <w:tblCellMar>
            <w:top w:w="0" w:type="dxa"/>
            <w:left w:w="108" w:type="dxa"/>
            <w:bottom w:w="0" w:type="dxa"/>
            <w:right w:w="108" w:type="dxa"/>
          </w:tblCellMar>
        </w:tblPrEx>
        <w:trPr>
          <w:trHeight w:val="402" w:hRule="atLeast"/>
        </w:trPr>
        <w:tc>
          <w:tcPr>
            <w:tcW w:w="535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收入</w:t>
            </w:r>
          </w:p>
        </w:tc>
        <w:tc>
          <w:tcPr>
            <w:tcW w:w="10162" w:type="dxa"/>
            <w:gridSpan w:val="11"/>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支出</w:t>
            </w:r>
          </w:p>
        </w:tc>
      </w:tr>
      <w:tr>
        <w:tblPrEx>
          <w:tblCellMar>
            <w:top w:w="0" w:type="dxa"/>
            <w:left w:w="108" w:type="dxa"/>
            <w:bottom w:w="0" w:type="dxa"/>
            <w:right w:w="108" w:type="dxa"/>
          </w:tblCellMar>
        </w:tblPrEx>
        <w:trPr>
          <w:trHeight w:val="630"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    目</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行次</w:t>
            </w:r>
          </w:p>
        </w:tc>
        <w:tc>
          <w:tcPr>
            <w:tcW w:w="1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w:t>
            </w:r>
          </w:p>
        </w:tc>
        <w:tc>
          <w:tcPr>
            <w:tcW w:w="34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    目</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行次</w:t>
            </w:r>
          </w:p>
        </w:tc>
        <w:tc>
          <w:tcPr>
            <w:tcW w:w="15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14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一般公共预算财政拨款</w:t>
            </w:r>
          </w:p>
        </w:tc>
        <w:tc>
          <w:tcPr>
            <w:tcW w:w="12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政府性基金预算财政拨款</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国有资本经营预算财政拨款</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    次</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34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    次</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5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4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一、一般公共预算财政拨款</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一、一般公共服务支出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159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505.9</w:t>
            </w:r>
          </w:p>
        </w:tc>
        <w:tc>
          <w:tcPr>
            <w:tcW w:w="148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505.9</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二、政府性基金预算财政拨款</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二、外交支出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159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48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三、国有资本经营预算财政拨款</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三、国防支出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159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48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四、公共安全支出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159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210.81</w:t>
            </w:r>
          </w:p>
        </w:tc>
        <w:tc>
          <w:tcPr>
            <w:tcW w:w="148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210.81</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五、教育支出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19</w:t>
            </w:r>
          </w:p>
        </w:tc>
        <w:tc>
          <w:tcPr>
            <w:tcW w:w="159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48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六、科学技术支出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159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48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szCs w:val="22"/>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21</w:t>
            </w:r>
          </w:p>
        </w:tc>
        <w:tc>
          <w:tcPr>
            <w:tcW w:w="159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48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16"/>
              </w:rPr>
            </w:pP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34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159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17.46</w:t>
            </w:r>
          </w:p>
        </w:tc>
        <w:tc>
          <w:tcPr>
            <w:tcW w:w="148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17.46</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本年收入合计</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1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34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本年支出合计</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59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148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年初财政拨款结转和结余</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年末财政拨款结转和结余</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5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一般公共预算财政拨款</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政府性基金预算财政拨款</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12</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5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国有资本经营预算财政拨款</w:t>
            </w:r>
          </w:p>
        </w:tc>
        <w:tc>
          <w:tcPr>
            <w:tcW w:w="4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13</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9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5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45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总计</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1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34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总计</w:t>
            </w:r>
          </w:p>
        </w:tc>
        <w:tc>
          <w:tcPr>
            <w:tcW w:w="956"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592"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148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734.17</w:t>
            </w:r>
          </w:p>
        </w:tc>
        <w:tc>
          <w:tcPr>
            <w:tcW w:w="12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85" w:hRule="atLeast"/>
        </w:trPr>
        <w:tc>
          <w:tcPr>
            <w:tcW w:w="15521" w:type="dxa"/>
            <w:gridSpan w:val="14"/>
            <w:tcBorders>
              <w:top w:val="nil"/>
              <w:left w:val="nil"/>
              <w:bottom w:val="nil"/>
              <w:right w:val="nil"/>
            </w:tcBorders>
            <w:shd w:val="clear" w:color="auto" w:fill="auto"/>
            <w:vAlign w:val="center"/>
          </w:tcPr>
          <w:tbl>
            <w:tblPr>
              <w:tblStyle w:val="8"/>
              <w:tblW w:w="1521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212" w:type="dxa"/>
                  <w:tcBorders>
                    <w:top w:val="single" w:color="D4D4D4"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注：1.本表依据《财政拨款收入支出决算总表》（财决01-1表）进行批复。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1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2.本表以“万元”为金额单位（保留两位小数）。</w:t>
                  </w:r>
                </w:p>
              </w:tc>
            </w:tr>
          </w:tbl>
          <w:p>
            <w:pPr>
              <w:widowControl/>
              <w:jc w:val="left"/>
              <w:rPr>
                <w:rFonts w:ascii="宋体" w:hAnsi="宋体" w:eastAsia="宋体" w:cs="宋体"/>
                <w:kern w:val="0"/>
                <w:sz w:val="22"/>
                <w:szCs w:val="22"/>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16"/>
          <w:szCs w:val="16"/>
          <w:lang w:eastAsia="zh-CN"/>
        </w:rPr>
        <w:t>道县信访局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5614" w:type="dxa"/>
        <w:jc w:val="center"/>
        <w:tblLayout w:type="fixed"/>
        <w:tblCellMar>
          <w:top w:w="0" w:type="dxa"/>
          <w:left w:w="108" w:type="dxa"/>
          <w:bottom w:w="0" w:type="dxa"/>
          <w:right w:w="108" w:type="dxa"/>
        </w:tblCellMar>
      </w:tblPr>
      <w:tblGrid>
        <w:gridCol w:w="2183"/>
        <w:gridCol w:w="2175"/>
        <w:gridCol w:w="3694"/>
        <w:gridCol w:w="3869"/>
        <w:gridCol w:w="3693"/>
      </w:tblGrid>
      <w:tr>
        <w:tblPrEx>
          <w:tblCellMar>
            <w:top w:w="0" w:type="dxa"/>
            <w:left w:w="108" w:type="dxa"/>
            <w:bottom w:w="0" w:type="dxa"/>
            <w:right w:w="108" w:type="dxa"/>
          </w:tblCellMar>
        </w:tblPrEx>
        <w:trPr>
          <w:trHeight w:val="405" w:hRule="atLeast"/>
          <w:jc w:val="center"/>
        </w:trPr>
        <w:tc>
          <w:tcPr>
            <w:tcW w:w="435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125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218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1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6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86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693"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2183"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7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93"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183"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7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93"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3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6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8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693"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3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6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734.17</w:t>
            </w:r>
          </w:p>
        </w:tc>
        <w:tc>
          <w:tcPr>
            <w:tcW w:w="38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254.26</w:t>
            </w:r>
          </w:p>
        </w:tc>
        <w:tc>
          <w:tcPr>
            <w:tcW w:w="369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479.91</w:t>
            </w:r>
          </w:p>
        </w:tc>
      </w:tr>
      <w:tr>
        <w:tblPrEx>
          <w:tblCellMar>
            <w:top w:w="0" w:type="dxa"/>
            <w:left w:w="108" w:type="dxa"/>
            <w:bottom w:w="0" w:type="dxa"/>
            <w:right w:w="108" w:type="dxa"/>
          </w:tblCellMar>
        </w:tblPrEx>
        <w:trPr>
          <w:trHeight w:val="450" w:hRule="atLeast"/>
          <w:jc w:val="center"/>
        </w:trPr>
        <w:tc>
          <w:tcPr>
            <w:tcW w:w="218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2014001</w:t>
            </w:r>
          </w:p>
        </w:tc>
        <w:tc>
          <w:tcPr>
            <w:tcW w:w="21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6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8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693"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18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2014004</w:t>
            </w:r>
          </w:p>
        </w:tc>
        <w:tc>
          <w:tcPr>
            <w:tcW w:w="21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信访业务</w:t>
            </w:r>
          </w:p>
        </w:tc>
        <w:tc>
          <w:tcPr>
            <w:tcW w:w="36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386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69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r>
      <w:tr>
        <w:tblPrEx>
          <w:tblCellMar>
            <w:top w:w="0" w:type="dxa"/>
            <w:left w:w="108" w:type="dxa"/>
            <w:bottom w:w="0" w:type="dxa"/>
            <w:right w:w="108" w:type="dxa"/>
          </w:tblCellMar>
        </w:tblPrEx>
        <w:trPr>
          <w:trHeight w:val="450" w:hRule="atLeast"/>
          <w:jc w:val="center"/>
        </w:trPr>
        <w:tc>
          <w:tcPr>
            <w:tcW w:w="218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2014099</w:t>
            </w:r>
          </w:p>
        </w:tc>
        <w:tc>
          <w:tcPr>
            <w:tcW w:w="21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其他信访事务支出</w:t>
            </w:r>
          </w:p>
        </w:tc>
        <w:tc>
          <w:tcPr>
            <w:tcW w:w="36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463.90</w:t>
            </w:r>
          </w:p>
        </w:tc>
        <w:tc>
          <w:tcPr>
            <w:tcW w:w="386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69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463.90</w:t>
            </w:r>
          </w:p>
        </w:tc>
      </w:tr>
      <w:tr>
        <w:tblPrEx>
          <w:tblCellMar>
            <w:top w:w="0" w:type="dxa"/>
            <w:left w:w="108" w:type="dxa"/>
            <w:bottom w:w="0" w:type="dxa"/>
            <w:right w:w="108" w:type="dxa"/>
          </w:tblCellMar>
        </w:tblPrEx>
        <w:trPr>
          <w:trHeight w:val="450" w:hRule="atLeast"/>
          <w:jc w:val="center"/>
        </w:trPr>
        <w:tc>
          <w:tcPr>
            <w:tcW w:w="218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2049999</w:t>
            </w:r>
          </w:p>
        </w:tc>
        <w:tc>
          <w:tcPr>
            <w:tcW w:w="21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36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210.81</w:t>
            </w:r>
          </w:p>
        </w:tc>
        <w:tc>
          <w:tcPr>
            <w:tcW w:w="38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210.81</w:t>
            </w:r>
          </w:p>
        </w:tc>
        <w:tc>
          <w:tcPr>
            <w:tcW w:w="3693"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18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21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6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17.46</w:t>
            </w:r>
          </w:p>
        </w:tc>
        <w:tc>
          <w:tcPr>
            <w:tcW w:w="38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17.46</w:t>
            </w:r>
          </w:p>
        </w:tc>
        <w:tc>
          <w:tcPr>
            <w:tcW w:w="3693"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183"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75"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694"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69"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693"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5614" w:type="dxa"/>
            <w:gridSpan w:val="5"/>
            <w:tcBorders>
              <w:top w:val="nil"/>
              <w:left w:val="nil"/>
              <w:bottom w:val="nil"/>
              <w:right w:val="nil"/>
            </w:tcBorders>
            <w:shd w:val="clear" w:color="auto" w:fill="auto"/>
            <w:vAlign w:val="center"/>
          </w:tcPr>
          <w:tbl>
            <w:tblPr>
              <w:tblStyle w:val="8"/>
              <w:tblW w:w="15490"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
              <w:gridCol w:w="15117"/>
              <w:gridCol w:w="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00" w:hRule="atLeast"/>
              </w:trPr>
              <w:tc>
                <w:tcPr>
                  <w:tcW w:w="15304" w:type="dxa"/>
                  <w:gridSpan w:val="2"/>
                  <w:tcBorders>
                    <w:top w:val="single" w:color="D4D4D4"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 w:type="dxa"/>
                <w:trHeight w:val="300" w:hRule="atLeast"/>
              </w:trPr>
              <w:tc>
                <w:tcPr>
                  <w:tcW w:w="15303"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86" w:type="dxa"/>
                <w:trHeight w:val="300" w:hRule="atLeast"/>
              </w:trPr>
              <w:tc>
                <w:tcPr>
                  <w:tcW w:w="15304"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tc>
            </w:tr>
          </w:tbl>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bCs/>
          <w:kern w:val="0"/>
          <w:szCs w:val="21"/>
        </w:rPr>
      </w:pPr>
    </w:p>
    <w:p>
      <w:pPr>
        <w:widowControl/>
        <w:tabs>
          <w:tab w:val="left" w:pos="5250"/>
        </w:tabs>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14" w:type="dxa"/>
        <w:tblInd w:w="0" w:type="dxa"/>
        <w:tblLayout w:type="fixed"/>
        <w:tblCellMar>
          <w:top w:w="0" w:type="dxa"/>
          <w:left w:w="108" w:type="dxa"/>
          <w:bottom w:w="0" w:type="dxa"/>
          <w:right w:w="108" w:type="dxa"/>
        </w:tblCellMar>
      </w:tblPr>
      <w:tblGrid>
        <w:gridCol w:w="1003"/>
        <w:gridCol w:w="240"/>
        <w:gridCol w:w="95"/>
        <w:gridCol w:w="1307"/>
        <w:gridCol w:w="1475"/>
        <w:gridCol w:w="644"/>
        <w:gridCol w:w="870"/>
        <w:gridCol w:w="939"/>
        <w:gridCol w:w="310"/>
        <w:gridCol w:w="2006"/>
        <w:gridCol w:w="113"/>
        <w:gridCol w:w="1745"/>
        <w:gridCol w:w="374"/>
        <w:gridCol w:w="594"/>
        <w:gridCol w:w="1525"/>
        <w:gridCol w:w="1039"/>
        <w:gridCol w:w="1081"/>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20"/>
                <w:szCs w:val="28"/>
              </w:rPr>
            </w:pPr>
            <w:bookmarkStart w:id="2" w:name="RANGE!A1:I34"/>
            <w:r>
              <w:rPr>
                <w:rFonts w:hint="eastAsia" w:ascii="华文中宋" w:hAnsi="华文中宋" w:eastAsia="华文中宋" w:cs="宋体"/>
                <w:color w:val="000000"/>
                <w:kern w:val="0"/>
                <w:sz w:val="20"/>
                <w:szCs w:val="28"/>
              </w:rPr>
              <w:t>一般公共预算财政拨款基本支出决算明细表</w:t>
            </w:r>
            <w:bookmarkEnd w:id="2"/>
          </w:p>
          <w:p>
            <w:pPr>
              <w:widowControl/>
              <w:wordWrap w:val="0"/>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rPr>
              <w:t xml:space="preserve">  </w:t>
            </w:r>
            <w:r>
              <w:rPr>
                <w:rFonts w:hint="eastAsia" w:ascii="宋体" w:hAnsi="宋体" w:eastAsia="宋体" w:cs="宋体"/>
                <w:color w:val="000000"/>
                <w:kern w:val="0"/>
                <w:sz w:val="16"/>
                <w:szCs w:val="16"/>
                <w:lang w:eastAsia="zh-CN"/>
              </w:rPr>
              <w:t>道县信访局</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公开06表</w:t>
            </w:r>
          </w:p>
          <w:p>
            <w:pPr>
              <w:widowControl/>
              <w:jc w:val="right"/>
              <w:rPr>
                <w:rFonts w:ascii="华文中宋" w:hAnsi="华文中宋" w:eastAsia="华文中宋" w:cs="宋体"/>
                <w:color w:val="000000"/>
                <w:kern w:val="0"/>
                <w:sz w:val="20"/>
                <w:szCs w:val="28"/>
              </w:rPr>
            </w:pPr>
            <w:r>
              <w:rPr>
                <w:rFonts w:hint="eastAsia" w:ascii="Times New Roman" w:hAnsi="Times New Roman" w:eastAsia="仿宋_GB2312" w:cs="Times New Roman"/>
                <w:color w:val="000000"/>
                <w:kern w:val="0"/>
                <w:sz w:val="20"/>
                <w:szCs w:val="20"/>
              </w:rPr>
              <w:t>单位：万元</w:t>
            </w:r>
          </w:p>
        </w:tc>
      </w:tr>
      <w:tr>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18"/>
                <w:szCs w:val="18"/>
              </w:rPr>
              <w:t>经济分类科目编码</w:t>
            </w:r>
          </w:p>
        </w:tc>
        <w:tc>
          <w:tcPr>
            <w:tcW w:w="27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科目名称</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决算数</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科目名称</w:t>
            </w:r>
          </w:p>
        </w:tc>
        <w:tc>
          <w:tcPr>
            <w:tcW w:w="18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决算数</w:t>
            </w:r>
          </w:p>
        </w:tc>
        <w:tc>
          <w:tcPr>
            <w:tcW w:w="9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经济分类科目编码</w:t>
            </w:r>
          </w:p>
        </w:tc>
        <w:tc>
          <w:tcPr>
            <w:tcW w:w="25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科目名称</w:t>
            </w:r>
          </w:p>
        </w:tc>
        <w:tc>
          <w:tcPr>
            <w:tcW w:w="13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决算数</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工资福利支出</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209.34</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商品和服务支出</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26.00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307</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债务利息及费用支出</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30101</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基本工资</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71.92</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办公费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5.79</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30701</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国内债务付息</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30102</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津贴补贴</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52.33</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印刷费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2.50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30702</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国外债务付息</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30103</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奖金</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50.10</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咨询费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资本性支出</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30106</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伙食补助费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手续费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31001</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房屋建筑物购建</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30107</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绩效工资</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6.06</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水费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2.00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31002</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办公设备购置</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30108</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机关事业单位基本养老保险缴费</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18.78</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电费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5.00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31003</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专用设备购置</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30109</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职业年金缴费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邮电费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31005</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基础设施建设</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30110</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职工基本医疗保险缴费</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10.19</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取暖费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31006</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大型修缮</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30111</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公务员医疗补助缴费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物业管理费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31007</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信息网络及软件购置更新</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30112</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其他社会保障缴费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差旅费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2.00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31008</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物资储备</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30113</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住房公积金</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因公出国（境）费用</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31009</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土地补偿</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30114</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医疗费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维修（护）费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1.00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31010</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安置补助</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30199</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其他工资福利支出</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租赁费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31011</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地上附着物和青苗补偿</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对个人和家庭的补助</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18.93</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会议费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31012</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拆迁补偿</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30301</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离休费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培训费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31013</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公务用车购置</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30302</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退休费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公务接待费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2.21</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31019</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其他交通工具购置</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30303</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退职（役）费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专用材料费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31021</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文物和陈列品购置</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30304</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抚恤金</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17.46</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被装购置费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31022</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无形资产购置</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30305</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生活补助</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专用燃料费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31099</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其他资本性支出</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30306</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救济费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劳务费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399</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其他支出</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30307</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医疗费补助</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委托业务费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lang w:val="en-US" w:eastAsia="zh-CN" w:bidi="ar-SA"/>
              </w:rPr>
            </w:pPr>
            <w:r>
              <w:rPr>
                <w:rFonts w:hint="eastAsia" w:ascii="宋体" w:hAnsi="宋体" w:eastAsia="宋体" w:cs="宋体"/>
                <w:color w:val="000000"/>
                <w:kern w:val="0"/>
                <w:sz w:val="20"/>
                <w:szCs w:val="18"/>
              </w:rPr>
              <w:t>39907</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lang w:val="en-US" w:eastAsia="zh-CN" w:bidi="ar-SA"/>
              </w:rPr>
            </w:pPr>
            <w:r>
              <w:rPr>
                <w:rFonts w:hint="eastAsia" w:ascii="宋体" w:hAnsi="宋体" w:eastAsia="宋体" w:cs="宋体"/>
                <w:color w:val="000000"/>
                <w:kern w:val="0"/>
                <w:sz w:val="20"/>
                <w:szCs w:val="18"/>
              </w:rPr>
              <w:t xml:space="preserve">  国家赔偿费用支出</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30308</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助学金</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工会经费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lang w:val="en-US" w:eastAsia="zh-CN" w:bidi="ar-SA"/>
              </w:rPr>
            </w:pPr>
            <w:r>
              <w:rPr>
                <w:rFonts w:hint="eastAsia" w:ascii="宋体" w:hAnsi="宋体" w:eastAsia="宋体" w:cs="宋体"/>
                <w:color w:val="000000"/>
                <w:kern w:val="0"/>
                <w:sz w:val="20"/>
                <w:szCs w:val="18"/>
              </w:rPr>
              <w:t>39908</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lang w:val="en-US" w:eastAsia="zh-CN" w:bidi="ar-SA"/>
              </w:rPr>
            </w:pPr>
            <w:r>
              <w:rPr>
                <w:rFonts w:hint="eastAsia" w:ascii="宋体" w:hAnsi="宋体" w:eastAsia="宋体" w:cs="宋体"/>
                <w:color w:val="000000"/>
                <w:kern w:val="0"/>
                <w:sz w:val="20"/>
                <w:szCs w:val="18"/>
              </w:rPr>
              <w:t>对民间非营利组织和群众性自治组织补贴</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30309</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奖励金</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福利费</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18"/>
                <w:lang w:val="en-US" w:eastAsia="zh-CN"/>
              </w:rPr>
            </w:pPr>
            <w:r>
              <w:rPr>
                <w:rFonts w:hint="eastAsia" w:ascii="宋体" w:hAnsi="宋体" w:eastAsia="宋体" w:cs="宋体"/>
                <w:color w:val="000000"/>
                <w:kern w:val="0"/>
                <w:sz w:val="20"/>
                <w:szCs w:val="18"/>
              </w:rPr>
              <w:t>3990</w:t>
            </w:r>
            <w:r>
              <w:rPr>
                <w:rFonts w:hint="eastAsia" w:ascii="宋体" w:hAnsi="宋体" w:eastAsia="宋体" w:cs="宋体"/>
                <w:color w:val="000000"/>
                <w:kern w:val="0"/>
                <w:sz w:val="20"/>
                <w:szCs w:val="18"/>
                <w:lang w:val="en-US" w:eastAsia="zh-CN"/>
              </w:rPr>
              <w:t>9</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18"/>
              </w:rPr>
            </w:pPr>
            <w:r>
              <w:rPr>
                <w:rFonts w:hint="eastAsia" w:ascii="宋体" w:hAnsi="宋体" w:eastAsia="宋体" w:cs="宋体"/>
                <w:color w:val="000000"/>
                <w:kern w:val="0"/>
                <w:sz w:val="20"/>
                <w:szCs w:val="18"/>
              </w:rPr>
              <w:t xml:space="preserve">  经常性赠与</w:t>
            </w:r>
          </w:p>
          <w:p>
            <w:pPr>
              <w:widowControl/>
              <w:jc w:val="left"/>
              <w:rPr>
                <w:rFonts w:hint="eastAsia" w:ascii="宋体" w:hAnsi="宋体" w:eastAsia="宋体" w:cs="宋体"/>
                <w:color w:val="000000"/>
                <w:kern w:val="0"/>
                <w:sz w:val="20"/>
                <w:szCs w:val="18"/>
              </w:rPr>
            </w:pPr>
            <w:r>
              <w:rPr>
                <w:rFonts w:hint="eastAsia" w:ascii="宋体" w:hAnsi="宋体" w:eastAsia="宋体" w:cs="宋体"/>
                <w:color w:val="000000"/>
                <w:kern w:val="0"/>
                <w:sz w:val="20"/>
                <w:szCs w:val="18"/>
              </w:rPr>
              <w:t xml:space="preserve">  资本性赠与</w:t>
            </w:r>
          </w:p>
          <w:p>
            <w:pPr>
              <w:widowControl/>
              <w:jc w:val="left"/>
              <w:rPr>
                <w:rFonts w:hint="eastAsia" w:ascii="宋体" w:hAnsi="宋体" w:eastAsia="宋体" w:cs="宋体"/>
                <w:color w:val="000000"/>
                <w:kern w:val="0"/>
                <w:sz w:val="20"/>
                <w:szCs w:val="18"/>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资本性赠与</w:t>
                  </w:r>
                </w:p>
              </w:tc>
            </w:tr>
          </w:tbl>
          <w:p>
            <w:pPr>
              <w:widowControl/>
              <w:jc w:val="left"/>
              <w:rPr>
                <w:rFonts w:hint="eastAsia" w:ascii="宋体" w:hAnsi="宋体" w:eastAsia="宋体" w:cs="宋体"/>
                <w:color w:val="000000"/>
                <w:kern w:val="0"/>
                <w:sz w:val="20"/>
                <w:szCs w:val="18"/>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资本性赠与</w:t>
                  </w:r>
                </w:p>
              </w:tc>
            </w:tr>
          </w:tbl>
          <w:p>
            <w:pPr>
              <w:widowControl/>
              <w:jc w:val="left"/>
              <w:rPr>
                <w:rFonts w:ascii="宋体" w:hAnsi="宋体" w:eastAsia="宋体" w:cs="宋体"/>
                <w:color w:val="000000"/>
                <w:kern w:val="0"/>
                <w:sz w:val="20"/>
                <w:szCs w:val="18"/>
              </w:rPr>
            </w:pP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30310</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个人农业生产补贴</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公务用车运行维护费</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2.00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18"/>
                <w:lang w:val="en-US" w:eastAsia="zh-CN"/>
              </w:rPr>
            </w:pPr>
            <w:r>
              <w:rPr>
                <w:rFonts w:hint="eastAsia" w:ascii="宋体" w:hAnsi="宋体" w:eastAsia="宋体" w:cs="宋体"/>
                <w:color w:val="000000"/>
                <w:kern w:val="0"/>
                <w:sz w:val="20"/>
                <w:szCs w:val="18"/>
              </w:rPr>
              <w:t>399</w:t>
            </w:r>
            <w:r>
              <w:rPr>
                <w:rFonts w:hint="eastAsia" w:ascii="宋体" w:hAnsi="宋体" w:eastAsia="宋体" w:cs="宋体"/>
                <w:color w:val="000000"/>
                <w:kern w:val="0"/>
                <w:sz w:val="20"/>
                <w:szCs w:val="18"/>
                <w:lang w:val="en-US" w:eastAsia="zh-CN"/>
              </w:rPr>
              <w:t>10</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18"/>
                <w:lang w:val="en-US" w:eastAsia="zh-CN"/>
              </w:rPr>
            </w:pPr>
            <w:r>
              <w:rPr>
                <w:rFonts w:hint="eastAsia" w:ascii="宋体" w:hAnsi="宋体" w:eastAsia="宋体" w:cs="宋体"/>
                <w:color w:val="000000"/>
                <w:kern w:val="0"/>
                <w:sz w:val="20"/>
                <w:szCs w:val="18"/>
                <w:lang w:val="en-US" w:eastAsia="zh-CN"/>
              </w:rPr>
              <w:t xml:space="preserve">  资本性赠与</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30311</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代缴社会保险费</w:t>
            </w:r>
          </w:p>
        </w:tc>
        <w:tc>
          <w:tcPr>
            <w:tcW w:w="151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8"/>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其他交通费用</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2.00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lang w:val="en-US" w:eastAsia="zh-CN" w:bidi="ar-SA"/>
              </w:rPr>
            </w:pPr>
            <w:r>
              <w:rPr>
                <w:rFonts w:hint="eastAsia" w:ascii="宋体" w:hAnsi="宋体" w:eastAsia="宋体" w:cs="宋体"/>
                <w:color w:val="000000"/>
                <w:kern w:val="0"/>
                <w:sz w:val="20"/>
                <w:szCs w:val="18"/>
              </w:rPr>
              <w:t>39999</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lang w:val="en-US" w:eastAsia="zh-CN" w:bidi="ar-SA"/>
              </w:rPr>
            </w:pPr>
            <w:r>
              <w:rPr>
                <w:rFonts w:hint="eastAsia" w:ascii="宋体" w:hAnsi="宋体" w:eastAsia="宋体" w:cs="宋体"/>
                <w:color w:val="000000"/>
                <w:kern w:val="0"/>
                <w:sz w:val="20"/>
                <w:szCs w:val="18"/>
              </w:rPr>
              <w:t xml:space="preserve">  其他支出</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30399</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其他对个人和家庭的补助</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1.47</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税金及附加费用</w:t>
            </w:r>
          </w:p>
        </w:tc>
        <w:tc>
          <w:tcPr>
            <w:tcW w:w="185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0"/>
                <w:szCs w:val="18"/>
              </w:rPr>
            </w:pP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c>
          <w:tcPr>
            <w:tcW w:w="27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c>
          <w:tcPr>
            <w:tcW w:w="15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其他商品和服务支出</w:t>
            </w:r>
          </w:p>
        </w:tc>
        <w:tc>
          <w:tcPr>
            <w:tcW w:w="185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2"/>
                <w:szCs w:val="22"/>
                <w:u w:val="none"/>
                <w:lang w:val="en-US" w:eastAsia="zh-CN" w:bidi="ar"/>
              </w:rPr>
              <w:t>1.50</w:t>
            </w:r>
          </w:p>
        </w:tc>
        <w:tc>
          <w:tcPr>
            <w:tcW w:w="9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25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13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tblPrEx>
          <w:tblCellMar>
            <w:top w:w="0" w:type="dxa"/>
            <w:left w:w="108" w:type="dxa"/>
            <w:bottom w:w="0" w:type="dxa"/>
            <w:right w:w="108" w:type="dxa"/>
          </w:tblCellMar>
        </w:tblPrEx>
        <w:trPr>
          <w:trHeight w:val="284" w:hRule="exact"/>
        </w:trPr>
        <w:tc>
          <w:tcPr>
            <w:tcW w:w="4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人员经费合计</w:t>
            </w:r>
          </w:p>
        </w:tc>
        <w:tc>
          <w:tcPr>
            <w:tcW w:w="15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228.28</w:t>
            </w:r>
          </w:p>
        </w:tc>
        <w:tc>
          <w:tcPr>
            <w:tcW w:w="864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公用经费合计</w:t>
            </w:r>
          </w:p>
        </w:tc>
        <w:tc>
          <w:tcPr>
            <w:tcW w:w="13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26.00</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2"/>
              </w:rPr>
            </w:pPr>
            <w:r>
              <w:rPr>
                <w:rFonts w:hint="eastAsia" w:ascii="宋体" w:hAnsi="宋体" w:eastAsia="宋体" w:cs="宋体"/>
                <w:color w:val="000000"/>
                <w:kern w:val="0"/>
                <w:sz w:val="20"/>
                <w:szCs w:val="22"/>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28"/>
                <w:szCs w:val="28"/>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28"/>
                <w:szCs w:val="28"/>
                <w:u w:val="none"/>
              </w:rPr>
            </w:pPr>
            <w:r>
              <w:rPr>
                <w:rFonts w:hint="eastAsia" w:ascii="华文中宋" w:hAnsi="华文中宋" w:eastAsia="华文中宋" w:cs="华文中宋"/>
                <w:i w:val="0"/>
                <w:color w:val="000000"/>
                <w:kern w:val="0"/>
                <w:sz w:val="28"/>
                <w:szCs w:val="28"/>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18"/>
                <w:szCs w:val="18"/>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18"/>
                <w:szCs w:val="18"/>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color w:val="000000"/>
                <w:kern w:val="0"/>
                <w:sz w:val="16"/>
                <w:szCs w:val="16"/>
                <w:lang w:eastAsia="zh-CN"/>
              </w:rPr>
              <w:t>道县信访局</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18"/>
                <w:szCs w:val="18"/>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18"/>
                <w:szCs w:val="18"/>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项 </w:t>
            </w:r>
            <w:r>
              <w:rPr>
                <w:rStyle w:val="15"/>
                <w:sz w:val="21"/>
                <w:szCs w:val="21"/>
                <w:lang w:val="en-US" w:eastAsia="zh-CN" w:bidi="ar"/>
              </w:rPr>
              <w:t xml:space="preserve">   </w:t>
            </w:r>
            <w:r>
              <w:rPr>
                <w:rStyle w:val="16"/>
                <w:sz w:val="22"/>
                <w:szCs w:val="22"/>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楷体" w:hAnsi="楷体" w:eastAsia="楷体" w:cs="楷体"/>
                <w:b/>
                <w:bCs/>
                <w:i w:val="0"/>
                <w:color w:val="auto"/>
                <w:kern w:val="0"/>
                <w:sz w:val="22"/>
                <w:szCs w:val="22"/>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6"/>
        <w:gridCol w:w="687"/>
        <w:gridCol w:w="2244"/>
        <w:gridCol w:w="3240"/>
        <w:gridCol w:w="3240"/>
        <w:gridCol w:w="4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61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68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4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24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24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093"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61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color w:val="000000"/>
                <w:kern w:val="0"/>
                <w:sz w:val="16"/>
                <w:szCs w:val="16"/>
                <w:lang w:eastAsia="zh-CN"/>
              </w:rPr>
              <w:t>道县信访局</w:t>
            </w:r>
          </w:p>
        </w:tc>
        <w:tc>
          <w:tcPr>
            <w:tcW w:w="68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4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24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24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093"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6"/>
        <w:gridCol w:w="1180"/>
        <w:gridCol w:w="1168"/>
        <w:gridCol w:w="1133"/>
        <w:gridCol w:w="1357"/>
        <w:gridCol w:w="1357"/>
        <w:gridCol w:w="1357"/>
        <w:gridCol w:w="1180"/>
        <w:gridCol w:w="1191"/>
        <w:gridCol w:w="1110"/>
        <w:gridCol w:w="1357"/>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521"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6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8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6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8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1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6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6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color w:val="000000"/>
                <w:kern w:val="0"/>
                <w:sz w:val="16"/>
                <w:szCs w:val="16"/>
                <w:lang w:eastAsia="zh-CN"/>
              </w:rPr>
              <w:t>道县信访局</w:t>
            </w:r>
          </w:p>
        </w:tc>
        <w:tc>
          <w:tcPr>
            <w:tcW w:w="118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6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8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1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5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6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521" w:type="dxa"/>
            <w:gridSpan w:val="12"/>
            <w:tcBorders>
              <w:top w:val="nil"/>
              <w:left w:val="nil"/>
              <w:bottom w:val="nil"/>
              <w:right w:val="nil"/>
            </w:tcBorders>
            <w:shd w:val="clear" w:color="auto" w:fill="auto"/>
            <w:vAlign w:val="center"/>
          </w:tcPr>
          <w:tbl>
            <w:tblPr>
              <w:tblStyle w:val="8"/>
              <w:tblW w:w="1764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7640" w:type="dxa"/>
                  <w:tcBorders>
                    <w:top w:val="single" w:color="D4D4D4" w:sz="12"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注:1.本表依据《机构运行信息表》(F03表)进行批复。其中，预算数为“三公”经费全年预算数，反映按规定程序调整后的相关支出预算数；决算数是包括当年财政拨款和以前年度结转资金安排的实际支出。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4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r>
          </w:tbl>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17.47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人员变动，且本年信访案件增多。</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254.26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34.63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479.91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65.27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109.17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17.47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人员变动，且本年信访案件增多。</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109.17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17.47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人员变动，且本年信访案件增多。</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505.90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68.91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17.46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公共安全（类）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210.81万元，占28.71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734.17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政府办公厅及相关机构事务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于年初预算数</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政府办公厅及</w:t>
      </w:r>
      <w:r>
        <w:rPr>
          <w:rFonts w:hint="eastAsia" w:ascii="Times New Roman" w:hAnsi="Times New Roman" w:eastAsia="仿宋_GB2312"/>
          <w:color w:val="auto"/>
          <w:sz w:val="32"/>
          <w:szCs w:val="32"/>
          <w:lang w:eastAsia="zh-CN"/>
        </w:rPr>
        <w:t>相关</w:t>
      </w:r>
      <w:r>
        <w:rPr>
          <w:rFonts w:hint="eastAsia" w:ascii="Times New Roman" w:hAnsi="Times New Roman" w:eastAsia="仿宋_GB2312"/>
          <w:sz w:val="32"/>
          <w:szCs w:val="32"/>
          <w:lang w:eastAsia="zh-CN"/>
        </w:rPr>
        <w:t>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信访业务</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政府办公厅及相关机构事务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其他信访事务支出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463.90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463.90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其他公共安全支出（项）</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210.81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210.81</w:t>
      </w:r>
      <w:r>
        <w:rPr>
          <w:rFonts w:hint="eastAsia" w:ascii="Times New Roman" w:hAnsi="Times New Roman" w:eastAsia="仿宋_GB2312"/>
          <w:color w:val="auto"/>
          <w:sz w:val="32"/>
          <w:szCs w:val="32"/>
          <w:lang w:eastAsia="zh-CN"/>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死亡抚恤（项）</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17.46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254.26</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228.28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89.78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等。</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26.00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10.22</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“三公”经费财政拨款支出预算为</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lang w:eastAsia="zh-CN"/>
        </w:rPr>
        <w:t>万元，完成预算的</w:t>
      </w:r>
      <w:r>
        <w:rPr>
          <w:rFonts w:hint="eastAsia" w:ascii="Times New Roman" w:hAnsi="Times New Roman" w:eastAsia="仿宋_GB2312"/>
          <w:color w:val="auto"/>
          <w:sz w:val="32"/>
          <w:szCs w:val="32"/>
          <w:lang w:val="en-US" w:eastAsia="zh-CN"/>
        </w:rPr>
        <w:t>70</w:t>
      </w:r>
      <w:r>
        <w:rPr>
          <w:rFonts w:hint="eastAsia" w:ascii="Times New Roman" w:hAnsi="Times New Roman" w:eastAsia="仿宋_GB2312"/>
          <w:color w:val="auto"/>
          <w:sz w:val="32"/>
          <w:szCs w:val="32"/>
          <w:lang w:eastAsia="zh-CN"/>
        </w:rPr>
        <w:t>%，决算数与上年相比减少</w:t>
      </w: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lang w:eastAsia="zh-CN"/>
        </w:rPr>
        <w:t>万元，减少</w:t>
      </w: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lang w:eastAsia="zh-CN"/>
        </w:rPr>
        <w:t>%,减少的主要原因是压缩了一些不必要的开支。其中：</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万元，完成预算的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%，决算数等于预算数的主要原因是没有因公出国（境）费支出，与上年相比持平。</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公务接待费支出预算为</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lang w:eastAsia="zh-CN"/>
        </w:rPr>
        <w:t>万元，完成预算的</w:t>
      </w:r>
      <w:r>
        <w:rPr>
          <w:rFonts w:hint="eastAsia" w:ascii="Times New Roman" w:hAnsi="Times New Roman" w:eastAsia="仿宋_GB2312"/>
          <w:color w:val="auto"/>
          <w:sz w:val="32"/>
          <w:szCs w:val="32"/>
          <w:lang w:val="en-US" w:eastAsia="zh-CN"/>
        </w:rPr>
        <w:t>55</w:t>
      </w:r>
      <w:r>
        <w:rPr>
          <w:rFonts w:hint="eastAsia" w:ascii="Times New Roman" w:hAnsi="Times New Roman" w:eastAsia="仿宋_GB2312"/>
          <w:color w:val="auto"/>
          <w:sz w:val="32"/>
          <w:szCs w:val="32"/>
          <w:lang w:eastAsia="zh-CN"/>
        </w:rPr>
        <w:t>%，决算数小于预算数的主要原因是压缩了一些不必要的开支，与上年相比减少</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万元，减少</w:t>
      </w:r>
      <w:r>
        <w:rPr>
          <w:rFonts w:hint="eastAsia" w:ascii="Times New Roman" w:hAnsi="Times New Roman" w:eastAsia="仿宋_GB2312"/>
          <w:color w:val="auto"/>
          <w:sz w:val="32"/>
          <w:szCs w:val="32"/>
          <w:lang w:val="en-US" w:eastAsia="zh-CN"/>
        </w:rPr>
        <w:t>45</w:t>
      </w:r>
      <w:r>
        <w:rPr>
          <w:rFonts w:hint="eastAsia" w:ascii="Times New Roman" w:hAnsi="Times New Roman" w:eastAsia="仿宋_GB2312"/>
          <w:color w:val="auto"/>
          <w:sz w:val="32"/>
          <w:szCs w:val="32"/>
          <w:lang w:eastAsia="zh-CN"/>
        </w:rPr>
        <w:t>%,减少的主要原因是压缩了一些不必要的开支。</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万元，完成预算的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%，决算数等于预算数的主要原因是没有购置车辆，与上年相比持平的主要原因是近几年没有购置车辆。</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公务用车运行维护费支出预算为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万元，完成预算的</w:t>
      </w:r>
      <w:r>
        <w:rPr>
          <w:rFonts w:hint="eastAsia" w:ascii="Times New Roman" w:hAnsi="Times New Roman" w:eastAsia="仿宋_GB2312"/>
          <w:color w:val="auto"/>
          <w:sz w:val="32"/>
          <w:szCs w:val="32"/>
          <w:lang w:val="en-US" w:eastAsia="zh-CN"/>
        </w:rPr>
        <w:t>100%。</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2024年度“三公”经费财政拨款支出决算中，公务接待费支出决算</w:t>
      </w:r>
      <w:r>
        <w:rPr>
          <w:rFonts w:hint="eastAsia"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lang w:eastAsia="zh-CN"/>
        </w:rPr>
        <w:t>万元，占</w:t>
      </w:r>
      <w:r>
        <w:rPr>
          <w:rFonts w:hint="eastAsia" w:ascii="Times New Roman" w:hAnsi="Times New Roman" w:eastAsia="仿宋_GB2312"/>
          <w:color w:val="auto"/>
          <w:sz w:val="32"/>
          <w:szCs w:val="32"/>
          <w:lang w:val="en-US" w:eastAsia="zh-CN"/>
        </w:rPr>
        <w:t>52</w:t>
      </w:r>
      <w:r>
        <w:rPr>
          <w:rFonts w:hint="eastAsia" w:ascii="Times New Roman" w:hAnsi="Times New Roman" w:eastAsia="仿宋_GB2312"/>
          <w:color w:val="auto"/>
          <w:sz w:val="32"/>
          <w:szCs w:val="32"/>
          <w:lang w:eastAsia="zh-CN"/>
        </w:rPr>
        <w:t>%,因公出国（境）费支出决算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%,公务用车购置费及运行维护费支出决算</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万元，占</w:t>
      </w:r>
      <w:r>
        <w:rPr>
          <w:rFonts w:hint="eastAsia" w:ascii="Times New Roman" w:hAnsi="Times New Roman" w:eastAsia="仿宋_GB2312"/>
          <w:color w:val="auto"/>
          <w:sz w:val="32"/>
          <w:szCs w:val="32"/>
          <w:lang w:val="en-US" w:eastAsia="zh-CN"/>
        </w:rPr>
        <w:t>48</w:t>
      </w:r>
      <w:r>
        <w:rPr>
          <w:rFonts w:hint="eastAsia" w:ascii="Times New Roman" w:hAnsi="Times New Roman" w:eastAsia="仿宋_GB2312"/>
          <w:color w:val="auto"/>
          <w:sz w:val="32"/>
          <w:szCs w:val="32"/>
          <w:lang w:eastAsia="zh-CN"/>
        </w:rPr>
        <w:t>%。其中：</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因公出国（境）费支出决算为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万元，全年安排因公出国（境）团组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个，累计</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人次,无开支内容。</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2、公务接待费支出决算为</w:t>
      </w:r>
      <w:r>
        <w:rPr>
          <w:rFonts w:hint="eastAsia"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lang w:eastAsia="zh-CN"/>
        </w:rPr>
        <w:t>万元，全年共接待来访团组</w:t>
      </w:r>
      <w:r>
        <w:rPr>
          <w:rFonts w:hint="eastAsia" w:ascii="Times New Roman" w:hAnsi="Times New Roman" w:eastAsia="仿宋_GB2312"/>
          <w:color w:val="auto"/>
          <w:sz w:val="32"/>
          <w:szCs w:val="32"/>
          <w:lang w:val="en-US" w:eastAsia="zh-CN"/>
        </w:rPr>
        <w:t>41</w:t>
      </w:r>
      <w:r>
        <w:rPr>
          <w:rFonts w:hint="eastAsia" w:ascii="Times New Roman" w:hAnsi="Times New Roman" w:eastAsia="仿宋_GB2312"/>
          <w:color w:val="auto"/>
          <w:sz w:val="32"/>
          <w:szCs w:val="32"/>
          <w:lang w:eastAsia="zh-CN"/>
        </w:rPr>
        <w:t>个、来宾</w:t>
      </w:r>
      <w:r>
        <w:rPr>
          <w:rFonts w:hint="eastAsia" w:ascii="Times New Roman" w:hAnsi="Times New Roman" w:eastAsia="仿宋_GB2312"/>
          <w:color w:val="auto"/>
          <w:sz w:val="32"/>
          <w:szCs w:val="32"/>
          <w:lang w:val="en-US" w:eastAsia="zh-CN"/>
        </w:rPr>
        <w:t>246</w:t>
      </w:r>
      <w:r>
        <w:rPr>
          <w:rFonts w:hint="eastAsia" w:ascii="Times New Roman" w:hAnsi="Times New Roman" w:eastAsia="仿宋_GB2312"/>
          <w:color w:val="auto"/>
          <w:sz w:val="32"/>
          <w:szCs w:val="32"/>
          <w:lang w:eastAsia="zh-CN"/>
        </w:rPr>
        <w:t>人次，主要是上级部门检查工作和发生的接待支出。</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3、公务用车购置费及运行维护费支出决算为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万元，其中：公务用车购置费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万元。公务用车运行维护费</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万元，主要是单位公务车加油和保养维修支出，截止2024年12月31日，我单位开支财政拨款的公务用车保有量为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持平。</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我单位本年没有开展相关活动。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截至2024年12月31日，部门（单位）共有车辆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辆，其中，副部（省）级及以上领导用车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辆、主要负责人用车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辆、机要通信用车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辆、离退休干部服务用车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辆，单位价值100万元以上设备（不含车辆）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楷体" w:hAnsi="楷体" w:eastAsia="楷体" w:cs="楷体"/>
          <w:b/>
          <w:bCs/>
          <w:sz w:val="32"/>
          <w:szCs w:val="32"/>
          <w:lang w:eastAsia="zh-CN"/>
        </w:rPr>
      </w:pPr>
      <w:r>
        <w:rPr>
          <w:rFonts w:hint="eastAsia" w:ascii="Times New Roman" w:hAnsi="Times New Roman" w:eastAsia="仿宋_GB2312" w:cs="黑体"/>
          <w:color w:val="auto"/>
          <w:kern w:val="0"/>
          <w:sz w:val="32"/>
          <w:szCs w:val="32"/>
          <w:lang w:val="en-US" w:eastAsia="zh-CN" w:bidi="ar-SA"/>
        </w:rPr>
        <w:t>1.绩效管理工作中缺少短期规划，不利于整体目标的落实；绩效管理意识还不够强，绩效管理机制还不够完善。</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黑体"/>
          <w:color w:val="auto"/>
          <w:kern w:val="0"/>
          <w:sz w:val="32"/>
          <w:szCs w:val="32"/>
          <w:lang w:val="en-US" w:eastAsia="zh-CN" w:bidi="ar-SA"/>
        </w:rPr>
        <w:t>根据道办[2010]36号文件规定，本单位主要工作职责是：用群众工作统揽信访调纠工作的长效机制，构建“一站式接待、一条龙办理、一揽子解决”的工作模式。实现信息联通、工作联手、措施联动，提高处理问题、化解矛盾的效率和做好群众工作的水平，确保各类信访问题和矛盾纠纷隐患化解在基层、消除在萌芽状态，有效预防和化解群体性事件和非正常上访，维护社会和谐稳定。</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numPr>
          <w:ilvl w:val="0"/>
          <w:numId w:val="0"/>
        </w:numPr>
        <w:tabs>
          <w:tab w:val="left" w:pos="836"/>
        </w:tabs>
        <w:kinsoku/>
        <w:wordWrap/>
        <w:overflowPunct/>
        <w:topLinePunct w:val="0"/>
        <w:autoSpaceDE/>
        <w:autoSpaceDN/>
        <w:bidi w:val="0"/>
        <w:adjustRightInd/>
        <w:snapToGrid w:val="0"/>
        <w:spacing w:before="0" w:after="0" w:line="560" w:lineRule="exact"/>
        <w:ind w:right="0" w:firstLine="640" w:firstLineChars="200"/>
        <w:textAlignment w:val="auto"/>
        <w:outlineLvl w:val="9"/>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规范财务管理，提高财务管理水平。严格执行《会计法》、《事业单位财务规定》、《预算法》等规定执行财务核算，做好部门预算，严格按照年初资金的预算用途使用资金，做到决算与预算相衔接，提高财务信息质量。</w:t>
      </w:r>
    </w:p>
    <w:p>
      <w:pPr>
        <w:keepNext w:val="0"/>
        <w:keepLines w:val="0"/>
        <w:pageBreakBefore w:val="0"/>
        <w:widowControl w:val="0"/>
        <w:numPr>
          <w:ilvl w:val="0"/>
          <w:numId w:val="0"/>
        </w:numPr>
        <w:tabs>
          <w:tab w:val="left" w:pos="836"/>
        </w:tabs>
        <w:kinsoku/>
        <w:wordWrap/>
        <w:overflowPunct/>
        <w:topLinePunct w:val="0"/>
        <w:autoSpaceDE/>
        <w:autoSpaceDN/>
        <w:bidi w:val="0"/>
        <w:adjustRightInd/>
        <w:snapToGrid w:val="0"/>
        <w:spacing w:before="0" w:after="0" w:line="560" w:lineRule="exact"/>
        <w:ind w:right="0" w:firstLine="640" w:firstLineChars="200"/>
        <w:textAlignment w:val="auto"/>
        <w:outlineLvl w:val="9"/>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2.加强新政府事业单位会计制度、内控制度、固定资产管理制度等的学习培训，加强会计队伍建设，提高财务人员的业务水平。</w:t>
      </w:r>
    </w:p>
    <w:p>
      <w:pPr>
        <w:keepNext w:val="0"/>
        <w:keepLines w:val="0"/>
        <w:pageBreakBefore w:val="0"/>
        <w:widowControl w:val="0"/>
        <w:numPr>
          <w:ilvl w:val="0"/>
          <w:numId w:val="0"/>
        </w:numPr>
        <w:tabs>
          <w:tab w:val="left" w:pos="836"/>
        </w:tabs>
        <w:kinsoku/>
        <w:wordWrap/>
        <w:overflowPunct/>
        <w:topLinePunct w:val="0"/>
        <w:autoSpaceDE/>
        <w:autoSpaceDN/>
        <w:bidi w:val="0"/>
        <w:adjustRightInd/>
        <w:snapToGrid w:val="0"/>
        <w:spacing w:before="0" w:after="0" w:line="560" w:lineRule="exact"/>
        <w:ind w:right="0" w:firstLine="640" w:firstLineChars="200"/>
        <w:textAlignment w:val="auto"/>
        <w:outlineLvl w:val="9"/>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3.提高绩效管理意识，提高绩效监控工作质量，完善绩效管理制度。加强规划，优化目标设定，提高整体效益。</w:t>
      </w:r>
    </w:p>
    <w:p>
      <w:pPr>
        <w:pStyle w:val="12"/>
        <w:jc w:val="center"/>
        <w:rPr>
          <w:rFonts w:hint="eastAsia" w:ascii="Times New Roman" w:hAnsi="Times New Roman" w:eastAsia="仿宋_GB2312" w:cs="黑体"/>
          <w:color w:val="auto"/>
          <w:kern w:val="0"/>
          <w:sz w:val="32"/>
          <w:szCs w:val="32"/>
          <w:lang w:val="en-US" w:eastAsia="zh-CN" w:bidi="ar-SA"/>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一、财政拨款收入：指单位本年度从同级财政部门取得的各类财政拨款。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二、上级补助收入：指事业单位从主管部门和上级单位取得的非财政补助收入。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三、机关运行经费：指行政单位（含参照公务员法管理的事业单位）使用一般公共预算安排的基本支出中的公用经费支出，包括办公及印刷 费、邮电费、差旅费、会议费、福利费、日常维修费、专用材料及一般设备购置费、办公用房水电费、办公用房取暖费、办公用房物业管理费、公务用车运行维护费及其他费用。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四、“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五、对附属单位补助支出：指事业单位用财政拨款收入之外的收入对附属单位补助发生的支出。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六、经营支出：指事业单位在专业业务活动及其辅助活动之外开展非独立核算经营活动发生的支出。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七、上缴上级支出：指事业单位按照财政部门和主管部门的规定上缴上级单位的支出。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八、项目支出：指在为完成特定的工作任务和事业发展目标所发生的支出。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九、事业收入：指事业单位开展专业业务活动及其辅助活动取得的收入，事业单位收到的财政专户实际核拨的教育收费等资金在此反映。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十、经营收入：指事业单位在专业业务活动及其辅助活动之外开展非独立核算经营活动取得的收入。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十一、附属单位上缴收入：指事业单位附属独立核算单位按照有关规 定上缴的收入。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十二、其他收入：指单位取得的除上述“财政拨款收入”、“事业收入”、“经营收入”等以外的各项收入。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十三、使用非财政拨款结余：指事业单位使用非财政拨款结余（原事业基金）弥补当年收支差额的数额。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十四、年初结转和结余：指单位上年结转本年使用的基本支出结转、 项目支出结转和结余和经营结余。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十五、结余分配：指事业单位按规定对非财政拨款结余资金提取的专 用基金、缴纳的所得税和转入非财政拨款结余等。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十六、年末结转和结余资金：指本年度或以前年度预算安排、因客观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条件发生变化无法按原计划实施，需要延迟到以后年度按有关规定继续使用的资金。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十七、基本支出：指为保障机构正常运转、完成日常工作任务而发生的支出，包括人员经费和公用经费。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十八、公共安全支出（类）公安（款）行政运行（项）：反映行政单位（包括实行公务员管理的事业单位）的基本 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十九、公共安全支出（类）公安（款）一般行政管理事务（项）：反映行政单位（包括实行公务员管理的事业单位）未单独 设置项级科目的其他项目支出。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二十、公共安全支出（类）公安（款）执法办案（项）：反映公安机关从事行政执法、刑事司法及侦查办案等相关活 动的支出。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二十一、公共安全支出（类）公安（款）特别业务（项）：反映公安机关开展特别业务工作的相关支出。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二十二、公共安全支出（类）公安（款）其他公安支出（项）：反映除上述项目以外其他用于公安方面的支出。 </w:t>
      </w:r>
    </w:p>
    <w:p>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二十三、社会保障和就业支出（类）行政事业单位养老支出（款）机关事业单位基本养老保险缴费支出（项）：反映机关事业单位实施养老保险制度由单位缴纳的基本养老保险费支出。 </w:t>
      </w:r>
    </w:p>
    <w:p>
      <w:pPr>
        <w:pStyle w:val="12"/>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    二十四、卫生健康支出（类）行政事业单位医疗（款）行政单位医疗（项）： 反映财政部门安排的行政单位（包括实行公务员管理的事业 单位，下同） 基本医疗保险缴费经费，未参加医疗保险的行政 单位的公费医疗经费， </w:t>
      </w:r>
      <w:r>
        <w:rPr>
          <w:rFonts w:hint="eastAsia" w:ascii="Times New Roman" w:hAnsi="Times New Roman" w:eastAsia="仿宋_GB2312" w:cs="黑体"/>
          <w:color w:val="auto"/>
          <w:kern w:val="0"/>
          <w:sz w:val="32"/>
          <w:szCs w:val="32"/>
          <w:lang w:val="en-US" w:eastAsia="zh-CN" w:bidi="ar-SA"/>
        </w:rPr>
        <w:t>按国家规定享受离休人员、红军老战士 待遇人员的医疗经费。</w:t>
      </w:r>
    </w:p>
    <w:p>
      <w:pPr>
        <w:pStyle w:val="12"/>
        <w:jc w:val="center"/>
        <w:rPr>
          <w:rFonts w:hint="eastAsia" w:ascii="Times New Roman" w:hAnsi="Times New Roman" w:eastAsia="仿宋_GB2312" w:cs="黑体"/>
          <w:color w:val="auto"/>
          <w:kern w:val="0"/>
          <w:sz w:val="32"/>
          <w:szCs w:val="32"/>
          <w:lang w:val="en-US" w:eastAsia="zh-CN" w:bidi="ar-SA"/>
        </w:rPr>
      </w:pPr>
    </w:p>
    <w:p>
      <w:pPr>
        <w:pStyle w:val="12"/>
        <w:jc w:val="center"/>
        <w:rPr>
          <w:rFonts w:hint="eastAsia" w:ascii="Times New Roman" w:hAnsi="Times New Roman" w:eastAsia="仿宋_GB2312" w:cs="黑体"/>
          <w:color w:val="auto"/>
          <w:kern w:val="0"/>
          <w:sz w:val="32"/>
          <w:szCs w:val="32"/>
          <w:lang w:val="en-US" w:eastAsia="zh-CN" w:bidi="ar-SA"/>
        </w:rPr>
      </w:pPr>
    </w:p>
    <w:p>
      <w:pPr>
        <w:pStyle w:val="12"/>
        <w:jc w:val="center"/>
        <w:rPr>
          <w:rFonts w:hint="eastAsia" w:ascii="Times New Roman" w:hAnsi="Times New Roman" w:eastAsia="仿宋_GB2312" w:cs="黑体"/>
          <w:color w:val="auto"/>
          <w:kern w:val="0"/>
          <w:sz w:val="32"/>
          <w:szCs w:val="32"/>
          <w:lang w:val="en-US" w:eastAsia="zh-CN" w:bidi="ar-SA"/>
        </w:rPr>
      </w:pPr>
    </w:p>
    <w:p>
      <w:pPr>
        <w:pStyle w:val="12"/>
        <w:jc w:val="center"/>
        <w:rPr>
          <w:rFonts w:hint="eastAsia" w:ascii="Times New Roman" w:hAnsi="Times New Roman" w:eastAsia="仿宋_GB2312" w:cs="黑体"/>
          <w:color w:val="auto"/>
          <w:kern w:val="0"/>
          <w:sz w:val="32"/>
          <w:szCs w:val="32"/>
          <w:lang w:val="en-US" w:eastAsia="zh-CN" w:bidi="ar-SA"/>
        </w:rPr>
      </w:pPr>
    </w:p>
    <w:p>
      <w:pPr>
        <w:pStyle w:val="12"/>
        <w:jc w:val="center"/>
        <w:rPr>
          <w:rFonts w:hint="eastAsia" w:ascii="Times New Roman" w:hAnsi="Times New Roman" w:eastAsia="仿宋_GB2312" w:cs="黑体"/>
          <w:color w:val="auto"/>
          <w:kern w:val="0"/>
          <w:sz w:val="32"/>
          <w:szCs w:val="32"/>
          <w:lang w:val="en-US" w:eastAsia="zh-CN" w:bidi="ar-SA"/>
        </w:rPr>
      </w:pPr>
    </w:p>
    <w:p>
      <w:pPr>
        <w:pStyle w:val="12"/>
        <w:jc w:val="center"/>
        <w:rPr>
          <w:rFonts w:hint="eastAsia" w:ascii="Times New Roman" w:hAnsi="Times New Roman" w:eastAsia="仿宋_GB2312" w:cs="黑体"/>
          <w:color w:val="auto"/>
          <w:kern w:val="0"/>
          <w:sz w:val="32"/>
          <w:szCs w:val="32"/>
          <w:lang w:val="en-US" w:eastAsia="zh-CN" w:bidi="ar-SA"/>
        </w:rPr>
      </w:pPr>
    </w:p>
    <w:p>
      <w:pPr>
        <w:rPr>
          <w:sz w:val="72"/>
          <w:szCs w:val="72"/>
        </w:rPr>
      </w:pPr>
      <w:r>
        <w:rPr>
          <w:rFonts w:hint="eastAsia" w:ascii="Times New Roman" w:hAnsi="Times New Roman" w:eastAsia="仿宋_GB2312" w:cs="黑体"/>
          <w:color w:val="auto"/>
          <w:kern w:val="0"/>
          <w:sz w:val="32"/>
          <w:szCs w:val="32"/>
          <w:lang w:val="en-US" w:eastAsia="zh-CN" w:bidi="ar-SA"/>
        </w:rPr>
        <w:br w:type="page"/>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bookmarkStart w:id="3" w:name="_GoBack"/>
      <w:bookmarkEnd w:id="3"/>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8E29B"/>
    <w:multiLevelType w:val="singleLevel"/>
    <w:tmpl w:val="A0B8E29B"/>
    <w:lvl w:ilvl="0" w:tentative="0">
      <w:start w:val="3"/>
      <w:numFmt w:val="decimal"/>
      <w:lvlText w:val="%1."/>
      <w:lvlJc w:val="left"/>
      <w:pPr>
        <w:tabs>
          <w:tab w:val="left" w:pos="312"/>
        </w:tabs>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GFlZmVlM2UxNTBiYzI3MDE3MTIzNjllYjVkNDk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EE597D"/>
    <w:rsid w:val="0C6A3B70"/>
    <w:rsid w:val="107908B6"/>
    <w:rsid w:val="1D3E4355"/>
    <w:rsid w:val="1D97DEFF"/>
    <w:rsid w:val="1DFF72E5"/>
    <w:rsid w:val="1EFC6F07"/>
    <w:rsid w:val="26BE34E7"/>
    <w:rsid w:val="2EAE3F7F"/>
    <w:rsid w:val="2FDF85B8"/>
    <w:rsid w:val="2FFFEE04"/>
    <w:rsid w:val="34DF85B0"/>
    <w:rsid w:val="3B8F36BC"/>
    <w:rsid w:val="491FF225"/>
    <w:rsid w:val="4A0A510F"/>
    <w:rsid w:val="4FC4743C"/>
    <w:rsid w:val="4FFD214C"/>
    <w:rsid w:val="54DC4276"/>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7734</Words>
  <Characters>9354</Characters>
  <Lines>63</Lines>
  <Paragraphs>18</Paragraphs>
  <TotalTime>12</TotalTime>
  <ScaleCrop>false</ScaleCrop>
  <LinksUpToDate>false</LinksUpToDate>
  <CharactersWithSpaces>10297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2025-08-27T08:48:00Z</cp:lastPrinted>
  <dcterms:modified xsi:type="dcterms:W3CDTF">2025-08-27T09:45:50Z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6AA17A084C5E4B6FB859206C641B8FA6_13</vt:lpwstr>
  </property>
</Properties>
</file>