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LwJlDWAAAACgEAAA8AAAAAAAAAAQAgAAAAIgAAAGRycy9kb3du&#10;cmV2LnhtbFBLAQIUABQAAAAIAIdO4kBDKpePOgIAAEwEAAAOAAAAAAAAAAEAIAAAACUBAABkcnMv&#10;ZTJvRG9jLnhtbFBLBQYAAAAABgAGAFkBAADRBQ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5"/>
        <w:jc w:val="center"/>
        <w:rPr>
          <w:sz w:val="56"/>
          <w:szCs w:val="56"/>
        </w:rPr>
      </w:pPr>
    </w:p>
    <w:p>
      <w:pPr>
        <w:pStyle w:val="5"/>
        <w:jc w:val="center"/>
        <w:rPr>
          <w:sz w:val="84"/>
          <w:szCs w:val="84"/>
        </w:rPr>
      </w:pPr>
    </w:p>
    <w:p>
      <w:pPr>
        <w:pStyle w:val="5"/>
        <w:jc w:val="center"/>
        <w:rPr>
          <w:sz w:val="84"/>
          <w:szCs w:val="84"/>
        </w:rPr>
      </w:pPr>
    </w:p>
    <w:p>
      <w:pPr>
        <w:pStyle w:val="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道县医疗保障局</w:t>
      </w:r>
      <w:r>
        <w:rPr>
          <w:rFonts w:hint="eastAsia" w:ascii="方正小标宋_GBK" w:hAnsi="方正小标宋_GBK" w:eastAsia="方正小标宋_GBK" w:cs="方正小标宋_GBK"/>
          <w:sz w:val="84"/>
          <w:szCs w:val="84"/>
        </w:rPr>
        <w:t>部门决算</w:t>
      </w:r>
    </w:p>
    <w:p>
      <w:pPr>
        <w:pStyle w:val="5"/>
        <w:jc w:val="center"/>
        <w:rPr>
          <w:rFonts w:hint="eastAsia" w:ascii="方正小标宋_GBK" w:hAnsi="方正小标宋_GBK" w:eastAsia="方正小标宋_GBK" w:cs="方正小标宋_GBK"/>
          <w:sz w:val="56"/>
          <w:szCs w:val="56"/>
        </w:rPr>
      </w:pPr>
    </w:p>
    <w:p>
      <w:pPr>
        <w:pStyle w:val="5"/>
        <w:jc w:val="center"/>
        <w:rPr>
          <w:sz w:val="56"/>
          <w:szCs w:val="56"/>
        </w:rPr>
      </w:pPr>
    </w:p>
    <w:p>
      <w:pPr>
        <w:pStyle w:val="5"/>
        <w:jc w:val="center"/>
        <w:rPr>
          <w:sz w:val="56"/>
          <w:szCs w:val="56"/>
        </w:rPr>
      </w:pPr>
    </w:p>
    <w:p>
      <w:pPr>
        <w:pStyle w:val="5"/>
        <w:jc w:val="center"/>
        <w:rPr>
          <w:sz w:val="56"/>
          <w:szCs w:val="56"/>
        </w:rPr>
      </w:pPr>
    </w:p>
    <w:p>
      <w:pPr>
        <w:pStyle w:val="5"/>
        <w:jc w:val="center"/>
        <w:rPr>
          <w:sz w:val="32"/>
          <w:szCs w:val="32"/>
        </w:rPr>
      </w:pPr>
    </w:p>
    <w:p>
      <w:pPr>
        <w:pStyle w:val="5"/>
        <w:jc w:val="center"/>
        <w:rPr>
          <w:sz w:val="32"/>
          <w:szCs w:val="32"/>
        </w:rPr>
      </w:pPr>
    </w:p>
    <w:p>
      <w:pPr>
        <w:pStyle w:val="5"/>
        <w:jc w:val="center"/>
        <w:rPr>
          <w:sz w:val="32"/>
          <w:szCs w:val="32"/>
        </w:rPr>
      </w:pPr>
    </w:p>
    <w:p>
      <w:pPr>
        <w:pStyle w:val="5"/>
        <w:jc w:val="center"/>
        <w:rPr>
          <w:sz w:val="32"/>
          <w:szCs w:val="32"/>
        </w:rPr>
      </w:pPr>
    </w:p>
    <w:p>
      <w:pPr>
        <w:pStyle w:val="5"/>
        <w:jc w:val="center"/>
        <w:rPr>
          <w:sz w:val="32"/>
          <w:szCs w:val="32"/>
        </w:rPr>
      </w:pPr>
    </w:p>
    <w:p>
      <w:pPr>
        <w:pStyle w:val="5"/>
        <w:spacing w:line="540" w:lineRule="exact"/>
        <w:jc w:val="center"/>
        <w:rPr>
          <w:sz w:val="56"/>
          <w:szCs w:val="56"/>
        </w:rPr>
      </w:pPr>
    </w:p>
    <w:p>
      <w:pPr>
        <w:pStyle w:val="5"/>
        <w:spacing w:line="500" w:lineRule="exact"/>
        <w:jc w:val="both"/>
        <w:rPr>
          <w:b/>
          <w:sz w:val="36"/>
          <w:szCs w:val="28"/>
        </w:rPr>
      </w:pPr>
    </w:p>
    <w:p>
      <w:pPr>
        <w:pStyle w:val="5"/>
        <w:spacing w:line="500" w:lineRule="exact"/>
        <w:jc w:val="center"/>
        <w:rPr>
          <w:b/>
          <w:sz w:val="36"/>
          <w:szCs w:val="28"/>
        </w:rPr>
      </w:pPr>
      <w:r>
        <w:rPr>
          <w:rFonts w:hint="eastAsia"/>
          <w:b/>
          <w:sz w:val="36"/>
          <w:szCs w:val="28"/>
        </w:rPr>
        <w:t>目录</w:t>
      </w:r>
    </w:p>
    <w:p>
      <w:pPr>
        <w:pStyle w:val="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道县医疗保障局</w:t>
      </w:r>
      <w:r>
        <w:rPr>
          <w:rFonts w:hint="eastAsia" w:ascii="黑体" w:hAnsi="黑体" w:eastAsia="黑体" w:cs="黑体"/>
          <w:b w:val="0"/>
          <w:bCs/>
          <w:sz w:val="28"/>
          <w:szCs w:val="28"/>
        </w:rPr>
        <w:t>概况</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5"/>
        <w:jc w:val="center"/>
        <w:rPr>
          <w:rFonts w:hint="eastAsia" w:ascii="方正小标宋_GBK" w:hAnsi="方正小标宋_GBK" w:eastAsia="方正小标宋_GBK" w:cs="方正小标宋_GBK"/>
          <w:sz w:val="84"/>
          <w:szCs w:val="84"/>
        </w:rPr>
      </w:pPr>
    </w:p>
    <w:p>
      <w:pPr>
        <w:pStyle w:val="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道县医疗保障局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pStyle w:val="16"/>
        <w:numPr>
          <w:ilvl w:val="0"/>
          <w:numId w:val="0"/>
        </w:numPr>
        <w:jc w:val="left"/>
        <w:rPr>
          <w:rFonts w:hint="eastAsia" w:ascii="黑体" w:hAnsi="黑体" w:eastAsia="黑体" w:cs="黑体"/>
          <w:b w:val="0"/>
          <w:bCs w:val="0"/>
          <w:sz w:val="32"/>
          <w:szCs w:val="32"/>
          <w:lang w:val="en-US" w:eastAsia="zh-CN"/>
        </w:rPr>
      </w:pPr>
    </w:p>
    <w:p>
      <w:pPr>
        <w:pStyle w:val="16"/>
        <w:numPr>
          <w:ilvl w:val="0"/>
          <w:numId w:val="1"/>
        </w:numPr>
        <w:ind w:firstLine="640" w:firstLineChars="200"/>
        <w:jc w:val="left"/>
        <w:rPr>
          <w:rFonts w:hint="eastAsia" w:ascii="Times New Roman" w:hAnsi="Times New Roman" w:eastAsia="仿宋_GB2312" w:cs="仿宋_GB2312"/>
          <w:bCs/>
          <w:kern w:val="0"/>
          <w:sz w:val="32"/>
          <w:szCs w:val="32"/>
          <w:lang w:val="en-US" w:eastAsia="zh-CN"/>
        </w:rPr>
      </w:pPr>
      <w:r>
        <w:rPr>
          <w:rFonts w:hint="eastAsia" w:ascii="黑体" w:hAnsi="黑体" w:eastAsia="黑体" w:cs="黑体"/>
          <w:b w:val="0"/>
          <w:bCs w:val="0"/>
          <w:sz w:val="32"/>
          <w:szCs w:val="32"/>
        </w:rPr>
        <w:t>部门职责</w:t>
      </w:r>
    </w:p>
    <w:p>
      <w:pPr>
        <w:pStyle w:val="16"/>
        <w:numPr>
          <w:ilvl w:val="0"/>
          <w:numId w:val="0"/>
        </w:numPr>
        <w:ind w:firstLine="640" w:firstLineChars="200"/>
        <w:jc w:val="lef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（一）拟定全县医疗保险、生育保险、医疗救助等医疗保障制度的政策、规划和标准，并组织实施。</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（二）组织制定并实施全县医疗保障基金监督管理办法，监督管理相关医疗保障基金。建立健全医疗保障基金安全防控机制，推进医疗保障基金支付方式改革。</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三）组织制定全县医疗保障筹资和待遇政策，组织制定全县城乡居民大病保险政策，完善动态调整和区域内调剂平衡机制，统筹城乡医疗保障待遇标准，建立健全与筹资水平相适应的待遇调整机制。负责管理全县医疗救助资金的使用。组织拟定并实施长期护理保险制度改革方案。</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（四）贯彻落实国家、湖南省制定的药品、医用耗材、医疗服务项目、医疗服务设施等医保目录、支付标准。贯彻执行医保目录准入谈判规则。</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五）组织制定全县药品、医用耗材价格和医疗服务项目、医疗服务设施收费等政策，建立医保支付医药服务价格合理确定和动态调整机制，推动建立市场主导的社会医药服务体格形成机制，建立价格信息监测和信息发布制度。</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（六）根据国家、省、市药品、医用耗材的招标采购政策，监督实施全县药品、医用耗材招标采购工作。</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（七）制定全县定点医药机构协议和支付管理办法并组织实施，建立健全医疗保障信用评价体系和信息披露制度，监督管理纳入医保范围内的医疗服务行为和医疗费用，依法查处医疗保障领域违法违规行为。</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八）负责全县医疗保障经办管理、公共服务体系和信息化建设。指导、监督全县医疗保险、生育保险、大病保险、医疗救助等医疗保障经办业务工作。负责医疗保障行政审批事项。组织制定和完善异地就医管理和费用结算政策。建立健全医疗保障关系转移接续制度。开展医疗保障领域合作交流。</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（九）完成县委、县政府交办的其他工作。</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十）职能转变。县医保局应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（十一）与县卫生健康局的有关职责分工。县卫生健康局、县医保局等部门在医疗、医保、医药等方面加强制度、政策衔接，建立沟通协商机制，协同推进改革，提高医疗资源使用效率和医疗保障水平。</w:t>
      </w:r>
    </w:p>
    <w:p>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道县医疗保障局</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val="en-US" w:eastAsia="zh-CN"/>
        </w:rPr>
        <w:t>办公室、规划财务和法规股、待遇保障股、医药服务管理股、基金监管股共五个股室。</w:t>
      </w:r>
    </w:p>
    <w:p>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道县医疗保障局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道县医疗保障局</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5"/>
        <w:jc w:val="center"/>
        <w:rPr>
          <w:rFonts w:hint="eastAsia" w:ascii="方正小标宋_GBK" w:hAnsi="方正小标宋_GBK" w:eastAsia="方正小标宋_GBK" w:cs="方正小标宋_GBK"/>
          <w:sz w:val="84"/>
          <w:szCs w:val="84"/>
        </w:rPr>
      </w:pPr>
    </w:p>
    <w:p>
      <w:pPr>
        <w:pStyle w:val="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5"/>
        <w:jc w:val="center"/>
        <w:rPr>
          <w:rFonts w:hint="eastAsia" w:ascii="方正小标宋_GBK" w:hAnsi="方正小标宋_GBK" w:eastAsia="方正小标宋_GBK" w:cs="方正小标宋_GBK"/>
          <w:sz w:val="84"/>
          <w:szCs w:val="84"/>
        </w:rPr>
      </w:pPr>
    </w:p>
    <w:p>
      <w:pPr>
        <w:pStyle w:val="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2"/>
        <w:tblW w:w="14634" w:type="dxa"/>
        <w:tblInd w:w="278" w:type="dxa"/>
        <w:tblLayout w:type="fixed"/>
        <w:tblCellMar>
          <w:top w:w="0" w:type="dxa"/>
          <w:left w:w="0" w:type="dxa"/>
          <w:bottom w:w="0" w:type="dxa"/>
          <w:right w:w="0" w:type="dxa"/>
        </w:tblCellMar>
      </w:tblPr>
      <w:tblGrid>
        <w:gridCol w:w="90"/>
        <w:gridCol w:w="984"/>
        <w:gridCol w:w="1734"/>
        <w:gridCol w:w="870"/>
        <w:gridCol w:w="342"/>
        <w:gridCol w:w="966"/>
        <w:gridCol w:w="472"/>
        <w:gridCol w:w="992"/>
        <w:gridCol w:w="534"/>
        <w:gridCol w:w="1002"/>
        <w:gridCol w:w="1188"/>
        <w:gridCol w:w="1218"/>
        <w:gridCol w:w="258"/>
        <w:gridCol w:w="1938"/>
        <w:gridCol w:w="90"/>
        <w:gridCol w:w="1744"/>
        <w:gridCol w:w="212"/>
      </w:tblGrid>
      <w:tr>
        <w:tblPrEx>
          <w:tblCellMar>
            <w:top w:w="0" w:type="dxa"/>
            <w:left w:w="0" w:type="dxa"/>
            <w:bottom w:w="0" w:type="dxa"/>
            <w:right w:w="0" w:type="dxa"/>
          </w:tblCellMar>
        </w:tblPrEx>
        <w:trPr>
          <w:gridAfter w:val="1"/>
          <w:wAfter w:w="212" w:type="dxa"/>
          <w:trHeight w:val="435" w:hRule="atLeast"/>
        </w:trPr>
        <w:tc>
          <w:tcPr>
            <w:tcW w:w="14422" w:type="dxa"/>
            <w:gridSpan w:val="16"/>
            <w:tcBorders>
              <w:top w:val="nil"/>
              <w:left w:val="nil"/>
              <w:bottom w:val="nil"/>
              <w:right w:val="nil"/>
            </w:tcBorders>
            <w:shd w:val="clear" w:color="auto" w:fill="auto"/>
            <w:noWrap/>
            <w:tcMar>
              <w:top w:w="15" w:type="dxa"/>
              <w:left w:w="15" w:type="dxa"/>
              <w:bottom w:w="0" w:type="dxa"/>
              <w:right w:w="15" w:type="dxa"/>
            </w:tcMar>
            <w:vAlign w:val="center"/>
          </w:tcPr>
          <w:tbl>
            <w:tblPr>
              <w:tblStyle w:val="12"/>
              <w:tblW w:w="14153"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3"/>
              <w:gridCol w:w="582"/>
              <w:gridCol w:w="1335"/>
              <w:gridCol w:w="4773"/>
              <w:gridCol w:w="1547"/>
              <w:gridCol w:w="480"/>
              <w:gridCol w:w="576"/>
              <w:gridCol w:w="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13"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82"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35"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77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027"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223"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4153"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1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8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3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7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27"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公开01表</w:t>
                  </w:r>
                </w:p>
              </w:tc>
              <w:tc>
                <w:tcPr>
                  <w:tcW w:w="122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1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color w:val="000000"/>
                      <w:sz w:val="20"/>
                      <w:szCs w:val="20"/>
                      <w:lang w:val="en-US" w:eastAsia="zh-CN"/>
                    </w:rPr>
                    <w:t>道县医疗保障局</w:t>
                  </w:r>
                </w:p>
              </w:tc>
              <w:tc>
                <w:tcPr>
                  <w:tcW w:w="58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3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7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27" w:type="dxa"/>
                  <w:gridSpan w:val="2"/>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单位：万元</w:t>
                  </w:r>
                </w:p>
              </w:tc>
              <w:tc>
                <w:tcPr>
                  <w:tcW w:w="1223"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613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7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62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1552.69</w:t>
                  </w:r>
                </w:p>
              </w:tc>
              <w:tc>
                <w:tcPr>
                  <w:tcW w:w="47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七、社会保障和就业支出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八、卫生健康支出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1501.27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1552.69</w:t>
                  </w: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1552.69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62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7" w:type="dxa"/>
                <w:trHeight w:val="448" w:hRule="atLeast"/>
              </w:trPr>
              <w:tc>
                <w:tcPr>
                  <w:tcW w:w="4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1552.69</w:t>
                  </w:r>
                </w:p>
              </w:tc>
              <w:tc>
                <w:tcPr>
                  <w:tcW w:w="47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1552.69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153"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pPr>
                    <w:pStyle w:val="10"/>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8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1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2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9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1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286"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5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212" w:type="dxa"/>
          <w:trHeight w:val="90" w:hRule="atLeast"/>
        </w:trPr>
        <w:tc>
          <w:tcPr>
            <w:tcW w:w="3678"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rPr>
                <w:rFonts w:hint="default" w:ascii="宋体" w:hAnsi="宋体" w:cs="宋体" w:eastAsiaTheme="minorEastAsia"/>
                <w:color w:val="000000"/>
                <w:sz w:val="20"/>
                <w:szCs w:val="20"/>
                <w:lang w:val="en-US" w:eastAsia="zh-CN"/>
              </w:rPr>
            </w:pPr>
            <w:r>
              <w:rPr>
                <w:rFonts w:hint="eastAsia"/>
                <w:color w:val="000000"/>
                <w:sz w:val="20"/>
                <w:szCs w:val="20"/>
              </w:rPr>
              <w:t>部门：</w:t>
            </w:r>
            <w:r>
              <w:rPr>
                <w:rFonts w:hint="eastAsia"/>
                <w:color w:val="000000"/>
                <w:sz w:val="20"/>
                <w:szCs w:val="20"/>
                <w:lang w:val="en-US" w:eastAsia="zh-CN"/>
              </w:rPr>
              <w:t>道县医疗保障局</w:t>
            </w:r>
          </w:p>
          <w:p>
            <w:pPr>
              <w:jc w:val="right"/>
              <w:rPr>
                <w:rFonts w:ascii="宋体" w:hAnsi="宋体" w:eastAsia="宋体" w:cs="宋体"/>
                <w:sz w:val="24"/>
                <w:szCs w:val="24"/>
              </w:rPr>
            </w:pPr>
            <w:r>
              <w:rPr>
                <w:rFonts w:hint="eastAsia"/>
              </w:rPr>
              <w:t>　</w:t>
            </w:r>
          </w:p>
        </w:tc>
        <w:tc>
          <w:tcPr>
            <w:tcW w:w="130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6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18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212" w:type="dxa"/>
          <w:trHeight w:val="450" w:hRule="atLeast"/>
        </w:trPr>
        <w:tc>
          <w:tcPr>
            <w:tcW w:w="3678"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30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464"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3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1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9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83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212" w:type="dxa"/>
          <w:trHeight w:val="450" w:hRule="atLeast"/>
        </w:trPr>
        <w:tc>
          <w:tcPr>
            <w:tcW w:w="107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604"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3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6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212" w:type="dxa"/>
          <w:trHeight w:val="342" w:hRule="atLeast"/>
        </w:trPr>
        <w:tc>
          <w:tcPr>
            <w:tcW w:w="10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604"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6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212" w:type="dxa"/>
          <w:trHeight w:val="450" w:hRule="atLeast"/>
        </w:trPr>
        <w:tc>
          <w:tcPr>
            <w:tcW w:w="3678"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30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46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3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1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47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9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83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212" w:type="dxa"/>
          <w:trHeight w:val="450" w:hRule="atLeast"/>
        </w:trPr>
        <w:tc>
          <w:tcPr>
            <w:tcW w:w="3678"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cstheme="minorBidi"/>
                <w:kern w:val="2"/>
                <w:sz w:val="21"/>
                <w:szCs w:val="22"/>
                <w:lang w:val="en-US" w:eastAsia="zh-CN" w:bidi="ar-SA"/>
              </w:rPr>
              <w:t>1552.69</w:t>
            </w:r>
            <w:r>
              <w:rPr>
                <w:rFonts w:hint="eastAsia"/>
              </w:rPr>
              <w:t>　</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ind w:firstLine="420" w:firstLineChars="200"/>
              <w:jc w:val="right"/>
              <w:rPr>
                <w:rFonts w:ascii="宋体" w:hAnsi="宋体" w:eastAsia="宋体" w:cs="宋体"/>
                <w:kern w:val="2"/>
                <w:sz w:val="24"/>
                <w:szCs w:val="24"/>
                <w:lang w:val="en-US" w:eastAsia="zh-CN" w:bidi="ar-SA"/>
              </w:rPr>
            </w:pPr>
            <w:r>
              <w:rPr>
                <w:rFonts w:hint="eastAsia"/>
                <w:lang w:val="en-US" w:eastAsia="zh-CN"/>
              </w:rPr>
              <w:t>1552.69</w:t>
            </w:r>
            <w:r>
              <w:rPr>
                <w:rFonts w:hint="eastAsia"/>
              </w:rPr>
              <w:t>　</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208</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社会保障和就业支出</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51.43</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51.43</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20805</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行政事业单位养老支出</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50.90</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50.90</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2080505</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lang w:val="en-US" w:eastAsia="zh-CN"/>
              </w:rPr>
            </w:pPr>
            <w:r>
              <w:rPr>
                <w:rFonts w:hint="eastAsia"/>
                <w:lang w:val="en-US" w:eastAsia="zh-CN"/>
              </w:rPr>
              <w:t>机关事业单位基本养老保险缴费支出</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50.90</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50.90</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20899</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kern w:val="2"/>
                <w:sz w:val="24"/>
                <w:szCs w:val="24"/>
                <w:lang w:val="en-US" w:eastAsia="zh-CN" w:bidi="ar-SA"/>
              </w:rPr>
            </w:pPr>
            <w:r>
              <w:rPr>
                <w:rFonts w:hint="eastAsia"/>
                <w:lang w:val="en-US" w:eastAsia="zh-CN"/>
              </w:rPr>
              <w:t>其他社会保障和就业支出</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theme="minorBidi"/>
                <w:kern w:val="2"/>
                <w:sz w:val="21"/>
                <w:szCs w:val="22"/>
                <w:lang w:val="en-US" w:eastAsia="zh-CN" w:bidi="ar-SA"/>
              </w:rPr>
            </w:pPr>
            <w:r>
              <w:rPr>
                <w:rFonts w:hint="eastAsia" w:cstheme="minorBidi"/>
                <w:kern w:val="2"/>
                <w:sz w:val="21"/>
                <w:szCs w:val="22"/>
                <w:lang w:val="en-US" w:eastAsia="zh-CN" w:bidi="ar-SA"/>
              </w:rPr>
              <w:t>0.53</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theme="minorBidi"/>
                <w:kern w:val="2"/>
                <w:sz w:val="21"/>
                <w:szCs w:val="22"/>
                <w:lang w:val="en-US" w:eastAsia="zh-CN" w:bidi="ar-SA"/>
              </w:rPr>
            </w:pPr>
            <w:r>
              <w:rPr>
                <w:rFonts w:hint="eastAsia" w:cstheme="minorBidi"/>
                <w:kern w:val="2"/>
                <w:sz w:val="21"/>
                <w:szCs w:val="22"/>
                <w:lang w:val="en-US" w:eastAsia="zh-CN" w:bidi="ar-SA"/>
              </w:rPr>
              <w:t>0.53</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2089999</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kern w:val="2"/>
                <w:sz w:val="24"/>
                <w:szCs w:val="24"/>
                <w:lang w:val="en-US" w:eastAsia="zh-CN" w:bidi="ar-SA"/>
              </w:rPr>
            </w:pPr>
            <w:r>
              <w:rPr>
                <w:rFonts w:hint="eastAsia"/>
                <w:lang w:val="en-US" w:eastAsia="zh-CN"/>
              </w:rPr>
              <w:t>其他社会保障和就业支出</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theme="minorBidi"/>
                <w:kern w:val="2"/>
                <w:sz w:val="21"/>
                <w:szCs w:val="22"/>
                <w:lang w:val="en-US" w:eastAsia="zh-CN" w:bidi="ar-SA"/>
              </w:rPr>
            </w:pPr>
            <w:r>
              <w:rPr>
                <w:rFonts w:hint="eastAsia" w:cstheme="minorBidi"/>
                <w:kern w:val="2"/>
                <w:sz w:val="21"/>
                <w:szCs w:val="22"/>
                <w:lang w:val="en-US" w:eastAsia="zh-CN" w:bidi="ar-SA"/>
              </w:rPr>
              <w:t>0.53</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cstheme="minorBidi"/>
                <w:kern w:val="2"/>
                <w:sz w:val="21"/>
                <w:szCs w:val="22"/>
                <w:lang w:val="en-US" w:eastAsia="zh-CN" w:bidi="ar-SA"/>
              </w:rPr>
            </w:pPr>
            <w:r>
              <w:rPr>
                <w:rFonts w:hint="eastAsia" w:cstheme="minorBidi"/>
                <w:kern w:val="2"/>
                <w:sz w:val="21"/>
                <w:szCs w:val="22"/>
                <w:lang w:val="en-US" w:eastAsia="zh-CN" w:bidi="ar-SA"/>
              </w:rPr>
              <w:t>0.53</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卫生健康支出</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1501.27</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1501.27</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21011</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行政事业单位医疗</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27.68</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27.68</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kern w:val="2"/>
                <w:sz w:val="24"/>
                <w:szCs w:val="24"/>
                <w:lang w:val="en-US" w:eastAsia="zh-CN" w:bidi="ar-SA"/>
              </w:rPr>
            </w:pPr>
            <w:r>
              <w:rPr>
                <w:rFonts w:hint="eastAsia"/>
                <w:lang w:val="en-US" w:eastAsia="zh-CN"/>
              </w:rPr>
              <w:t>2101101</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kern w:val="2"/>
                <w:sz w:val="24"/>
                <w:szCs w:val="24"/>
                <w:lang w:val="en-US" w:eastAsia="zh-CN" w:bidi="ar-SA"/>
              </w:rPr>
            </w:pPr>
            <w:r>
              <w:rPr>
                <w:rFonts w:hint="eastAsia"/>
                <w:lang w:val="en-US" w:eastAsia="zh-CN"/>
              </w:rPr>
              <w:t>行政单位医疗</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27.68</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27.68</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21013</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医疗救助</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158.34</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158.34</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2101301</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城乡医疗救助</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81.34</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81.34</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2101399</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其他医疗救助支出</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77.00</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77.00</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21015</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医疗保障管理事务</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1315.24</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eastAsia="zh-CN"/>
              </w:rPr>
            </w:pPr>
            <w:r>
              <w:rPr>
                <w:rFonts w:hint="eastAsia"/>
                <w:lang w:val="en-US" w:eastAsia="zh-CN"/>
              </w:rPr>
              <w:t>1315.24</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2101501</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485.95</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485.95</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212" w:type="dxa"/>
          <w:trHeight w:val="579"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2101505</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医疗保障政策管理</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华文中宋" w:hAnsi="华文中宋" w:eastAsia="华文中宋" w:cs="宋体"/>
                <w:kern w:val="2"/>
                <w:sz w:val="24"/>
                <w:szCs w:val="24"/>
                <w:lang w:val="en-US" w:eastAsia="zh-CN" w:bidi="ar-SA"/>
              </w:rPr>
            </w:pPr>
            <w:r>
              <w:rPr>
                <w:rFonts w:hint="eastAsia" w:ascii="华文中宋" w:hAnsi="华文中宋" w:eastAsia="华文中宋" w:cs="宋体"/>
                <w:kern w:val="2"/>
                <w:sz w:val="24"/>
                <w:szCs w:val="24"/>
                <w:lang w:val="en-US" w:eastAsia="zh-CN" w:bidi="ar-SA"/>
              </w:rPr>
              <w:t>0.12</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0.12</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　</w:t>
            </w:r>
            <w:r>
              <w:rPr>
                <w:rFonts w:hint="eastAsia"/>
                <w:lang w:val="en-US" w:eastAsia="zh-CN"/>
              </w:rPr>
              <w:t>2101506</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lang w:val="en-US" w:eastAsia="zh-CN"/>
              </w:rPr>
            </w:pPr>
            <w:r>
              <w:rPr>
                <w:rFonts w:hint="eastAsia"/>
                <w:lang w:val="en-US" w:eastAsia="zh-CN"/>
              </w:rPr>
              <w:t>医疗保障经办事务</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华文中宋" w:hAnsi="华文中宋" w:eastAsia="华文中宋" w:cs="宋体"/>
                <w:kern w:val="2"/>
                <w:sz w:val="24"/>
                <w:szCs w:val="24"/>
                <w:lang w:val="en-US" w:eastAsia="zh-CN" w:bidi="ar-SA"/>
              </w:rPr>
            </w:pPr>
            <w:r>
              <w:rPr>
                <w:rFonts w:hint="eastAsia" w:ascii="宋体" w:hAnsi="宋体" w:eastAsia="宋体" w:cs="宋体"/>
                <w:kern w:val="2"/>
                <w:sz w:val="24"/>
                <w:szCs w:val="24"/>
                <w:lang w:val="en-US" w:eastAsia="zh-CN" w:bidi="ar-SA"/>
              </w:rPr>
              <w:t>7.70</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7.70</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　</w:t>
            </w: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　</w:t>
            </w: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　</w:t>
            </w: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　</w:t>
            </w: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　</w:t>
            </w:r>
          </w:p>
        </w:tc>
      </w:tr>
      <w:tr>
        <w:tblPrEx>
          <w:tblCellMar>
            <w:top w:w="0" w:type="dxa"/>
            <w:left w:w="0" w:type="dxa"/>
            <w:bottom w:w="0" w:type="dxa"/>
            <w:right w:w="0" w:type="dxa"/>
          </w:tblCellMar>
        </w:tblPrEx>
        <w:trPr>
          <w:gridAfter w:val="1"/>
          <w:wAfter w:w="212" w:type="dxa"/>
          <w:trHeight w:val="450" w:hRule="atLeast"/>
        </w:trPr>
        <w:tc>
          <w:tcPr>
            <w:tcW w:w="10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2101599</w:t>
            </w:r>
          </w:p>
        </w:tc>
        <w:tc>
          <w:tcPr>
            <w:tcW w:w="260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其他医疗保障管理事务支出</w:t>
            </w:r>
          </w:p>
        </w:tc>
        <w:tc>
          <w:tcPr>
            <w:tcW w:w="130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821.48</w:t>
            </w:r>
          </w:p>
        </w:tc>
        <w:tc>
          <w:tcPr>
            <w:tcW w:w="14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821.48</w:t>
            </w:r>
          </w:p>
        </w:tc>
        <w:tc>
          <w:tcPr>
            <w:tcW w:w="153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212" w:type="dxa"/>
          <w:trHeight w:val="615" w:hRule="atLeast"/>
        </w:trPr>
        <w:tc>
          <w:tcPr>
            <w:tcW w:w="14422" w:type="dxa"/>
            <w:gridSpan w:val="16"/>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2"/>
        <w:tblW w:w="14652" w:type="dxa"/>
        <w:tblInd w:w="377" w:type="dxa"/>
        <w:tblLayout w:type="fixed"/>
        <w:tblCellMar>
          <w:top w:w="0" w:type="dxa"/>
          <w:left w:w="108" w:type="dxa"/>
          <w:bottom w:w="0" w:type="dxa"/>
          <w:right w:w="108" w:type="dxa"/>
        </w:tblCellMar>
      </w:tblPr>
      <w:tblGrid>
        <w:gridCol w:w="952"/>
        <w:gridCol w:w="240"/>
        <w:gridCol w:w="2756"/>
        <w:gridCol w:w="1668"/>
        <w:gridCol w:w="1560"/>
        <w:gridCol w:w="1620"/>
        <w:gridCol w:w="1788"/>
        <w:gridCol w:w="1488"/>
        <w:gridCol w:w="2580"/>
      </w:tblGrid>
      <w:tr>
        <w:tblPrEx>
          <w:tblCellMar>
            <w:top w:w="0" w:type="dxa"/>
            <w:left w:w="108" w:type="dxa"/>
            <w:bottom w:w="0" w:type="dxa"/>
            <w:right w:w="108" w:type="dxa"/>
          </w:tblCellMar>
        </w:tblPrEx>
        <w:trPr>
          <w:trHeight w:val="807" w:hRule="atLeast"/>
        </w:trPr>
        <w:tc>
          <w:tcPr>
            <w:tcW w:w="14652"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8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583" w:hRule="atLeast"/>
        </w:trPr>
        <w:tc>
          <w:tcPr>
            <w:tcW w:w="95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8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94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5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19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7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16" w:hRule="atLeast"/>
        </w:trPr>
        <w:tc>
          <w:tcPr>
            <w:tcW w:w="119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39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6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8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8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5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9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6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1552.69</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945.10</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607.59</w:t>
            </w: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208</w:t>
            </w:r>
          </w:p>
        </w:tc>
        <w:tc>
          <w:tcPr>
            <w:tcW w:w="2756" w:type="dxa"/>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社会保障和就业支出</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51.43</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51.43</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20805</w:t>
            </w:r>
          </w:p>
        </w:tc>
        <w:tc>
          <w:tcPr>
            <w:tcW w:w="275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行政事业单位养老支出</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50.90</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50.90</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2080505</w:t>
            </w:r>
          </w:p>
        </w:tc>
        <w:tc>
          <w:tcPr>
            <w:tcW w:w="2756"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机关事业单位基本养老保险缴费支出</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50.90</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50.90</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20899</w:t>
            </w:r>
          </w:p>
        </w:tc>
        <w:tc>
          <w:tcPr>
            <w:tcW w:w="2756" w:type="dxa"/>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其他社会保障和就业支出</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0.53</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0.53</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2089999</w:t>
            </w:r>
          </w:p>
        </w:tc>
        <w:tc>
          <w:tcPr>
            <w:tcW w:w="2756" w:type="dxa"/>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其他社会保障和就业支出</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0.53</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0.53</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210</w:t>
            </w:r>
          </w:p>
        </w:tc>
        <w:tc>
          <w:tcPr>
            <w:tcW w:w="2756" w:type="dxa"/>
            <w:tcBorders>
              <w:top w:val="nil"/>
              <w:left w:val="nil"/>
              <w:bottom w:val="single" w:color="auto" w:sz="4" w:space="0"/>
              <w:right w:val="single" w:color="auto" w:sz="4" w:space="0"/>
            </w:tcBorders>
            <w:shd w:val="clear" w:color="000000" w:fill="FFFFFF"/>
            <w:noWrap/>
            <w:vAlign w:val="center"/>
          </w:tcPr>
          <w:p>
            <w:pPr>
              <w:rPr>
                <w:rFonts w:hint="default" w:ascii="宋体" w:hAnsi="宋体" w:eastAsia="宋体" w:cs="宋体"/>
                <w:kern w:val="0"/>
                <w:sz w:val="24"/>
                <w:szCs w:val="24"/>
                <w:lang w:val="en-US" w:eastAsia="zh-CN"/>
              </w:rPr>
            </w:pPr>
            <w:r>
              <w:rPr>
                <w:rFonts w:hint="eastAsia"/>
                <w:lang w:val="en-US" w:eastAsia="zh-CN"/>
              </w:rPr>
              <w:t>卫生健康支出</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1501.27</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893.67</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607.59</w:t>
            </w: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21011</w:t>
            </w:r>
          </w:p>
        </w:tc>
        <w:tc>
          <w:tcPr>
            <w:tcW w:w="2756"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行政事业单位医疗</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27.68</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27.68</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2101101</w:t>
            </w:r>
          </w:p>
        </w:tc>
        <w:tc>
          <w:tcPr>
            <w:tcW w:w="2756"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行政单位医疗</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27.68</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27.68</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21013</w:t>
            </w:r>
          </w:p>
        </w:tc>
        <w:tc>
          <w:tcPr>
            <w:tcW w:w="2756"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医疗救助</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158.34</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77.00</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81.34</w:t>
            </w: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2101301</w:t>
            </w:r>
          </w:p>
        </w:tc>
        <w:tc>
          <w:tcPr>
            <w:tcW w:w="2756"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城乡医疗救助</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81.34</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lang w:val="en-US" w:eastAsia="zh-CN"/>
              </w:rPr>
            </w:pP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81.34</w:t>
            </w: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2101399</w:t>
            </w:r>
          </w:p>
        </w:tc>
        <w:tc>
          <w:tcPr>
            <w:tcW w:w="2756"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其他医疗救助支出</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77.00</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77.00</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21015</w:t>
            </w:r>
          </w:p>
        </w:tc>
        <w:tc>
          <w:tcPr>
            <w:tcW w:w="2756"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医疗保障管理事务</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1315.24</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788.99</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526.25</w:t>
            </w: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2101501</w:t>
            </w:r>
          </w:p>
        </w:tc>
        <w:tc>
          <w:tcPr>
            <w:tcW w:w="2756"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行政运行</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485.95</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485.95</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2101505</w:t>
            </w:r>
          </w:p>
        </w:tc>
        <w:tc>
          <w:tcPr>
            <w:tcW w:w="2756"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rPr>
            </w:pPr>
            <w:r>
              <w:rPr>
                <w:rFonts w:hint="eastAsia"/>
                <w:lang w:val="en-US" w:eastAsia="zh-CN"/>
              </w:rPr>
              <w:t>医疗保障政策管理</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0.12</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0.12</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bidi="ar-SA"/>
              </w:rPr>
            </w:pPr>
            <w:r>
              <w:rPr>
                <w:rFonts w:hint="eastAsia"/>
                <w:lang w:val="en-US" w:eastAsia="zh-CN"/>
              </w:rPr>
              <w:t>2101506</w:t>
            </w:r>
          </w:p>
        </w:tc>
        <w:tc>
          <w:tcPr>
            <w:tcW w:w="2756"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lang w:val="en-US" w:eastAsia="zh-CN" w:bidi="ar-SA"/>
              </w:rPr>
            </w:pPr>
            <w:r>
              <w:rPr>
                <w:rFonts w:hint="eastAsia"/>
                <w:lang w:val="en-US" w:eastAsia="zh-CN"/>
              </w:rPr>
              <w:t>医疗保障经办事务</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7.70</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7.70</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bidi="ar-SA"/>
              </w:rPr>
            </w:pP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595" w:hRule="atLeast"/>
        </w:trPr>
        <w:tc>
          <w:tcPr>
            <w:tcW w:w="119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2101599</w:t>
            </w:r>
          </w:p>
        </w:tc>
        <w:tc>
          <w:tcPr>
            <w:tcW w:w="2756"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其他医疗保障管理事务支出</w:t>
            </w:r>
          </w:p>
        </w:tc>
        <w:tc>
          <w:tcPr>
            <w:tcW w:w="1668" w:type="dxa"/>
            <w:tcBorders>
              <w:top w:val="nil"/>
              <w:left w:val="nil"/>
              <w:bottom w:val="single" w:color="auto" w:sz="4" w:space="0"/>
              <w:right w:val="single" w:color="auto" w:sz="4" w:space="0"/>
            </w:tcBorders>
            <w:shd w:val="clear" w:color="auto" w:fill="auto"/>
            <w:noWrap/>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821.48</w:t>
            </w:r>
          </w:p>
        </w:tc>
        <w:tc>
          <w:tcPr>
            <w:tcW w:w="1560" w:type="dxa"/>
            <w:tcBorders>
              <w:top w:val="nil"/>
              <w:left w:val="nil"/>
              <w:bottom w:val="single" w:color="auto" w:sz="4" w:space="0"/>
              <w:right w:val="single" w:color="auto" w:sz="4" w:space="0"/>
            </w:tcBorders>
            <w:shd w:val="clear" w:color="auto" w:fill="auto"/>
            <w:noWrap/>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295.23</w:t>
            </w:r>
          </w:p>
        </w:tc>
        <w:tc>
          <w:tcPr>
            <w:tcW w:w="162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526.25</w:t>
            </w:r>
          </w:p>
        </w:tc>
        <w:tc>
          <w:tcPr>
            <w:tcW w:w="17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8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4652"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pStyle w:val="10"/>
        <w:rPr>
          <w:rFonts w:ascii="Times New Roman" w:hAnsi="Times New Roman" w:eastAsia="方正小标宋_GBK" w:cs="Times New Roman"/>
          <w:color w:val="000000"/>
          <w:kern w:val="0"/>
          <w:sz w:val="36"/>
          <w:szCs w:val="21"/>
        </w:rPr>
      </w:pPr>
    </w:p>
    <w:p>
      <w:pPr>
        <w:pStyle w:val="7"/>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pStyle w:val="3"/>
      </w:pPr>
    </w:p>
    <w:tbl>
      <w:tblPr>
        <w:tblStyle w:val="12"/>
        <w:tblW w:w="15521" w:type="dxa"/>
        <w:tblInd w:w="93" w:type="dxa"/>
        <w:tblLayout w:type="fixed"/>
        <w:tblCellMar>
          <w:top w:w="0" w:type="dxa"/>
          <w:left w:w="108" w:type="dxa"/>
          <w:bottom w:w="0" w:type="dxa"/>
          <w:right w:w="108" w:type="dxa"/>
        </w:tblCellMar>
      </w:tblPr>
      <w:tblGrid>
        <w:gridCol w:w="3595"/>
        <w:gridCol w:w="436"/>
        <w:gridCol w:w="1355"/>
        <w:gridCol w:w="219"/>
        <w:gridCol w:w="2915"/>
        <w:gridCol w:w="632"/>
        <w:gridCol w:w="435"/>
        <w:gridCol w:w="1573"/>
        <w:gridCol w:w="1394"/>
        <w:gridCol w:w="1394"/>
        <w:gridCol w:w="1573"/>
      </w:tblGrid>
      <w:tr>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6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rPr>
                <w:rFonts w:hint="default" w:ascii="宋体" w:hAnsi="宋体" w:cs="宋体" w:eastAsiaTheme="minorEastAsia"/>
                <w:color w:val="000000"/>
                <w:sz w:val="20"/>
                <w:szCs w:val="20"/>
                <w:lang w:val="en-US" w:eastAsia="zh-CN"/>
              </w:rPr>
            </w:pPr>
            <w:r>
              <w:rPr>
                <w:rFonts w:hint="eastAsia" w:ascii="宋体" w:hAnsi="宋体" w:eastAsia="宋体" w:cs="宋体"/>
                <w:color w:val="000000"/>
                <w:kern w:val="0"/>
                <w:sz w:val="20"/>
                <w:szCs w:val="20"/>
              </w:rPr>
              <w:t>部门：</w:t>
            </w:r>
            <w:r>
              <w:rPr>
                <w:rFonts w:hint="eastAsia"/>
                <w:color w:val="000000"/>
                <w:sz w:val="20"/>
                <w:szCs w:val="20"/>
                <w:lang w:val="en-US" w:eastAsia="zh-CN"/>
              </w:rPr>
              <w:t>道县医疗保障局</w:t>
            </w:r>
          </w:p>
          <w:p>
            <w:pPr>
              <w:widowControl/>
              <w:jc w:val="left"/>
              <w:rPr>
                <w:rFonts w:ascii="宋体" w:hAnsi="宋体" w:eastAsia="宋体" w:cs="宋体"/>
                <w:color w:val="000000"/>
                <w:kern w:val="0"/>
                <w:sz w:val="20"/>
                <w:szCs w:val="20"/>
              </w:rPr>
            </w:pP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76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38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35"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1552.69</w:t>
            </w: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51.43</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51.43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3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1501.27</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1501.27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1552.69</w:t>
            </w: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1552.69</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1552.69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3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1552.69</w:t>
            </w:r>
            <w:r>
              <w:rPr>
                <w:rFonts w:hint="eastAsia" w:ascii="宋体" w:hAnsi="宋体" w:eastAsia="宋体" w:cs="宋体"/>
                <w:kern w:val="0"/>
                <w:sz w:val="22"/>
              </w:rPr>
              <w:t>　</w:t>
            </w:r>
          </w:p>
        </w:tc>
        <w:tc>
          <w:tcPr>
            <w:tcW w:w="313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1552.69</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1552.69</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道县医疗保障局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1552.69</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945.10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607.59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eastAsia="宋体" w:cs="宋体"/>
                <w:kern w:val="0"/>
                <w:sz w:val="24"/>
                <w:szCs w:val="24"/>
                <w:lang w:val="en-US" w:eastAsia="zh-CN" w:bidi="ar-SA"/>
              </w:rPr>
            </w:pPr>
            <w:r>
              <w:rPr>
                <w:rFonts w:hint="eastAsia"/>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rPr>
                <w:rFonts w:hint="default" w:ascii="宋体" w:hAnsi="宋体" w:eastAsia="宋体" w:cs="宋体"/>
                <w:kern w:val="0"/>
                <w:sz w:val="24"/>
                <w:szCs w:val="24"/>
                <w:lang w:val="en-US" w:eastAsia="zh-CN" w:bidi="ar-SA"/>
              </w:rPr>
            </w:pPr>
            <w:r>
              <w:rPr>
                <w:rFonts w:hint="eastAsia"/>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51.43</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51.43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eastAsia="宋体" w:cs="宋体"/>
                <w:kern w:val="0"/>
                <w:sz w:val="24"/>
                <w:szCs w:val="24"/>
                <w:lang w:val="en-US" w:eastAsia="zh-CN" w:bidi="ar-SA"/>
              </w:rPr>
            </w:pPr>
            <w:r>
              <w:rPr>
                <w:rFonts w:hint="eastAsia"/>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0"/>
                <w:sz w:val="24"/>
                <w:szCs w:val="24"/>
                <w:lang w:val="en-US" w:eastAsia="zh-CN" w:bidi="ar-SA"/>
              </w:rPr>
            </w:pPr>
            <w:r>
              <w:rPr>
                <w:rFonts w:hint="eastAsia"/>
                <w:lang w:val="en-US"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50.90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50.90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ascii="宋体" w:hAnsi="宋体" w:eastAsia="宋体" w:cs="宋体"/>
                <w:kern w:val="0"/>
                <w:sz w:val="24"/>
                <w:szCs w:val="24"/>
                <w:lang w:val="en-US" w:eastAsia="zh-CN" w:bidi="ar-SA"/>
              </w:rPr>
            </w:pPr>
            <w:r>
              <w:rPr>
                <w:rFonts w:hint="eastAsia"/>
                <w:lang w:val="en-US" w:eastAsia="zh-CN"/>
              </w:rPr>
              <w:t>2080505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宋体"/>
                <w:kern w:val="0"/>
                <w:sz w:val="24"/>
                <w:szCs w:val="24"/>
                <w:lang w:val="en-US" w:eastAsia="zh-CN" w:bidi="ar-SA"/>
              </w:rPr>
            </w:pPr>
            <w:r>
              <w:rPr>
                <w:rFonts w:hint="eastAsia"/>
                <w:lang w:val="en-US" w:eastAsia="zh-CN"/>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50.90</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50.90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ascii="宋体" w:hAnsi="宋体" w:eastAsia="宋体" w:cs="宋体"/>
                <w:kern w:val="0"/>
                <w:sz w:val="24"/>
                <w:szCs w:val="24"/>
                <w:lang w:val="en-US" w:eastAsia="zh-CN" w:bidi="ar-SA"/>
              </w:rPr>
            </w:pPr>
            <w:r>
              <w:rPr>
                <w:rFonts w:hint="eastAsia"/>
                <w:lang w:val="en-US" w:eastAsia="zh-CN"/>
              </w:rPr>
              <w:t>20899</w:t>
            </w:r>
          </w:p>
        </w:tc>
        <w:tc>
          <w:tcPr>
            <w:tcW w:w="3527" w:type="dxa"/>
            <w:tcBorders>
              <w:top w:val="nil"/>
              <w:left w:val="nil"/>
              <w:bottom w:val="single" w:color="auto" w:sz="8" w:space="0"/>
              <w:right w:val="single" w:color="auto" w:sz="4" w:space="0"/>
            </w:tcBorders>
            <w:shd w:val="clear" w:color="auto" w:fill="auto"/>
            <w:vAlign w:val="center"/>
          </w:tcPr>
          <w:p>
            <w:pPr>
              <w:rPr>
                <w:rFonts w:hint="default" w:ascii="宋体" w:hAnsi="宋体" w:eastAsia="宋体" w:cs="宋体"/>
                <w:kern w:val="0"/>
                <w:sz w:val="24"/>
                <w:szCs w:val="24"/>
                <w:lang w:val="en-US" w:eastAsia="zh-CN" w:bidi="ar-SA"/>
              </w:rPr>
            </w:pPr>
            <w:r>
              <w:rPr>
                <w:rFonts w:hint="eastAsia"/>
                <w:lang w:val="en-US" w:eastAsia="zh-CN"/>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0.53</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0.53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ascii="宋体" w:hAnsi="宋体" w:eastAsia="宋体" w:cs="宋体"/>
                <w:kern w:val="0"/>
                <w:sz w:val="24"/>
                <w:szCs w:val="24"/>
                <w:lang w:val="en-US" w:eastAsia="zh-CN" w:bidi="ar-SA"/>
              </w:rPr>
            </w:pPr>
            <w:r>
              <w:rPr>
                <w:rFonts w:hint="eastAsia"/>
                <w:lang w:val="en-US" w:eastAsia="zh-CN"/>
              </w:rPr>
              <w:t>2089999</w:t>
            </w:r>
          </w:p>
        </w:tc>
        <w:tc>
          <w:tcPr>
            <w:tcW w:w="3527" w:type="dxa"/>
            <w:tcBorders>
              <w:top w:val="nil"/>
              <w:left w:val="nil"/>
              <w:bottom w:val="single" w:color="auto" w:sz="8" w:space="0"/>
              <w:right w:val="single" w:color="auto" w:sz="4" w:space="0"/>
            </w:tcBorders>
            <w:shd w:val="clear" w:color="auto" w:fill="auto"/>
            <w:vAlign w:val="center"/>
          </w:tcPr>
          <w:p>
            <w:pPr>
              <w:rPr>
                <w:rFonts w:hint="default" w:ascii="宋体" w:hAnsi="宋体" w:eastAsia="宋体" w:cs="宋体"/>
                <w:kern w:val="0"/>
                <w:sz w:val="24"/>
                <w:szCs w:val="24"/>
                <w:lang w:val="en-US" w:eastAsia="zh-CN" w:bidi="ar-SA"/>
              </w:rPr>
            </w:pPr>
            <w:r>
              <w:rPr>
                <w:rFonts w:hint="eastAsia"/>
                <w:lang w:val="en-US" w:eastAsia="zh-CN"/>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0.53</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0.53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ascii="宋体" w:hAnsi="宋体" w:eastAsia="宋体" w:cs="宋体"/>
                <w:kern w:val="0"/>
                <w:sz w:val="24"/>
                <w:szCs w:val="24"/>
                <w:lang w:val="en-US" w:eastAsia="zh-CN" w:bidi="ar-SA"/>
              </w:rPr>
            </w:pPr>
            <w:r>
              <w:rPr>
                <w:rFonts w:hint="eastAsia"/>
                <w:lang w:val="en-US" w:eastAsia="zh-CN"/>
              </w:rPr>
              <w:t>210</w:t>
            </w:r>
          </w:p>
        </w:tc>
        <w:tc>
          <w:tcPr>
            <w:tcW w:w="3527" w:type="dxa"/>
            <w:tcBorders>
              <w:top w:val="nil"/>
              <w:left w:val="nil"/>
              <w:bottom w:val="single" w:color="auto" w:sz="8" w:space="0"/>
              <w:right w:val="single" w:color="auto" w:sz="4" w:space="0"/>
            </w:tcBorders>
            <w:shd w:val="clear" w:color="auto" w:fill="auto"/>
            <w:vAlign w:val="center"/>
          </w:tcPr>
          <w:p>
            <w:pPr>
              <w:rPr>
                <w:rFonts w:hint="default" w:ascii="宋体" w:hAnsi="宋体" w:eastAsia="宋体" w:cs="宋体"/>
                <w:kern w:val="0"/>
                <w:sz w:val="24"/>
                <w:szCs w:val="24"/>
                <w:lang w:val="en-US" w:eastAsia="zh-CN" w:bidi="ar-SA"/>
              </w:rPr>
            </w:pPr>
            <w:r>
              <w:rPr>
                <w:rFonts w:hint="eastAsia"/>
                <w:lang w:val="en-US" w:eastAsia="zh-CN"/>
              </w:rPr>
              <w:t>卫生健康支出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1501.27</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893.67</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607.59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21011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行政事业单位医疗</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27.68</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27.68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2101101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行政单位医疗</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27.68</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27.68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21013</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医疗救助</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158.34</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81.34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2101301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城乡医疗救助</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81.34</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宋体"/>
                <w:kern w:val="0"/>
                <w:sz w:val="24"/>
                <w:szCs w:val="24"/>
                <w:lang w:val="en-US" w:eastAsia="zh-CN"/>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81.34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2101399</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其他医疗救助支出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77.00</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21015</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医疗保障管理事务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1315.24</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788.99</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526.25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2101501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485.95</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485.95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2101505</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医疗保障政策管理</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0.12</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0.12</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lang w:val="en-US" w:eastAsia="zh-CN"/>
              </w:rPr>
              <w:t>2101506</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bidi="ar-SA"/>
              </w:rPr>
            </w:pPr>
            <w:r>
              <w:rPr>
                <w:rFonts w:hint="eastAsia"/>
                <w:lang w:val="en-US" w:eastAsia="zh-CN"/>
              </w:rPr>
              <w:t>医疗保障经办事务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7.70</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7.70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2101599</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宋体" w:hAnsi="宋体" w:eastAsia="宋体" w:cs="宋体"/>
                <w:kern w:val="0"/>
                <w:sz w:val="24"/>
                <w:szCs w:val="24"/>
                <w:lang w:val="en-US" w:eastAsia="zh-CN"/>
              </w:rPr>
            </w:pPr>
            <w:r>
              <w:rPr>
                <w:rFonts w:hint="eastAsia"/>
                <w:lang w:val="en-US" w:eastAsia="zh-CN"/>
              </w:rPr>
              <w:t>其他医疗保障管理事务支出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821.48</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295.23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526.25</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15864" w:type="dxa"/>
        <w:tblInd w:w="0" w:type="dxa"/>
        <w:tblLayout w:type="fixed"/>
        <w:tblCellMar>
          <w:top w:w="0" w:type="dxa"/>
          <w:left w:w="108" w:type="dxa"/>
          <w:bottom w:w="0" w:type="dxa"/>
          <w:right w:w="108" w:type="dxa"/>
        </w:tblCellMar>
      </w:tblPr>
      <w:tblGrid>
        <w:gridCol w:w="1003"/>
        <w:gridCol w:w="240"/>
        <w:gridCol w:w="95"/>
        <w:gridCol w:w="1307"/>
        <w:gridCol w:w="2059"/>
        <w:gridCol w:w="60"/>
        <w:gridCol w:w="787"/>
        <w:gridCol w:w="1022"/>
        <w:gridCol w:w="310"/>
        <w:gridCol w:w="2006"/>
        <w:gridCol w:w="113"/>
        <w:gridCol w:w="737"/>
        <w:gridCol w:w="1021"/>
        <w:gridCol w:w="361"/>
        <w:gridCol w:w="2119"/>
        <w:gridCol w:w="1726"/>
        <w:gridCol w:w="394"/>
        <w:gridCol w:w="504"/>
      </w:tblGrid>
      <w:tr>
        <w:tblPrEx>
          <w:tblCellMar>
            <w:top w:w="0" w:type="dxa"/>
            <w:left w:w="108" w:type="dxa"/>
            <w:bottom w:w="0" w:type="dxa"/>
            <w:right w:w="108" w:type="dxa"/>
          </w:tblCellMar>
        </w:tblPrEx>
        <w:trPr>
          <w:trHeight w:val="113" w:hRule="atLeast"/>
        </w:trPr>
        <w:tc>
          <w:tcPr>
            <w:tcW w:w="1586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道县医疗保障局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510.01</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409.10</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183.43</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202.85</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lang w:val="en-US" w:eastAsia="zh-CN"/>
              </w:rPr>
            </w:pPr>
            <w:r>
              <w:rPr>
                <w:rFonts w:hint="eastAsia"/>
                <w:lang w:val="en-US" w:eastAsia="zh-CN"/>
              </w:rPr>
              <w:t>94.20</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8.50</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124.75</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25.99</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4.55</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21.05</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63.65</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1.99</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5.24</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27.68</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4.94</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2.66</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11.01</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9.09</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5.00</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0.26</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1.23</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18.03</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6.79</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25.83</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15.28</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22.25</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5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84.83</w:t>
            </w:r>
          </w:p>
        </w:tc>
        <w:tc>
          <w:tcPr>
            <w:tcW w:w="10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47"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510.01</w:t>
            </w:r>
          </w:p>
        </w:tc>
        <w:tc>
          <w:tcPr>
            <w:tcW w:w="9415"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9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435.09</w:t>
            </w:r>
          </w:p>
        </w:tc>
      </w:tr>
      <w:tr>
        <w:tblPrEx>
          <w:tblCellMar>
            <w:top w:w="0" w:type="dxa"/>
            <w:left w:w="108" w:type="dxa"/>
            <w:bottom w:w="0" w:type="dxa"/>
            <w:right w:w="108" w:type="dxa"/>
          </w:tblCellMar>
        </w:tblPrEx>
        <w:trPr>
          <w:trHeight w:val="284" w:hRule="exact"/>
        </w:trPr>
        <w:tc>
          <w:tcPr>
            <w:tcW w:w="1586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690" w:hRule="atLeast"/>
        </w:trPr>
        <w:tc>
          <w:tcPr>
            <w:tcW w:w="100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5"/>
        <w:rPr>
          <w:sz w:val="72"/>
          <w:szCs w:val="72"/>
        </w:rPr>
      </w:pPr>
    </w:p>
    <w:p>
      <w:pPr>
        <w:pStyle w:val="5"/>
        <w:rPr>
          <w:sz w:val="72"/>
          <w:szCs w:val="72"/>
        </w:rPr>
      </w:pPr>
    </w:p>
    <w:p>
      <w:pPr>
        <w:pStyle w:val="5"/>
        <w:rPr>
          <w:sz w:val="72"/>
          <w:szCs w:val="72"/>
        </w:rPr>
      </w:pPr>
    </w:p>
    <w:p>
      <w:pPr>
        <w:pStyle w:val="5"/>
        <w:rPr>
          <w:sz w:val="72"/>
          <w:szCs w:val="72"/>
        </w:rPr>
      </w:pPr>
    </w:p>
    <w:p>
      <w:pPr>
        <w:pStyle w:val="5"/>
        <w:jc w:val="center"/>
        <w:rPr>
          <w:sz w:val="72"/>
          <w:szCs w:val="72"/>
        </w:rPr>
      </w:pPr>
    </w:p>
    <w:p>
      <w:pPr>
        <w:pStyle w:val="5"/>
        <w:jc w:val="center"/>
        <w:rPr>
          <w:rFonts w:hint="eastAsia" w:ascii="方正小标宋_GBK" w:hAnsi="方正小标宋_GBK" w:eastAsia="方正小标宋_GBK" w:cs="方正小标宋_GBK"/>
          <w:sz w:val="72"/>
          <w:szCs w:val="72"/>
        </w:rPr>
      </w:pPr>
    </w:p>
    <w:p>
      <w:pPr>
        <w:pStyle w:val="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5"/>
        <w:jc w:val="center"/>
        <w:rPr>
          <w:rFonts w:hint="eastAsia" w:ascii="方正小标宋_GBK" w:hAnsi="方正小标宋_GBK" w:eastAsia="方正小标宋_GBK" w:cs="方正小标宋_GBK"/>
          <w:sz w:val="70"/>
          <w:szCs w:val="70"/>
        </w:rPr>
      </w:pPr>
    </w:p>
    <w:p>
      <w:pPr>
        <w:pStyle w:val="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2024年度收、支总计1552.69万元。与上年相比，减少4889.88万元，减少75.90%，主要是因为2024年的城乡医疗救助各级财政补助收入纳入县财政局决算。</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2024年度收入合计</w:t>
      </w:r>
      <w:r>
        <w:rPr>
          <w:rFonts w:hint="eastAsia" w:ascii="Times New Roman" w:hAnsi="Times New Roman" w:eastAsia="仿宋_GB2312" w:cs="仿宋_GB2312"/>
          <w:bCs/>
          <w:kern w:val="0"/>
          <w:sz w:val="32"/>
          <w:szCs w:val="32"/>
          <w:lang w:val="en-US" w:eastAsia="zh-CN"/>
        </w:rPr>
        <w:t>1552.69</w:t>
      </w:r>
      <w:r>
        <w:rPr>
          <w:rFonts w:hint="eastAsia" w:ascii="Times New Roman" w:hAnsi="Times New Roman" w:eastAsia="仿宋_GB2312" w:cs="仿宋_GB2312"/>
          <w:bCs/>
          <w:color w:val="auto"/>
          <w:kern w:val="0"/>
          <w:sz w:val="32"/>
          <w:szCs w:val="32"/>
          <w:lang w:val="en-US" w:eastAsia="zh-CN" w:bidi="ar-SA"/>
        </w:rPr>
        <w:t>万元，其中：财政拨款收入</w:t>
      </w:r>
      <w:r>
        <w:rPr>
          <w:rFonts w:hint="eastAsia" w:ascii="Times New Roman" w:hAnsi="Times New Roman" w:eastAsia="仿宋_GB2312" w:cs="仿宋_GB2312"/>
          <w:bCs/>
          <w:kern w:val="0"/>
          <w:sz w:val="32"/>
          <w:szCs w:val="32"/>
          <w:lang w:val="en-US" w:eastAsia="zh-CN"/>
        </w:rPr>
        <w:t>1552.69</w:t>
      </w:r>
      <w:r>
        <w:rPr>
          <w:rFonts w:hint="eastAsia" w:ascii="Times New Roman" w:hAnsi="Times New Roman" w:eastAsia="仿宋_GB2312" w:cs="仿宋_GB2312"/>
          <w:bCs/>
          <w:color w:val="auto"/>
          <w:kern w:val="0"/>
          <w:sz w:val="32"/>
          <w:szCs w:val="32"/>
          <w:lang w:val="en-US" w:eastAsia="zh-CN" w:bidi="ar-SA"/>
        </w:rPr>
        <w:t>万元，占100%；上级补助收入0万元，占0%；事业收入0万元，占0%；经营收入0万元，占0%；附属单位上缴收入0万元，占0%；其他收入0万元，占0%。</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2024年度支出合计</w:t>
      </w:r>
      <w:r>
        <w:rPr>
          <w:rFonts w:hint="eastAsia" w:ascii="Times New Roman" w:hAnsi="Times New Roman" w:eastAsia="仿宋_GB2312" w:cs="仿宋_GB2312"/>
          <w:bCs/>
          <w:kern w:val="0"/>
          <w:sz w:val="32"/>
          <w:szCs w:val="32"/>
          <w:lang w:val="en-US" w:eastAsia="zh-CN"/>
        </w:rPr>
        <w:t>1552.69</w:t>
      </w:r>
      <w:r>
        <w:rPr>
          <w:rFonts w:hint="eastAsia" w:ascii="Times New Roman" w:hAnsi="Times New Roman" w:eastAsia="仿宋_GB2312" w:cs="仿宋_GB2312"/>
          <w:bCs/>
          <w:color w:val="auto"/>
          <w:kern w:val="0"/>
          <w:sz w:val="32"/>
          <w:szCs w:val="32"/>
          <w:lang w:val="en-US" w:eastAsia="zh-CN" w:bidi="ar-SA"/>
        </w:rPr>
        <w:t>万元，其中：基本支出945.10万元，占60.87%；项目支出607.59万元，占39.13%；上缴上级支出0万元，占0%；经营支出0万元，占0%；对附属单位补助支出0万元，占0%。</w:t>
      </w:r>
    </w:p>
    <w:p>
      <w:pPr>
        <w:pStyle w:val="5"/>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财政拨款收入支出决算总体情况说明</w:t>
      </w:r>
    </w:p>
    <w:p>
      <w:pPr>
        <w:pStyle w:val="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 xml:space="preserve"> 2024年度财政拨款收、支总计</w:t>
      </w:r>
      <w:r>
        <w:rPr>
          <w:rFonts w:hint="eastAsia" w:ascii="Times New Roman" w:hAnsi="Times New Roman" w:eastAsia="仿宋_GB2312" w:cs="仿宋_GB2312"/>
          <w:bCs/>
          <w:kern w:val="0"/>
          <w:sz w:val="32"/>
          <w:szCs w:val="32"/>
          <w:lang w:val="en-US" w:eastAsia="zh-CN"/>
        </w:rPr>
        <w:t>1552.69</w:t>
      </w:r>
      <w:r>
        <w:rPr>
          <w:rFonts w:hint="eastAsia" w:ascii="Times New Roman" w:hAnsi="Times New Roman" w:eastAsia="仿宋_GB2312" w:cs="仿宋_GB2312"/>
          <w:bCs/>
          <w:color w:val="auto"/>
          <w:kern w:val="0"/>
          <w:sz w:val="32"/>
          <w:szCs w:val="32"/>
          <w:lang w:val="en-US" w:eastAsia="zh-CN" w:bidi="ar-SA"/>
        </w:rPr>
        <w:t>万元，与上年相比，减少</w:t>
      </w:r>
      <w:r>
        <w:rPr>
          <w:rFonts w:hint="eastAsia" w:ascii="Times New Roman" w:hAnsi="Times New Roman" w:eastAsia="仿宋_GB2312" w:cs="仿宋_GB2312"/>
          <w:bCs/>
          <w:kern w:val="0"/>
          <w:sz w:val="32"/>
          <w:szCs w:val="32"/>
          <w:lang w:val="en-US" w:eastAsia="zh-CN"/>
        </w:rPr>
        <w:t>4889.88</w:t>
      </w:r>
      <w:r>
        <w:rPr>
          <w:rFonts w:hint="eastAsia" w:ascii="Times New Roman" w:hAnsi="Times New Roman" w:eastAsia="仿宋_GB2312" w:cs="仿宋_GB2312"/>
          <w:bCs/>
          <w:color w:val="auto"/>
          <w:kern w:val="0"/>
          <w:sz w:val="32"/>
          <w:szCs w:val="32"/>
          <w:lang w:val="en-US" w:eastAsia="zh-CN" w:bidi="ar-SA"/>
        </w:rPr>
        <w:t>万元,</w:t>
      </w:r>
      <w:r>
        <w:rPr>
          <w:rFonts w:hint="eastAsia" w:ascii="Times New Roman" w:hAnsi="Times New Roman" w:eastAsia="仿宋_GB2312" w:cs="仿宋_GB2312"/>
          <w:bCs/>
          <w:kern w:val="0"/>
          <w:sz w:val="32"/>
          <w:szCs w:val="32"/>
          <w:lang w:val="en-US" w:eastAsia="zh-CN"/>
        </w:rPr>
        <w:t>减少75.90%，主要是因为2024年的城乡医疗救助各级财政补助收入纳入县财政局决算。</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2024年度财政拨款支出</w:t>
      </w:r>
      <w:r>
        <w:rPr>
          <w:rFonts w:hint="eastAsia" w:ascii="Times New Roman" w:hAnsi="Times New Roman" w:eastAsia="仿宋_GB2312" w:cs="仿宋_GB2312"/>
          <w:bCs/>
          <w:kern w:val="0"/>
          <w:sz w:val="32"/>
          <w:szCs w:val="32"/>
          <w:lang w:val="en-US" w:eastAsia="zh-CN"/>
        </w:rPr>
        <w:t>1552.69</w:t>
      </w:r>
      <w:r>
        <w:rPr>
          <w:rFonts w:hint="eastAsia" w:ascii="Times New Roman" w:hAnsi="Times New Roman" w:eastAsia="仿宋_GB2312" w:cs="仿宋_GB2312"/>
          <w:bCs/>
          <w:color w:val="auto"/>
          <w:kern w:val="0"/>
          <w:sz w:val="32"/>
          <w:szCs w:val="32"/>
          <w:lang w:val="en-US" w:eastAsia="zh-CN" w:bidi="ar-SA"/>
        </w:rPr>
        <w:t>万元，占本年支出合计的100%，与上年相比，财政拨款支出减少34100.58万元，减少</w:t>
      </w:r>
      <w:r>
        <w:rPr>
          <w:rFonts w:hint="eastAsia" w:ascii="Times New Roman" w:hAnsi="Times New Roman" w:eastAsia="仿宋_GB2312" w:cs="仿宋_GB2312"/>
          <w:bCs/>
          <w:kern w:val="0"/>
          <w:sz w:val="32"/>
          <w:szCs w:val="32"/>
          <w:lang w:val="en-US" w:eastAsia="zh-CN"/>
        </w:rPr>
        <w:t>4889.88</w:t>
      </w:r>
      <w:r>
        <w:rPr>
          <w:rFonts w:hint="eastAsia" w:ascii="Times New Roman" w:hAnsi="Times New Roman" w:eastAsia="仿宋_GB2312" w:cs="仿宋_GB2312"/>
          <w:bCs/>
          <w:color w:val="auto"/>
          <w:kern w:val="0"/>
          <w:sz w:val="32"/>
          <w:szCs w:val="32"/>
          <w:lang w:val="en-US" w:eastAsia="zh-CN" w:bidi="ar-SA"/>
        </w:rPr>
        <w:t>万元,</w:t>
      </w:r>
      <w:r>
        <w:rPr>
          <w:rFonts w:hint="eastAsia" w:ascii="Times New Roman" w:hAnsi="Times New Roman" w:eastAsia="仿宋_GB2312" w:cs="仿宋_GB2312"/>
          <w:bCs/>
          <w:kern w:val="0"/>
          <w:sz w:val="32"/>
          <w:szCs w:val="32"/>
          <w:lang w:val="en-US" w:eastAsia="zh-CN"/>
        </w:rPr>
        <w:t>减少75.90%，主要是因为2024年的城乡医疗救助各级财政补助收入纳入县财政局决算。</w:t>
      </w:r>
    </w:p>
    <w:p>
      <w:pPr>
        <w:pStyle w:val="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widowControl/>
        <w:spacing w:line="600" w:lineRule="exact"/>
        <w:ind w:firstLine="640" w:firstLineChars="200"/>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2024年度财政拨款支出</w:t>
      </w:r>
      <w:r>
        <w:rPr>
          <w:rFonts w:hint="eastAsia" w:ascii="Times New Roman" w:hAnsi="Times New Roman" w:eastAsia="仿宋_GB2312" w:cs="仿宋_GB2312"/>
          <w:bCs/>
          <w:kern w:val="0"/>
          <w:sz w:val="32"/>
          <w:szCs w:val="32"/>
          <w:lang w:val="en-US" w:eastAsia="zh-CN"/>
        </w:rPr>
        <w:t>1552.69</w:t>
      </w:r>
      <w:r>
        <w:rPr>
          <w:rFonts w:hint="eastAsia" w:ascii="Times New Roman" w:hAnsi="Times New Roman" w:eastAsia="仿宋_GB2312" w:cs="仿宋_GB2312"/>
          <w:bCs/>
          <w:color w:val="auto"/>
          <w:kern w:val="0"/>
          <w:sz w:val="32"/>
          <w:szCs w:val="32"/>
          <w:lang w:val="en-US" w:eastAsia="zh-CN" w:bidi="ar-SA"/>
        </w:rPr>
        <w:t>万元，主要用于以下方面：社会保障和就业（类）支出51.43万元，占3.31%；卫生健康（类）支出1501.27万元，占96.69%。</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2024年度财政拨款支出年初预算数为</w:t>
      </w:r>
      <w:r>
        <w:rPr>
          <w:rFonts w:hint="eastAsia" w:ascii="仿宋_GB2312" w:hAnsi="仿宋_GB2312" w:eastAsia="仿宋_GB2312" w:cs="仿宋_GB2312"/>
          <w:color w:val="auto"/>
          <w:sz w:val="32"/>
          <w:szCs w:val="32"/>
          <w:shd w:val="clear" w:color="auto" w:fill="FFFFFF"/>
          <w:lang w:val="en-US" w:eastAsia="zh-CN"/>
        </w:rPr>
        <w:t>1257.54</w:t>
      </w:r>
      <w:r>
        <w:rPr>
          <w:rFonts w:hint="eastAsia" w:ascii="Times New Roman" w:hAnsi="Times New Roman" w:eastAsia="仿宋_GB2312" w:cs="仿宋_GB2312"/>
          <w:bCs/>
          <w:color w:val="auto"/>
          <w:kern w:val="0"/>
          <w:sz w:val="32"/>
          <w:szCs w:val="32"/>
          <w:lang w:val="en-US" w:eastAsia="zh-CN" w:bidi="ar-SA"/>
        </w:rPr>
        <w:t>万元，支出决算数为</w:t>
      </w:r>
      <w:r>
        <w:rPr>
          <w:rFonts w:hint="eastAsia" w:ascii="Times New Roman" w:hAnsi="Times New Roman" w:eastAsia="仿宋_GB2312" w:cs="仿宋_GB2312"/>
          <w:bCs/>
          <w:color w:val="auto"/>
          <w:kern w:val="0"/>
          <w:sz w:val="32"/>
          <w:szCs w:val="32"/>
          <w:lang w:val="en-US" w:eastAsia="zh-CN"/>
        </w:rPr>
        <w:t>1552.69</w:t>
      </w:r>
      <w:r>
        <w:rPr>
          <w:rFonts w:hint="eastAsia" w:ascii="Times New Roman" w:hAnsi="Times New Roman" w:eastAsia="仿宋_GB2312" w:cs="仿宋_GB2312"/>
          <w:bCs/>
          <w:color w:val="auto"/>
          <w:kern w:val="0"/>
          <w:sz w:val="32"/>
          <w:szCs w:val="32"/>
          <w:lang w:val="en-US" w:eastAsia="zh-CN" w:bidi="ar-SA"/>
        </w:rPr>
        <w:t>万元，完成年初预算的123.47%，其中：</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_GB2312"/>
          <w:bCs/>
          <w:color w:val="0000FF"/>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1、社会保障和就业（类）行政事业单位养老（款）机关事业单位基本养老保险缴费（项）。</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w:t>
      </w:r>
      <w:r>
        <w:rPr>
          <w:rFonts w:hint="eastAsia" w:ascii="仿宋_GB2312" w:hAnsi="仿宋_GB2312" w:eastAsia="仿宋_GB2312" w:cs="仿宋_GB2312"/>
          <w:color w:val="auto"/>
          <w:sz w:val="32"/>
          <w:szCs w:val="32"/>
          <w:shd w:val="clear" w:color="auto" w:fill="FFFFFF"/>
          <w:lang w:val="en-US" w:eastAsia="zh-CN"/>
        </w:rPr>
        <w:t>49.98</w:t>
      </w:r>
      <w:r>
        <w:rPr>
          <w:rFonts w:hint="eastAsia" w:ascii="Times New Roman" w:hAnsi="Times New Roman" w:eastAsia="仿宋_GB2312" w:cs="仿宋_GB2312"/>
          <w:bCs/>
          <w:color w:val="auto"/>
          <w:kern w:val="0"/>
          <w:sz w:val="32"/>
          <w:szCs w:val="32"/>
          <w:lang w:val="en-US" w:eastAsia="zh-CN" w:bidi="ar-SA"/>
        </w:rPr>
        <w:t>万元，支出决算为50.90万元，完成年初预算的101.84%，决算数大于年初预算数的主要原因是：本年新招录工作人员，财政据实拨付资金。</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2、社会保障和就业（类）其他社会保障和就业（款）其他社会保障和就业(项）</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年初预算为0万元，支出决算为0.53万元，无法计算完成比率，决算数大于年初预算数的主要原因是：财政依据实际情况拨付2022年第四季度车补。</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_GB2312"/>
          <w:bCs/>
          <w:color w:val="0000FF"/>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3、卫生健康（类）行政事业单位医疗（款）行政单位医疗（项）。</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年初预算为27.18万元，支出决算为 27.68万元，完成年初预算的 101.84%,决算数大于年初预算数的主要原因是：本年新招录工作人员，财政据实配套医疗保险金。</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4、卫生健康（类）医疗救助（款）城乡医疗救助（项）</w:t>
      </w:r>
    </w:p>
    <w:p>
      <w:pPr>
        <w:keepNext w:val="0"/>
        <w:keepLines w:val="0"/>
        <w:widowControl/>
        <w:suppressLineNumbers w:val="0"/>
        <w:ind w:firstLine="640" w:firstLineChars="200"/>
        <w:jc w:val="left"/>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年初预算为510万元，支出决算为81.34万元，完成年初预算的 15.95%,决算数小于预算数主要原因是：财政依据实际情况将列入本类、款、项的尿毒症特殊困难群体二次报账资金调整到其他项。</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5、卫生健康（类）医疗救助（款）其他医疗救助（项）</w:t>
      </w:r>
    </w:p>
    <w:p>
      <w:pPr>
        <w:keepNext w:val="0"/>
        <w:keepLines w:val="0"/>
        <w:widowControl/>
        <w:suppressLineNumbers w:val="0"/>
        <w:jc w:val="left"/>
        <w:rPr>
          <w:color w:val="auto"/>
        </w:rPr>
      </w:pPr>
      <w:r>
        <w:rPr>
          <w:rFonts w:hint="eastAsia" w:ascii="Times New Roman" w:hAnsi="Times New Roman" w:eastAsia="仿宋_GB2312" w:cs="仿宋_GB2312"/>
          <w:bCs/>
          <w:color w:val="auto"/>
          <w:kern w:val="0"/>
          <w:sz w:val="32"/>
          <w:szCs w:val="32"/>
          <w:lang w:val="en-US" w:eastAsia="zh-CN" w:bidi="ar-SA"/>
        </w:rPr>
        <w:t>年初预算为0万元，支出决算为77万元，无法计算完成比率，决算数大于年初预算数的主要原因是：因财政列入年初大预算。</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6、卫生健康（类）医疗保障管理事务（款）行政运行（项）</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仿宋_GB2312"/>
          <w:bCs/>
          <w:color w:val="0000FF"/>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年初预算为500.39万元，支出决算为485.94万元，完成年初预算的 97.11%,决算数小于预算数主要原因是：年初医保局调剂转出公务员5人，相应减少人员经费</w:t>
      </w:r>
      <w:r>
        <w:rPr>
          <w:rFonts w:hint="eastAsia" w:ascii="Times New Roman" w:hAnsi="Times New Roman" w:eastAsia="仿宋_GB2312" w:cs="仿宋_GB2312"/>
          <w:bCs/>
          <w:color w:val="0000FF"/>
          <w:kern w:val="0"/>
          <w:sz w:val="32"/>
          <w:szCs w:val="32"/>
          <w:lang w:val="en-US" w:eastAsia="zh-CN" w:bidi="ar-SA"/>
        </w:rPr>
        <w:t>。</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7、卫生健康（类）医疗保障管理事务（款）医疗保障政策管理（项）</w:t>
      </w:r>
    </w:p>
    <w:p>
      <w:pPr>
        <w:keepNext w:val="0"/>
        <w:keepLines w:val="0"/>
        <w:widowControl/>
        <w:suppressLineNumbers w:val="0"/>
        <w:ind w:firstLine="640" w:firstLineChars="200"/>
        <w:jc w:val="left"/>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年初预算为7.7万元，支出决算为0.12万元，完成年初预算的1.56%,决算数小于预算数主要原因是：财政依据实际情况将列入本类、款、项的医疗保险监管经费调整到其他项。</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8、卫生健康（类）医疗保障管理事务（款）医疗保障经办事务（项）</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lang w:val="en-US" w:eastAsia="zh-CN"/>
        </w:rPr>
      </w:pPr>
      <w:r>
        <w:rPr>
          <w:rFonts w:hint="eastAsia" w:ascii="Times New Roman" w:hAnsi="Times New Roman" w:eastAsia="仿宋_GB2312" w:cs="仿宋_GB2312"/>
          <w:bCs/>
          <w:color w:val="auto"/>
          <w:kern w:val="0"/>
          <w:sz w:val="32"/>
          <w:szCs w:val="32"/>
          <w:lang w:val="en-US" w:eastAsia="zh-CN" w:bidi="ar-SA"/>
        </w:rPr>
        <w:t>年初预算为0万元，支出决算为7.7万元，无法计算完成比率，决算数大于年初预算数的主要原因是：财政将年初列医疗保障政策管理（项）的医疗保险监管经费调整到本项。</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Cs/>
          <w:color w:val="auto"/>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9、卫生健康（类）医疗保障管理事务（款）其他医疗保障管理事务（项）</w:t>
      </w:r>
    </w:p>
    <w:p>
      <w:pPr>
        <w:keepNext w:val="0"/>
        <w:keepLines w:val="0"/>
        <w:widowControl/>
        <w:suppressLineNumbers w:val="0"/>
        <w:ind w:firstLine="640" w:firstLineChars="200"/>
        <w:jc w:val="left"/>
        <w:rPr>
          <w:rFonts w:hint="eastAsia" w:ascii="Times New Roman" w:hAnsi="Times New Roman" w:eastAsia="仿宋_GB2312" w:cs="仿宋_GB2312"/>
          <w:bCs/>
          <w:color w:val="0000FF"/>
          <w:kern w:val="0"/>
          <w:sz w:val="32"/>
          <w:szCs w:val="32"/>
          <w:lang w:val="en-US" w:eastAsia="zh-CN" w:bidi="ar-SA"/>
        </w:rPr>
      </w:pPr>
      <w:r>
        <w:rPr>
          <w:rFonts w:hint="eastAsia" w:ascii="Times New Roman" w:hAnsi="Times New Roman" w:eastAsia="仿宋_GB2312" w:cs="仿宋_GB2312"/>
          <w:bCs/>
          <w:color w:val="auto"/>
          <w:kern w:val="0"/>
          <w:sz w:val="32"/>
          <w:szCs w:val="32"/>
          <w:lang w:val="en-US" w:eastAsia="zh-CN" w:bidi="ar-SA"/>
        </w:rPr>
        <w:t>年初预算为126.2万元，支出决算为821.48万元，完成年初预算的 650.94%,决算数大于预算数主要原因是：财政将年初列医疗救助（款）城乡医疗救助（项）的尿毒症特殊困难群体二次报账资金461.25万元调整到本项，同时据实拨付年初列财政大预算的2023年、2024年度城乡医保目标管理绩效考核经费227.34万元。</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年度财政拨款基本支出</w:t>
      </w:r>
      <w:r>
        <w:rPr>
          <w:rFonts w:hint="eastAsia" w:ascii="Times New Roman" w:hAnsi="Times New Roman" w:eastAsia="仿宋_GB2312"/>
          <w:color w:val="auto"/>
          <w:sz w:val="32"/>
          <w:szCs w:val="32"/>
          <w:lang w:val="en-US" w:eastAsia="zh-CN"/>
        </w:rPr>
        <w:t>945.10</w:t>
      </w:r>
      <w:r>
        <w:rPr>
          <w:rFonts w:hint="eastAsia" w:ascii="Times New Roman" w:hAnsi="Times New Roman" w:eastAsia="仿宋_GB2312"/>
          <w:color w:val="auto"/>
          <w:sz w:val="32"/>
          <w:szCs w:val="32"/>
        </w:rPr>
        <w:t>万元，其中：</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color w:val="auto"/>
          <w:sz w:val="32"/>
          <w:szCs w:val="32"/>
        </w:rPr>
        <w:t>人员经费</w:t>
      </w:r>
      <w:r>
        <w:rPr>
          <w:rFonts w:hint="eastAsia" w:ascii="Times New Roman" w:hAnsi="Times New Roman" w:eastAsia="仿宋_GB2312"/>
          <w:color w:val="auto"/>
          <w:sz w:val="32"/>
          <w:szCs w:val="32"/>
          <w:lang w:val="en-US" w:eastAsia="zh-CN"/>
        </w:rPr>
        <w:t>510.01</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53.96</w:t>
      </w:r>
      <w:r>
        <w:rPr>
          <w:rFonts w:hint="eastAsia" w:ascii="Times New Roman" w:hAnsi="Times New Roman" w:eastAsia="仿宋_GB2312"/>
          <w:color w:val="auto"/>
          <w:sz w:val="32"/>
          <w:szCs w:val="32"/>
        </w:rPr>
        <w:t>%,主要包括基本工资、津贴补贴、奖金、伙食补助费</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机关事业单位基本养老保险缴费、职业年金缴费、职工基本医疗保险缴费、其他社会保险缴费、住房公积金、医疗费补助等。</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lang w:val="en-US" w:eastAsia="zh-CN"/>
        </w:rPr>
        <w:t>435.09</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46.04</w:t>
      </w:r>
      <w:r>
        <w:rPr>
          <w:rFonts w:hint="eastAsia" w:ascii="Times New Roman" w:hAnsi="Times New Roman" w:eastAsia="仿宋_GB2312"/>
          <w:color w:val="auto"/>
          <w:sz w:val="32"/>
          <w:szCs w:val="32"/>
        </w:rPr>
        <w:t>%，主要包括办公费、印刷费、</w:t>
      </w:r>
      <w:r>
        <w:rPr>
          <w:rFonts w:hint="eastAsia" w:ascii="Times New Roman" w:hAnsi="Times New Roman" w:eastAsia="仿宋_GB2312"/>
          <w:color w:val="auto"/>
          <w:sz w:val="32"/>
          <w:szCs w:val="32"/>
          <w:lang w:val="en-US" w:eastAsia="zh-CN"/>
        </w:rPr>
        <w:t>电费、邮电费、物业管理费、差旅费、租赁费、会议费、培训费、公务接待费、劳务费、委托业务费、工会经费、福利费、其他交通费用、其他商品和服务支出、办公设备购置</w:t>
      </w:r>
      <w:r>
        <w:rPr>
          <w:rFonts w:hint="eastAsia" w:ascii="Times New Roman" w:hAnsi="Times New Roman" w:eastAsia="仿宋_GB2312"/>
          <w:color w:val="auto"/>
          <w:sz w:val="32"/>
          <w:szCs w:val="32"/>
        </w:rPr>
        <w:t>。</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黑体" w:hAnsi="黑体" w:eastAsia="黑体" w:cs="黑体"/>
          <w:b w:val="0"/>
          <w:bCs/>
          <w:color w:val="auto"/>
          <w:sz w:val="32"/>
          <w:szCs w:val="32"/>
        </w:rPr>
        <w:t>七、财政拨款三公经费支出决算情况说明</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（一）“三公”经费财政拨款支出决算总体情况说明</w:t>
      </w:r>
    </w:p>
    <w:p>
      <w:pPr>
        <w:keepNext w:val="0"/>
        <w:keepLines w:val="0"/>
        <w:widowControl/>
        <w:suppressLineNumbers w:val="0"/>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s="黑体"/>
          <w:color w:val="auto"/>
          <w:kern w:val="0"/>
          <w:sz w:val="32"/>
          <w:szCs w:val="32"/>
          <w:lang w:val="en-US" w:eastAsia="zh-CN" w:bidi="ar-SA"/>
        </w:rPr>
        <w:t>“三公”经费财政拨款支出预算为7万元，支出决算为1.23万元，完成预算的17.57%，决算数小于预算数的主要原因是单位认真贯彻落实中央、省、市、县关于厉行节约的各项规定，严格控制“三公“经费开支，与上年相比减少4.12万元，减少77%，减少的主要原因是单位认真贯彻落实中央、省、市、县关于厉行节约的各项规定，严格控制“三公“经费开支。其中：因公出国（境）费支出预算为0万元，支出决算为0万元，与本年预算数相同，与上年决算数相同。</w:t>
      </w:r>
      <w:r>
        <w:rPr>
          <w:rFonts w:ascii="仿宋" w:hAnsi="仿宋" w:eastAsia="仿宋" w:cs="仿宋"/>
          <w:color w:val="auto"/>
          <w:kern w:val="0"/>
          <w:sz w:val="32"/>
          <w:szCs w:val="32"/>
          <w:lang w:val="en-US" w:eastAsia="zh-CN" w:bidi="ar"/>
        </w:rPr>
        <w:t xml:space="preserve"> </w:t>
      </w:r>
    </w:p>
    <w:p>
      <w:pPr>
        <w:keepNext w:val="0"/>
        <w:keepLines w:val="0"/>
        <w:widowControl/>
        <w:suppressLineNumbers w:val="0"/>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公务接待费支出预算为7万元，支出决算为1.23万元，完成预算的17.57%，决算数小于预算数的主要原因是单位认真贯彻落实中央、省、市、县关于厉行节约的各项规定，严格控制“三公“经费开支，与上年相比减少4.12万元，减少77%，减少的主要原因是单位认真贯彻落实中央、省、市、县关于厉行节约的各项规定，严格控制“三公“经费开支。</w:t>
      </w:r>
    </w:p>
    <w:p>
      <w:pPr>
        <w:keepNext w:val="0"/>
        <w:keepLines w:val="0"/>
        <w:widowControl/>
        <w:suppressLineNumbers w:val="0"/>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公务用车购置费支出预算为0万元，支出决算为0万元，与本年预算数相同，与上年决算数相同。 </w:t>
      </w:r>
    </w:p>
    <w:p>
      <w:pPr>
        <w:keepNext w:val="0"/>
        <w:keepLines w:val="0"/>
        <w:widowControl/>
        <w:suppressLineNumbers w:val="0"/>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公务用车运行维护费支出预算为0万元，支出决算为0万元，与本年预算数相同，与上年决算数相同。 </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（二）“三公”经费财政拨款支出决算具体情况说明</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2024年度“三公”经费财政拨款支出决算中，公务接待费支出决算1.23万元，占100%，因公出国（境）费支出决算0万元，占0%，公务用车购置费及运行维护费支出决算0万元，占0%。其中：</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1、因公出国（境）费支出决算为0万元，全年安排因公出国（境）团组0个，累计0人次,无相关开支内容。</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2、公务接待费支出决算为1.23万元，全年共接待来访团组10个、来宾101人次，主要是市内其他县区医保部门相互交流学习医保基金经办、监管业务发生的接待支出。</w:t>
      </w:r>
    </w:p>
    <w:p>
      <w:pPr>
        <w:pStyle w:val="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3、公务用车购置费及运行维护费支出决算为0万元，其中：公务用车购置费0万元。公务用车运行维护费0万元，无相关支出，截止2024年12月31日，我单位开支财政拨款的公务用车保有量为0辆。</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pPr>
        <w:pStyle w:val="5"/>
        <w:keepNext w:val="0"/>
        <w:keepLines w:val="0"/>
        <w:pageBreakBefore w:val="0"/>
        <w:widowControl w:val="0"/>
        <w:kinsoku/>
        <w:wordWrap/>
        <w:overflowPunct/>
        <w:topLinePunct w:val="0"/>
        <w:bidi w:val="0"/>
        <w:snapToGrid/>
        <w:spacing w:line="600" w:lineRule="exact"/>
        <w:textAlignment w:val="auto"/>
        <w:rPr>
          <w:rFonts w:hint="default" w:ascii="楷体" w:hAnsi="楷体" w:eastAsia="仿宋_GB2312" w:cs="楷体"/>
          <w:b/>
          <w:bCs/>
          <w:i/>
          <w:color w:val="auto"/>
          <w:kern w:val="0"/>
          <w:sz w:val="32"/>
          <w:szCs w:val="32"/>
          <w:lang w:val="en-US" w:eastAsia="zh-CN" w:bidi="ar-SA"/>
        </w:rPr>
      </w:pPr>
      <w:r>
        <w:rPr>
          <w:rFonts w:hint="eastAsia" w:ascii="Times New Roman" w:hAnsi="Times New Roman" w:eastAsia="仿宋_GB2312"/>
          <w:color w:val="auto"/>
          <w:sz w:val="32"/>
          <w:szCs w:val="32"/>
        </w:rPr>
        <w:t xml:space="preserve">    </w:t>
      </w:r>
      <w:r>
        <w:rPr>
          <w:rFonts w:hint="eastAsia" w:ascii="Times New Roman" w:hAnsi="Times New Roman" w:eastAsia="仿宋_GB2312" w:cs="黑体"/>
          <w:color w:val="auto"/>
          <w:kern w:val="0"/>
          <w:sz w:val="32"/>
          <w:szCs w:val="32"/>
          <w:lang w:val="en-US" w:eastAsia="zh-CN" w:bidi="ar-SA"/>
        </w:rPr>
        <w:t xml:space="preserve"> 本单位2024年度无政府性基金收支。</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val="0"/>
          <w:color w:val="auto"/>
          <w:kern w:val="0"/>
          <w:sz w:val="32"/>
          <w:szCs w:val="32"/>
          <w:lang w:val="en-US" w:eastAsia="zh-CN" w:bidi="ar-SA"/>
        </w:rPr>
      </w:pPr>
      <w:r>
        <w:rPr>
          <w:rFonts w:hint="eastAsia" w:ascii="Times New Roman" w:hAnsi="Times New Roman" w:eastAsia="仿宋_GB2312"/>
          <w:b/>
          <w:bCs w:val="0"/>
          <w:color w:val="auto"/>
          <w:sz w:val="32"/>
          <w:szCs w:val="32"/>
        </w:rPr>
        <w:t>九、</w:t>
      </w:r>
      <w:r>
        <w:rPr>
          <w:rFonts w:hint="eastAsia" w:ascii="Times New Roman" w:hAnsi="Times New Roman" w:eastAsia="仿宋_GB2312" w:cs="黑体"/>
          <w:b/>
          <w:bCs w:val="0"/>
          <w:color w:val="auto"/>
          <w:kern w:val="0"/>
          <w:sz w:val="32"/>
          <w:szCs w:val="32"/>
          <w:lang w:val="en-US" w:eastAsia="zh-CN" w:bidi="ar-SA"/>
        </w:rPr>
        <w:t>关于机关运行经费支出说明</w:t>
      </w:r>
    </w:p>
    <w:p>
      <w:pPr>
        <w:keepNext w:val="0"/>
        <w:keepLines w:val="0"/>
        <w:widowControl/>
        <w:suppressLineNumbers w:val="0"/>
        <w:ind w:firstLine="640" w:firstLineChars="200"/>
        <w:jc w:val="left"/>
        <w:rPr>
          <w:rFonts w:hint="default"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本部门2024年度机关运行经费支出435.08万元，比上年决算数减少97.11万元，降低18.25%。主要原因：全面落实“过紧日子”要求，压减机关运行经费开支。</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十、一般性支出情况说明</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0000FC"/>
          <w:kern w:val="0"/>
          <w:sz w:val="32"/>
          <w:szCs w:val="32"/>
          <w:lang w:val="en-US" w:eastAsia="zh-CN" w:bidi="ar-SA"/>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lang w:val="en-US" w:eastAsia="zh-CN"/>
        </w:rPr>
        <w:t>1.09</w:t>
      </w:r>
      <w:r>
        <w:rPr>
          <w:rFonts w:hint="eastAsia" w:ascii="Times New Roman" w:hAnsi="Times New Roman" w:eastAsia="仿宋_GB2312"/>
          <w:color w:val="auto"/>
          <w:sz w:val="32"/>
          <w:szCs w:val="32"/>
        </w:rPr>
        <w:t>万元，用于召开道县医保康复理疗大数据应用监管模型知识库论证工作会议和2025年全县城乡两险征缴工作动员部署会，人数224人，内容为医保康复理疗项目建模和2025年度城乡居民医保征缴工作。开支培训费</w:t>
      </w:r>
      <w:r>
        <w:rPr>
          <w:rFonts w:hint="eastAsia" w:ascii="Times New Roman" w:hAnsi="Times New Roman" w:eastAsia="仿宋_GB2312"/>
          <w:color w:val="auto"/>
          <w:sz w:val="32"/>
          <w:szCs w:val="32"/>
          <w:lang w:val="en-US" w:eastAsia="zh-CN"/>
        </w:rPr>
        <w:t>1.05</w:t>
      </w:r>
      <w:r>
        <w:rPr>
          <w:rFonts w:hint="eastAsia" w:ascii="Times New Roman" w:hAnsi="Times New Roman" w:eastAsia="仿宋_GB2312"/>
          <w:color w:val="auto"/>
          <w:sz w:val="32"/>
          <w:szCs w:val="32"/>
        </w:rPr>
        <w:t>万元，用于开展提升全县基层医保服务经办业务能力培训，人数448人，内容为学习《永州市2024年医疗保障待遇政策清单》《永州市基层医保经办服务事项办事指南》《永州市定点医疗机构医保经办服务事项办事指南》等医保政策文件</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无</w:t>
      </w:r>
      <w:r>
        <w:rPr>
          <w:rFonts w:hint="eastAsia" w:ascii="Times New Roman" w:hAnsi="Times New Roman" w:eastAsia="仿宋_GB2312"/>
          <w:color w:val="auto"/>
          <w:sz w:val="32"/>
          <w:szCs w:val="32"/>
        </w:rPr>
        <w:t>节庆、晚会、论坛、赛事活动开。</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十一、关于政府采购支出说明</w:t>
      </w:r>
    </w:p>
    <w:p>
      <w:pPr>
        <w:pStyle w:val="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102.35</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81.46</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20.89</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102.35</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102.35</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pPr>
        <w:pStyle w:val="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val="en-US" w:eastAsia="zh-CN"/>
        </w:rPr>
        <w:t>本</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w:t>
      </w:r>
    </w:p>
    <w:p>
      <w:pPr>
        <w:pStyle w:val="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（一）绩效管理工作开展情况</w:t>
      </w:r>
    </w:p>
    <w:p>
      <w:pPr>
        <w:pStyle w:val="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部门</w:t>
      </w:r>
      <w:r>
        <w:rPr>
          <w:rFonts w:hint="eastAsia" w:ascii="楷体" w:hAnsi="楷体" w:eastAsia="楷体" w:cs="楷体"/>
          <w:b/>
          <w:bCs/>
          <w:color w:val="auto"/>
          <w:sz w:val="32"/>
          <w:szCs w:val="32"/>
          <w:lang w:eastAsia="zh-CN"/>
        </w:rPr>
        <w:t>（单位）</w:t>
      </w:r>
      <w:r>
        <w:rPr>
          <w:rFonts w:hint="eastAsia" w:ascii="楷体" w:hAnsi="楷体" w:eastAsia="楷体" w:cs="楷体"/>
          <w:b/>
          <w:bCs/>
          <w:color w:val="auto"/>
          <w:sz w:val="32"/>
          <w:szCs w:val="32"/>
        </w:rPr>
        <w:t>整体支出绩效情况</w:t>
      </w:r>
    </w:p>
    <w:p>
      <w:pPr>
        <w:pStyle w:val="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pStyle w:val="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存在的问题及原因分析</w:t>
      </w:r>
    </w:p>
    <w:p>
      <w:pPr>
        <w:pStyle w:val="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可以从预算和预算绩效管理，部门履职效能，资金分配、使用和管理，资产和财务管理、政府采购等方面归纳存在的问题；反映各种预算支出执行偏离绩效目标的情况，并分析其原因。</w:t>
      </w:r>
    </w:p>
    <w:p>
      <w:pPr>
        <w:pStyle w:val="5"/>
        <w:jc w:val="both"/>
        <w:rPr>
          <w:sz w:val="72"/>
          <w:szCs w:val="72"/>
        </w:rPr>
      </w:pPr>
    </w:p>
    <w:p>
      <w:pPr>
        <w:pStyle w:val="5"/>
        <w:jc w:val="center"/>
        <w:rPr>
          <w:sz w:val="72"/>
          <w:szCs w:val="72"/>
        </w:rPr>
      </w:pPr>
    </w:p>
    <w:p>
      <w:pPr>
        <w:pStyle w:val="5"/>
        <w:jc w:val="center"/>
        <w:rPr>
          <w:sz w:val="72"/>
          <w:szCs w:val="72"/>
        </w:rPr>
      </w:pPr>
    </w:p>
    <w:p>
      <w:pPr>
        <w:pStyle w:val="5"/>
        <w:jc w:val="both"/>
        <w:rPr>
          <w:rFonts w:hint="eastAsia" w:ascii="方正小标宋_GBK" w:hAnsi="方正小标宋_GBK" w:eastAsia="方正小标宋_GBK" w:cs="方正小标宋_GBK"/>
          <w:sz w:val="72"/>
          <w:szCs w:val="72"/>
        </w:rPr>
      </w:pPr>
    </w:p>
    <w:p>
      <w:pPr>
        <w:pStyle w:val="5"/>
        <w:jc w:val="both"/>
        <w:rPr>
          <w:rFonts w:hint="eastAsia" w:ascii="方正小标宋_GBK" w:hAnsi="方正小标宋_GBK" w:eastAsia="方正小标宋_GBK" w:cs="方正小标宋_GBK"/>
          <w:sz w:val="72"/>
          <w:szCs w:val="72"/>
        </w:rPr>
      </w:pPr>
    </w:p>
    <w:p>
      <w:pPr>
        <w:pStyle w:val="5"/>
        <w:jc w:val="both"/>
        <w:rPr>
          <w:rFonts w:hint="eastAsia" w:ascii="方正小标宋_GBK" w:hAnsi="方正小标宋_GBK" w:eastAsia="方正小标宋_GBK" w:cs="方正小标宋_GBK"/>
          <w:sz w:val="72"/>
          <w:szCs w:val="72"/>
        </w:rPr>
      </w:pPr>
    </w:p>
    <w:p>
      <w:pPr>
        <w:pStyle w:val="5"/>
        <w:jc w:val="both"/>
        <w:rPr>
          <w:rFonts w:hint="eastAsia" w:ascii="方正小标宋_GBK" w:hAnsi="方正小标宋_GBK" w:eastAsia="方正小标宋_GBK" w:cs="方正小标宋_GBK"/>
          <w:sz w:val="72"/>
          <w:szCs w:val="72"/>
        </w:rPr>
      </w:pPr>
    </w:p>
    <w:p>
      <w:pPr>
        <w:pStyle w:val="5"/>
        <w:ind w:firstLine="3600" w:firstLineChars="500"/>
        <w:jc w:val="both"/>
        <w:rPr>
          <w:rFonts w:hint="eastAsia" w:ascii="方正小标宋_GBK" w:hAnsi="方正小标宋_GBK" w:eastAsia="方正小标宋_GBK" w:cs="方正小标宋_GBK"/>
          <w:sz w:val="72"/>
          <w:szCs w:val="72"/>
        </w:rPr>
      </w:pPr>
      <w:bookmarkStart w:id="4" w:name="_GoBack"/>
      <w:bookmarkEnd w:id="4"/>
      <w:r>
        <w:rPr>
          <w:rFonts w:hint="eastAsia" w:ascii="方正小标宋_GBK" w:hAnsi="方正小标宋_GBK" w:eastAsia="方正小标宋_GBK" w:cs="方正小标宋_GBK"/>
          <w:sz w:val="72"/>
          <w:szCs w:val="72"/>
        </w:rPr>
        <w:t>第四部分</w:t>
      </w:r>
    </w:p>
    <w:p>
      <w:pPr>
        <w:jc w:val="both"/>
        <w:rPr>
          <w:rFonts w:hint="eastAsia" w:ascii="方正小标宋_GBK" w:hAnsi="方正小标宋_GBK" w:eastAsia="方正小标宋_GBK" w:cs="方正小标宋_GBK"/>
          <w:color w:val="000000"/>
          <w:kern w:val="0"/>
          <w:sz w:val="70"/>
          <w:szCs w:val="70"/>
        </w:rPr>
      </w:pPr>
    </w:p>
    <w:p>
      <w:pPr>
        <w:ind w:firstLine="3500" w:firstLineChars="500"/>
        <w:jc w:val="both"/>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widowControl/>
        <w:suppressLineNumbers w:val="0"/>
        <w:ind w:firstLine="640" w:firstLineChars="200"/>
        <w:jc w:val="left"/>
        <w:rPr>
          <w:rFonts w:ascii="仿宋" w:hAnsi="仿宋" w:eastAsia="仿宋" w:cs="仿宋"/>
          <w:color w:val="000000"/>
          <w:kern w:val="0"/>
          <w:sz w:val="32"/>
          <w:szCs w:val="32"/>
          <w:lang w:val="en-US" w:eastAsia="zh-CN" w:bidi="ar"/>
        </w:rPr>
      </w:pP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1．财政拨款收入：指单位本年度从同级财政部门取得的各类财政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拨款。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2．上级补助收入：指事业单位从主管部门和上级单位取得的非财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政补助收入。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3．机关运行经费：指行政单位（含参照公务员法管理的事业单位）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使用一般公共预算安排的基本支出中的公用经费支出，包括办公及印刷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费、邮电费、差旅费、会议费、福利费、日常维修费、专用材料及一般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设备购置费、办公用房水电费、办公用房取暖费、办公用房物业管理费、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公务用车运行维护费及其他费用。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4．“三公”经费：指单位用一般公共预算财政拨款安排的因公出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国（境）费、公务用车购置及运行维护费和公务接待费。其中，因公出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国（境）费反映单位公务出国（境）的国际旅费、国外城市间交通费、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住宿费、伙食费、培训费、公杂费等支出；公务用车购置及运行维护费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反映单位公务用车购置支出（含车辆购置税、牌照费）以及按规定保留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的公务用车燃料费、维修费、过路过桥费、保险费、安全奖励费用等支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出；公务接待费反映单位按规定开支的各类公务接待（含外宾接待）费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用。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5．对附属单位补助支出：指事业单位用财政拨款收入之外的收入对附属单位补助发生的支出。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6．经营支出：指事业单位在专业业务活动及其辅助活动之外开展非独立核算经营活动发生的支出。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7．上缴上级支出：指事业单位按照财政部门和主管部门的规定上缴上级单位的支出。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8．项目支出：指在为完成特定的工作任务和事业发展目标所发生的支出。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9．基本支出：指为保障机构正常运转、完成日常工作任务而发生的支出，包括人员经费和公用经费。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10．年末结转和结余资金：指本年度或以前年度预算安排、因客观条件发生变化无法按原计划实施，需要延迟到以后年度按有关规定继续使用的资金。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11．结余分配：指事业单位按规定对非财政拨款结余资金提取的专用基金、缴纳的所得税和转入非财政拨款结余等。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12．年初结转和结余：指单位上年结转本年使用的基本支出结转、项目支出结转和结余和经营结余。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13．事业收入：指事业单位开展专业业务活动及其辅助活动取得的收入，事业单位收到的财政专户实际核拨的教育收费等资金在此反映。 </w:t>
      </w:r>
    </w:p>
    <w:p>
      <w:pPr>
        <w:keepNext w:val="0"/>
        <w:keepLines w:val="0"/>
        <w:widowControl/>
        <w:suppressLineNumbers w:val="0"/>
        <w:ind w:firstLine="640" w:firstLineChars="200"/>
        <w:jc w:val="left"/>
      </w:pPr>
      <w:r>
        <w:rPr>
          <w:rFonts w:hint="eastAsia" w:ascii="Times New Roman" w:hAnsi="Times New Roman" w:eastAsia="仿宋_GB2312" w:cs="黑体"/>
          <w:color w:val="000000"/>
          <w:kern w:val="0"/>
          <w:sz w:val="32"/>
          <w:szCs w:val="32"/>
          <w:lang w:val="en-US" w:eastAsia="zh-CN" w:bidi="ar-SA"/>
        </w:rPr>
        <w:t>14．经营收入：指事业单位在专业业务活动及其辅助活动之外开展非独立核算经营活动取得的收入。</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15．附属单位上缴收入：指事业单位附属独立核算单位按照有关规定上缴的收入。 </w:t>
      </w:r>
    </w:p>
    <w:p>
      <w:pPr>
        <w:keepNext w:val="0"/>
        <w:keepLines w:val="0"/>
        <w:widowControl/>
        <w:suppressLineNumbers w:val="0"/>
        <w:ind w:firstLine="640" w:firstLineChars="200"/>
        <w:jc w:val="left"/>
      </w:pPr>
      <w:r>
        <w:rPr>
          <w:rFonts w:hint="eastAsia" w:ascii="Times New Roman" w:hAnsi="Times New Roman" w:eastAsia="仿宋_GB2312" w:cs="黑体"/>
          <w:color w:val="000000"/>
          <w:kern w:val="0"/>
          <w:sz w:val="32"/>
          <w:szCs w:val="32"/>
          <w:lang w:val="en-US" w:eastAsia="zh-CN" w:bidi="ar-SA"/>
        </w:rPr>
        <w:t>16．其他收入：指单位取得的除上述“财政拨款收入”、“事业收入”、“经营收入”等以外的各项收入。</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pPr>
      <w:r>
        <w:rPr>
          <w:rFonts w:hint="eastAsia" w:ascii="Times New Roman" w:hAnsi="Times New Roman" w:eastAsia="仿宋_GB2312" w:cs="黑体"/>
          <w:color w:val="000000"/>
          <w:kern w:val="0"/>
          <w:sz w:val="32"/>
          <w:szCs w:val="32"/>
          <w:lang w:val="en-US" w:eastAsia="zh-CN" w:bidi="ar-SA"/>
        </w:rPr>
        <w:t>17．使用非财政拨款结余：指事业单位使用非财政拨款结余（原事业基金）弥补当年收支差额的数额。</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18．一般公共服务支出（类）政府办公厅（室）及相关机构事务（款） </w:t>
      </w:r>
    </w:p>
    <w:p>
      <w:pPr>
        <w:keepNext w:val="0"/>
        <w:keepLines w:val="0"/>
        <w:widowControl/>
        <w:suppressLineNumbers w:val="0"/>
        <w:jc w:val="left"/>
      </w:pPr>
      <w:r>
        <w:rPr>
          <w:rFonts w:hint="eastAsia" w:ascii="Times New Roman" w:hAnsi="Times New Roman" w:eastAsia="仿宋_GB2312" w:cs="黑体"/>
          <w:color w:val="000000"/>
          <w:kern w:val="0"/>
          <w:sz w:val="32"/>
          <w:szCs w:val="32"/>
          <w:lang w:val="en-US" w:eastAsia="zh-CN" w:bidi="ar-SA"/>
        </w:rPr>
        <w:t>其他政府办公厅（室）及相关机构事务支出（项）：反映除上述项目以外的其他政府办公厅（室）及相关机构事务支出。</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jc w:val="left"/>
      </w:pPr>
    </w:p>
    <w:p>
      <w:pPr>
        <w:keepNext w:val="0"/>
        <w:keepLines w:val="0"/>
        <w:widowControl/>
        <w:suppressLineNumbers w:val="0"/>
        <w:ind w:firstLine="640" w:firstLineChars="200"/>
        <w:jc w:val="left"/>
      </w:pPr>
      <w:r>
        <w:rPr>
          <w:rFonts w:hint="eastAsia" w:ascii="Times New Roman" w:hAnsi="Times New Roman" w:eastAsia="仿宋_GB2312" w:cs="黑体"/>
          <w:color w:val="000000"/>
          <w:kern w:val="0"/>
          <w:sz w:val="32"/>
          <w:szCs w:val="32"/>
          <w:lang w:val="en-US" w:eastAsia="zh-CN" w:bidi="ar-SA"/>
        </w:rPr>
        <w:t>19．社会保障和就业支出（类）行政事业单位养老支出（款）机关事业单位基本养老保险缴费支出（项）：反映机关事业单位实施养老保险制度由单位缴纳的基本养老保险费支出。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20．卫生健康支出（类）行政事业单位医疗（款）行政单位医疗（项）：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反映财政部门安排的行政单位（包括实行公务员管理的事业 单位，下同）基本医疗保险缴费经费，未参加医疗保险的行政单位的公费医疗经费，按国家规定享受离休人员、红军老战士待遇人员的医疗经费。 </w:t>
      </w:r>
    </w:p>
    <w:p>
      <w:pPr>
        <w:keepNext w:val="0"/>
        <w:keepLines w:val="0"/>
        <w:widowControl/>
        <w:suppressLineNumbers w:val="0"/>
        <w:ind w:firstLine="640" w:firstLineChars="200"/>
        <w:jc w:val="left"/>
      </w:pPr>
      <w:r>
        <w:rPr>
          <w:rFonts w:hint="eastAsia" w:ascii="Times New Roman" w:hAnsi="Times New Roman" w:eastAsia="仿宋_GB2312" w:cs="黑体"/>
          <w:color w:val="000000"/>
          <w:kern w:val="0"/>
          <w:sz w:val="32"/>
          <w:szCs w:val="32"/>
          <w:lang w:val="en-US" w:eastAsia="zh-CN" w:bidi="ar-SA"/>
        </w:rPr>
        <w:t>21．卫生健康支出（类）财政对基本医疗保险基金的补助（款）财政对城乡居民基本医疗保险基金的补助（项）：反映财政对城乡居民基本医疗保险基金的补助支出。</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pPr>
      <w:r>
        <w:rPr>
          <w:rFonts w:hint="eastAsia" w:ascii="Times New Roman" w:hAnsi="Times New Roman" w:eastAsia="仿宋_GB2312" w:cs="黑体"/>
          <w:color w:val="000000"/>
          <w:kern w:val="0"/>
          <w:sz w:val="32"/>
          <w:szCs w:val="32"/>
          <w:lang w:val="en-US" w:eastAsia="zh-CN" w:bidi="ar-SA"/>
        </w:rPr>
        <w:t>22．卫生健康支出（类）医疗救助（款）城乡医疗救助（项）：反映财政用于城乡困.难群众医疗救助的支出。</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pPr>
      <w:r>
        <w:rPr>
          <w:rFonts w:hint="eastAsia" w:ascii="Times New Roman" w:hAnsi="Times New Roman" w:eastAsia="仿宋_GB2312" w:cs="黑体"/>
          <w:color w:val="000000"/>
          <w:kern w:val="0"/>
          <w:sz w:val="32"/>
          <w:szCs w:val="32"/>
          <w:lang w:val="en-US" w:eastAsia="zh-CN" w:bidi="ar-SA"/>
        </w:rPr>
        <w:t>23．卫生健康支出（类）医疗救助（款）其他医疗救助支出（项）：反映除上述项目以外的其他用于医疗救助方面的支出。</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pPr>
      <w:r>
        <w:rPr>
          <w:rFonts w:hint="eastAsia" w:ascii="Times New Roman" w:hAnsi="Times New Roman" w:eastAsia="仿宋_GB2312" w:cs="黑体"/>
          <w:color w:val="000000"/>
          <w:kern w:val="0"/>
          <w:sz w:val="32"/>
          <w:szCs w:val="32"/>
          <w:lang w:val="en-US" w:eastAsia="zh-CN" w:bidi="ar-SA"/>
        </w:rPr>
        <w:t>24．卫生健康支出（类）医疗保障管理事务（款）行政运行（项）：反映行政单位（包括实行公务员管理的事业单位）的基本支出。</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25．卫生健康支出（类）医疗保障管理事务（款）信息化建设（项）：反映医疗保障部门用于信息化建设、开发、运行维护和数据分析等方面支出。 </w:t>
      </w:r>
    </w:p>
    <w:p>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26．卫生健康支出（类）医疗保障管理事务（款）医疗保障经办事</w:t>
      </w:r>
      <w:r>
        <w:rPr>
          <w:rFonts w:hint="eastAsia" w:ascii="仿宋" w:hAnsi="仿宋" w:eastAsia="仿宋" w:cs="仿宋"/>
          <w:color w:val="000000"/>
          <w:kern w:val="0"/>
          <w:sz w:val="32"/>
          <w:szCs w:val="32"/>
          <w:lang w:val="en-US" w:eastAsia="zh-CN" w:bidi="ar"/>
        </w:rPr>
        <w:t xml:space="preserve">务（项）：反映医保基金核算、精算、参保登记、权益记录、转移接续等医疗保障经办支出。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27．卫生健康支出（类）医疗保障管理事务（款）其他医疗保障管理事务支出（项）：反映除上述项目以外的其他用于医疗保障管理事务方面的支出。 </w:t>
      </w:r>
    </w:p>
    <w:p>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28．其他支出（类）彩票公益金安排的支出（款）用于城乡医疗救助的彩票公益金支出（项）：反映用于城乡医疗救助的彩票公益金支出。</w:t>
      </w:r>
    </w:p>
    <w:p>
      <w:pPr>
        <w:pStyle w:val="5"/>
        <w:jc w:val="both"/>
        <w:rPr>
          <w:rFonts w:hint="eastAsia" w:ascii="Times New Roman" w:hAnsi="Times New Roman" w:eastAsia="仿宋_GB2312" w:cs="黑体"/>
          <w:color w:val="000000"/>
          <w:kern w:val="0"/>
          <w:sz w:val="32"/>
          <w:szCs w:val="32"/>
          <w:lang w:val="en-US" w:eastAsia="zh-CN" w:bidi="ar-SA"/>
        </w:rPr>
      </w:pPr>
    </w:p>
    <w:p>
      <w:pPr>
        <w:pStyle w:val="5"/>
        <w:jc w:val="center"/>
        <w:rPr>
          <w:sz w:val="72"/>
          <w:szCs w:val="72"/>
        </w:rPr>
      </w:pPr>
    </w:p>
    <w:p>
      <w:pPr>
        <w:pStyle w:val="5"/>
        <w:jc w:val="center"/>
        <w:rPr>
          <w:sz w:val="72"/>
          <w:szCs w:val="72"/>
        </w:rPr>
      </w:pPr>
    </w:p>
    <w:p>
      <w:pPr>
        <w:pStyle w:val="5"/>
        <w:jc w:val="center"/>
        <w:rPr>
          <w:sz w:val="72"/>
          <w:szCs w:val="72"/>
        </w:rPr>
      </w:pPr>
    </w:p>
    <w:p>
      <w:pPr>
        <w:pStyle w:val="5"/>
        <w:jc w:val="center"/>
        <w:rPr>
          <w:sz w:val="72"/>
          <w:szCs w:val="72"/>
        </w:rPr>
      </w:pPr>
    </w:p>
    <w:p>
      <w:pPr>
        <w:pStyle w:val="5"/>
        <w:jc w:val="center"/>
        <w:rPr>
          <w:sz w:val="72"/>
          <w:szCs w:val="72"/>
        </w:rPr>
      </w:pPr>
    </w:p>
    <w:p>
      <w:pPr>
        <w:pStyle w:val="5"/>
        <w:jc w:val="center"/>
        <w:rPr>
          <w:sz w:val="72"/>
          <w:szCs w:val="72"/>
        </w:rPr>
      </w:pPr>
    </w:p>
    <w:p>
      <w:pPr>
        <w:pStyle w:val="5"/>
        <w:jc w:val="center"/>
        <w:rPr>
          <w:sz w:val="72"/>
          <w:szCs w:val="72"/>
        </w:rPr>
      </w:pPr>
    </w:p>
    <w:p>
      <w:pPr>
        <w:rPr>
          <w:sz w:val="72"/>
          <w:szCs w:val="72"/>
        </w:rPr>
      </w:pPr>
      <w:r>
        <w:rPr>
          <w:sz w:val="72"/>
          <w:szCs w:val="72"/>
        </w:rPr>
        <w:br w:type="page"/>
      </w:r>
    </w:p>
    <w:p>
      <w:pPr>
        <w:pStyle w:val="5"/>
        <w:jc w:val="center"/>
        <w:rPr>
          <w:rFonts w:hint="eastAsia" w:ascii="方正小标宋_GBK" w:hAnsi="方正小标宋_GBK" w:eastAsia="方正小标宋_GBK" w:cs="方正小标宋_GBK"/>
          <w:sz w:val="72"/>
          <w:szCs w:val="72"/>
        </w:rPr>
      </w:pPr>
    </w:p>
    <w:p>
      <w:pPr>
        <w:pStyle w:val="5"/>
        <w:jc w:val="center"/>
        <w:rPr>
          <w:rFonts w:hint="eastAsia" w:ascii="方正小标宋_GBK" w:hAnsi="方正小标宋_GBK" w:eastAsia="方正小标宋_GBK" w:cs="方正小标宋_GBK"/>
          <w:sz w:val="72"/>
          <w:szCs w:val="72"/>
        </w:rPr>
      </w:pPr>
    </w:p>
    <w:p>
      <w:pPr>
        <w:pStyle w:val="5"/>
        <w:jc w:val="center"/>
        <w:rPr>
          <w:rFonts w:hint="eastAsia" w:ascii="方正小标宋_GBK" w:hAnsi="方正小标宋_GBK" w:eastAsia="方正小标宋_GBK" w:cs="方正小标宋_GBK"/>
          <w:sz w:val="72"/>
          <w:szCs w:val="72"/>
        </w:rPr>
      </w:pPr>
    </w:p>
    <w:p>
      <w:pPr>
        <w:pStyle w:val="5"/>
        <w:jc w:val="center"/>
        <w:rPr>
          <w:rFonts w:hint="eastAsia" w:ascii="方正小标宋_GBK" w:hAnsi="方正小标宋_GBK" w:eastAsia="方正小标宋_GBK" w:cs="方正小标宋_GBK"/>
          <w:sz w:val="72"/>
          <w:szCs w:val="72"/>
        </w:rPr>
      </w:pPr>
    </w:p>
    <w:p>
      <w:pPr>
        <w:pStyle w:val="5"/>
        <w:jc w:val="center"/>
        <w:rPr>
          <w:rFonts w:hint="eastAsia" w:ascii="方正小标宋_GBK" w:hAnsi="方正小标宋_GBK" w:eastAsia="方正小标宋_GBK" w:cs="方正小标宋_GBK"/>
          <w:sz w:val="72"/>
          <w:szCs w:val="72"/>
        </w:rPr>
      </w:pPr>
    </w:p>
    <w:p>
      <w:pPr>
        <w:pStyle w:val="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5"/>
        <w:jc w:val="center"/>
        <w:rPr>
          <w:rFonts w:hint="eastAsia" w:ascii="方正小标宋_GBK" w:hAnsi="方正小标宋_GBK" w:eastAsia="方正小标宋_GBK" w:cs="方正小标宋_GBK"/>
          <w:sz w:val="70"/>
          <w:szCs w:val="70"/>
        </w:rPr>
      </w:pPr>
    </w:p>
    <w:p>
      <w:pPr>
        <w:pStyle w:val="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jc w:val="center"/>
        <w:rPr>
          <w:rFonts w:hint="eastAsia" w:asciiTheme="majorEastAsia" w:hAnsiTheme="majorEastAsia" w:eastAsiaTheme="majorEastAsia" w:cstheme="majorEastAsia"/>
          <w:sz w:val="44"/>
          <w:szCs w:val="44"/>
          <w:lang w:val="en-US" w:eastAsia="zh-CN"/>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2023年道县医保局部门整体支出</w:t>
      </w:r>
      <w:r>
        <w:rPr>
          <w:rFonts w:hint="eastAsia" w:asciiTheme="majorEastAsia" w:hAnsiTheme="majorEastAsia" w:eastAsiaTheme="majorEastAsia" w:cstheme="majorEastAsia"/>
          <w:b/>
          <w:bCs/>
          <w:sz w:val="44"/>
          <w:szCs w:val="44"/>
        </w:rPr>
        <w:t>绩效评</w:t>
      </w:r>
      <w:r>
        <w:rPr>
          <w:rFonts w:hint="eastAsia" w:asciiTheme="majorEastAsia" w:hAnsiTheme="majorEastAsia" w:eastAsiaTheme="majorEastAsia" w:cstheme="majorEastAsia"/>
          <w:b/>
          <w:bCs/>
          <w:sz w:val="44"/>
          <w:szCs w:val="44"/>
          <w:lang w:val="en-US" w:eastAsia="zh-CN"/>
        </w:rPr>
        <w:t>价</w:t>
      </w:r>
      <w:r>
        <w:rPr>
          <w:rFonts w:hint="eastAsia" w:asciiTheme="majorEastAsia" w:hAnsiTheme="majorEastAsia" w:eastAsiaTheme="majorEastAsia" w:cstheme="majorEastAsia"/>
          <w:b/>
          <w:bCs/>
          <w:sz w:val="44"/>
          <w:szCs w:val="44"/>
        </w:rPr>
        <w:t>报告</w:t>
      </w:r>
    </w:p>
    <w:p>
      <w:pPr>
        <w:rPr>
          <w:rFonts w:hint="eastAsia" w:ascii="宋体" w:hAnsi="宋体" w:eastAsia="宋体" w:cs="Times New Roman"/>
          <w:b/>
          <w:sz w:val="40"/>
          <w:szCs w:val="40"/>
        </w:rPr>
      </w:pPr>
    </w:p>
    <w:p>
      <w:pPr>
        <w:ind w:firstLine="800" w:firstLineChars="200"/>
        <w:rPr>
          <w:rFonts w:hint="eastAsia" w:ascii="黑体" w:hAnsi="黑体" w:eastAsia="黑体" w:cs="黑体"/>
          <w:b/>
          <w:sz w:val="40"/>
          <w:szCs w:val="40"/>
        </w:rPr>
      </w:pPr>
      <w:r>
        <w:rPr>
          <w:rFonts w:hint="eastAsia" w:ascii="黑体" w:hAnsi="黑体" w:eastAsia="黑体" w:cs="黑体"/>
          <w:b/>
          <w:sz w:val="40"/>
          <w:szCs w:val="40"/>
        </w:rPr>
        <w:t>一、基本情况</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（一）部门基本情况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1．主要职能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（1）拟定全县医疗保险、生育保险、医疗救助等医疗保障制度的政策、规划和标准，并组织实施。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（2）组织制定并实施全县医疗保障基金监督管理办法，监督管理相关医疗保障基金。</w:t>
      </w:r>
      <w:r>
        <w:rPr>
          <w:rFonts w:hint="eastAsia" w:ascii="仿宋_GB2312" w:hAnsi="仿宋_GB2312" w:eastAsia="仿宋_GB2312" w:cs="仿宋_GB2312"/>
          <w:sz w:val="32"/>
          <w:szCs w:val="32"/>
          <w:lang w:val="en-US" w:eastAsia="zh-CN"/>
        </w:rPr>
        <w:t>建立健全医疗保障基金安全防控机制，推进医疗保障基金支付方式改革。</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（3）组织制定全县医疗保障筹资和待遇政策，组织制定全县城乡居民大病保险政策，</w:t>
      </w:r>
      <w:r>
        <w:rPr>
          <w:rFonts w:hint="eastAsia" w:ascii="仿宋_GB2312" w:hAnsi="仿宋_GB2312" w:eastAsia="仿宋_GB2312" w:cs="仿宋_GB2312"/>
          <w:sz w:val="32"/>
          <w:szCs w:val="32"/>
          <w:lang w:val="en-US" w:eastAsia="zh-CN"/>
        </w:rPr>
        <w:t>完善动态调整和区域内调剂平衡机制，统筹城乡医疗保障待遇标准，建立健全与筹资水平相适应的待遇调整机制。</w:t>
      </w:r>
      <w:r>
        <w:rPr>
          <w:rFonts w:hint="eastAsia" w:ascii="仿宋_GB2312" w:hAnsi="仿宋_GB2312" w:eastAsia="仿宋_GB2312" w:cs="仿宋_GB2312"/>
          <w:sz w:val="32"/>
          <w:szCs w:val="32"/>
          <w:lang w:eastAsia="zh-CN"/>
        </w:rPr>
        <w:t>负责管理全县医疗救助资金的使用。</w:t>
      </w:r>
      <w:r>
        <w:rPr>
          <w:rFonts w:hint="eastAsia" w:ascii="仿宋_GB2312" w:hAnsi="仿宋_GB2312" w:eastAsia="仿宋_GB2312" w:cs="仿宋_GB2312"/>
          <w:sz w:val="32"/>
          <w:szCs w:val="32"/>
          <w:lang w:val="en-US" w:eastAsia="zh-CN"/>
        </w:rPr>
        <w:t>组织拟定并实施长期护理保险制度改革方案。</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（4）贯彻落实国家、湖南省制定的药品、医用耗材、医疗服务项目、医疗服务设施等医保目录、支付标准。</w:t>
      </w:r>
      <w:r>
        <w:rPr>
          <w:rFonts w:hint="eastAsia" w:ascii="仿宋_GB2312" w:hAnsi="仿宋_GB2312" w:eastAsia="仿宋_GB2312" w:cs="仿宋_GB2312"/>
          <w:sz w:val="32"/>
          <w:szCs w:val="32"/>
          <w:lang w:val="en-US" w:eastAsia="zh-CN"/>
        </w:rPr>
        <w:t>贯彻执行医保目录准入谈判规则。</w:t>
      </w:r>
      <w:r>
        <w:rPr>
          <w:rFonts w:hint="eastAsia" w:ascii="仿宋_GB2312" w:hAnsi="仿宋_GB2312" w:eastAsia="仿宋_GB2312" w:cs="仿宋_GB2312"/>
          <w:sz w:val="32"/>
          <w:szCs w:val="32"/>
          <w:lang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（5）组织制定全县药品、医用耗材价格和医疗服务项目、医疗服务设施收费等政策，</w:t>
      </w:r>
      <w:r>
        <w:rPr>
          <w:rFonts w:hint="eastAsia" w:ascii="仿宋_GB2312" w:hAnsi="仿宋_GB2312" w:eastAsia="仿宋_GB2312" w:cs="仿宋_GB2312"/>
          <w:sz w:val="32"/>
          <w:szCs w:val="32"/>
          <w:lang w:val="en-US" w:eastAsia="zh-CN"/>
        </w:rPr>
        <w:t>建立医保支付医药服务价格合理确定和动态调整机制，推动建立市场主导的社会医药服务体格形成机制，建立价格信息监测和信息发布制度。</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（6）根据国家、省、市药品、医用耗材的招标采购政策，监督实施全县药品、医用耗材招标采购工作。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制定全县定点医药机构协议和支付管理办法并组织实施，</w:t>
      </w:r>
      <w:r>
        <w:rPr>
          <w:rFonts w:hint="eastAsia" w:ascii="仿宋_GB2312" w:hAnsi="仿宋_GB2312" w:eastAsia="仿宋_GB2312" w:cs="仿宋_GB2312"/>
          <w:sz w:val="32"/>
          <w:szCs w:val="32"/>
          <w:lang w:val="en-US" w:eastAsia="zh-CN"/>
        </w:rPr>
        <w:t>建立健全医疗保障信用评价体系和信息披露制度，</w:t>
      </w:r>
      <w:r>
        <w:rPr>
          <w:rFonts w:hint="eastAsia" w:ascii="仿宋_GB2312" w:hAnsi="仿宋_GB2312" w:eastAsia="仿宋_GB2312" w:cs="仿宋_GB2312"/>
          <w:sz w:val="32"/>
          <w:szCs w:val="32"/>
          <w:lang w:eastAsia="zh-CN"/>
        </w:rPr>
        <w:t>监督管理纳入医保范围内的医疗服务行为和医疗费用，依法查处医疗保障领域违法违规行为。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负责全县医疗保障经办管理、公共服务体系和信息化建设。</w:t>
      </w:r>
      <w:r>
        <w:rPr>
          <w:rFonts w:hint="eastAsia" w:ascii="仿宋_GB2312" w:hAnsi="仿宋_GB2312" w:eastAsia="仿宋_GB2312" w:cs="仿宋_GB2312"/>
          <w:sz w:val="32"/>
          <w:szCs w:val="32"/>
          <w:lang w:val="en-US" w:eastAsia="zh-CN"/>
        </w:rPr>
        <w:t>指导、监督全县医疗保险、生育保险、大病保险、医疗救助等医疗保障经办业务工作。负责</w:t>
      </w:r>
      <w:r>
        <w:rPr>
          <w:rFonts w:hint="eastAsia" w:ascii="仿宋_GB2312" w:hAnsi="仿宋_GB2312" w:eastAsia="仿宋_GB2312" w:cs="仿宋_GB2312"/>
          <w:sz w:val="32"/>
          <w:szCs w:val="32"/>
          <w:lang w:eastAsia="zh-CN"/>
        </w:rPr>
        <w:t>医疗保障行政审批事项。</w:t>
      </w:r>
      <w:r>
        <w:rPr>
          <w:rFonts w:hint="eastAsia" w:ascii="仿宋_GB2312" w:hAnsi="仿宋_GB2312" w:eastAsia="仿宋_GB2312" w:cs="仿宋_GB2312"/>
          <w:sz w:val="32"/>
          <w:szCs w:val="32"/>
          <w:lang w:val="en-US" w:eastAsia="zh-CN"/>
        </w:rPr>
        <w:t>组织制定和完善异地就医管理和费用结算政策。建立健全医疗保障关系转移接续制度。开展医疗保障领域合作交流。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（9）完成县委、县政府交办的其他工作。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职能转变。县医保局应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（11）与县卫生健康局的有关职责分工。县卫生健康局、县医保局等部门在医疗、医保、医药等方面加强制度、政策衔接，建立沟通协商机制，协同推进改革，提高医疗资源使用效率和医疗保障水平。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 xml:space="preserve">机构设置 </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bookmarkStart w:id="3" w:name="ORG_SET"/>
      <w:r>
        <w:rPr>
          <w:rFonts w:hint="eastAsia" w:ascii="仿宋_GB2312" w:hAnsi="仿宋_GB2312" w:eastAsia="仿宋_GB2312" w:cs="仿宋_GB2312"/>
          <w:color w:val="000000"/>
          <w:sz w:val="32"/>
          <w:szCs w:val="32"/>
          <w:shd w:val="clear" w:color="auto" w:fill="FFFFFF"/>
        </w:rPr>
        <w:t>我单位是县政府工作部门，为正科级行政单位，下设副科级公益一类事业单位医疗保障事务中心。局机关内设办公室、规划财务和法规股、待遇保障股、医药服务管理股、医药价格和招标采购股、基金监管股共六个股室。全局核定编制59人，实有工作人员5</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人。</w:t>
      </w:r>
      <w:bookmarkEnd w:id="3"/>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（二）部门年度整体支出绩效目标，专项资金绩效目标。</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2023年度单位整体支出绩效目标情况：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目标1.优化医保领域便民服务。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一是落实落细异地直接结算。二是做好定点医疗机构扩面与异地就医管理工作。三是优化异地就医服务。四是全面推行省内基本医疗保险零星报销费用线上审核结算，提高“数字化”经办水平。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目标2.推进医保经办管理服务体系建设。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加强经办体系建设。二是落实全省医疗保障经办政务服务事项和加强医保窗口建设。三是加强省市县统筹协调和经办业务协同。四是规范DIP支付经办管理。五是加强两定机构管理和经办机构稽核、内部控制管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目标3.提升医保规范化管理水平。</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一是落实医保待遇政策制度。二是推进医保支付方式改革。三是推动医药集采和价格政策落实落地。四是推进基金监管规范化工作。五是完成能力提升补助资金预算执行率，资金使用合规。</w:t>
      </w:r>
    </w:p>
    <w:p>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800" w:firstLineChars="200"/>
        <w:jc w:val="both"/>
        <w:textAlignment w:val="auto"/>
        <w:rPr>
          <w:rFonts w:hint="eastAsia" w:ascii="黑体" w:hAnsi="黑体" w:eastAsia="黑体" w:cs="黑体"/>
          <w:b/>
          <w:color w:val="auto"/>
          <w:sz w:val="40"/>
          <w:szCs w:val="40"/>
        </w:rPr>
      </w:pPr>
      <w:r>
        <w:rPr>
          <w:rFonts w:hint="eastAsia" w:ascii="黑体" w:hAnsi="黑体" w:eastAsia="黑体" w:cs="黑体"/>
          <w:b/>
          <w:color w:val="auto"/>
          <w:sz w:val="40"/>
          <w:szCs w:val="40"/>
        </w:rPr>
        <w:t>一般公共预算支出情况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2023年本部门一般公共预算拨款收入6442.57万元，一般公共预算支出6442.57万元。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（一）基本支出情况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 xml:space="preserve">2023年基本支出1083.12万元，主要是为保障部门正常运转、完成日常工作任务而发生的各项支出，包括用于工资福利支出的人员经费以及办公费、印刷费、水电费、办公设备购置等公用经费。 </w:t>
      </w:r>
    </w:p>
    <w:p>
      <w:pPr>
        <w:keepNext w:val="0"/>
        <w:keepLines w:val="0"/>
        <w:pageBreakBefore w:val="0"/>
        <w:numPr>
          <w:ilvl w:val="0"/>
          <w:numId w:val="4"/>
        </w:numPr>
        <w:kinsoku/>
        <w:wordWrap/>
        <w:overflowPunct/>
        <w:topLinePunct w:val="0"/>
        <w:autoSpaceDE/>
        <w:autoSpaceDN/>
        <w:bidi w:val="0"/>
        <w:spacing w:line="560" w:lineRule="exact"/>
        <w:ind w:left="-13" w:leftChars="0" w:firstLine="643" w:firstLineChars="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项目支出情况</w:t>
      </w:r>
    </w:p>
    <w:p>
      <w:pPr>
        <w:pStyle w:val="2"/>
        <w:numPr>
          <w:ilvl w:val="0"/>
          <w:numId w:val="0"/>
        </w:numPr>
        <w:ind w:firstLine="640" w:firstLineChars="200"/>
        <w:rPr>
          <w:rFonts w:hint="default" w:ascii="仿宋_GB2312" w:hAnsi="仿宋_GB2312" w:eastAsia="仿宋_GB2312" w:cs="仿宋_GB2312"/>
          <w:color w:val="0000FF"/>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2023年项目支出5359.45万元，各项专项资金的使用管理情况如下：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1、2023年度医疗救助专项资金分配安排和使用管理情况。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湖南省医疗救助办法》(湘政办发〔2021〕62号)、《永州市医疗救助实施细则》(永政办发〔2021〕23号)和《道县医疗救助工作实施方案》(道政办函〔2022〕55号)文件精神，我局进一步完善我县医疗救助体系，提高困难群众的医疗保障水平，保障困难群众基本医疗需求，切实帮助困难群众解决医疗问题。2023年各级财政共筹集医疗救助补助资金4205.92万元，其中，中央1359.58万元，省级326.68万元，县级2519.66万元。该项目全年发生救助支出4332.77万元，当期收支结余为-126.85万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2、2023年度医疗保障与服务能力提升补助资金（医疗保障服务能力建设部分）分配安排和使用管理情况。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湖南省财政厅关于下达2023年中央补助医疗服务与保障能力提升（医疗保障服务能力建设部分）项目经费的通知》（湘财预［2023］180号）文件精神，下达道县医保局2023年医疗服务与保障能力提升中央财政补助资金20万元，资金实际支出20万元，主要用于基金监管、医保政策宣传和经办服务能力提升等方面，预算执行率100%。</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800" w:firstLineChars="200"/>
        <w:jc w:val="both"/>
        <w:textAlignment w:val="auto"/>
        <w:rPr>
          <w:rFonts w:hint="eastAsia" w:ascii="黑体" w:hAnsi="黑体" w:eastAsia="黑体" w:cs="黑体"/>
          <w:color w:val="auto"/>
          <w:kern w:val="2"/>
          <w:sz w:val="40"/>
          <w:szCs w:val="40"/>
          <w:lang w:val="en-US" w:eastAsia="zh-CN" w:bidi="ar-SA"/>
        </w:rPr>
      </w:pPr>
      <w:r>
        <w:rPr>
          <w:rFonts w:hint="eastAsia" w:ascii="黑体" w:hAnsi="黑体" w:eastAsia="黑体" w:cs="黑体"/>
          <w:color w:val="auto"/>
          <w:kern w:val="2"/>
          <w:sz w:val="40"/>
          <w:szCs w:val="40"/>
          <w:lang w:val="en-US" w:eastAsia="zh-CN" w:bidi="ar-SA"/>
        </w:rPr>
        <w:t>三、政府性基金预算支出情况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2023年度无政府性基金收支。</w:t>
      </w:r>
    </w:p>
    <w:p>
      <w:pPr>
        <w:ind w:firstLine="800" w:firstLineChars="200"/>
        <w:rPr>
          <w:rFonts w:hint="eastAsia" w:ascii="黑体" w:hAnsi="黑体" w:eastAsia="黑体" w:cs="黑体"/>
          <w:color w:val="auto"/>
          <w:sz w:val="40"/>
          <w:szCs w:val="40"/>
          <w:lang w:val="en-US" w:eastAsia="zh-CN"/>
        </w:rPr>
      </w:pPr>
      <w:r>
        <w:rPr>
          <w:rFonts w:hint="eastAsia" w:ascii="黑体" w:hAnsi="黑体" w:eastAsia="黑体" w:cs="黑体"/>
          <w:color w:val="auto"/>
          <w:sz w:val="40"/>
          <w:szCs w:val="40"/>
          <w:lang w:val="en-US" w:eastAsia="zh-CN"/>
        </w:rPr>
        <w:t>四、国有资本经营预算支出情况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本单位无国有资本经营预算的收支。</w:t>
      </w:r>
    </w:p>
    <w:p>
      <w:pPr>
        <w:ind w:firstLine="800" w:firstLineChars="200"/>
        <w:rPr>
          <w:rFonts w:hint="eastAsia" w:ascii="黑体" w:hAnsi="黑体" w:eastAsia="黑体" w:cs="黑体"/>
          <w:color w:val="auto"/>
          <w:kern w:val="2"/>
          <w:sz w:val="40"/>
          <w:szCs w:val="40"/>
          <w:lang w:val="en-US" w:eastAsia="zh-CN" w:bidi="ar-SA"/>
        </w:rPr>
      </w:pPr>
      <w:r>
        <w:rPr>
          <w:rFonts w:hint="eastAsia" w:ascii="黑体" w:hAnsi="黑体" w:eastAsia="黑体" w:cs="黑体"/>
          <w:color w:val="auto"/>
          <w:kern w:val="2"/>
          <w:sz w:val="40"/>
          <w:szCs w:val="40"/>
          <w:lang w:val="en-US" w:eastAsia="zh-CN" w:bidi="ar-SA"/>
        </w:rPr>
        <w:t>五、社会保险基金预算支出情况</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(一)</w:t>
      </w:r>
      <w:r>
        <w:rPr>
          <w:rFonts w:hint="default" w:ascii="楷体_GB2312" w:hAnsi="楷体_GB2312" w:eastAsia="楷体_GB2312" w:cs="楷体_GB2312"/>
          <w:b/>
          <w:bCs/>
          <w:color w:val="auto"/>
          <w:kern w:val="0"/>
          <w:sz w:val="32"/>
          <w:szCs w:val="32"/>
          <w:lang w:val="en-US" w:eastAsia="zh-CN" w:bidi="ar-SA"/>
        </w:rPr>
        <w:t>城镇职工医疗保险</w:t>
      </w:r>
      <w:r>
        <w:rPr>
          <w:rFonts w:hint="eastAsia" w:ascii="楷体_GB2312" w:hAnsi="楷体_GB2312" w:eastAsia="楷体_GB2312" w:cs="楷体_GB2312"/>
          <w:b/>
          <w:bCs/>
          <w:color w:val="auto"/>
          <w:kern w:val="0"/>
          <w:sz w:val="32"/>
          <w:szCs w:val="32"/>
          <w:lang w:val="en-US" w:eastAsia="zh-CN" w:bidi="ar-SA"/>
        </w:rPr>
        <w:t>基金预算执行情况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城镇职工医保预计参保人数31498人，基本医疗保险费收入12754.85万元、财政补贴收入121.37万元、利息收入168.60万元、转移收入6万元，本年预算收入合计13050.82万元，预计基本医疗保险基金支出12701.61万元，当年基金预算收支结余349.21万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2023年度城镇职工医保参保单位计480家，实际参保人数32542人（其中，在职20378人，退休12164人），参保人数较上年末增加 327人，同比增长1.01%，完成年度预算的103.31%。</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城职基本医疗保险费收入15009.47万元、财政补贴收入111.32万元（含新冠病毒疫苗及接种费用财补资金29.32万元）、利息收入150.98万元、其他收入4.7万元、转移收入34.92万元，本年基金收入合计15311.39万元，与去年同期比较增加1783.77万元，增长13.18%;比年初预算数增加2260.57万元，完成年度预算的117.32%。</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2023年城职基本医疗保险基金享受待遇11.57万人次，实际补偿支出15632.69万元，同比增加1364.37万元，增长9.56%，比年初预算数增加2931.08万元，增长23.07%。当年基金结余-321.30万元，年末滚存结余12940.66万元。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w:t>
      </w:r>
      <w:r>
        <w:rPr>
          <w:rFonts w:hint="default" w:ascii="楷体_GB2312" w:hAnsi="楷体_GB2312" w:eastAsia="楷体_GB2312" w:cs="楷体_GB2312"/>
          <w:b/>
          <w:bCs/>
          <w:color w:val="auto"/>
          <w:kern w:val="0"/>
          <w:sz w:val="32"/>
          <w:szCs w:val="32"/>
          <w:lang w:val="en-US" w:eastAsia="zh-CN" w:bidi="ar-SA"/>
        </w:rPr>
        <w:t>城</w:t>
      </w:r>
      <w:r>
        <w:rPr>
          <w:rFonts w:hint="eastAsia" w:ascii="楷体_GB2312" w:hAnsi="楷体_GB2312" w:eastAsia="楷体_GB2312" w:cs="楷体_GB2312"/>
          <w:b/>
          <w:bCs/>
          <w:color w:val="auto"/>
          <w:kern w:val="0"/>
          <w:sz w:val="32"/>
          <w:szCs w:val="32"/>
          <w:lang w:val="en-US" w:eastAsia="zh-CN" w:bidi="ar-SA"/>
        </w:rPr>
        <w:t>乡居民</w:t>
      </w:r>
      <w:r>
        <w:rPr>
          <w:rFonts w:hint="default" w:ascii="楷体_GB2312" w:hAnsi="楷体_GB2312" w:eastAsia="楷体_GB2312" w:cs="楷体_GB2312"/>
          <w:b/>
          <w:bCs/>
          <w:color w:val="auto"/>
          <w:kern w:val="0"/>
          <w:sz w:val="32"/>
          <w:szCs w:val="32"/>
          <w:lang w:val="en-US" w:eastAsia="zh-CN" w:bidi="ar-SA"/>
        </w:rPr>
        <w:t>医疗保险</w:t>
      </w:r>
      <w:r>
        <w:rPr>
          <w:rFonts w:hint="eastAsia" w:ascii="楷体_GB2312" w:hAnsi="楷体_GB2312" w:eastAsia="楷体_GB2312" w:cs="楷体_GB2312"/>
          <w:b/>
          <w:bCs/>
          <w:color w:val="auto"/>
          <w:kern w:val="0"/>
          <w:sz w:val="32"/>
          <w:szCs w:val="32"/>
          <w:lang w:val="en-US" w:eastAsia="zh-CN" w:bidi="ar-SA"/>
        </w:rPr>
        <w:t>基金预算执行情况</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城乡居民医保预计参保人数64万人，基本医疗保险费收入22400万元、财政补贴收入40960万元、利息收入358万元、其他收入320万元，新冠疫苗及接种费补助收入650万，本年基金预算收入64688万元，预计基本医疗保险基金支出60970.6万元，当年基金预算收支结余3717.4万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2023年度城乡居民医保实际参保人数616795人（集中征缴期内参保人数为615270人），参保人数较上年末减少29743人，同比下降4.61%，完成年度预算的96.37%。</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城乡居民基本医疗保险费收入21593.57万元、财政补贴收入40649.94万元（含新冠病毒疫苗及接种费用财补资金626.13万元）、利息收入274.06万元、其他收入258.43万元，本年基金收入合计62776万元，与去年同期比较增加1936.25万元，增长3.18%；比年初预算数减少1912万元，完成年度预算的97.04%。</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2023年城乡居民基本医疗保险基金享受待遇70.13万人次，实际补偿支出71030万元，同比增加9062.4万元，增长14.62%，比年初预算数增加10059.4万元，增长16.5%。当年基金结余-8254万元，年末滚存结余20289.22万元。</w:t>
      </w:r>
    </w:p>
    <w:p>
      <w:pPr>
        <w:ind w:firstLine="800" w:firstLineChars="200"/>
        <w:rPr>
          <w:rFonts w:hint="eastAsia" w:ascii="黑体" w:hAnsi="黑体" w:eastAsia="黑体" w:cs="黑体"/>
          <w:color w:val="auto"/>
          <w:kern w:val="2"/>
          <w:sz w:val="40"/>
          <w:szCs w:val="40"/>
          <w:lang w:val="en-US" w:eastAsia="zh-CN" w:bidi="ar-SA"/>
        </w:rPr>
      </w:pPr>
      <w:r>
        <w:rPr>
          <w:rFonts w:hint="eastAsia" w:ascii="黑体" w:hAnsi="黑体" w:eastAsia="黑体" w:cs="黑体"/>
          <w:color w:val="auto"/>
          <w:kern w:val="2"/>
          <w:sz w:val="40"/>
          <w:szCs w:val="40"/>
          <w:lang w:val="en-US" w:eastAsia="zh-CN" w:bidi="ar-SA"/>
        </w:rPr>
        <w:t>六、部门整体支出绩效情况</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（一）优化医保领域便民服务</w:t>
      </w:r>
    </w:p>
    <w:p>
      <w:pPr>
        <w:shd w:val="solid" w:color="FFFFFF" w:fill="auto"/>
        <w:autoSpaceDN w:val="0"/>
        <w:spacing w:line="240" w:lineRule="atLeast"/>
        <w:ind w:firstLine="640" w:firstLineChars="200"/>
        <w:jc w:val="both"/>
        <w:rPr>
          <w:rFonts w:hint="eastAsia" w:ascii="Times New Roman" w:hAnsi="Times New Roman"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1.落实落细异地直接结算。一是拓展异地就医备案渠道，我县经办机构服务窗口、电话（传真）、线上网厅等申请办理登记备案渠道均开通。参保人员跨省异地就医、省内异地就医可通过“湘医保”APP、湖南省政务服务网等多种线上渠道申请办理登记备案手续。线下申报的即时办结，线上申报的原则上在两个工作日内办结。二是积极推进承若书制度，缩减医保服务事项办理时限，参保人员可以签署个人承诺书方式申请办理异地长期备案；参保人意外伤害异地就医且无第三方责任的医疗费用，可通过填写《外伤无第三方责任承诺书》办理异地就医直接结算。</w:t>
      </w:r>
    </w:p>
    <w:p>
      <w:pPr>
        <w:widowControl w:val="0"/>
        <w:numPr>
          <w:ilvl w:val="0"/>
          <w:numId w:val="0"/>
        </w:numPr>
        <w:wordWrap/>
        <w:adjustRightInd/>
        <w:snapToGrid/>
        <w:spacing w:line="56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b/>
          <w:bCs/>
          <w:color w:val="auto"/>
          <w:sz w:val="32"/>
          <w:szCs w:val="32"/>
          <w:lang w:val="en-US" w:eastAsia="zh-CN"/>
        </w:rPr>
        <w:t>2.定点医疗机构扩面与异地就医管理</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实现普通门诊异地结算二级以上定点医疗机构全覆盖。我县9家二级以上医疗机构全部开通跨省和省内异地普通门诊业务，开通率和结算率均达到100%。全部43个门诊慢特病治疗费用省内异地可直接结算，我县人民医院、县中医医院、道州新区肾病医院实现了直接结算。</w:t>
      </w:r>
      <w:r>
        <w:rPr>
          <w:rFonts w:hint="eastAsia" w:ascii="仿宋_GB2312" w:hAnsi="仿宋_GB2312" w:eastAsia="仿宋_GB2312" w:cs="仿宋_GB2312"/>
          <w:color w:val="auto"/>
          <w:kern w:val="2"/>
          <w:sz w:val="32"/>
          <w:szCs w:val="32"/>
          <w:lang w:val="en-US" w:eastAsia="zh-CN" w:bidi="ar-SA"/>
        </w:rPr>
        <w:t>2023年1-12月道县定点医疗机构住院费用异地直接结算率80.94%，门诊费用异地直接结算率97.76%。</w:t>
      </w:r>
    </w:p>
    <w:p>
      <w:pPr>
        <w:widowControl w:val="0"/>
        <w:numPr>
          <w:ilvl w:val="0"/>
          <w:numId w:val="0"/>
        </w:numPr>
        <w:wordWrap/>
        <w:adjustRightInd/>
        <w:snapToGrid/>
        <w:spacing w:line="560" w:lineRule="exact"/>
        <w:ind w:firstLine="640" w:firstLineChars="200"/>
        <w:textAlignment w:val="auto"/>
        <w:rPr>
          <w:rFonts w:hint="eastAsia" w:ascii="仿宋_GB2312" w:hAnsi="仿宋_GB2312" w:eastAsia="仿宋_GB2312" w:cs="仿宋_GB2312"/>
          <w:color w:val="0000FF"/>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3.优化异地就医服务。</w:t>
      </w:r>
      <w:r>
        <w:rPr>
          <w:rFonts w:hint="eastAsia" w:ascii="仿宋_GB2312" w:hAnsi="仿宋_GB2312" w:eastAsia="仿宋_GB2312" w:cs="仿宋_GB2312"/>
          <w:b w:val="0"/>
          <w:bCs w:val="0"/>
          <w:color w:val="auto"/>
          <w:sz w:val="32"/>
          <w:szCs w:val="32"/>
          <w:lang w:val="en-US" w:eastAsia="zh-CN"/>
        </w:rPr>
        <w:t>道县作为参保地，2023年1-12月住院费用跨省直接结算率达到 75.62%，省内直接结算率达到94.85 %。道县全年门诊费用跨省和省内异地直接结算率达到 98.61%。</w:t>
      </w:r>
    </w:p>
    <w:p>
      <w:pPr>
        <w:widowControl w:val="0"/>
        <w:numPr>
          <w:ilvl w:val="0"/>
          <w:numId w:val="0"/>
        </w:numPr>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4.“数字化”经办水平。一是积极</w:t>
      </w:r>
      <w:r>
        <w:rPr>
          <w:rFonts w:hint="default" w:ascii="仿宋_GB2312" w:hAnsi="仿宋_GB2312" w:eastAsia="仿宋_GB2312" w:cs="仿宋_GB2312"/>
          <w:color w:val="auto"/>
          <w:sz w:val="32"/>
          <w:szCs w:val="32"/>
          <w:lang w:val="en-US" w:eastAsia="zh-CN"/>
        </w:rPr>
        <w:t>推动湖南省医疗保障单位网厅应用率，提高注册登录率</w:t>
      </w:r>
      <w:r>
        <w:rPr>
          <w:rFonts w:hint="eastAsia" w:ascii="仿宋_GB2312" w:hAnsi="仿宋_GB2312" w:eastAsia="仿宋_GB2312" w:cs="仿宋_GB2312"/>
          <w:color w:val="auto"/>
          <w:sz w:val="32"/>
          <w:szCs w:val="32"/>
          <w:lang w:val="en-US" w:eastAsia="zh-CN"/>
        </w:rPr>
        <w:t>。二是依托医保服务平台 “个人网厅”“单位网厅”，推进参保登记、参保信息变更、转移接续等医保领域高频服务事项办理。</w:t>
      </w:r>
    </w:p>
    <w:p>
      <w:pPr>
        <w:widowControl w:val="0"/>
        <w:numPr>
          <w:ilvl w:val="0"/>
          <w:numId w:val="0"/>
        </w:numPr>
        <w:wordWrap/>
        <w:adjustRightInd/>
        <w:snapToGrid/>
        <w:spacing w:line="560"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(二)推进医保经办管理服务体系建设</w:t>
      </w:r>
    </w:p>
    <w:p>
      <w:pPr>
        <w:widowControl w:val="0"/>
        <w:wordWrap w:val="0"/>
        <w:adjustRightInd/>
        <w:snapToGrid/>
        <w:spacing w:line="24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1.经办体系建设情况</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auto"/>
          <w:sz w:val="32"/>
          <w:szCs w:val="32"/>
          <w:lang w:val="en-US" w:eastAsia="zh-CN"/>
        </w:rPr>
        <w:t>我县22个乡镇（街道）、369个村（社区），已全部开通参保登记、信息查询及变更、异地就医备案等26项经办服务事项直办或帮代办，覆盖率100%。截止6月底，基层医保经办直办或帮代办的件数完成18670件，基层办理率达87%。</w:t>
      </w:r>
    </w:p>
    <w:p>
      <w:pPr>
        <w:pStyle w:val="4"/>
        <w:numPr>
          <w:ilvl w:val="0"/>
          <w:numId w:val="0"/>
        </w:numPr>
        <w:wordWrap/>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2.窗口建设情况。</w:t>
      </w:r>
      <w:r>
        <w:rPr>
          <w:rFonts w:hint="eastAsia" w:ascii="仿宋_GB2312" w:hAnsi="仿宋_GB2312" w:eastAsia="仿宋_GB2312" w:cs="仿宋_GB2312"/>
          <w:color w:val="auto"/>
          <w:kern w:val="2"/>
          <w:sz w:val="32"/>
          <w:szCs w:val="32"/>
          <w:lang w:val="en-US" w:eastAsia="zh-CN" w:bidi="ar-SA"/>
        </w:rPr>
        <w:t>一是依托政务服务大厅，合理布局服务网点，配备引导人员，提供咨询、指引等服务；委托代办的线下渠道，优化完善无障碍设施，并提供预约、应急服务，协助老年人等群体操作智能化终端设备。二是成立转诊中心，将转诊审批权限下放到县人民医院、县中医医院，并在医疗机构开设特门“双通道”窗口。三是针对参保登记、异地就医备案、门诊慢特病病种待遇认定、医疗费用手工（零星）报销等老年人群体办理的高频事项，建立了“一事一指南”和“一次性告知书”制度。</w:t>
      </w:r>
    </w:p>
    <w:p>
      <w:pPr>
        <w:pStyle w:val="4"/>
        <w:numPr>
          <w:ilvl w:val="0"/>
          <w:numId w:val="0"/>
        </w:numPr>
        <w:wordWrap/>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3.省市统筹协调和经办业务协同情况。</w:t>
      </w:r>
      <w:r>
        <w:rPr>
          <w:rFonts w:hint="eastAsia" w:ascii="仿宋_GB2312" w:hAnsi="仿宋_GB2312" w:eastAsia="仿宋_GB2312" w:cs="仿宋_GB2312"/>
          <w:color w:val="auto"/>
          <w:kern w:val="2"/>
          <w:sz w:val="32"/>
          <w:szCs w:val="32"/>
          <w:lang w:val="en-US" w:eastAsia="zh-CN" w:bidi="ar-SA"/>
        </w:rPr>
        <w:t>贯彻落实省市县重点工作及时到位，及时响应日常业务工作，按时按量报送统计和会计报表，信访维稳室及时回复处理信访交办件，工作推进有序，协同配合有力。</w:t>
      </w:r>
    </w:p>
    <w:p>
      <w:pPr>
        <w:widowControl w:val="0"/>
        <w:wordWrap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FF"/>
          <w:spacing w:val="0"/>
          <w:w w:val="100"/>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 4.规范DIP支付经办管理。</w:t>
      </w:r>
      <w:r>
        <w:rPr>
          <w:rFonts w:hint="eastAsia" w:ascii="仿宋_GB2312" w:hAnsi="仿宋_GB2312" w:eastAsia="仿宋_GB2312" w:cs="仿宋_GB2312"/>
          <w:color w:val="auto"/>
          <w:kern w:val="2"/>
          <w:sz w:val="32"/>
          <w:szCs w:val="32"/>
          <w:lang w:val="en-US" w:eastAsia="zh-CN" w:bidi="ar-SA"/>
        </w:rPr>
        <w:t>我县建立规范完整的 DIP 经办流程体系、监测评估体系及协商谈判机制。完成对医疗机构开展日常监测，并形成监测报告。</w:t>
      </w:r>
      <w:r>
        <w:rPr>
          <w:rFonts w:hint="eastAsia" w:ascii="仿宋_GB2312" w:hAnsi="仿宋_GB2312" w:eastAsia="仿宋_GB2312" w:cs="仿宋_GB2312"/>
          <w:b w:val="0"/>
          <w:i w:val="0"/>
          <w:caps w:val="0"/>
          <w:color w:val="0000FF"/>
          <w:spacing w:val="0"/>
          <w:w w:val="100"/>
          <w:kern w:val="2"/>
          <w:sz w:val="32"/>
          <w:szCs w:val="32"/>
          <w:lang w:val="en-US" w:eastAsia="zh-CN" w:bidi="ar-SA"/>
        </w:rPr>
        <w:t xml:space="preserve"> </w:t>
      </w:r>
    </w:p>
    <w:p>
      <w:pPr>
        <w:pStyle w:val="4"/>
        <w:numPr>
          <w:ilvl w:val="0"/>
          <w:numId w:val="0"/>
        </w:numPr>
        <w:wordWrap/>
        <w:adjustRightIn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w:t>
      </w:r>
      <w:r>
        <w:rPr>
          <w:rFonts w:hint="eastAsia" w:ascii="仿宋_GB2312" w:hAnsi="仿宋_GB2312" w:eastAsia="仿宋_GB2312" w:cs="仿宋_GB2312"/>
          <w:b/>
          <w:bCs/>
          <w:color w:val="auto"/>
          <w:sz w:val="32"/>
          <w:szCs w:val="32"/>
          <w:lang w:val="en-US" w:eastAsia="zh-CN"/>
        </w:rPr>
        <w:t>两</w:t>
      </w:r>
      <w:r>
        <w:rPr>
          <w:rFonts w:hint="eastAsia" w:ascii="仿宋_GB2312" w:hAnsi="仿宋_GB2312" w:eastAsia="仿宋_GB2312" w:cs="仿宋_GB2312"/>
          <w:b/>
          <w:bCs/>
          <w:sz w:val="32"/>
          <w:szCs w:val="32"/>
          <w:lang w:val="en-US" w:eastAsia="zh-CN"/>
        </w:rPr>
        <w:t>定机构和经办机构稽核、内部控制管理情况</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auto"/>
          <w:kern w:val="2"/>
          <w:sz w:val="32"/>
          <w:szCs w:val="32"/>
          <w:lang w:val="en-US" w:eastAsia="zh-CN" w:bidi="ar-SA"/>
        </w:rPr>
        <w:t>两定机构管理，建立定点医药机构年度考核评价和动态调整机制，制定了我县医保电子服务协议签订相关制度，行政村卫生室纳入医保定点100%全覆盖。经办机构稽核、内部控制管理，建立了内部控制监督检查制度，制定年度内部控制检查计划，实现对定点医药机构年度稽核全覆盖。</w:t>
      </w:r>
    </w:p>
    <w:p>
      <w:pPr>
        <w:pStyle w:val="4"/>
        <w:keepNext w:val="0"/>
        <w:keepLines w:val="0"/>
        <w:pageBreakBefore w:val="0"/>
        <w:numPr>
          <w:ilvl w:val="0"/>
          <w:numId w:val="0"/>
        </w:numPr>
        <w:kinsoku/>
        <w:wordWrap/>
        <w:topLinePunct w:val="0"/>
        <w:autoSpaceDE/>
        <w:autoSpaceDN/>
        <w:bidi w:val="0"/>
        <w:adjustRightInd/>
        <w:spacing w:line="560"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（三）提升医保规范化管理水平</w:t>
      </w:r>
    </w:p>
    <w:p>
      <w:pPr>
        <w:pStyle w:val="4"/>
        <w:numPr>
          <w:ilvl w:val="0"/>
          <w:numId w:val="0"/>
        </w:numPr>
        <w:spacing w:after="0"/>
        <w:ind w:leftChars="0" w:firstLine="640" w:firstLineChars="200"/>
        <w:rPr>
          <w:rFonts w:hint="eastAsia" w:ascii="仿宋_GB2312" w:hAnsi="仿宋_GB2312" w:eastAsia="仿宋_GB2312" w:cs="仿宋_GB2312"/>
          <w:b w:val="0"/>
          <w:bCs/>
          <w:color w:val="auto"/>
          <w:sz w:val="32"/>
          <w:szCs w:val="32"/>
          <w:shd w:val="clear" w:color="auto" w:fill="FFFFFF"/>
          <w:lang w:val="en-US" w:eastAsia="zh-CN"/>
        </w:rPr>
      </w:pPr>
      <w:r>
        <w:rPr>
          <w:rFonts w:hint="eastAsia" w:ascii="仿宋_GB2312" w:hAnsi="仿宋_GB2312" w:eastAsia="仿宋_GB2312" w:cs="仿宋_GB2312"/>
          <w:b/>
          <w:bCs/>
          <w:color w:val="000000"/>
          <w:sz w:val="32"/>
          <w:szCs w:val="32"/>
          <w:lang w:val="en-US" w:eastAsia="zh-CN"/>
        </w:rPr>
        <w:t>1.落实医保待遇政策制度情况。一是全面实施全民参保计划。</w:t>
      </w:r>
      <w:r>
        <w:rPr>
          <w:rFonts w:hint="eastAsia" w:ascii="仿宋_GB2312" w:hAnsi="仿宋_GB2312" w:eastAsia="仿宋_GB2312" w:cs="仿宋_GB2312"/>
          <w:color w:val="auto"/>
          <w:kern w:val="2"/>
          <w:sz w:val="32"/>
          <w:szCs w:val="32"/>
          <w:lang w:val="en-US" w:eastAsia="zh-CN" w:bidi="ar-SA"/>
        </w:rPr>
        <w:t>2023年协助税务部门召开城乡居民征缴工作推进会及面对面业务培训会。我县全力推进基本医保参保全覆盖，</w:t>
      </w:r>
      <w:r>
        <w:rPr>
          <w:rFonts w:hint="eastAsia" w:ascii="仿宋_GB2312" w:eastAsia="仿宋_GB2312" w:cs="仿宋_GB2312"/>
          <w:snapToGrid/>
          <w:color w:val="auto"/>
          <w:kern w:val="2"/>
          <w:sz w:val="32"/>
          <w:szCs w:val="32"/>
          <w:lang w:val="en-US" w:eastAsia="zh-CN" w:bidi="ar-SA"/>
        </w:rPr>
        <w:t>2023年度基本医疗保险参保64.92万人，完成市政府下达目标任务的108%，常住人口参保率111.65%，在全市排名靠前，</w:t>
      </w:r>
      <w:r>
        <w:rPr>
          <w:rFonts w:hint="eastAsia" w:ascii="仿宋_GB2312" w:hAnsi="仿宋_GB2312" w:eastAsia="仿宋_GB2312" w:cs="仿宋_GB2312"/>
          <w:color w:val="auto"/>
          <w:spacing w:val="0"/>
          <w:sz w:val="32"/>
          <w:szCs w:val="32"/>
          <w:u w:val="none"/>
          <w:lang w:val="en-US" w:eastAsia="zh-CN"/>
        </w:rPr>
        <w:t>获评“全省医保系统2023年度城乡居民基本医疗保险费征收工作突出单位”。</w:t>
      </w:r>
      <w:r>
        <w:rPr>
          <w:rFonts w:hint="eastAsia" w:ascii="仿宋_GB2312" w:hAnsi="仿宋_GB2312" w:eastAsia="仿宋_GB2312" w:cs="仿宋_GB2312"/>
          <w:color w:val="auto"/>
          <w:kern w:val="2"/>
          <w:sz w:val="32"/>
          <w:szCs w:val="32"/>
          <w:lang w:val="en-US" w:eastAsia="zh-CN" w:bidi="ar-SA"/>
        </w:rPr>
        <w:t>落实困难群众参保资助政策，将特困供养人员、孤儿、事实无人抚养儿童、重度残疾人、最低生活保障对象、最低生活保障边缘家庭成员和纳入监测范围的防止返贫监测对象等困难群众全部纳入医疗救助资金资助范围，实行分类资助，全年共资助参保32458人，资助金额782.99万元，困难人群参保实现100%。</w:t>
      </w:r>
      <w:r>
        <w:rPr>
          <w:rFonts w:hint="eastAsia" w:ascii="仿宋_GB2312" w:hAnsi="仿宋_GB2312" w:eastAsia="仿宋_GB2312" w:cs="仿宋_GB2312"/>
          <w:b/>
          <w:bCs/>
          <w:color w:val="auto"/>
          <w:kern w:val="2"/>
          <w:sz w:val="32"/>
          <w:szCs w:val="32"/>
          <w:lang w:val="en-US" w:eastAsia="zh-CN" w:bidi="ar-SA"/>
        </w:rPr>
        <w:t>二是待遇清单制度落实到位。</w:t>
      </w:r>
      <w:r>
        <w:rPr>
          <w:rFonts w:hint="eastAsia" w:ascii="仿宋_GB2312" w:hAnsi="仿宋_GB2312" w:eastAsia="仿宋_GB2312" w:cs="仿宋_GB2312"/>
          <w:color w:val="auto"/>
          <w:sz w:val="32"/>
          <w:szCs w:val="32"/>
          <w:lang w:val="en-US" w:eastAsia="zh-CN"/>
        </w:rPr>
        <w:t>在省市统一安排部署下，</w:t>
      </w:r>
      <w:r>
        <w:rPr>
          <w:rFonts w:hint="eastAsia" w:ascii="仿宋_GB2312" w:hAnsi="仿宋_GB2312" w:eastAsia="仿宋_GB2312" w:cs="仿宋_GB2312"/>
          <w:color w:val="auto"/>
          <w:sz w:val="32"/>
          <w:szCs w:val="32"/>
        </w:rPr>
        <w:t>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基本医疗保障制度已完成人工关节打包支付、城乡居民透析按甲类支付、苯丙酮尿症使用特殊奶粉等项目清理，建立了待遇清单制度清理台账。</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b/>
          <w:bCs w:val="0"/>
          <w:color w:val="auto"/>
          <w:sz w:val="32"/>
          <w:szCs w:val="32"/>
          <w:shd w:val="clear" w:color="auto" w:fill="FFFFFF"/>
          <w:lang w:val="en-US" w:eastAsia="zh-CN"/>
        </w:rPr>
        <w:t>落实职工医保门诊政策情况。</w:t>
      </w:r>
      <w:r>
        <w:rPr>
          <w:rFonts w:hint="eastAsia" w:ascii="仿宋_GB2312" w:hAnsi="仿宋_GB2312" w:eastAsia="仿宋_GB2312" w:cs="仿宋_GB2312"/>
          <w:b w:val="0"/>
          <w:bCs/>
          <w:color w:val="auto"/>
          <w:sz w:val="32"/>
          <w:szCs w:val="32"/>
          <w:shd w:val="clear" w:color="auto" w:fill="FFFFFF"/>
          <w:lang w:val="en-US" w:eastAsia="zh-CN"/>
        </w:rPr>
        <w:t>我县对定点医疗机构职工普通门诊统筹开通率为100%，加强对开通职工普通门诊统筹的定点药店基金监管，对职工门诊慢特病患者严格按省政策落实。</w:t>
      </w:r>
      <w:r>
        <w:rPr>
          <w:rFonts w:hint="eastAsia" w:ascii="仿宋_GB2312" w:hAnsi="仿宋_GB2312" w:eastAsia="仿宋_GB2312" w:cs="仿宋_GB2312"/>
          <w:b/>
          <w:bCs w:val="0"/>
          <w:color w:val="auto"/>
          <w:sz w:val="32"/>
          <w:szCs w:val="32"/>
          <w:shd w:val="clear" w:color="auto" w:fill="FFFFFF"/>
          <w:lang w:val="en-US" w:eastAsia="zh-CN"/>
        </w:rPr>
        <w:t>四是</w:t>
      </w:r>
      <w:r>
        <w:rPr>
          <w:rFonts w:hint="eastAsia" w:ascii="仿宋_GB2312" w:hAnsi="仿宋_GB2312" w:eastAsia="仿宋_GB2312" w:cs="仿宋_GB2312"/>
          <w:b/>
          <w:bCs/>
          <w:color w:val="auto"/>
          <w:sz w:val="32"/>
          <w:szCs w:val="32"/>
          <w:shd w:val="clear" w:color="auto" w:fill="FFFFFF"/>
          <w:lang w:val="en-US" w:eastAsia="zh-CN"/>
        </w:rPr>
        <w:t>推进居民大病保险工作情况。</w:t>
      </w:r>
      <w:r>
        <w:rPr>
          <w:rFonts w:hint="eastAsia" w:ascii="仿宋_GB2312" w:hAnsi="仿宋_GB2312" w:eastAsia="仿宋_GB2312" w:cs="仿宋_GB2312"/>
          <w:b w:val="0"/>
          <w:bCs/>
          <w:color w:val="auto"/>
          <w:sz w:val="32"/>
          <w:szCs w:val="32"/>
          <w:shd w:val="clear" w:color="auto" w:fill="FFFFFF"/>
          <w:lang w:val="en-US" w:eastAsia="zh-CN"/>
        </w:rPr>
        <w:t>我县已实现省内跨市州大病保险直接联网结算。</w:t>
      </w:r>
      <w:r>
        <w:rPr>
          <w:rFonts w:hint="eastAsia" w:ascii="仿宋_GB2312" w:hAnsi="仿宋_GB2312" w:eastAsia="仿宋_GB2312" w:cs="仿宋_GB2312"/>
          <w:b/>
          <w:bCs w:val="0"/>
          <w:color w:val="auto"/>
          <w:sz w:val="32"/>
          <w:szCs w:val="32"/>
          <w:shd w:val="clear" w:color="auto" w:fill="FFFFFF"/>
          <w:lang w:val="en-US" w:eastAsia="zh-CN"/>
        </w:rPr>
        <w:t>五是</w:t>
      </w:r>
      <w:r>
        <w:rPr>
          <w:rFonts w:hint="eastAsia" w:ascii="仿宋_GB2312" w:hAnsi="仿宋_GB2312" w:eastAsia="仿宋_GB2312" w:cs="仿宋_GB2312"/>
          <w:b/>
          <w:bCs/>
          <w:color w:val="auto"/>
          <w:sz w:val="32"/>
          <w:szCs w:val="32"/>
          <w:shd w:val="clear" w:color="auto" w:fill="FFFFFF"/>
          <w:lang w:val="en-US" w:eastAsia="zh-CN"/>
        </w:rPr>
        <w:t>推进医疗救助工作情况。</w:t>
      </w:r>
      <w:r>
        <w:rPr>
          <w:rFonts w:hint="eastAsia" w:ascii="仿宋_GB2312" w:hAnsi="仿宋_GB2312" w:eastAsia="仿宋_GB2312" w:cs="仿宋_GB2312"/>
          <w:b w:val="0"/>
          <w:bCs w:val="0"/>
          <w:color w:val="auto"/>
          <w:sz w:val="32"/>
          <w:szCs w:val="32"/>
          <w:shd w:val="clear" w:color="auto" w:fill="FFFFFF"/>
          <w:lang w:val="en-US" w:eastAsia="zh-CN"/>
        </w:rPr>
        <w:t>我县施行医疗救助基金专户管理，落实医保扶贫资金归并平移和地方财政资金配套安排；严格按照医疗救助程序规范、依申请救助；定期推送高额医疗费用监测预警信息，按政策落实救助。</w:t>
      </w:r>
      <w:r>
        <w:rPr>
          <w:rFonts w:hint="eastAsia" w:ascii="仿宋_GB2312" w:hAnsi="仿宋_GB2312" w:eastAsia="仿宋_GB2312" w:cs="仿宋_GB2312"/>
          <w:b/>
          <w:bCs/>
          <w:color w:val="auto"/>
          <w:spacing w:val="0"/>
          <w:sz w:val="32"/>
          <w:szCs w:val="32"/>
          <w:u w:val="none"/>
          <w:lang w:val="en-US" w:eastAsia="zh-CN"/>
        </w:rPr>
        <w:t>六是推进“两病”门诊用药保障。</w:t>
      </w:r>
      <w:r>
        <w:rPr>
          <w:rFonts w:hint="eastAsia" w:ascii="仿宋_GB2312" w:hAnsi="仿宋_GB2312" w:eastAsia="仿宋_GB2312" w:cs="仿宋_GB2312"/>
          <w:b w:val="0"/>
          <w:bCs/>
          <w:color w:val="auto"/>
          <w:sz w:val="32"/>
          <w:szCs w:val="32"/>
          <w:shd w:val="clear" w:color="auto" w:fill="FFFFFF"/>
          <w:lang w:val="en-US" w:eastAsia="zh-CN"/>
        </w:rPr>
        <w:t>2023年，高血压门诊待遇享受8.3万人次，降血压药品基金支出292.70万元；糖尿病门诊待遇享受5.1万人次，降血糖药品基金支出528.30万元。</w:t>
      </w:r>
    </w:p>
    <w:p>
      <w:pPr>
        <w:numPr>
          <w:ilvl w:val="0"/>
          <w:numId w:val="0"/>
        </w:numPr>
        <w:ind w:firstLine="640" w:firstLineChars="200"/>
        <w:rPr>
          <w:rFonts w:hint="eastAsia" w:ascii="仿宋_GB2312" w:hAnsi="仿宋_GB2312" w:eastAsia="仿宋_GB2312" w:cs="仿宋_GB2312"/>
          <w:b w:val="0"/>
          <w:bCs/>
          <w:color w:val="auto"/>
          <w:kern w:val="2"/>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lang w:val="en-US" w:eastAsia="zh-CN" w:bidi="ar-SA"/>
        </w:rPr>
        <w:t>2.医保支付方式改革工作情况。</w:t>
      </w:r>
      <w:r>
        <w:rPr>
          <w:rFonts w:hint="eastAsia" w:ascii="仿宋_GB2312" w:hAnsi="仿宋_GB2312" w:eastAsia="仿宋_GB2312" w:cs="仿宋_GB2312"/>
          <w:b w:val="0"/>
          <w:bCs/>
          <w:color w:val="auto"/>
          <w:kern w:val="2"/>
          <w:sz w:val="32"/>
          <w:szCs w:val="32"/>
          <w:shd w:val="clear" w:color="auto" w:fill="FFFFFF"/>
          <w:lang w:val="en-US" w:eastAsia="zh-CN" w:bidi="ar-SA"/>
        </w:rPr>
        <w:t>至2023年底全县有住院业务的定点医疗机构42家，今年将住院医保收入达50万元以上的20家乡镇卫生院和社区卫生服务中心新增纳入DIP付费，全县DIP付费定点医疗机构从13家扩大到33家，DIP付费医疗机构覆盖率达78.57%。按市局病种目录，DIP付费医疗机构病种覆盖率达99.9%以上（生育住院未纳入）。城乡医保基金DIP付费占住院医保基金支出比例的为57.45%，城镇职工医保基金DIP付费占住院医保基金支出比例的为62.2%。</w:t>
      </w:r>
    </w:p>
    <w:p>
      <w:pPr>
        <w:numPr>
          <w:ilvl w:val="0"/>
          <w:numId w:val="0"/>
        </w:numPr>
        <w:ind w:firstLine="640" w:firstLineChars="200"/>
        <w:rPr>
          <w:rFonts w:hint="eastAsia" w:ascii="仿宋_GB2312" w:hAnsi="仿宋_GB2312" w:eastAsia="仿宋_GB2312" w:cs="仿宋_GB2312"/>
          <w:b w:val="0"/>
          <w:bCs/>
          <w:color w:val="auto"/>
          <w:kern w:val="2"/>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lang w:val="en-US" w:eastAsia="zh-CN" w:bidi="ar-SA"/>
        </w:rPr>
        <w:t>3.医药集采和价格政策落实落地情况。</w:t>
      </w:r>
      <w:r>
        <w:rPr>
          <w:rFonts w:hint="eastAsia" w:ascii="仿宋_GB2312" w:hAnsi="仿宋_GB2312" w:eastAsia="仿宋_GB2312" w:cs="仿宋_GB2312"/>
          <w:b w:val="0"/>
          <w:bCs/>
          <w:color w:val="auto"/>
          <w:kern w:val="2"/>
          <w:sz w:val="32"/>
          <w:szCs w:val="32"/>
          <w:shd w:val="clear" w:color="auto" w:fill="FFFFFF"/>
          <w:lang w:val="en-US" w:eastAsia="zh-CN" w:bidi="ar-SA"/>
        </w:rPr>
        <w:t>一是国家组织药品集采和省际联盟药品624个品种（14批次），完成采购总金额约4052.83万元，费用平均降幅40%；二是高值医用耗材集采4个品种（冠脉支架、人工晶体、人工关节和骨科创伤类耗材），完成采购总金额215.16万元，费用平均降幅70%；三是低值医用耗材完成采购金额2625.11万元，费用平均降幅10%。</w:t>
      </w:r>
    </w:p>
    <w:p>
      <w:pPr>
        <w:numPr>
          <w:ilvl w:val="0"/>
          <w:numId w:val="0"/>
        </w:numPr>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val="en-US" w:eastAsia="zh-CN"/>
        </w:rPr>
        <w:t>4.基金监管规范化工作情况</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auto"/>
          <w:kern w:val="2"/>
          <w:sz w:val="32"/>
          <w:szCs w:val="32"/>
          <w:highlight w:val="none"/>
          <w:lang w:val="en-US" w:eastAsia="zh-CN" w:bidi="ar-SA"/>
        </w:rPr>
        <w:t>一是</w:t>
      </w:r>
      <w:r>
        <w:rPr>
          <w:rFonts w:hint="eastAsia" w:ascii="仿宋_GB2312" w:hAnsi="仿宋_GB2312" w:eastAsia="仿宋_GB2312" w:cs="仿宋_GB2312"/>
          <w:b w:val="0"/>
          <w:bCs w:val="0"/>
          <w:color w:val="auto"/>
          <w:kern w:val="2"/>
          <w:sz w:val="32"/>
          <w:szCs w:val="32"/>
          <w:highlight w:val="none"/>
          <w:lang w:val="en-US" w:eastAsia="zh-CN" w:bidi="ar-SA"/>
        </w:rPr>
        <w:t>完成了市局转交省审计组移交的关于定点医疗机构重复收费问题整改，追回医保基金计</w:t>
      </w:r>
      <w:r>
        <w:rPr>
          <w:rFonts w:hint="eastAsia" w:ascii="仿宋_GB2312" w:hAnsi="仿宋_GB2312" w:eastAsia="仿宋_GB2312" w:cs="仿宋_GB2312"/>
          <w:color w:val="auto"/>
          <w:kern w:val="2"/>
          <w:sz w:val="32"/>
          <w:szCs w:val="32"/>
          <w:lang w:val="en-US" w:eastAsia="zh-CN" w:bidi="ar-SA"/>
        </w:rPr>
        <w:t>19.6万</w:t>
      </w:r>
      <w:r>
        <w:rPr>
          <w:rFonts w:hint="eastAsia" w:ascii="仿宋_GB2312" w:hAnsi="仿宋_GB2312" w:eastAsia="仿宋_GB2312" w:cs="仿宋_GB2312"/>
          <w:b w:val="0"/>
          <w:bCs w:val="0"/>
          <w:color w:val="auto"/>
          <w:kern w:val="2"/>
          <w:sz w:val="32"/>
          <w:szCs w:val="32"/>
          <w:highlight w:val="none"/>
          <w:lang w:val="en-US" w:eastAsia="zh-CN" w:bidi="ar-SA"/>
        </w:rPr>
        <w:t>元，处罚</w:t>
      </w:r>
      <w:r>
        <w:rPr>
          <w:rFonts w:hint="eastAsia" w:ascii="仿宋_GB2312" w:hAnsi="仿宋_GB2312" w:eastAsia="仿宋_GB2312" w:cs="仿宋_GB2312"/>
          <w:color w:val="auto"/>
          <w:kern w:val="2"/>
          <w:sz w:val="32"/>
          <w:szCs w:val="32"/>
          <w:lang w:val="en-US" w:eastAsia="zh-CN" w:bidi="ar-SA"/>
        </w:rPr>
        <w:t>8.24万</w:t>
      </w:r>
      <w:r>
        <w:rPr>
          <w:rFonts w:hint="eastAsia" w:ascii="仿宋_GB2312" w:hAnsi="仿宋_GB2312" w:eastAsia="仿宋_GB2312" w:cs="仿宋_GB2312"/>
          <w:b w:val="0"/>
          <w:bCs w:val="0"/>
          <w:color w:val="auto"/>
          <w:kern w:val="2"/>
          <w:sz w:val="32"/>
          <w:szCs w:val="32"/>
          <w:highlight w:val="none"/>
          <w:lang w:val="en-US" w:eastAsia="zh-CN" w:bidi="ar-SA"/>
        </w:rPr>
        <w:t>元。</w:t>
      </w:r>
      <w:r>
        <w:rPr>
          <w:rFonts w:hint="eastAsia" w:ascii="仿宋_GB2312" w:hAnsi="仿宋_GB2312" w:eastAsia="仿宋_GB2312" w:cs="仿宋_GB2312"/>
          <w:b/>
          <w:bCs/>
          <w:color w:val="auto"/>
          <w:kern w:val="2"/>
          <w:sz w:val="32"/>
          <w:szCs w:val="32"/>
          <w:highlight w:val="none"/>
          <w:lang w:val="en-US" w:eastAsia="zh-CN" w:bidi="ar-SA"/>
        </w:rPr>
        <w:t>二是</w:t>
      </w:r>
      <w:r>
        <w:rPr>
          <w:rFonts w:hint="eastAsia" w:ascii="仿宋_GB2312" w:hAnsi="仿宋_GB2312" w:eastAsia="仿宋_GB2312" w:cs="仿宋_GB2312"/>
          <w:b w:val="0"/>
          <w:bCs w:val="0"/>
          <w:color w:val="auto"/>
          <w:kern w:val="2"/>
          <w:sz w:val="32"/>
          <w:szCs w:val="32"/>
          <w:highlight w:val="none"/>
          <w:lang w:val="en-US" w:eastAsia="zh-CN" w:bidi="ar-SA"/>
        </w:rPr>
        <w:t>完成市局交办欺诈骗取医保基金举报线索案件的查处工作，做好市局交办欺诈骗取医保基金举报线索案件的处理工作。三是</w:t>
      </w:r>
      <w:r>
        <w:rPr>
          <w:rFonts w:hint="eastAsia" w:ascii="仿宋_GB2312" w:hAnsi="仿宋_GB2312" w:eastAsia="仿宋_GB2312" w:cs="仿宋_GB2312"/>
          <w:b w:val="0"/>
          <w:bCs w:val="0"/>
          <w:color w:val="auto"/>
          <w:sz w:val="32"/>
          <w:szCs w:val="32"/>
          <w:lang w:val="en-US" w:eastAsia="zh-CN"/>
        </w:rPr>
        <w:t>通过与第三方公司合作，充分利用大数据分析，有针对性地对我县10家医院进行数据比对，现场核查，加强大违规处罚力度，切实防范违规使用和套取医保基金的情况发生</w:t>
      </w:r>
      <w:r>
        <w:rPr>
          <w:rFonts w:hint="eastAsia" w:ascii="仿宋_GB2312" w:eastAsia="仿宋_GB2312" w:cs="仿宋_GB2312"/>
          <w:b w:val="0"/>
          <w:bCs w:val="0"/>
          <w:snapToGrid/>
          <w:color w:val="auto"/>
          <w:kern w:val="2"/>
          <w:sz w:val="32"/>
          <w:szCs w:val="32"/>
          <w:lang w:val="en-US" w:eastAsia="zh-CN" w:bidi="ar-SA"/>
        </w:rPr>
        <w:t>。</w:t>
      </w:r>
    </w:p>
    <w:p>
      <w:pPr>
        <w:ind w:firstLine="800" w:firstLineChars="200"/>
        <w:rPr>
          <w:rFonts w:hint="eastAsia" w:ascii="黑体" w:hAnsi="黑体" w:eastAsia="黑体" w:cs="黑体"/>
          <w:color w:val="auto"/>
          <w:kern w:val="2"/>
          <w:sz w:val="40"/>
          <w:szCs w:val="40"/>
          <w:lang w:val="en-US" w:eastAsia="zh-CN" w:bidi="ar-SA"/>
        </w:rPr>
      </w:pPr>
      <w:r>
        <w:rPr>
          <w:rFonts w:hint="eastAsia" w:ascii="黑体" w:hAnsi="黑体" w:eastAsia="黑体" w:cs="黑体"/>
          <w:color w:val="auto"/>
          <w:kern w:val="2"/>
          <w:sz w:val="40"/>
          <w:szCs w:val="40"/>
          <w:lang w:val="en-US" w:eastAsia="zh-CN" w:bidi="ar-SA"/>
        </w:rPr>
        <w:t>七、绩效自评结果拟应用和公开情况</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kern w:val="2"/>
          <w:sz w:val="32"/>
          <w:szCs w:val="32"/>
          <w:lang w:val="en-US" w:eastAsia="zh-CN" w:bidi="ar-SA"/>
        </w:rPr>
        <w:t>总体来说，我局20</w:t>
      </w:r>
      <w:r>
        <w:rPr>
          <w:rFonts w:hint="eastAsia" w:ascii="仿宋_GB2312" w:hAnsi="仿宋_GB2312" w:eastAsia="仿宋_GB2312" w:cs="仿宋_GB2312"/>
          <w:color w:val="auto"/>
          <w:kern w:val="2"/>
          <w:sz w:val="32"/>
          <w:szCs w:val="32"/>
          <w:lang w:val="en-US" w:eastAsia="zh-CN" w:bidi="ar-SA"/>
        </w:rPr>
        <w:t>23</w:t>
      </w:r>
      <w:r>
        <w:rPr>
          <w:rFonts w:hint="default" w:ascii="仿宋_GB2312" w:hAnsi="仿宋_GB2312" w:eastAsia="仿宋_GB2312" w:cs="仿宋_GB2312"/>
          <w:color w:val="auto"/>
          <w:kern w:val="2"/>
          <w:sz w:val="32"/>
          <w:szCs w:val="32"/>
          <w:lang w:val="en-US" w:eastAsia="zh-CN" w:bidi="ar-SA"/>
        </w:rPr>
        <w:t>年部门整体支出情况良好，财政资金预算配置合理合规，预算执行严格有序，预算管理规范可控，资金效益合乎预期。从预算到执行和收入、支出、资产管理及信息公开，都严格按相关制度要求进行，全年收支平衡，有效保证了机构运转，圆满完成了上级下达的目标任务，取得了较好的社会效益。</w:t>
      </w:r>
      <w:r>
        <w:rPr>
          <w:rFonts w:hint="eastAsia" w:ascii="仿宋_GB2312" w:hAnsi="仿宋_GB2312" w:eastAsia="仿宋_GB2312" w:cs="仿宋_GB2312"/>
          <w:color w:val="auto"/>
          <w:sz w:val="32"/>
          <w:szCs w:val="32"/>
          <w:lang w:val="en-US" w:eastAsia="zh-CN"/>
        </w:rPr>
        <w:t>综合评分为98分，自评结果为“优”。</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F"/>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绩效自评对全年工作目标起到积极的促进作用，为明年的工作开展及实施奠定坚实的基础。我单位将绩效自评结果运用到下一年工作的统筹安排、项目资金划拨及按照工作任务的重要性来明确资金使用上，以提高工作效率，保质保量完成各项工作任务。本次自评按相关要求</w:t>
      </w:r>
      <w:r>
        <w:rPr>
          <w:rFonts w:hint="eastAsia" w:ascii="仿宋_GB2312" w:hAnsi="仿宋_GB2312" w:eastAsia="仿宋_GB2312" w:cs="仿宋_GB2312"/>
          <w:color w:val="auto"/>
          <w:kern w:val="2"/>
          <w:sz w:val="32"/>
          <w:szCs w:val="32"/>
          <w:lang w:val="en-US" w:eastAsia="zh-CN" w:bidi="ar-SA"/>
        </w:rPr>
        <w:t>及时</w:t>
      </w:r>
      <w:r>
        <w:rPr>
          <w:rFonts w:hint="default" w:ascii="仿宋_GB2312" w:hAnsi="仿宋_GB2312" w:eastAsia="仿宋_GB2312" w:cs="仿宋_GB2312"/>
          <w:color w:val="auto"/>
          <w:kern w:val="2"/>
          <w:sz w:val="32"/>
          <w:szCs w:val="32"/>
          <w:lang w:val="en-US" w:eastAsia="zh-CN" w:bidi="ar-SA"/>
        </w:rPr>
        <w:t>上报</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公开。绩效评价结果的公开不仅提供资金使用的透明度，而且强化政府行为的合理性和合法性，取得公众对医保工作的肯定。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F"/>
          <w:kern w:val="2"/>
          <w:sz w:val="32"/>
          <w:szCs w:val="32"/>
          <w:lang w:val="en-US" w:eastAsia="zh-CN" w:bidi="ar-SA"/>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F"/>
          <w:kern w:val="2"/>
          <w:sz w:val="32"/>
          <w:szCs w:val="32"/>
          <w:lang w:val="en-US" w:eastAsia="zh-CN" w:bidi="ar-SA"/>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F"/>
          <w:kern w:val="2"/>
          <w:sz w:val="32"/>
          <w:szCs w:val="32"/>
          <w:lang w:val="en-US" w:eastAsia="zh-CN" w:bidi="ar-SA"/>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F"/>
          <w:kern w:val="2"/>
          <w:sz w:val="32"/>
          <w:szCs w:val="32"/>
          <w:lang w:val="en-US" w:eastAsia="zh-CN" w:bidi="ar-SA"/>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F"/>
          <w:kern w:val="2"/>
          <w:sz w:val="32"/>
          <w:szCs w:val="32"/>
          <w:lang w:val="en-US" w:eastAsia="zh-CN" w:bidi="ar-SA"/>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0"/>
        <w:rPr>
          <w:rFonts w:hint="default" w:ascii="仿宋_GB2312" w:hAnsi="仿宋_GB2312" w:eastAsia="仿宋_GB2312" w:cs="仿宋_GB2312"/>
          <w:color w:val="0000FF"/>
          <w:kern w:val="2"/>
          <w:sz w:val="32"/>
          <w:szCs w:val="32"/>
          <w:lang w:val="en-US" w:eastAsia="zh-CN" w:bidi="ar-SA"/>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486" w:firstLineChars="1402"/>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道县医疗保障局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4486" w:firstLineChars="1402"/>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2024年6月19日</w:t>
      </w:r>
    </w:p>
    <w:p>
      <w:pPr>
        <w:pStyle w:val="5"/>
        <w:jc w:val="center"/>
        <w:rPr>
          <w:sz w:val="72"/>
          <w:szCs w:val="72"/>
        </w:rPr>
      </w:pPr>
    </w:p>
    <w:p>
      <w:pPr>
        <w:pStyle w:val="5"/>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55082"/>
    <w:multiLevelType w:val="singleLevel"/>
    <w:tmpl w:val="DAC55082"/>
    <w:lvl w:ilvl="0" w:tentative="0">
      <w:start w:val="2"/>
      <w:numFmt w:val="chineseCounting"/>
      <w:suff w:val="nothing"/>
      <w:lvlText w:val="%1、"/>
      <w:lvlJc w:val="left"/>
      <w:rPr>
        <w:rFonts w:hint="eastAsia"/>
      </w:rPr>
    </w:lvl>
  </w:abstractNum>
  <w:abstractNum w:abstractNumId="1">
    <w:nsid w:val="121434A5"/>
    <w:multiLevelType w:val="singleLevel"/>
    <w:tmpl w:val="121434A5"/>
    <w:lvl w:ilvl="0" w:tentative="0">
      <w:start w:val="4"/>
      <w:numFmt w:val="chineseCounting"/>
      <w:suff w:val="nothing"/>
      <w:lvlText w:val="%1、"/>
      <w:lvlJc w:val="left"/>
      <w:rPr>
        <w:rFonts w:hint="eastAsia"/>
      </w:rPr>
    </w:lvl>
  </w:abstractNum>
  <w:abstractNum w:abstractNumId="2">
    <w:nsid w:val="4CBCB66A"/>
    <w:multiLevelType w:val="singleLevel"/>
    <w:tmpl w:val="4CBCB66A"/>
    <w:lvl w:ilvl="0" w:tentative="0">
      <w:start w:val="2"/>
      <w:numFmt w:val="chineseCounting"/>
      <w:suff w:val="nothing"/>
      <w:lvlText w:val="（%1）"/>
      <w:lvlJc w:val="left"/>
      <w:pPr>
        <w:ind w:left="-13"/>
      </w:pPr>
      <w:rPr>
        <w:rFonts w:hint="eastAsia"/>
      </w:rPr>
    </w:lvl>
  </w:abstractNum>
  <w:abstractNum w:abstractNumId="3">
    <w:nsid w:val="514351D6"/>
    <w:multiLevelType w:val="singleLevel"/>
    <w:tmpl w:val="514351D6"/>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ZGE1ZmE4NmE0YzU4MDI1ZTQ2MTBiMWUzZDJkOT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B5ACE"/>
    <w:rsid w:val="005D2854"/>
    <w:rsid w:val="005D4D55"/>
    <w:rsid w:val="005E2CFB"/>
    <w:rsid w:val="005F2103"/>
    <w:rsid w:val="005F3D1C"/>
    <w:rsid w:val="0062378F"/>
    <w:rsid w:val="00641842"/>
    <w:rsid w:val="00651EEC"/>
    <w:rsid w:val="00686673"/>
    <w:rsid w:val="00691E8C"/>
    <w:rsid w:val="006A14D0"/>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85F20"/>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1B414A"/>
    <w:rsid w:val="022A69C7"/>
    <w:rsid w:val="02DE72B3"/>
    <w:rsid w:val="031C7D4D"/>
    <w:rsid w:val="032F672A"/>
    <w:rsid w:val="03394EB3"/>
    <w:rsid w:val="03690F86"/>
    <w:rsid w:val="044A706A"/>
    <w:rsid w:val="044F58A3"/>
    <w:rsid w:val="048306CE"/>
    <w:rsid w:val="04936845"/>
    <w:rsid w:val="04FF037E"/>
    <w:rsid w:val="05103052"/>
    <w:rsid w:val="052120A3"/>
    <w:rsid w:val="05EE467B"/>
    <w:rsid w:val="060C78E2"/>
    <w:rsid w:val="0644571C"/>
    <w:rsid w:val="06667CE7"/>
    <w:rsid w:val="06741D5B"/>
    <w:rsid w:val="06FC0156"/>
    <w:rsid w:val="07393F39"/>
    <w:rsid w:val="07AE51B3"/>
    <w:rsid w:val="08211DD0"/>
    <w:rsid w:val="08470AEB"/>
    <w:rsid w:val="08AE6343"/>
    <w:rsid w:val="0933468B"/>
    <w:rsid w:val="09581E0B"/>
    <w:rsid w:val="09B71AAD"/>
    <w:rsid w:val="0A806A4C"/>
    <w:rsid w:val="0B0247FC"/>
    <w:rsid w:val="0B2644CF"/>
    <w:rsid w:val="0C3E3556"/>
    <w:rsid w:val="0C831E9D"/>
    <w:rsid w:val="0C86464C"/>
    <w:rsid w:val="0D0347A1"/>
    <w:rsid w:val="0DA60167"/>
    <w:rsid w:val="0EA343BD"/>
    <w:rsid w:val="0F6D62F9"/>
    <w:rsid w:val="0FBA381F"/>
    <w:rsid w:val="0FE77D1E"/>
    <w:rsid w:val="11073D53"/>
    <w:rsid w:val="111C679B"/>
    <w:rsid w:val="1130081C"/>
    <w:rsid w:val="117F0DBC"/>
    <w:rsid w:val="11B65485"/>
    <w:rsid w:val="11E353AE"/>
    <w:rsid w:val="12692EF2"/>
    <w:rsid w:val="13223BB8"/>
    <w:rsid w:val="13892AEB"/>
    <w:rsid w:val="155E2F67"/>
    <w:rsid w:val="15727DE0"/>
    <w:rsid w:val="15897F1C"/>
    <w:rsid w:val="166C5148"/>
    <w:rsid w:val="16E31677"/>
    <w:rsid w:val="17A57FA1"/>
    <w:rsid w:val="17A70B2D"/>
    <w:rsid w:val="17AB2024"/>
    <w:rsid w:val="18DD5C74"/>
    <w:rsid w:val="19355CC5"/>
    <w:rsid w:val="1A790ACD"/>
    <w:rsid w:val="1A801F88"/>
    <w:rsid w:val="1ABC53EC"/>
    <w:rsid w:val="1ACA1AE7"/>
    <w:rsid w:val="1B1C052F"/>
    <w:rsid w:val="1B835B95"/>
    <w:rsid w:val="1BCD54E3"/>
    <w:rsid w:val="1D97DEFF"/>
    <w:rsid w:val="1DAD7104"/>
    <w:rsid w:val="1DCA2E80"/>
    <w:rsid w:val="1DF76FC3"/>
    <w:rsid w:val="1DFF72E5"/>
    <w:rsid w:val="1E8E56B0"/>
    <w:rsid w:val="1EFC6F07"/>
    <w:rsid w:val="1F576E7B"/>
    <w:rsid w:val="209249D8"/>
    <w:rsid w:val="20EC5803"/>
    <w:rsid w:val="213276BA"/>
    <w:rsid w:val="22230DB0"/>
    <w:rsid w:val="223D0774"/>
    <w:rsid w:val="22723AE6"/>
    <w:rsid w:val="22FF583D"/>
    <w:rsid w:val="23DF33FD"/>
    <w:rsid w:val="24F2250B"/>
    <w:rsid w:val="25DD69C0"/>
    <w:rsid w:val="27A575B2"/>
    <w:rsid w:val="28285372"/>
    <w:rsid w:val="28331A56"/>
    <w:rsid w:val="28670377"/>
    <w:rsid w:val="28731611"/>
    <w:rsid w:val="28BA534D"/>
    <w:rsid w:val="28BC1F5F"/>
    <w:rsid w:val="294A77FA"/>
    <w:rsid w:val="2A16744D"/>
    <w:rsid w:val="2AC470AE"/>
    <w:rsid w:val="2AE632C3"/>
    <w:rsid w:val="2BC929C8"/>
    <w:rsid w:val="2CC97A35"/>
    <w:rsid w:val="2D0210EE"/>
    <w:rsid w:val="2D1F6CCF"/>
    <w:rsid w:val="2DA7235C"/>
    <w:rsid w:val="2DB52BFD"/>
    <w:rsid w:val="2F723377"/>
    <w:rsid w:val="2FBC45F2"/>
    <w:rsid w:val="2FDE6C5E"/>
    <w:rsid w:val="2FDF85B8"/>
    <w:rsid w:val="2FFFEE04"/>
    <w:rsid w:val="30C21557"/>
    <w:rsid w:val="312608BD"/>
    <w:rsid w:val="31BE5F12"/>
    <w:rsid w:val="33436763"/>
    <w:rsid w:val="336D2E31"/>
    <w:rsid w:val="342B5BC4"/>
    <w:rsid w:val="3482367E"/>
    <w:rsid w:val="34DF85B0"/>
    <w:rsid w:val="34E46AC5"/>
    <w:rsid w:val="35580061"/>
    <w:rsid w:val="3596236B"/>
    <w:rsid w:val="361948C8"/>
    <w:rsid w:val="36277F21"/>
    <w:rsid w:val="362C798D"/>
    <w:rsid w:val="36B52DA8"/>
    <w:rsid w:val="36B76A24"/>
    <w:rsid w:val="36C86C12"/>
    <w:rsid w:val="38AF73EA"/>
    <w:rsid w:val="39A83D58"/>
    <w:rsid w:val="39D434F2"/>
    <w:rsid w:val="3A2C5F89"/>
    <w:rsid w:val="3A9620F9"/>
    <w:rsid w:val="3AF57968"/>
    <w:rsid w:val="3B143E6F"/>
    <w:rsid w:val="3B8F36BC"/>
    <w:rsid w:val="3C71203F"/>
    <w:rsid w:val="3CE21B3C"/>
    <w:rsid w:val="3D22018A"/>
    <w:rsid w:val="3D255ECD"/>
    <w:rsid w:val="3DC15EDC"/>
    <w:rsid w:val="3DD0235C"/>
    <w:rsid w:val="3E915D5E"/>
    <w:rsid w:val="40934264"/>
    <w:rsid w:val="40A32541"/>
    <w:rsid w:val="41DA073B"/>
    <w:rsid w:val="42BA743D"/>
    <w:rsid w:val="43704E89"/>
    <w:rsid w:val="4379236B"/>
    <w:rsid w:val="44451010"/>
    <w:rsid w:val="447A4D50"/>
    <w:rsid w:val="450558BD"/>
    <w:rsid w:val="45183095"/>
    <w:rsid w:val="45D67D64"/>
    <w:rsid w:val="46715CDF"/>
    <w:rsid w:val="484A2512"/>
    <w:rsid w:val="488F68F0"/>
    <w:rsid w:val="491FF225"/>
    <w:rsid w:val="4A4B7EAE"/>
    <w:rsid w:val="4A802994"/>
    <w:rsid w:val="4B23790A"/>
    <w:rsid w:val="4B810772"/>
    <w:rsid w:val="4B923BDF"/>
    <w:rsid w:val="4C1B595D"/>
    <w:rsid w:val="4D9028B6"/>
    <w:rsid w:val="4E446325"/>
    <w:rsid w:val="4E5572A1"/>
    <w:rsid w:val="4E6323B1"/>
    <w:rsid w:val="4E790595"/>
    <w:rsid w:val="4EAF1A9A"/>
    <w:rsid w:val="4F0A0A7E"/>
    <w:rsid w:val="4F675ED1"/>
    <w:rsid w:val="4FA37906"/>
    <w:rsid w:val="4FA862AE"/>
    <w:rsid w:val="4FFD214C"/>
    <w:rsid w:val="5043714B"/>
    <w:rsid w:val="509E5121"/>
    <w:rsid w:val="50EB7D9F"/>
    <w:rsid w:val="53B749F4"/>
    <w:rsid w:val="54762EE6"/>
    <w:rsid w:val="5508043A"/>
    <w:rsid w:val="55092911"/>
    <w:rsid w:val="56D44819"/>
    <w:rsid w:val="570D1A54"/>
    <w:rsid w:val="571E5A0F"/>
    <w:rsid w:val="577042CD"/>
    <w:rsid w:val="5777D4F5"/>
    <w:rsid w:val="58085E8A"/>
    <w:rsid w:val="583B1D24"/>
    <w:rsid w:val="588910E4"/>
    <w:rsid w:val="589C13A0"/>
    <w:rsid w:val="59266DFD"/>
    <w:rsid w:val="59DD8326"/>
    <w:rsid w:val="5AC94FE1"/>
    <w:rsid w:val="5DB339EE"/>
    <w:rsid w:val="5DEF592A"/>
    <w:rsid w:val="5E985E45"/>
    <w:rsid w:val="5ECC5D50"/>
    <w:rsid w:val="5F8E222D"/>
    <w:rsid w:val="5FC6BB1E"/>
    <w:rsid w:val="5FF720F1"/>
    <w:rsid w:val="60450661"/>
    <w:rsid w:val="607219F8"/>
    <w:rsid w:val="60786190"/>
    <w:rsid w:val="612D3356"/>
    <w:rsid w:val="627E3805"/>
    <w:rsid w:val="633B4355"/>
    <w:rsid w:val="63526AAF"/>
    <w:rsid w:val="63913B6B"/>
    <w:rsid w:val="63943F7D"/>
    <w:rsid w:val="6401309F"/>
    <w:rsid w:val="655573EA"/>
    <w:rsid w:val="65961F00"/>
    <w:rsid w:val="65A70771"/>
    <w:rsid w:val="65C12C5F"/>
    <w:rsid w:val="66756CCD"/>
    <w:rsid w:val="66D44ADE"/>
    <w:rsid w:val="66FA79C0"/>
    <w:rsid w:val="671007B9"/>
    <w:rsid w:val="67365647"/>
    <w:rsid w:val="6738213E"/>
    <w:rsid w:val="67FF5C0B"/>
    <w:rsid w:val="68104F00"/>
    <w:rsid w:val="69615439"/>
    <w:rsid w:val="6ABF020C"/>
    <w:rsid w:val="6B1E674B"/>
    <w:rsid w:val="6B534AA2"/>
    <w:rsid w:val="6B560C49"/>
    <w:rsid w:val="6B721A2E"/>
    <w:rsid w:val="6CFC7AFE"/>
    <w:rsid w:val="6DFD1A82"/>
    <w:rsid w:val="6E1003CA"/>
    <w:rsid w:val="6E2F6117"/>
    <w:rsid w:val="6E6B7334"/>
    <w:rsid w:val="6E95001C"/>
    <w:rsid w:val="6EA67860"/>
    <w:rsid w:val="6EB726AD"/>
    <w:rsid w:val="6EB74327"/>
    <w:rsid w:val="6EB9394A"/>
    <w:rsid w:val="6EFC0924"/>
    <w:rsid w:val="6F68301F"/>
    <w:rsid w:val="6F8C7562"/>
    <w:rsid w:val="6FB74722"/>
    <w:rsid w:val="6FEF8B7E"/>
    <w:rsid w:val="700F1F41"/>
    <w:rsid w:val="70972E2A"/>
    <w:rsid w:val="709E29F4"/>
    <w:rsid w:val="711545F5"/>
    <w:rsid w:val="71277668"/>
    <w:rsid w:val="714E0FE0"/>
    <w:rsid w:val="71902C0D"/>
    <w:rsid w:val="71A6591B"/>
    <w:rsid w:val="732F685F"/>
    <w:rsid w:val="736257F8"/>
    <w:rsid w:val="737D59BA"/>
    <w:rsid w:val="7385554A"/>
    <w:rsid w:val="73E83E14"/>
    <w:rsid w:val="74161AF0"/>
    <w:rsid w:val="74AC2BD8"/>
    <w:rsid w:val="753D29DC"/>
    <w:rsid w:val="75786D3D"/>
    <w:rsid w:val="768B7F94"/>
    <w:rsid w:val="7722255A"/>
    <w:rsid w:val="775E5C88"/>
    <w:rsid w:val="77C37683"/>
    <w:rsid w:val="78281DF2"/>
    <w:rsid w:val="78585335"/>
    <w:rsid w:val="798037ED"/>
    <w:rsid w:val="79E022F0"/>
    <w:rsid w:val="79FF515B"/>
    <w:rsid w:val="7A0767D2"/>
    <w:rsid w:val="7A340F22"/>
    <w:rsid w:val="7ADA7D7A"/>
    <w:rsid w:val="7B3E5BE6"/>
    <w:rsid w:val="7B4E7DC1"/>
    <w:rsid w:val="7BFA6B35"/>
    <w:rsid w:val="7C6B637A"/>
    <w:rsid w:val="7D9121E7"/>
    <w:rsid w:val="7DA63C26"/>
    <w:rsid w:val="7E9E1962"/>
    <w:rsid w:val="7E9F11B4"/>
    <w:rsid w:val="7EDE2D6E"/>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5"/>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ody Text"/>
    <w:basedOn w:val="1"/>
    <w:next w:val="5"/>
    <w:unhideWhenUsed/>
    <w:qFormat/>
    <w:uiPriority w:val="99"/>
    <w:pPr>
      <w:spacing w:afterAutospacing="0"/>
    </w:pPr>
    <w:rPr>
      <w:rFonts w:ascii="Times New Roman" w:hAnsi="Times New Roman"/>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7"/>
    <w:semiHidden/>
    <w:unhideWhenUsed/>
    <w:qFormat/>
    <w:uiPriority w:val="99"/>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7"/>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2"/>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3"/>
    <w:link w:val="8"/>
    <w:semiHidden/>
    <w:qFormat/>
    <w:uiPriority w:val="99"/>
    <w:rPr>
      <w:sz w:val="18"/>
      <w:szCs w:val="18"/>
    </w:rPr>
  </w:style>
  <w:style w:type="character" w:customStyle="1" w:styleId="18">
    <w:name w:val="font0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4"/>
      <w:szCs w:val="24"/>
      <w:u w:val="none"/>
    </w:rPr>
  </w:style>
  <w:style w:type="character" w:customStyle="1" w:styleId="20">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2016</Words>
  <Characters>2238</Characters>
  <Lines>63</Lines>
  <Paragraphs>18</Paragraphs>
  <TotalTime>308</TotalTime>
  <ScaleCrop>false</ScaleCrop>
  <LinksUpToDate>false</LinksUpToDate>
  <CharactersWithSpaces>2336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ximuc</cp:lastModifiedBy>
  <cp:lastPrinted>2024-08-28T08:31:00Z</cp:lastPrinted>
  <dcterms:modified xsi:type="dcterms:W3CDTF">2025-08-28T07:57:49Z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E075E6A5406C4A029F40B068240B97BB_13</vt:lpwstr>
  </property>
  <property fmtid="{D5CDD505-2E9C-101B-9397-08002B2CF9AE}" pid="4" name="KSOTemplateDocerSaveRecord">
    <vt:lpwstr>eyJoZGlkIjoiN2JiNWJmMGU3ODk3ZWViMzRlZjVlMzEyM2NmYmYzMGMiLCJ1c2VySWQiOiI0NDE3MDYxMDAifQ==</vt:lpwstr>
  </property>
</Properties>
</file>