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lang w:eastAsia="zh-CN"/>
        </w:rPr>
        <w:t>2024年</w:t>
      </w:r>
      <w:r>
        <w:rPr>
          <w:rFonts w:hint="eastAsia"/>
          <w:sz w:val="84"/>
          <w:szCs w:val="84"/>
        </w:rPr>
        <w:t>度</w:t>
      </w:r>
    </w:p>
    <w:p>
      <w:pPr>
        <w:pStyle w:val="11"/>
        <w:jc w:val="center"/>
        <w:rPr>
          <w:sz w:val="84"/>
          <w:szCs w:val="84"/>
        </w:rPr>
      </w:pPr>
      <w:r>
        <w:rPr>
          <w:rFonts w:hint="eastAsia"/>
          <w:sz w:val="84"/>
          <w:szCs w:val="84"/>
        </w:rPr>
        <w:t>道县图书馆部门决算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spacing w:line="500" w:lineRule="exact"/>
        <w:jc w:val="center"/>
        <w:rPr>
          <w:b/>
          <w:sz w:val="36"/>
          <w:szCs w:val="28"/>
        </w:rPr>
      </w:pPr>
      <w:r>
        <w:rPr>
          <w:rFonts w:hint="eastAsia"/>
          <w:b/>
          <w:sz w:val="36"/>
          <w:szCs w:val="28"/>
        </w:rPr>
        <w:t>目录</w:t>
      </w:r>
    </w:p>
    <w:p>
      <w:pPr>
        <w:pStyle w:val="11"/>
        <w:spacing w:line="500" w:lineRule="exact"/>
        <w:rPr>
          <w:rFonts w:ascii="仿宋_GB2312" w:hAnsi="仿宋_GB2312" w:cs="仿宋_GB2312"/>
          <w:b/>
          <w:sz w:val="28"/>
          <w:szCs w:val="28"/>
        </w:rPr>
      </w:pPr>
      <w:r>
        <w:rPr>
          <w:rFonts w:hint="eastAsia"/>
          <w:b/>
          <w:sz w:val="28"/>
          <w:szCs w:val="28"/>
        </w:rPr>
        <w:t>第一部分XX单位概况</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2024年</w:t>
      </w:r>
      <w:r>
        <w:rPr>
          <w:rFonts w:hint="eastAsia" w:hAnsi="仿宋_GB2312"/>
          <w:b/>
          <w:sz w:val="28"/>
          <w:szCs w:val="28"/>
        </w:rPr>
        <w:t>度部门决算表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2024年</w:t>
      </w:r>
      <w:r>
        <w:rPr>
          <w:rFonts w:hint="eastAsia" w:hAnsi="仿宋_GB2312"/>
          <w:b/>
          <w:sz w:val="28"/>
          <w:szCs w:val="28"/>
        </w:rPr>
        <w:t>度部门决算情况说明</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lang w:eastAsia="zh-CN"/>
        </w:rPr>
        <w:t>2024年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rPr>
          <w:sz w:val="84"/>
          <w:szCs w:val="84"/>
        </w:rPr>
      </w:pPr>
      <w:r>
        <w:rPr>
          <w:rFonts w:hint="eastAsia"/>
          <w:sz w:val="84"/>
          <w:szCs w:val="84"/>
        </w:rPr>
        <w:t>道县图书馆单位概况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numPr>
          <w:numId w:val="0"/>
        </w:numPr>
        <w:ind w:leftChars="200" w:firstLine="320" w:firstLineChars="100"/>
        <w:jc w:val="left"/>
        <w:rPr>
          <w:rFonts w:ascii="黑体" w:hAnsi="黑体" w:eastAsia="黑体"/>
          <w:sz w:val="32"/>
          <w:szCs w:val="32"/>
        </w:rPr>
      </w:pPr>
      <w:bookmarkStart w:id="5" w:name="_GoBack"/>
      <w:bookmarkEnd w:id="5"/>
      <w:r>
        <w:rPr>
          <w:rFonts w:hint="eastAsia" w:ascii="黑体" w:hAnsi="黑体" w:eastAsia="黑体"/>
          <w:sz w:val="32"/>
          <w:szCs w:val="32"/>
          <w:lang w:eastAsia="zh-CN"/>
        </w:rPr>
        <w:t>一、</w:t>
      </w:r>
      <w:r>
        <w:rPr>
          <w:rFonts w:ascii="黑体" w:hAnsi="黑体" w:eastAsia="黑体"/>
          <w:sz w:val="32"/>
          <w:szCs w:val="32"/>
        </w:rPr>
        <w:t>部门职责</w:t>
      </w:r>
    </w:p>
    <w:p>
      <w:pPr>
        <w:autoSpaceDE w:val="0"/>
        <w:autoSpaceDN w:val="0"/>
        <w:adjustRightInd w:val="0"/>
        <w:spacing w:line="500" w:lineRule="exact"/>
        <w:ind w:firstLine="640" w:firstLineChars="200"/>
        <w:jc w:val="left"/>
        <w:rPr>
          <w:rFonts w:hint="eastAsia" w:ascii="仿宋_GB2312" w:hAnsi="仿宋_GB2312" w:cs="仿宋_GB2312"/>
          <w:color w:val="000000"/>
          <w:kern w:val="0"/>
          <w:sz w:val="32"/>
          <w:szCs w:val="32"/>
        </w:rPr>
      </w:pPr>
      <w:r>
        <w:rPr>
          <w:rFonts w:hint="eastAsia" w:ascii="仿宋_GB2312" w:hAnsi="仿宋_GB2312" w:cs="仿宋_GB2312"/>
          <w:color w:val="000000"/>
          <w:kern w:val="0"/>
          <w:sz w:val="32"/>
          <w:szCs w:val="32"/>
        </w:rPr>
        <w:t>1、保存借阅资料，促进社会经济文化发展。</w:t>
      </w:r>
    </w:p>
    <w:p>
      <w:pPr>
        <w:autoSpaceDE w:val="0"/>
        <w:autoSpaceDN w:val="0"/>
        <w:adjustRightInd w:val="0"/>
        <w:spacing w:line="500" w:lineRule="exact"/>
        <w:ind w:firstLine="640" w:firstLineChars="200"/>
        <w:jc w:val="left"/>
        <w:rPr>
          <w:rFonts w:hint="eastAsia" w:ascii="仿宋_GB2312" w:hAnsi="仿宋_GB2312" w:cs="仿宋_GB2312"/>
          <w:color w:val="000000"/>
          <w:kern w:val="0"/>
          <w:sz w:val="32"/>
          <w:szCs w:val="32"/>
        </w:rPr>
      </w:pPr>
      <w:r>
        <w:rPr>
          <w:rFonts w:hint="eastAsia" w:ascii="仿宋_GB2312" w:hAnsi="仿宋_GB2312" w:cs="仿宋_GB2312"/>
          <w:color w:val="000000"/>
          <w:kern w:val="0"/>
          <w:sz w:val="32"/>
          <w:szCs w:val="32"/>
        </w:rPr>
        <w:t>2、采编与储藏，图书资料借阅，知识培训与社会教育。</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40" w:firstLineChars="200"/>
        <w:jc w:val="left"/>
        <w:rPr>
          <w:rFonts w:hint="eastAsia" w:asciiTheme="minorEastAsia" w:hAnsiTheme="minorEastAsia"/>
          <w:bCs/>
          <w:kern w:val="0"/>
          <w:sz w:val="32"/>
          <w:szCs w:val="32"/>
          <w:lang w:eastAsia="zh-CN"/>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道县图书馆</w:t>
      </w:r>
      <w:r>
        <w:rPr>
          <w:rFonts w:hint="eastAsia" w:asciiTheme="minorEastAsia" w:hAnsiTheme="minorEastAsia"/>
          <w:bCs/>
          <w:kern w:val="0"/>
          <w:sz w:val="32"/>
          <w:szCs w:val="32"/>
        </w:rPr>
        <w:t>单位内设机构包括：办公室、财务室、业务辅导与参考咨询室、外借室、阅览室、少儿借阅室、电子阅览室、多媒体室</w:t>
      </w:r>
      <w:r>
        <w:rPr>
          <w:rFonts w:hint="eastAsia" w:asciiTheme="minorEastAsia" w:hAnsiTheme="minorEastAsia"/>
          <w:bCs/>
          <w:kern w:val="0"/>
          <w:sz w:val="32"/>
          <w:szCs w:val="32"/>
          <w:lang w:eastAsia="zh-CN"/>
        </w:rPr>
        <w:t>。</w:t>
      </w:r>
    </w:p>
    <w:p>
      <w:pPr>
        <w:ind w:firstLine="640" w:firstLineChars="200"/>
        <w:jc w:val="left"/>
        <w:rPr>
          <w:rFonts w:hint="eastAsia" w:ascii="黑体" w:hAnsi="黑体" w:eastAsiaTheme="minorEastAsia"/>
          <w:sz w:val="28"/>
          <w:szCs w:val="28"/>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道县图书馆</w:t>
      </w:r>
      <w:r>
        <w:rPr>
          <w:rFonts w:hint="eastAsia" w:asciiTheme="minorEastAsia" w:hAnsiTheme="minorEastAsia"/>
          <w:bCs/>
          <w:kern w:val="0"/>
          <w:sz w:val="32"/>
          <w:szCs w:val="32"/>
        </w:rPr>
        <w:t>单位</w:t>
      </w:r>
      <w:r>
        <w:rPr>
          <w:rFonts w:hint="eastAsia" w:asciiTheme="minorEastAsia" w:hAnsiTheme="minorEastAsia"/>
          <w:bCs/>
          <w:kern w:val="0"/>
          <w:sz w:val="32"/>
          <w:szCs w:val="32"/>
          <w:lang w:eastAsia="zh-CN"/>
        </w:rPr>
        <w:t>2024年</w:t>
      </w:r>
      <w:r>
        <w:rPr>
          <w:rFonts w:hint="eastAsia" w:asciiTheme="minorEastAsia" w:hAnsiTheme="minorEastAsia"/>
          <w:bCs/>
          <w:kern w:val="0"/>
          <w:sz w:val="32"/>
          <w:szCs w:val="32"/>
        </w:rPr>
        <w:t>部门决算汇总公开单位构成包括：</w:t>
      </w:r>
      <w:r>
        <w:rPr>
          <w:rFonts w:hint="eastAsia" w:asciiTheme="minorEastAsia" w:hAnsiTheme="minorEastAsia"/>
          <w:bCs/>
          <w:kern w:val="0"/>
          <w:sz w:val="32"/>
          <w:szCs w:val="32"/>
          <w:lang w:eastAsia="zh-CN"/>
        </w:rPr>
        <w:t>只有道县图书馆</w:t>
      </w:r>
      <w:r>
        <w:rPr>
          <w:rFonts w:hint="eastAsia" w:asciiTheme="minorEastAsia" w:hAnsiTheme="minorEastAsia"/>
          <w:bCs/>
          <w:kern w:val="0"/>
          <w:sz w:val="32"/>
          <w:szCs w:val="32"/>
        </w:rPr>
        <w:t>单位本级</w:t>
      </w:r>
      <w:r>
        <w:rPr>
          <w:rFonts w:hint="eastAsia" w:asciiTheme="minorEastAsia" w:hAnsiTheme="minorEastAsia"/>
          <w:bCs/>
          <w:kern w:val="0"/>
          <w:sz w:val="32"/>
          <w:szCs w:val="32"/>
          <w:lang w:eastAsia="zh-CN"/>
        </w:rPr>
        <w:t>。</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第二部分</w:t>
      </w: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部门决算表</w:t>
      </w:r>
    </w:p>
    <w:p>
      <w:pPr>
        <w:jc w:val="center"/>
        <w:rPr>
          <w:rFonts w:hint="eastAsia" w:ascii="黑体" w:eastAsia="黑体" w:cs="黑体" w:hAnsiTheme="minorHAnsi"/>
          <w:color w:val="000000"/>
          <w:kern w:val="0"/>
          <w:sz w:val="84"/>
          <w:szCs w:val="84"/>
          <w:lang w:val="en-US" w:eastAsia="zh-CN" w:bidi="ar-SA"/>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7"/>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4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4"/>
                <w:szCs w:val="24"/>
              </w:rPr>
            </w:pPr>
          </w:p>
        </w:tc>
        <w:tc>
          <w:tcPr>
            <w:tcW w:w="1230"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845"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4"/>
                <w:szCs w:val="24"/>
              </w:rPr>
            </w:pPr>
          </w:p>
        </w:tc>
        <w:tc>
          <w:tcPr>
            <w:tcW w:w="36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173.49</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143.81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15.79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6.65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7.24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173.49</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173.49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结余分配</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173.49</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173.49</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7"/>
        <w:tblW w:w="15386" w:type="dxa"/>
        <w:tblInd w:w="0" w:type="dxa"/>
        <w:tblLayout w:type="fixed"/>
        <w:tblCellMar>
          <w:top w:w="0" w:type="dxa"/>
          <w:left w:w="0" w:type="dxa"/>
          <w:bottom w:w="0" w:type="dxa"/>
          <w:right w:w="0" w:type="dxa"/>
        </w:tblCellMar>
      </w:tblPr>
      <w:tblGrid>
        <w:gridCol w:w="986"/>
        <w:gridCol w:w="44"/>
        <w:gridCol w:w="74"/>
        <w:gridCol w:w="704"/>
        <w:gridCol w:w="222"/>
        <w:gridCol w:w="1335"/>
        <w:gridCol w:w="354"/>
        <w:gridCol w:w="935"/>
        <w:gridCol w:w="433"/>
        <w:gridCol w:w="1238"/>
        <w:gridCol w:w="441"/>
        <w:gridCol w:w="1230"/>
        <w:gridCol w:w="449"/>
        <w:gridCol w:w="1222"/>
        <w:gridCol w:w="457"/>
        <w:gridCol w:w="1214"/>
        <w:gridCol w:w="465"/>
        <w:gridCol w:w="1206"/>
        <w:gridCol w:w="1102"/>
        <w:gridCol w:w="1275"/>
      </w:tblGrid>
      <w:tr>
        <w:tblPrEx>
          <w:tblCellMar>
            <w:top w:w="0" w:type="dxa"/>
            <w:left w:w="0" w:type="dxa"/>
            <w:bottom w:w="0" w:type="dxa"/>
            <w:right w:w="0" w:type="dxa"/>
          </w:tblCellMar>
        </w:tblPrEx>
        <w:trPr>
          <w:trHeight w:val="435" w:hRule="atLeast"/>
        </w:trPr>
        <w:tc>
          <w:tcPr>
            <w:tcW w:w="15386" w:type="dxa"/>
            <w:gridSpan w:val="2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103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6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8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10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26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8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365" w:type="dxa"/>
            <w:gridSpan w:val="6"/>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28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71"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7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7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7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7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7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04"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261"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28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104"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261" w:type="dxa"/>
            <w:gridSpan w:val="3"/>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8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365"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28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7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67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w:t>
            </w:r>
          </w:p>
        </w:tc>
        <w:tc>
          <w:tcPr>
            <w:tcW w:w="167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67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167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w:t>
            </w:r>
          </w:p>
        </w:tc>
        <w:tc>
          <w:tcPr>
            <w:tcW w:w="237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0" w:type="dxa"/>
            <w:bottom w:w="0" w:type="dxa"/>
            <w:right w:w="0" w:type="dxa"/>
          </w:tblCellMar>
        </w:tblPrEx>
        <w:trPr>
          <w:trHeight w:val="450" w:hRule="atLeast"/>
        </w:trPr>
        <w:tc>
          <w:tcPr>
            <w:tcW w:w="3365"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28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173.49</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173.49</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233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28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143.81</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143.81</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233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28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143.81</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143.81</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2070104</w:t>
            </w:r>
          </w:p>
        </w:tc>
        <w:tc>
          <w:tcPr>
            <w:tcW w:w="233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图书馆</w:t>
            </w:r>
          </w:p>
        </w:tc>
        <w:tc>
          <w:tcPr>
            <w:tcW w:w="128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143.81</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143.81</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233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8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15.79</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15.79</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233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8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15.79</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15.79</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233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8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15.79</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15.79</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233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28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6.65</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6.65</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w:t>
            </w:r>
          </w:p>
        </w:tc>
        <w:tc>
          <w:tcPr>
            <w:tcW w:w="233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128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6.65</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6.65</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233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事业单位医疗</w:t>
            </w:r>
          </w:p>
        </w:tc>
        <w:tc>
          <w:tcPr>
            <w:tcW w:w="128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6.65</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6.65</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233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128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7.24</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7.24</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w:t>
            </w:r>
          </w:p>
        </w:tc>
        <w:tc>
          <w:tcPr>
            <w:tcW w:w="233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住房改革支出</w:t>
            </w:r>
          </w:p>
        </w:tc>
        <w:tc>
          <w:tcPr>
            <w:tcW w:w="128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7.24</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7.24</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2210201</w:t>
            </w:r>
          </w:p>
        </w:tc>
        <w:tc>
          <w:tcPr>
            <w:tcW w:w="233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住房公积金</w:t>
            </w:r>
          </w:p>
        </w:tc>
        <w:tc>
          <w:tcPr>
            <w:tcW w:w="128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7.24</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7.24</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386" w:type="dxa"/>
            <w:gridSpan w:val="2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108" w:type="dxa"/>
            <w:bottom w:w="0" w:type="dxa"/>
            <w:right w:w="108" w:type="dxa"/>
          </w:tblCellMar>
        </w:tblPrEx>
        <w:trPr>
          <w:gridAfter w:val="1"/>
          <w:wAfter w:w="1275" w:type="dxa"/>
          <w:trHeight w:val="435" w:hRule="atLeast"/>
        </w:trPr>
        <w:tc>
          <w:tcPr>
            <w:tcW w:w="14111" w:type="dxa"/>
            <w:gridSpan w:val="1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1"/>
          <w:wAfter w:w="1275" w:type="dxa"/>
          <w:trHeight w:val="285" w:hRule="atLeast"/>
        </w:trPr>
        <w:tc>
          <w:tcPr>
            <w:tcW w:w="1808"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1"/>
          <w:wAfter w:w="1275" w:type="dxa"/>
          <w:trHeight w:val="285" w:hRule="atLeast"/>
        </w:trPr>
        <w:tc>
          <w:tcPr>
            <w:tcW w:w="1808"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1275" w:type="dxa"/>
          <w:trHeight w:val="450" w:hRule="atLeast"/>
        </w:trPr>
        <w:tc>
          <w:tcPr>
            <w:tcW w:w="3719"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36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1"/>
          <w:wAfter w:w="1275" w:type="dxa"/>
          <w:trHeight w:val="450" w:hRule="atLeast"/>
        </w:trPr>
        <w:tc>
          <w:tcPr>
            <w:tcW w:w="2030"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689"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3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203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8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371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368"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79"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679"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679"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679"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c>
          <w:tcPr>
            <w:tcW w:w="2308"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gridAfter w:val="1"/>
          <w:wAfter w:w="1275" w:type="dxa"/>
          <w:trHeight w:val="450" w:hRule="atLeast"/>
        </w:trPr>
        <w:tc>
          <w:tcPr>
            <w:tcW w:w="371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3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173.49</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131.09</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42.40</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2733"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3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143.81</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101.41</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42.40</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2733"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3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143.81</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101.41</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42.40</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2070104</w:t>
            </w:r>
          </w:p>
        </w:tc>
        <w:tc>
          <w:tcPr>
            <w:tcW w:w="2733"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图书馆</w:t>
            </w:r>
          </w:p>
        </w:tc>
        <w:tc>
          <w:tcPr>
            <w:tcW w:w="13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143.81</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101.41</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42.40</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733"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15.79</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15.79</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2733"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15.79</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15.79</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733"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15.79</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15.79</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733"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3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6.65</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6.65</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733"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3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6.65</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6.65</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2733"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事业单位医疗</w:t>
            </w:r>
          </w:p>
        </w:tc>
        <w:tc>
          <w:tcPr>
            <w:tcW w:w="13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6.65</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6.65</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733"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3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7.24</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7.24</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2733"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3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7.24</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7.24</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733"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3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7.24</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7.24</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1275" w:type="dxa"/>
          <w:trHeight w:val="630" w:hRule="atLeast"/>
        </w:trPr>
        <w:tc>
          <w:tcPr>
            <w:tcW w:w="14111" w:type="dxa"/>
            <w:gridSpan w:val="1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7"/>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3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173.49</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143.81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143.81</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15.79</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15.79</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6.65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6.65</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7.24</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7.24</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173.49</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173.49</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173.49</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173.49</w:t>
            </w:r>
          </w:p>
        </w:tc>
        <w:tc>
          <w:tcPr>
            <w:tcW w:w="341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173.49</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173.49</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5648" w:type="dxa"/>
        <w:jc w:val="center"/>
        <w:tblLayout w:type="autofit"/>
        <w:tblCellMar>
          <w:top w:w="0" w:type="dxa"/>
          <w:left w:w="108" w:type="dxa"/>
          <w:bottom w:w="0" w:type="dxa"/>
          <w:right w:w="108" w:type="dxa"/>
        </w:tblCellMar>
      </w:tblPr>
      <w:tblGrid>
        <w:gridCol w:w="697"/>
        <w:gridCol w:w="604"/>
        <w:gridCol w:w="794"/>
        <w:gridCol w:w="592"/>
        <w:gridCol w:w="1876"/>
        <w:gridCol w:w="981"/>
        <w:gridCol w:w="427"/>
        <w:gridCol w:w="635"/>
        <w:gridCol w:w="2129"/>
        <w:gridCol w:w="69"/>
        <w:gridCol w:w="954"/>
        <w:gridCol w:w="954"/>
        <w:gridCol w:w="1379"/>
        <w:gridCol w:w="2630"/>
        <w:gridCol w:w="195"/>
        <w:gridCol w:w="732"/>
      </w:tblGrid>
      <w:tr>
        <w:tblPrEx>
          <w:tblCellMar>
            <w:top w:w="0" w:type="dxa"/>
            <w:left w:w="108" w:type="dxa"/>
            <w:bottom w:w="0" w:type="dxa"/>
            <w:right w:w="108" w:type="dxa"/>
          </w:tblCellMar>
        </w:tblPrEx>
        <w:trPr>
          <w:gridBefore w:val="1"/>
          <w:gridAfter w:val="1"/>
          <w:wBefore w:w="697" w:type="dxa"/>
          <w:wAfter w:w="732" w:type="dxa"/>
          <w:trHeight w:val="405" w:hRule="atLeast"/>
          <w:jc w:val="center"/>
        </w:trPr>
        <w:tc>
          <w:tcPr>
            <w:tcW w:w="5274" w:type="dxa"/>
            <w:gridSpan w:val="6"/>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45" w:type="dxa"/>
            <w:gridSpan w:val="8"/>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gridBefore w:val="1"/>
          <w:gridAfter w:val="1"/>
          <w:wBefore w:w="697" w:type="dxa"/>
          <w:wAfter w:w="732" w:type="dxa"/>
          <w:trHeight w:val="495" w:hRule="atLeast"/>
          <w:jc w:val="center"/>
        </w:trPr>
        <w:tc>
          <w:tcPr>
            <w:tcW w:w="1990"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284"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33"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87"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25" w:type="dxa"/>
            <w:gridSpan w:val="2"/>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gridBefore w:val="1"/>
          <w:gridAfter w:val="1"/>
          <w:wBefore w:w="697" w:type="dxa"/>
          <w:wAfter w:w="732" w:type="dxa"/>
          <w:trHeight w:val="360" w:hRule="atLeast"/>
          <w:jc w:val="center"/>
        </w:trPr>
        <w:tc>
          <w:tcPr>
            <w:tcW w:w="1990"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4"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3"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5"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7" w:type="dxa"/>
          <w:wAfter w:w="732" w:type="dxa"/>
          <w:trHeight w:val="450" w:hRule="atLeast"/>
          <w:jc w:val="center"/>
        </w:trPr>
        <w:tc>
          <w:tcPr>
            <w:tcW w:w="1990"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4"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3"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5"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7" w:type="dxa"/>
          <w:wAfter w:w="732" w:type="dxa"/>
          <w:trHeight w:val="450" w:hRule="atLeast"/>
          <w:jc w:val="center"/>
        </w:trPr>
        <w:tc>
          <w:tcPr>
            <w:tcW w:w="5274" w:type="dxa"/>
            <w:gridSpan w:val="6"/>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栏次</w:t>
            </w:r>
          </w:p>
        </w:tc>
        <w:tc>
          <w:tcPr>
            <w:tcW w:w="28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w:t>
            </w:r>
          </w:p>
        </w:tc>
        <w:tc>
          <w:tcPr>
            <w:tcW w:w="2825"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gridBefore w:val="1"/>
          <w:gridAfter w:val="1"/>
          <w:wBefore w:w="697" w:type="dxa"/>
          <w:wAfter w:w="732" w:type="dxa"/>
          <w:trHeight w:val="450" w:hRule="atLeast"/>
          <w:jc w:val="center"/>
        </w:trPr>
        <w:tc>
          <w:tcPr>
            <w:tcW w:w="5274" w:type="dxa"/>
            <w:gridSpan w:val="6"/>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8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173.49</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131.09</w:t>
            </w:r>
          </w:p>
        </w:tc>
        <w:tc>
          <w:tcPr>
            <w:tcW w:w="2825"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42.40</w:t>
            </w:r>
          </w:p>
        </w:tc>
      </w:tr>
      <w:tr>
        <w:tblPrEx>
          <w:tblCellMar>
            <w:top w:w="0" w:type="dxa"/>
            <w:left w:w="108" w:type="dxa"/>
            <w:bottom w:w="0" w:type="dxa"/>
            <w:right w:w="108" w:type="dxa"/>
          </w:tblCellMar>
        </w:tblPrEx>
        <w:trPr>
          <w:gridBefore w:val="1"/>
          <w:gridAfter w:val="1"/>
          <w:wBefore w:w="697" w:type="dxa"/>
          <w:wAfter w:w="732" w:type="dxa"/>
          <w:trHeight w:val="450" w:hRule="atLeast"/>
          <w:jc w:val="center"/>
        </w:trPr>
        <w:tc>
          <w:tcPr>
            <w:tcW w:w="139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3876"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8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143.81</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101.41</w:t>
            </w:r>
          </w:p>
        </w:tc>
        <w:tc>
          <w:tcPr>
            <w:tcW w:w="2825"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42.40</w:t>
            </w:r>
          </w:p>
        </w:tc>
      </w:tr>
      <w:tr>
        <w:tblPrEx>
          <w:tblCellMar>
            <w:top w:w="0" w:type="dxa"/>
            <w:left w:w="108" w:type="dxa"/>
            <w:bottom w:w="0" w:type="dxa"/>
            <w:right w:w="108" w:type="dxa"/>
          </w:tblCellMar>
        </w:tblPrEx>
        <w:trPr>
          <w:gridBefore w:val="1"/>
          <w:gridAfter w:val="1"/>
          <w:wBefore w:w="697" w:type="dxa"/>
          <w:wAfter w:w="732" w:type="dxa"/>
          <w:trHeight w:val="450" w:hRule="atLeast"/>
          <w:jc w:val="center"/>
        </w:trPr>
        <w:tc>
          <w:tcPr>
            <w:tcW w:w="139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w:t>
            </w:r>
          </w:p>
        </w:tc>
        <w:tc>
          <w:tcPr>
            <w:tcW w:w="3876"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28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143.81</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101.41</w:t>
            </w:r>
          </w:p>
        </w:tc>
        <w:tc>
          <w:tcPr>
            <w:tcW w:w="2825"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42.40</w:t>
            </w:r>
          </w:p>
        </w:tc>
      </w:tr>
      <w:tr>
        <w:tblPrEx>
          <w:tblCellMar>
            <w:top w:w="0" w:type="dxa"/>
            <w:left w:w="108" w:type="dxa"/>
            <w:bottom w:w="0" w:type="dxa"/>
            <w:right w:w="108" w:type="dxa"/>
          </w:tblCellMar>
        </w:tblPrEx>
        <w:trPr>
          <w:gridBefore w:val="1"/>
          <w:gridAfter w:val="1"/>
          <w:wBefore w:w="697" w:type="dxa"/>
          <w:wAfter w:w="732" w:type="dxa"/>
          <w:trHeight w:val="450" w:hRule="atLeast"/>
          <w:jc w:val="center"/>
        </w:trPr>
        <w:tc>
          <w:tcPr>
            <w:tcW w:w="139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2070104</w:t>
            </w:r>
          </w:p>
        </w:tc>
        <w:tc>
          <w:tcPr>
            <w:tcW w:w="3876"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图书馆</w:t>
            </w:r>
          </w:p>
        </w:tc>
        <w:tc>
          <w:tcPr>
            <w:tcW w:w="28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143.81</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101.41</w:t>
            </w:r>
          </w:p>
        </w:tc>
        <w:tc>
          <w:tcPr>
            <w:tcW w:w="2825"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42.40</w:t>
            </w:r>
          </w:p>
        </w:tc>
      </w:tr>
      <w:tr>
        <w:tblPrEx>
          <w:tblCellMar>
            <w:top w:w="0" w:type="dxa"/>
            <w:left w:w="108" w:type="dxa"/>
            <w:bottom w:w="0" w:type="dxa"/>
            <w:right w:w="108" w:type="dxa"/>
          </w:tblCellMar>
        </w:tblPrEx>
        <w:trPr>
          <w:gridBefore w:val="1"/>
          <w:gridAfter w:val="1"/>
          <w:wBefore w:w="697" w:type="dxa"/>
          <w:wAfter w:w="732" w:type="dxa"/>
          <w:trHeight w:val="450" w:hRule="atLeast"/>
          <w:jc w:val="center"/>
        </w:trPr>
        <w:tc>
          <w:tcPr>
            <w:tcW w:w="139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876"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15.79</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15.79</w:t>
            </w:r>
          </w:p>
        </w:tc>
        <w:tc>
          <w:tcPr>
            <w:tcW w:w="2825" w:type="dxa"/>
            <w:gridSpan w:val="2"/>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7" w:type="dxa"/>
          <w:wAfter w:w="732" w:type="dxa"/>
          <w:trHeight w:val="450" w:hRule="atLeast"/>
          <w:jc w:val="center"/>
        </w:trPr>
        <w:tc>
          <w:tcPr>
            <w:tcW w:w="139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876"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8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15.79</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15.79</w:t>
            </w:r>
          </w:p>
        </w:tc>
        <w:tc>
          <w:tcPr>
            <w:tcW w:w="2825" w:type="dxa"/>
            <w:gridSpan w:val="2"/>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7" w:type="dxa"/>
          <w:wAfter w:w="732" w:type="dxa"/>
          <w:trHeight w:val="450" w:hRule="atLeast"/>
          <w:jc w:val="center"/>
        </w:trPr>
        <w:tc>
          <w:tcPr>
            <w:tcW w:w="139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876"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8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15.79</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15.79</w:t>
            </w:r>
          </w:p>
        </w:tc>
        <w:tc>
          <w:tcPr>
            <w:tcW w:w="2825" w:type="dxa"/>
            <w:gridSpan w:val="2"/>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7" w:type="dxa"/>
          <w:wAfter w:w="732" w:type="dxa"/>
          <w:trHeight w:val="450" w:hRule="atLeast"/>
          <w:jc w:val="center"/>
        </w:trPr>
        <w:tc>
          <w:tcPr>
            <w:tcW w:w="139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876"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8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6.65</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6.65</w:t>
            </w:r>
          </w:p>
        </w:tc>
        <w:tc>
          <w:tcPr>
            <w:tcW w:w="2825" w:type="dxa"/>
            <w:gridSpan w:val="2"/>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7" w:type="dxa"/>
          <w:wAfter w:w="732" w:type="dxa"/>
          <w:trHeight w:val="450" w:hRule="atLeast"/>
          <w:jc w:val="center"/>
        </w:trPr>
        <w:tc>
          <w:tcPr>
            <w:tcW w:w="139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876"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8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6.65</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6.65</w:t>
            </w:r>
          </w:p>
        </w:tc>
        <w:tc>
          <w:tcPr>
            <w:tcW w:w="2825" w:type="dxa"/>
            <w:gridSpan w:val="2"/>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7" w:type="dxa"/>
          <w:wAfter w:w="732" w:type="dxa"/>
          <w:trHeight w:val="450" w:hRule="atLeast"/>
          <w:jc w:val="center"/>
        </w:trPr>
        <w:tc>
          <w:tcPr>
            <w:tcW w:w="139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3876"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事业单位医疗</w:t>
            </w:r>
          </w:p>
        </w:tc>
        <w:tc>
          <w:tcPr>
            <w:tcW w:w="28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6.65</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6.65</w:t>
            </w:r>
          </w:p>
        </w:tc>
        <w:tc>
          <w:tcPr>
            <w:tcW w:w="2825" w:type="dxa"/>
            <w:gridSpan w:val="2"/>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7" w:type="dxa"/>
          <w:wAfter w:w="732" w:type="dxa"/>
          <w:trHeight w:val="450" w:hRule="atLeast"/>
          <w:jc w:val="center"/>
        </w:trPr>
        <w:tc>
          <w:tcPr>
            <w:tcW w:w="139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876"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28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7.24</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7.24</w:t>
            </w:r>
          </w:p>
        </w:tc>
        <w:tc>
          <w:tcPr>
            <w:tcW w:w="2825" w:type="dxa"/>
            <w:gridSpan w:val="2"/>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7" w:type="dxa"/>
          <w:wAfter w:w="732" w:type="dxa"/>
          <w:trHeight w:val="450" w:hRule="atLeast"/>
          <w:jc w:val="center"/>
        </w:trPr>
        <w:tc>
          <w:tcPr>
            <w:tcW w:w="139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876"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28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7.24</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7.24</w:t>
            </w:r>
          </w:p>
        </w:tc>
        <w:tc>
          <w:tcPr>
            <w:tcW w:w="2825" w:type="dxa"/>
            <w:gridSpan w:val="2"/>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7" w:type="dxa"/>
          <w:wAfter w:w="732" w:type="dxa"/>
          <w:trHeight w:val="450" w:hRule="atLeast"/>
          <w:jc w:val="center"/>
        </w:trPr>
        <w:tc>
          <w:tcPr>
            <w:tcW w:w="139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876"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28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7.24</w:t>
            </w:r>
          </w:p>
        </w:tc>
        <w:tc>
          <w:tcPr>
            <w:tcW w:w="328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7.24</w:t>
            </w:r>
          </w:p>
        </w:tc>
        <w:tc>
          <w:tcPr>
            <w:tcW w:w="2825" w:type="dxa"/>
            <w:gridSpan w:val="2"/>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7" w:type="dxa"/>
          <w:wAfter w:w="732" w:type="dxa"/>
          <w:trHeight w:val="645" w:hRule="atLeast"/>
          <w:jc w:val="center"/>
        </w:trPr>
        <w:tc>
          <w:tcPr>
            <w:tcW w:w="14219" w:type="dxa"/>
            <w:gridSpan w:val="14"/>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r>
        <w:tblPrEx>
          <w:tblCellMar>
            <w:top w:w="0" w:type="dxa"/>
            <w:left w:w="108" w:type="dxa"/>
            <w:bottom w:w="0" w:type="dxa"/>
            <w:right w:w="108" w:type="dxa"/>
          </w:tblCellMar>
        </w:tblPrEx>
        <w:trPr>
          <w:trHeight w:val="113" w:hRule="atLeast"/>
          <w:jc w:val="center"/>
        </w:trPr>
        <w:tc>
          <w:tcPr>
            <w:tcW w:w="15648" w:type="dxa"/>
            <w:gridSpan w:val="16"/>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jc w:val="center"/>
        </w:trPr>
        <w:tc>
          <w:tcPr>
            <w:tcW w:w="13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6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2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98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121.09</w:t>
            </w: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102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10.00</w:t>
            </w: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8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44.41</w:t>
            </w: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2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3.20</w:t>
            </w: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98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20.54</w:t>
            </w: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8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25.12</w:t>
            </w: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102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0.50</w:t>
            </w: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8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15.79</w:t>
            </w: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102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0.50</w:t>
            </w: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8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6.65</w:t>
            </w: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8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1.33</w:t>
            </w: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2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0.20</w:t>
            </w: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8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7.24</w:t>
            </w: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2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0.07</w:t>
            </w: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39906</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赠与</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2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4.42</w:t>
            </w: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39999</w:t>
            </w:r>
          </w:p>
        </w:tc>
        <w:tc>
          <w:tcPr>
            <w:tcW w:w="400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0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26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2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0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1301" w:type="dxa"/>
            <w:gridSpan w:val="2"/>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3262"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9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6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1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2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1.10</w:t>
            </w:r>
          </w:p>
        </w:tc>
        <w:tc>
          <w:tcPr>
            <w:tcW w:w="954"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0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92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jc w:val="center"/>
        </w:trPr>
        <w:tc>
          <w:tcPr>
            <w:tcW w:w="456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98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121.09</w:t>
            </w:r>
          </w:p>
        </w:tc>
        <w:tc>
          <w:tcPr>
            <w:tcW w:w="9177" w:type="dxa"/>
            <w:gridSpan w:val="8"/>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92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284" w:hRule="exact"/>
          <w:jc w:val="center"/>
        </w:trPr>
        <w:tc>
          <w:tcPr>
            <w:tcW w:w="15648" w:type="dxa"/>
            <w:gridSpan w:val="16"/>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0.50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0.50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0.07</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0.07</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7"/>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1"/>
        <w:rPr>
          <w:sz w:val="72"/>
          <w:szCs w:val="72"/>
        </w:rPr>
        <w:sectPr>
          <w:pgSz w:w="16838" w:h="11906" w:orient="landscape"/>
          <w:pgMar w:top="720" w:right="720" w:bottom="720" w:left="720" w:header="851" w:footer="992" w:gutter="0"/>
          <w:cols w:space="425" w:num="1"/>
          <w:docGrid w:type="lines" w:linePitch="312" w:charSpace="0"/>
        </w:sectPr>
      </w:pPr>
    </w:p>
    <w:p>
      <w:pPr>
        <w:pStyle w:val="11"/>
        <w:rPr>
          <w:sz w:val="72"/>
          <w:szCs w:val="72"/>
        </w:rPr>
      </w:pPr>
    </w:p>
    <w:p>
      <w:pPr>
        <w:pStyle w:val="11"/>
        <w:rPr>
          <w:sz w:val="72"/>
          <w:szCs w:val="72"/>
        </w:rPr>
      </w:pPr>
    </w:p>
    <w:p>
      <w:pPr>
        <w:pStyle w:val="11"/>
        <w:rPr>
          <w:sz w:val="72"/>
          <w:szCs w:val="72"/>
        </w:rPr>
      </w:pPr>
    </w:p>
    <w:p>
      <w:pPr>
        <w:pStyle w:val="11"/>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rFonts w:hint="eastAsia"/>
          <w:sz w:val="70"/>
          <w:szCs w:val="70"/>
          <w:lang w:eastAsia="zh-CN"/>
        </w:rPr>
        <w:t>2024年</w:t>
      </w:r>
      <w:r>
        <w:rPr>
          <w:rFonts w:hint="eastAsia"/>
          <w:sz w:val="70"/>
          <w:szCs w:val="70"/>
        </w:rPr>
        <w:t>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asciiTheme="minorEastAsia" w:hAnsiTheme="minorEastAsia" w:eastAsiaTheme="minorEastAsia"/>
          <w:sz w:val="32"/>
          <w:szCs w:val="32"/>
        </w:rPr>
      </w:pPr>
    </w:p>
    <w:p>
      <w:pPr>
        <w:pStyle w:val="11"/>
        <w:ind w:firstLine="640" w:firstLineChars="200"/>
        <w:rPr>
          <w:rFonts w:hAnsi="黑体"/>
          <w:b/>
          <w:sz w:val="32"/>
          <w:szCs w:val="32"/>
        </w:rPr>
      </w:pPr>
      <w:r>
        <w:rPr>
          <w:rFonts w:hint="eastAsia" w:hAnsi="黑体"/>
          <w:b/>
          <w:sz w:val="32"/>
          <w:szCs w:val="32"/>
        </w:rPr>
        <w:t>一、收入支出决算总体情况说明</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度收、支总计</w:t>
      </w:r>
      <w:r>
        <w:rPr>
          <w:rFonts w:hint="eastAsia" w:asciiTheme="minorEastAsia" w:hAnsiTheme="minorEastAsia" w:eastAsiaTheme="minorEastAsia"/>
          <w:sz w:val="32"/>
          <w:szCs w:val="32"/>
          <w:lang w:val="en-US" w:eastAsia="zh-CN"/>
        </w:rPr>
        <w:t>173.49</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9.72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5.94</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项目收支增加。</w:t>
      </w:r>
    </w:p>
    <w:p>
      <w:pPr>
        <w:pStyle w:val="11"/>
        <w:ind w:firstLine="640" w:firstLineChars="200"/>
        <w:rPr>
          <w:rFonts w:hAnsi="黑体"/>
          <w:b/>
          <w:sz w:val="32"/>
          <w:szCs w:val="32"/>
        </w:rPr>
      </w:pPr>
      <w:r>
        <w:rPr>
          <w:rFonts w:hint="eastAsia" w:hAnsi="黑体"/>
          <w:b/>
          <w:sz w:val="32"/>
          <w:szCs w:val="32"/>
        </w:rPr>
        <w:t>二、收入决算情况说明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度收入合计</w:t>
      </w:r>
      <w:r>
        <w:rPr>
          <w:rFonts w:hint="eastAsia" w:asciiTheme="minorEastAsia" w:hAnsiTheme="minorEastAsia" w:eastAsiaTheme="minorEastAsia"/>
          <w:sz w:val="32"/>
          <w:szCs w:val="32"/>
          <w:lang w:val="en-US" w:eastAsia="zh-CN"/>
        </w:rPr>
        <w:t>173.49</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173.49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ind w:firstLine="640" w:firstLineChars="200"/>
        <w:rPr>
          <w:rFonts w:hAnsi="黑体"/>
          <w:b/>
          <w:sz w:val="32"/>
          <w:szCs w:val="32"/>
        </w:rPr>
      </w:pPr>
      <w:r>
        <w:rPr>
          <w:rFonts w:hint="eastAsia" w:hAnsi="黑体"/>
          <w:b/>
          <w:sz w:val="32"/>
          <w:szCs w:val="32"/>
        </w:rPr>
        <w:t>三、支出决算情况说明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度支出合计</w:t>
      </w:r>
      <w:r>
        <w:rPr>
          <w:rFonts w:hint="eastAsia" w:asciiTheme="minorEastAsia" w:hAnsiTheme="minorEastAsia" w:eastAsiaTheme="minorEastAsia"/>
          <w:sz w:val="32"/>
          <w:szCs w:val="32"/>
          <w:lang w:val="en-US" w:eastAsia="zh-CN"/>
        </w:rPr>
        <w:t>173.49</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131.09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75.56</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42.40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24.44</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ind w:firstLine="640" w:firstLineChars="200"/>
        <w:rPr>
          <w:rFonts w:hAnsi="黑体"/>
          <w:b/>
          <w:sz w:val="32"/>
          <w:szCs w:val="32"/>
        </w:rPr>
      </w:pPr>
      <w:r>
        <w:rPr>
          <w:rFonts w:hint="eastAsia" w:hAnsi="黑体"/>
          <w:b/>
          <w:sz w:val="32"/>
          <w:szCs w:val="32"/>
        </w:rPr>
        <w:t>四、财政拨款收入支出决算总体情况说明</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度财政拨款收、支总计</w:t>
      </w:r>
      <w:r>
        <w:rPr>
          <w:rFonts w:hint="eastAsia" w:asciiTheme="minorEastAsia" w:hAnsiTheme="minorEastAsia" w:eastAsiaTheme="minorEastAsia"/>
          <w:sz w:val="32"/>
          <w:szCs w:val="32"/>
          <w:lang w:val="en-US" w:eastAsia="zh-CN"/>
        </w:rPr>
        <w:t>173.49</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9.72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5.94</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项目收支增加。</w:t>
      </w:r>
    </w:p>
    <w:p>
      <w:pPr>
        <w:pStyle w:val="11"/>
        <w:ind w:firstLine="640" w:firstLineChars="200"/>
        <w:rPr>
          <w:rFonts w:hAnsi="黑体"/>
          <w:b/>
          <w:sz w:val="32"/>
          <w:szCs w:val="32"/>
        </w:rPr>
      </w:pPr>
      <w:r>
        <w:rPr>
          <w:rFonts w:hint="eastAsia" w:hAnsi="黑体"/>
          <w:b/>
          <w:sz w:val="32"/>
          <w:szCs w:val="32"/>
        </w:rPr>
        <w:t>五、一般公共预算财政拨款支出决算情况说明</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w:t>
      </w:r>
      <w:r>
        <w:rPr>
          <w:rFonts w:hint="eastAsia" w:asciiTheme="minorEastAsia" w:hAnsiTheme="minorEastAsia" w:eastAsiaTheme="minorEastAsia"/>
          <w:sz w:val="32"/>
          <w:szCs w:val="32"/>
          <w:lang w:val="en-US" w:eastAsia="zh-CN"/>
        </w:rPr>
        <w:t>173.49</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9.72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5.94</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项目收支增加。</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w:t>
      </w:r>
      <w:r>
        <w:rPr>
          <w:rFonts w:hint="eastAsia" w:asciiTheme="minorEastAsia" w:hAnsiTheme="minorEastAsia" w:eastAsiaTheme="minorEastAsia"/>
          <w:sz w:val="32"/>
          <w:szCs w:val="32"/>
          <w:lang w:val="en-US" w:eastAsia="zh-CN"/>
        </w:rPr>
        <w:t>173.49</w:t>
      </w:r>
      <w:r>
        <w:rPr>
          <w:rFonts w:hint="eastAsia" w:asciiTheme="minorEastAsia" w:hAnsiTheme="minorEastAsia" w:eastAsiaTheme="minorEastAsia"/>
          <w:sz w:val="32"/>
          <w:szCs w:val="32"/>
        </w:rPr>
        <w:t>万元，主要用于以下方面：文化旅游体育与传媒支出文化旅游体育与传媒支出支出</w:t>
      </w:r>
      <w:r>
        <w:rPr>
          <w:rFonts w:hint="eastAsia" w:asciiTheme="minorEastAsia" w:hAnsiTheme="minorEastAsia" w:eastAsiaTheme="minorEastAsia"/>
          <w:sz w:val="32"/>
          <w:szCs w:val="32"/>
          <w:lang w:val="en-US" w:eastAsia="zh-CN"/>
        </w:rPr>
        <w:t>143.81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82.89</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15.79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9.10</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6.65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3.83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住房保障支出7.24万元，占比4.17%</w:t>
      </w:r>
      <w:r>
        <w:rPr>
          <w:rFonts w:hint="eastAsia" w:asciiTheme="minorEastAsia" w:hAnsiTheme="minorEastAsia" w:eastAsiaTheme="minorEastAsia"/>
          <w:sz w:val="32"/>
          <w:szCs w:val="32"/>
          <w:lang w:eastAsia="zh-CN"/>
        </w:rPr>
        <w:t>。</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度财政拨款支出年初预算数为</w:t>
      </w:r>
      <w:r>
        <w:rPr>
          <w:rFonts w:hint="eastAsia" w:asciiTheme="minorEastAsia" w:hAnsiTheme="minorEastAsia" w:eastAsiaTheme="minorEastAsia"/>
          <w:sz w:val="32"/>
          <w:szCs w:val="32"/>
          <w:lang w:val="en-US" w:eastAsia="zh-CN"/>
        </w:rPr>
        <w:t>164.09</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173.49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105.73</w:t>
      </w:r>
      <w:r>
        <w:rPr>
          <w:rFonts w:hint="eastAsia" w:asciiTheme="minorEastAsia" w:hAnsiTheme="minorEastAsia" w:eastAsiaTheme="minorEastAsia"/>
          <w:sz w:val="32"/>
          <w:szCs w:val="32"/>
        </w:rPr>
        <w:t>%，其中：</w:t>
      </w:r>
    </w:p>
    <w:p>
      <w:pPr>
        <w:pStyle w:val="11"/>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1、文化旅游体育与传媒支出(类)文化和旅游（款）图书馆（项）     </w:t>
      </w:r>
    </w:p>
    <w:p>
      <w:pPr>
        <w:pStyle w:val="11"/>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138.97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143.81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103.48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。决算数大于年初预算数的主要原因是工资基数调整导致支出增加。</w:t>
      </w:r>
    </w:p>
    <w:p>
      <w:pPr>
        <w:pStyle w:val="11"/>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2、社会保障和就业支出（类）行政事业单位养老支出（款）机关事业单位基本养老保险缴费支出（项）。</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10.96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15.79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完成年初预算的</w:t>
      </w:r>
      <w:r>
        <w:rPr>
          <w:rFonts w:hint="eastAsia" w:asciiTheme="minorEastAsia" w:hAnsiTheme="minorEastAsia" w:eastAsiaTheme="minorEastAsia"/>
          <w:sz w:val="32"/>
          <w:szCs w:val="32"/>
          <w:lang w:val="en-US" w:eastAsia="zh-CN"/>
        </w:rPr>
        <w:t>144.07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。决算数大于年初预算数的主要原因是工资基数调整。</w:t>
      </w:r>
    </w:p>
    <w:p>
      <w:pPr>
        <w:pStyle w:val="11"/>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卫生健康支出（类）行政事业单位医疗（款）行政单位医疗（项）</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5.96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6.65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完成年初预算的</w:t>
      </w:r>
      <w:r>
        <w:rPr>
          <w:rFonts w:hint="eastAsia" w:asciiTheme="minorEastAsia" w:hAnsiTheme="minorEastAsia" w:eastAsiaTheme="minorEastAsia"/>
          <w:sz w:val="32"/>
          <w:szCs w:val="32"/>
          <w:lang w:val="en-US" w:eastAsia="zh-CN"/>
        </w:rPr>
        <w:t>111.58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。决算数大于年初预算数的主要原因是工资基数调整。</w:t>
      </w:r>
    </w:p>
    <w:p>
      <w:pPr>
        <w:pStyle w:val="11"/>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lang w:eastAsia="zh-CN"/>
        </w:rPr>
        <w:t>住房保障支出</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住房改革支出</w:t>
      </w:r>
      <w:r>
        <w:rPr>
          <w:rFonts w:hint="eastAsia" w:asciiTheme="minorEastAsia" w:hAnsiTheme="minorEastAsia" w:eastAsiaTheme="minorEastAsia"/>
          <w:sz w:val="32"/>
          <w:szCs w:val="32"/>
          <w:lang w:val="en-US" w:eastAsia="zh-CN"/>
        </w:rPr>
        <w:t>（款）住房公积金（项）</w:t>
      </w:r>
    </w:p>
    <w:p>
      <w:pPr>
        <w:pStyle w:val="11"/>
        <w:numPr>
          <w:ilvl w:val="0"/>
          <w:numId w:val="0"/>
        </w:numPr>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7.24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w:t>
      </w:r>
      <w:r>
        <w:rPr>
          <w:rFonts w:hint="eastAsia" w:asciiTheme="minorEastAsia" w:hAnsiTheme="minorEastAsia" w:eastAsiaTheme="minorEastAsia"/>
          <w:sz w:val="32"/>
          <w:szCs w:val="32"/>
          <w:lang w:val="en-US" w:eastAsia="zh-CN"/>
        </w:rPr>
        <w:t>88.29%。支出决算小于年初预算是缴费工资基数调整。</w:t>
      </w:r>
    </w:p>
    <w:p>
      <w:pPr>
        <w:pStyle w:val="11"/>
        <w:ind w:firstLine="640" w:firstLineChars="200"/>
        <w:rPr>
          <w:rFonts w:hAnsi="黑体"/>
          <w:b/>
          <w:sz w:val="32"/>
          <w:szCs w:val="32"/>
        </w:rPr>
      </w:pPr>
      <w:r>
        <w:rPr>
          <w:rFonts w:hint="eastAsia" w:hAnsi="黑体"/>
          <w:b/>
          <w:sz w:val="32"/>
          <w:szCs w:val="32"/>
        </w:rPr>
        <w:t>六、一般公共预算财政拨款基本支出决算情况说明</w:t>
      </w:r>
    </w:p>
    <w:p>
      <w:pPr>
        <w:pStyle w:val="11"/>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度财政拨款基本支出</w:t>
      </w:r>
      <w:r>
        <w:rPr>
          <w:rFonts w:hint="eastAsia" w:asciiTheme="minorEastAsia" w:hAnsiTheme="minorEastAsia" w:eastAsiaTheme="minorEastAsia"/>
          <w:sz w:val="32"/>
          <w:szCs w:val="32"/>
          <w:lang w:val="en-US" w:eastAsia="zh-CN"/>
        </w:rPr>
        <w:t>131.09</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121.09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92.37</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7.63</w:t>
      </w:r>
      <w:r>
        <w:rPr>
          <w:rFonts w:hint="eastAsia" w:asciiTheme="minorEastAsia" w:hAnsiTheme="minorEastAsia" w:eastAsiaTheme="minorEastAsia"/>
          <w:sz w:val="32"/>
          <w:szCs w:val="32"/>
        </w:rPr>
        <w:t>%，主要包括办公费、印刷费、咨询费、手续费</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w:t>
      </w:r>
    </w:p>
    <w:p>
      <w:pPr>
        <w:pStyle w:val="11"/>
        <w:ind w:firstLine="640" w:firstLineChars="200"/>
        <w:rPr>
          <w:rFonts w:hAnsi="黑体"/>
          <w:b/>
          <w:sz w:val="32"/>
          <w:szCs w:val="32"/>
        </w:rPr>
      </w:pPr>
      <w:r>
        <w:rPr>
          <w:rFonts w:hint="eastAsia" w:hAnsi="黑体"/>
          <w:b/>
          <w:sz w:val="32"/>
          <w:szCs w:val="32"/>
        </w:rPr>
        <w:t>七、一般公共预算财政拨款“三公”经费支出决算情况说明</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度“三公”经费财政拨款支出预算为</w:t>
      </w:r>
      <w:r>
        <w:rPr>
          <w:rFonts w:hint="eastAsia" w:asciiTheme="minorEastAsia" w:hAnsiTheme="minorEastAsia" w:eastAsiaTheme="minorEastAsia"/>
          <w:sz w:val="32"/>
          <w:szCs w:val="32"/>
          <w:lang w:val="en-US" w:eastAsia="zh-CN"/>
        </w:rPr>
        <w:t>0.5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0.07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%，其中：</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0.07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节约开支</w:t>
      </w:r>
      <w:r>
        <w:rPr>
          <w:rFonts w:hint="eastAsia" w:asciiTheme="minorEastAsia" w:hAnsiTheme="minorEastAsia" w:eastAsiaTheme="minorEastAsia"/>
          <w:sz w:val="32"/>
          <w:szCs w:val="32"/>
        </w:rPr>
        <w:t>。</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度“三公”经费财政拨款支出决算中，公务接待费支出决算</w:t>
      </w:r>
      <w:r>
        <w:rPr>
          <w:rFonts w:hint="eastAsia" w:asciiTheme="minorEastAsia" w:hAnsiTheme="minorEastAsia" w:eastAsiaTheme="minorEastAsia"/>
          <w:sz w:val="32"/>
          <w:szCs w:val="32"/>
          <w:lang w:val="en-US" w:eastAsia="zh-CN"/>
        </w:rPr>
        <w:t>0.07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1"/>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0.07</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免费开放经验交流等</w:t>
      </w:r>
      <w:r>
        <w:rPr>
          <w:rFonts w:hint="eastAsia" w:asciiTheme="minorEastAsia" w:hAnsiTheme="minorEastAsia" w:eastAsiaTheme="minorEastAsia"/>
          <w:sz w:val="32"/>
          <w:szCs w:val="32"/>
        </w:rPr>
        <w:t>发生的接待支出。</w:t>
      </w:r>
    </w:p>
    <w:p>
      <w:pPr>
        <w:ind w:firstLine="640" w:firstLineChars="20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万元，主要是</w:t>
      </w:r>
      <w:r>
        <w:rPr>
          <w:rFonts w:hint="eastAsia" w:asciiTheme="minorEastAsia" w:hAnsiTheme="minorEastAsia"/>
          <w:sz w:val="32"/>
          <w:szCs w:val="32"/>
          <w:lang w:eastAsia="zh-CN"/>
        </w:rPr>
        <w:t>流动服务车司机工资及燃油维修费</w:t>
      </w:r>
      <w:r>
        <w:rPr>
          <w:rFonts w:hint="eastAsia" w:asciiTheme="minorEastAsia" w:hAnsiTheme="minorEastAsia"/>
          <w:sz w:val="32"/>
          <w:szCs w:val="32"/>
        </w:rPr>
        <w:t>支出，截止</w:t>
      </w:r>
      <w:r>
        <w:rPr>
          <w:rFonts w:hint="eastAsia" w:asciiTheme="minorEastAsia" w:hAnsiTheme="minorEastAsia"/>
          <w:sz w:val="32"/>
          <w:szCs w:val="32"/>
          <w:lang w:eastAsia="zh-CN"/>
        </w:rPr>
        <w:t>2024年</w:t>
      </w:r>
      <w:r>
        <w:rPr>
          <w:rFonts w:hint="eastAsia" w:asciiTheme="minorEastAsia" w:hAnsiTheme="minorEastAsia"/>
          <w:sz w:val="32"/>
          <w:szCs w:val="32"/>
        </w:rPr>
        <w:t>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11"/>
        <w:ind w:firstLine="640" w:firstLineChars="200"/>
        <w:rPr>
          <w:rFonts w:hAnsi="黑体"/>
          <w:b/>
          <w:sz w:val="32"/>
          <w:szCs w:val="32"/>
        </w:rPr>
      </w:pPr>
      <w:r>
        <w:rPr>
          <w:rFonts w:hint="eastAsia" w:hAnsi="黑体"/>
          <w:b/>
          <w:sz w:val="32"/>
          <w:szCs w:val="32"/>
        </w:rPr>
        <w:t>八、政府性基金预算收入支出决算情况</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度政府性基金预算财政拨款收入0万元；年初结转和结余0万元；支出0万元，其中基本支出0万元，项目支出0万元；年末结转和结余0万元。具体情况如下：本单位无政府性基金收支。</w:t>
      </w:r>
    </w:p>
    <w:p>
      <w:pPr>
        <w:pStyle w:val="11"/>
        <w:ind w:firstLine="640" w:firstLineChars="200"/>
        <w:rPr>
          <w:rFonts w:hAnsi="黑体"/>
          <w:b/>
          <w:sz w:val="32"/>
          <w:szCs w:val="32"/>
        </w:rPr>
      </w:pPr>
      <w:r>
        <w:rPr>
          <w:rFonts w:hint="eastAsia" w:hAnsi="黑体"/>
          <w:b/>
          <w:sz w:val="32"/>
          <w:szCs w:val="32"/>
        </w:rPr>
        <w:t>九、机关运行经费支出说明</w:t>
      </w:r>
    </w:p>
    <w:p>
      <w:pPr>
        <w:pStyle w:val="11"/>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度机关运行经费支出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与上年持平</w:t>
      </w:r>
      <w:r>
        <w:rPr>
          <w:rFonts w:hint="eastAsia" w:asciiTheme="minorEastAsia" w:hAnsiTheme="minorEastAsia" w:eastAsiaTheme="minorEastAsia"/>
          <w:sz w:val="32"/>
          <w:szCs w:val="32"/>
          <w:lang w:val="en-US" w:eastAsia="zh-CN"/>
        </w:rPr>
        <w:t>。</w:t>
      </w:r>
    </w:p>
    <w:p>
      <w:pPr>
        <w:pStyle w:val="11"/>
        <w:ind w:firstLine="640" w:firstLineChars="200"/>
        <w:rPr>
          <w:rFonts w:hAnsi="黑体"/>
          <w:b/>
          <w:sz w:val="32"/>
          <w:szCs w:val="32"/>
        </w:rPr>
      </w:pPr>
      <w:r>
        <w:rPr>
          <w:rFonts w:hint="eastAsia" w:hAnsi="黑体"/>
          <w:b/>
          <w:sz w:val="32"/>
          <w:szCs w:val="32"/>
        </w:rPr>
        <w:t>十、一般性支出情况说明</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w:t>
      </w:r>
    </w:p>
    <w:p>
      <w:pPr>
        <w:pStyle w:val="11"/>
        <w:ind w:firstLine="640" w:firstLineChars="200"/>
        <w:rPr>
          <w:rFonts w:hAnsi="黑体"/>
          <w:b/>
          <w:sz w:val="32"/>
          <w:szCs w:val="32"/>
        </w:rPr>
      </w:pPr>
      <w:r>
        <w:rPr>
          <w:rFonts w:hint="eastAsia" w:hAnsi="黑体"/>
          <w:b/>
          <w:sz w:val="32"/>
          <w:szCs w:val="32"/>
        </w:rPr>
        <w:t>十一、政府采购支出说明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度政府采购支出总额</w:t>
      </w:r>
      <w:r>
        <w:rPr>
          <w:rFonts w:hint="eastAsia" w:asciiTheme="minorEastAsia" w:hAnsiTheme="minorEastAsia" w:eastAsiaTheme="minorEastAsia"/>
          <w:sz w:val="32"/>
          <w:szCs w:val="32"/>
          <w:lang w:val="en-US" w:eastAsia="zh-CN"/>
        </w:rPr>
        <w:t>42.4</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42.4</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42.4</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ind w:firstLine="640" w:firstLineChars="200"/>
        <w:rPr>
          <w:rFonts w:hAnsi="黑体"/>
          <w:b/>
          <w:sz w:val="32"/>
          <w:szCs w:val="32"/>
        </w:rPr>
      </w:pPr>
      <w:r>
        <w:rPr>
          <w:rFonts w:hint="eastAsia" w:hAnsi="黑体"/>
          <w:b/>
          <w:sz w:val="32"/>
          <w:szCs w:val="32"/>
        </w:rPr>
        <w:t>十二、国有资产占用情况说明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12月31日，部门（单位）共有车辆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02</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1"/>
        <w:ind w:firstLine="640" w:firstLineChars="200"/>
        <w:rPr>
          <w:rFonts w:hAnsi="黑体"/>
          <w:b/>
          <w:sz w:val="32"/>
          <w:szCs w:val="32"/>
        </w:rPr>
      </w:pPr>
      <w:r>
        <w:rPr>
          <w:rFonts w:hint="eastAsia" w:hAnsi="黑体"/>
          <w:b/>
          <w:sz w:val="32"/>
          <w:szCs w:val="32"/>
        </w:rPr>
        <w:t>十三、</w:t>
      </w:r>
      <w:r>
        <w:rPr>
          <w:rFonts w:hint="eastAsia" w:hAnsi="黑体"/>
          <w:b/>
          <w:sz w:val="32"/>
          <w:szCs w:val="32"/>
          <w:lang w:eastAsia="zh-CN"/>
        </w:rPr>
        <w:t>2024年</w:t>
      </w:r>
      <w:r>
        <w:rPr>
          <w:rFonts w:hint="eastAsia" w:hAnsi="黑体"/>
          <w:b/>
          <w:sz w:val="32"/>
          <w:szCs w:val="32"/>
        </w:rPr>
        <w:t>度预算绩效情况说明</w:t>
      </w: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本部门预算绩效管理开展情况、绩效目标和绩效评价报告等见附件。</w:t>
      </w:r>
    </w:p>
    <w:p>
      <w:pPr>
        <w:pStyle w:val="11"/>
        <w:jc w:val="center"/>
        <w:rPr>
          <w:rFonts w:hint="eastAsia" w:cs="黑体" w:asciiTheme="minorEastAsia" w:hAnsiTheme="minorEastAsia" w:eastAsiaTheme="minorEastAsia"/>
          <w:color w:val="000000"/>
          <w:kern w:val="0"/>
          <w:sz w:val="32"/>
          <w:szCs w:val="32"/>
          <w:lang w:val="en-US" w:eastAsia="zh-CN" w:bidi="ar-SA"/>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名词解释</w:t>
      </w: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1、财政拨款收入：指单位本年度从同级财政部门取得的各类财政</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拨款。</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2．上级补助收入：指事业单位从主管部门和上级单位取得的非财</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政补助收入。</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3．机关运行经费：指行政单位（含参照公务员法管理的事业单位）</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使用一般公共预算安排的基本支出中的公用经费支出，包括办公及印刷</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费、邮电费、差旅费、会议费、福利费、日常维修费、专用材料及一般</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设备购置费、办公用房水电费、办公用房取暖费、办公用房物业管理费、</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公务用车运行维护费及其他费用。</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4．“三公”经费：指单位用一般公共预算财政拨款安排的因公出</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国（境）费、公务用车购置及运行维护费和公务接待费。其中，因公出</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国（境）费反映单位公务出国（境）的国际旅费、国外城市间交通费、</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住宿费、伙食费、培训费、公杂费等支出；公务用车购置及运行维护费</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反映单位公务用车购置支出（含车辆购置税、牌照费）以及按规定保留</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的公务用车燃料费、维修费、过路过桥费、保险费、安全奖励费用等支</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出；公务接待费反映单位按规定开支的各类公务接待（含外宾接待）费</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用。</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5．对附属单位补助支出：指事业单位用财政拨款收入之外的收入</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对附属单位补助发生的支出。</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6．经营支出：指事业单位在专业业务活动及其辅助活动之外开展</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非独立核算经营活动发生的支出。</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7.事业收入：指事业单位开展专业业务活动及其辅助活动取得的</w:t>
      </w:r>
    </w:p>
    <w:p>
      <w:pPr>
        <w:keepNext w:val="0"/>
        <w:keepLines w:val="0"/>
        <w:widowControl/>
        <w:suppressLineNumbers w:val="0"/>
        <w:bidi w:val="0"/>
        <w:jc w:val="left"/>
        <w:rPr>
          <w:rFonts w:hint="eastAsia" w:asciiTheme="minorEastAsia" w:hAnsiTheme="minorEastAsia" w:eastAsiaTheme="minorEastAsia" w:cstheme="minorEastAsia"/>
          <w:sz w:val="32"/>
          <w:szCs w:val="32"/>
        </w:rPr>
      </w:pPr>
      <w:bookmarkStart w:id="3" w:name="28"/>
      <w:bookmarkEnd w:id="3"/>
      <w:r>
        <w:rPr>
          <w:rFonts w:hint="eastAsia" w:asciiTheme="minorEastAsia" w:hAnsiTheme="minorEastAsia" w:eastAsiaTheme="minorEastAsia" w:cstheme="minorEastAsia"/>
          <w:kern w:val="0"/>
          <w:sz w:val="32"/>
          <w:szCs w:val="32"/>
          <w:lang w:val="en-US" w:eastAsia="zh-CN" w:bidi="ar"/>
        </w:rPr>
        <w:t>收入，事业单位收到的财政专户实际核拨的教育收费等资金在此反映。</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8．经营收入：指事业单位在专业业务活动及其辅助活动之外开展</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非独立核算经营活动取得的收入。</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9．附属单位上缴收入：指事业单位附属独立核算单位按照有关规</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定上缴的收入。</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10．其他收入：指单位取得的除上述“财政拨款收入”、“事业收</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入”、“经营收入”等以外的各项收入。</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11．使用非财政拨款结余：指事业单位使用非财政拨款结余（原事</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业基金）弥补当年收支差额的数额。</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12．年初结转和结余：指单位上年结转本年使用的基本支出结转、</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项目支出结转和结余和经营结余。</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13．结余分配：指事业单位按规定对非财政拨款结余资金提取的专</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用基金、缴纳的所得税和转入非财政拨款结余等。</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14．年末结转和结余资金：指本年度或以前年度预算安排、因客观</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条件发生变化无法按原计划实施，需要延迟到以后年度按有关规定继续</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使用的资金。</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15．基本支出：指为保障机构正常运转、完成日常工作任务而发生</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的支出，包括人员经费和公用经费。</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16．项目支出：指在为完成特定的工作任务和事业发展目标所发生</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的支出。</w:t>
      </w:r>
    </w:p>
    <w:p>
      <w:pPr>
        <w:keepNext w:val="0"/>
        <w:keepLines w:val="0"/>
        <w:widowControl/>
        <w:suppressLineNumbers w:val="0"/>
        <w:bidi w:val="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17．上缴上级支出：指事业单位按照财政部门和主管部门的规定上</w:t>
      </w: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eastAsiaTheme="minorEastAsia" w:cstheme="minorEastAsia"/>
          <w:kern w:val="0"/>
          <w:sz w:val="32"/>
          <w:szCs w:val="32"/>
          <w:lang w:val="en-US" w:eastAsia="zh-CN" w:bidi="ar"/>
        </w:rPr>
        <w:t>缴上级单位的支出。</w:t>
      </w:r>
      <w:bookmarkStart w:id="4" w:name="29"/>
      <w:bookmarkEnd w:id="4"/>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keepNext w:val="0"/>
        <w:keepLines w:val="0"/>
        <w:widowControl/>
        <w:suppressLineNumbers w:val="0"/>
        <w:bidi w:val="0"/>
        <w:jc w:val="left"/>
        <w:rPr>
          <w:rFonts w:hint="eastAsia" w:asciiTheme="minorEastAsia" w:hAnsiTheme="minorEastAsia" w:eastAsiaTheme="minorEastAsia" w:cstheme="minorEastAsia"/>
          <w:kern w:val="0"/>
          <w:sz w:val="32"/>
          <w:szCs w:val="32"/>
          <w:lang w:val="en-US" w:eastAsia="zh-CN" w:bidi="ar"/>
        </w:rPr>
      </w:pPr>
    </w:p>
    <w:p>
      <w:pPr>
        <w:pStyle w:val="11"/>
        <w:jc w:val="center"/>
        <w:rPr>
          <w:rFonts w:hint="eastAsia"/>
          <w:sz w:val="72"/>
          <w:szCs w:val="72"/>
          <w:lang w:val="en-US" w:eastAsia="zh-CN"/>
        </w:rPr>
      </w:pPr>
      <w:r>
        <w:rPr>
          <w:rFonts w:hint="eastAsia"/>
          <w:sz w:val="72"/>
          <w:szCs w:val="72"/>
        </w:rPr>
        <w:t>第五部分</w:t>
      </w:r>
    </w:p>
    <w:p>
      <w:pPr>
        <w:pStyle w:val="11"/>
        <w:jc w:val="center"/>
        <w:rPr>
          <w:rFonts w:hint="eastAsia"/>
          <w:sz w:val="72"/>
          <w:szCs w:val="72"/>
        </w:rPr>
      </w:pPr>
      <w:r>
        <w:rPr>
          <w:rFonts w:hint="eastAsia"/>
          <w:sz w:val="72"/>
          <w:szCs w:val="72"/>
        </w:rPr>
        <w:t>附件</w:t>
      </w:r>
    </w:p>
    <w:p>
      <w:pPr>
        <w:widowControl/>
        <w:ind w:firstLine="2240" w:firstLineChars="700"/>
        <w:jc w:val="left"/>
        <w:rPr>
          <w:rFonts w:hint="eastAsia" w:cs="黑体" w:asciiTheme="minorEastAsia" w:hAnsiTheme="minorEastAsia"/>
          <w:b/>
          <w:color w:val="000000"/>
          <w:kern w:val="0"/>
          <w:sz w:val="32"/>
          <w:szCs w:val="32"/>
        </w:rPr>
      </w:pPr>
    </w:p>
    <w:p>
      <w:pPr>
        <w:jc w:val="both"/>
        <w:rPr>
          <w:rFonts w:ascii="黑体" w:eastAsia="黑体" w:cs="黑体"/>
          <w:color w:val="000000"/>
          <w:kern w:val="0"/>
          <w:sz w:val="70"/>
          <w:szCs w:val="70"/>
        </w:rPr>
      </w:pPr>
    </w:p>
    <w:p>
      <w:pPr>
        <w:jc w:val="both"/>
        <w:rPr>
          <w:rFonts w:ascii="黑体" w:eastAsia="黑体" w:cs="黑体"/>
          <w:color w:val="000000"/>
          <w:kern w:val="0"/>
          <w:sz w:val="70"/>
          <w:szCs w:val="70"/>
        </w:rPr>
      </w:pPr>
    </w:p>
    <w:p>
      <w:pPr>
        <w:jc w:val="both"/>
        <w:rPr>
          <w:rFonts w:ascii="黑体" w:eastAsia="黑体" w:cs="黑体"/>
          <w:color w:val="000000"/>
          <w:kern w:val="0"/>
          <w:sz w:val="70"/>
          <w:szCs w:val="70"/>
        </w:rPr>
      </w:pPr>
    </w:p>
    <w:p>
      <w:pPr>
        <w:jc w:val="both"/>
        <w:rPr>
          <w:rFonts w:ascii="黑体" w:eastAsia="黑体" w:cs="黑体"/>
          <w:color w:val="000000"/>
          <w:kern w:val="0"/>
          <w:sz w:val="70"/>
          <w:szCs w:val="70"/>
        </w:rPr>
      </w:pPr>
    </w:p>
    <w:p>
      <w:pPr>
        <w:jc w:val="both"/>
        <w:rPr>
          <w:rFonts w:ascii="黑体" w:eastAsia="黑体" w:cs="黑体"/>
          <w:color w:val="000000"/>
          <w:kern w:val="0"/>
          <w:sz w:val="70"/>
          <w:szCs w:val="70"/>
        </w:rPr>
      </w:pPr>
    </w:p>
    <w:p>
      <w:pPr>
        <w:jc w:val="both"/>
        <w:rPr>
          <w:rFonts w:ascii="黑体" w:eastAsia="黑体" w:cs="黑体"/>
          <w:color w:val="000000"/>
          <w:kern w:val="0"/>
          <w:sz w:val="70"/>
          <w:szCs w:val="70"/>
        </w:rPr>
      </w:pPr>
    </w:p>
    <w:p>
      <w:pPr>
        <w:jc w:val="both"/>
        <w:rPr>
          <w:rFonts w:ascii="黑体" w:eastAsia="黑体" w:cs="黑体"/>
          <w:color w:val="000000"/>
          <w:kern w:val="0"/>
          <w:sz w:val="70"/>
          <w:szCs w:val="70"/>
        </w:rPr>
      </w:pPr>
    </w:p>
    <w:p>
      <w:pPr>
        <w:jc w:val="both"/>
        <w:rPr>
          <w:rFonts w:ascii="黑体" w:eastAsia="黑体" w:cs="黑体"/>
          <w:color w:val="000000"/>
          <w:kern w:val="0"/>
          <w:sz w:val="70"/>
          <w:szCs w:val="70"/>
        </w:rPr>
      </w:pPr>
    </w:p>
    <w:p>
      <w:pPr>
        <w:pStyle w:val="2"/>
        <w:bidi w:val="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2024年道县图书馆</w:t>
      </w:r>
      <w:r>
        <w:rPr>
          <w:rFonts w:hint="eastAsia" w:ascii="方正小标宋简体" w:hAnsi="方正小标宋简体" w:eastAsia="方正小标宋简体" w:cs="方正小标宋简体"/>
          <w:lang w:eastAsia="zh-CN"/>
        </w:rPr>
        <w:t>整体支出</w:t>
      </w:r>
      <w:r>
        <w:rPr>
          <w:rFonts w:hint="eastAsia" w:ascii="方正小标宋简体" w:hAnsi="方正小标宋简体" w:eastAsia="方正小标宋简体" w:cs="方正小标宋简体"/>
        </w:rPr>
        <w:t>绩效自评报告</w:t>
      </w:r>
    </w:p>
    <w:p>
      <w:pPr>
        <w:numPr>
          <w:ilvl w:val="0"/>
          <w:numId w:val="1"/>
        </w:num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基本情况</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部门（单位）基本情况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人员概括：本单位属财政全额拨款公益性事业单位，核定事业编制7名，现有在职人员10人。其中中级职称3人，初级职称6人，管理人员1人。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主要职能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1、保存借阅资料，促进社会经济文化发展。</w:t>
      </w:r>
    </w:p>
    <w:p>
      <w:pPr>
        <w:widowControl/>
        <w:shd w:val="clear" w:color="auto" w:fill="FFFFFF"/>
        <w:spacing w:line="351"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333333"/>
          <w:kern w:val="0"/>
          <w:sz w:val="32"/>
          <w:szCs w:val="32"/>
        </w:rPr>
        <w:t>采编与储藏，图书资料借阅，知识培训与社会教育。</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部门（单位）年度整体支出绩效目标，省级专项资金绩效目标、其他项目支出（除省级专项资金以外）绩效目标</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年度总体支出绩效目标：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目标1：本馆今年为了更好地发挥图书馆在公共文化服务体系建设中的作用，继续做好图书馆日常管理、服务工作。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目标2、围绕优化服务、拓展图书馆教育和信息的功能。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目标3、努力开展全民阅读活动，增加全民阅读气氛，提高全民素质。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目标4、做好免费开放工作，免费办理读者借阅证430个，图书流动车送书下乡、进社区50次。</w:t>
      </w:r>
    </w:p>
    <w:p>
      <w:pPr>
        <w:numPr>
          <w:ilvl w:val="0"/>
          <w:numId w:val="1"/>
        </w:num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一般公共预算支出情况</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2024年图书馆整体支出173.49万元。一般公共预算财政拨款收入173.49万元。</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情况：基本支出131.09万元，其中：基本工资44.41万元;奖金20.54万元;绩效工资25.12万元;基本医疗保险经费6.65万元；养老保险15.79万元;其他社保缴费1.33万元;住房公积金7.24万元。一般商品服务支出10万元：办公费3.2万元，水费0.5万元,电费0.5万元，差旅费0.2万元，公务接待费0.07万元，工会经费4.42万元，其他商品服务支出1.1万元。</w:t>
      </w:r>
    </w:p>
    <w:p>
      <w:pPr>
        <w:widowControl/>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项目支出情况：2024年决算数为42.4万元，其中：图书购置费10万元； “三馆一站免费开放资金”20万元；3个24小时自助图书馆运营资金6万元；图书流动车日常运行维护费用3.4万元;书香道州、世界读书日活动3万元。</w:t>
      </w:r>
    </w:p>
    <w:p>
      <w:pPr>
        <w:numPr>
          <w:ilvl w:val="0"/>
          <w:numId w:val="1"/>
        </w:num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政府性基金预算支出情况</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道县图书馆2024年无政府性基金预算。</w:t>
      </w:r>
    </w:p>
    <w:p>
      <w:pPr>
        <w:numPr>
          <w:ilvl w:val="0"/>
          <w:numId w:val="1"/>
        </w:num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国有资本经营预算支出情况</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道县图书馆2024年无国有资本经营预算支出。</w:t>
      </w:r>
    </w:p>
    <w:p>
      <w:pPr>
        <w:numPr>
          <w:ilvl w:val="0"/>
          <w:numId w:val="1"/>
        </w:num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社会保险基金预算支出情况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道县图书馆2024年无社会保险基金预算支出。</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六、部门整体支出绩效情况</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为了提高本馆工作人员的工作效率和服务水平，为更好地发挥图书馆在公共文化服务体系建设中的作用，本着一切为读者服务的宗旨，围绕优化服务、拓展图书馆教育和信息的功能，从读者服务、业务管理、读书活动、提高人员素质入手等各项工作任务。2023年度主要做了下面几点：</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一）基础业务建设情况</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1、免费开放情况。节假日不休，每周免费开放时间达56小时以上。截至2024年10月28日，共接待读者80.88万人次，全年新办读者证430个，图书流通49.1万册次,举办各类阅读推广活动28次。</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础设施建设。为读者提供安全舒适的阅读环境和更优质的服务，吸引更多读者走进图书馆、爱上图书馆。3月县图书馆南馆经鉴定为C级危房，属于限制使用级别。5月本馆办公楼屋顶钢结构搭建10余年的雨棚翻新，厕所改造及新增残疾人无障碍厕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图书流动服务情况。充分利用馆藏图书资源和数字资源，送图书服务进乡村、进校园、进军营、进社区、进景区活动，为各类读者提供最优质的上门送读服务深受欢迎。尤其是利用节假日，到景区开展了红色文化、地方文献展，让游客更加全面深入地了解道县这座历史文化名城，以推动道县文旅深度融合，实现文旅资源共享、合作共赢。全年流动服务达50次，服务受益群众达20万余人。</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4、馆藏资源建设。截至目前，道县图书馆共有纸质图书馆62.44万余册，采购新书900册，北京枫林公益基金会为我馆捐赠图书2万册。订购报纸22种，期刊130种，已全部上架供读者借阅。数字资源：新增资源1 TB，资源总量达到7 TB.并且可以通过移动数字阅读平台进行移动阅读。</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5.扩大网络宣传。在道县图书馆网站的基础上，今年又推出了道县图书馆微信公众平台，增加了对外宣传推介的名片。让群众能够了解图书馆的动态及馆藏情况，开创了图书馆信息宣传工作的新局面。</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二）各类文化活动开展情况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更好发挥图书馆的作用，提升影响力，不断满足广大读者丰富的精神文化需求，道县图书馆立足实际，全面周到地为读者提供各类丰富多彩的文化活动15场，服务受益群众达10万余人。一是组织全县各图书分馆管理员开展“两法”专题集中培训活动、“图书馆服务宣传周”、“读者座谈会”、老年人电脑基础知识培训班、全县少儿征文、公益性讲座等活动9场。二是在庆祝建党100周年系列活动中，开展“清扫陈树湘烈士纪念园 缅怀革命先烈”活动、“4.23世界读书日”暨庆祝建党100周年“学党史、颂党恩、猜谜语”线上猜谜活动、“24小时自助图书馆 邀你共庆党的百年华诞”活动。。三积极组织全县少年儿童参加“童心向党 童阅湖南”第40届湖南省主题少儿读书活动、绘画、开展了红色主题图书展等6场，在活动中获得省级个人奖2名。先进的服务手段，多样的服务内容，进一步丰富广大读者文化生活。</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七、存在的问题及原因分析</w:t>
      </w:r>
    </w:p>
    <w:p>
      <w:pPr>
        <w:pStyle w:val="6"/>
        <w:widowControl/>
        <w:spacing w:beforeAutospacing="0" w:afterAutospacing="0" w:line="33" w:lineRule="atLeas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一是专项资金拨付不及时，资金使用与专项工作运行时间不对口，凸显出账目不规范。</w:t>
      </w:r>
    </w:p>
    <w:p>
      <w:pPr>
        <w:pStyle w:val="6"/>
        <w:widowControl/>
        <w:spacing w:beforeAutospacing="0" w:afterAutospacing="0" w:line="33" w:lineRule="atLeas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二是财政预算安排单项工作经费不足，难于足额保障开展专项工作。</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八、下一步改进措施</w:t>
      </w:r>
    </w:p>
    <w:p>
      <w:pPr>
        <w:numPr>
          <w:ilvl w:val="0"/>
          <w:numId w:val="4"/>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严格按照《会计法》、《行政事业单位会计制度》等规定执行财务核算，结合实际情况，完整、准确披露相关信息，做到决算和预算相结合。</w:t>
      </w:r>
    </w:p>
    <w:p>
      <w:pPr>
        <w:numPr>
          <w:ilvl w:val="0"/>
          <w:numId w:val="4"/>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加强资金的使用管理，让各类资金用到实处。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3、加强队伍建设，抓好绩效评价管理部门的队伍建设和业务指导，培养部门的绩效管理队伍，建立绩效评价的长期机制</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九、绩效自评结果拟应用和公开情况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本年度绩效自评结果为97分。按规定时间内将2024年度专项资金绩效自评报告、整体部门支出绩效自评报告在本部门门户网站公开，并接受社会监督。</w:t>
      </w:r>
    </w:p>
    <w:p>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道县图书馆</w:t>
      </w:r>
    </w:p>
    <w:p>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月10日</w:t>
      </w:r>
    </w:p>
    <w:p>
      <w:pPr>
        <w:jc w:val="left"/>
        <w:rPr>
          <w:rFonts w:cs="黑体" w:asciiTheme="minorEastAsia" w:hAnsiTheme="minorEastAsia"/>
          <w:color w:val="000000"/>
          <w:kern w:val="0"/>
          <w:sz w:val="32"/>
          <w:szCs w:val="32"/>
        </w:rPr>
      </w:pPr>
    </w:p>
    <w:sectPr>
      <w:pgSz w:w="11906" w:h="16838"/>
      <w:pgMar w:top="720" w:right="1174" w:bottom="720" w:left="1174"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C677D"/>
    <w:multiLevelType w:val="singleLevel"/>
    <w:tmpl w:val="A66C677D"/>
    <w:lvl w:ilvl="0" w:tentative="0">
      <w:start w:val="1"/>
      <w:numFmt w:val="decimal"/>
      <w:suff w:val="nothing"/>
      <w:lvlText w:val="%1、"/>
      <w:lvlJc w:val="left"/>
      <w:pPr>
        <w:ind w:left="150" w:firstLine="0"/>
      </w:pPr>
    </w:lvl>
  </w:abstractNum>
  <w:abstractNum w:abstractNumId="1">
    <w:nsid w:val="C0302415"/>
    <w:multiLevelType w:val="singleLevel"/>
    <w:tmpl w:val="C0302415"/>
    <w:lvl w:ilvl="0" w:tentative="0">
      <w:start w:val="1"/>
      <w:numFmt w:val="chineseCounting"/>
      <w:suff w:val="nothing"/>
      <w:lvlText w:val="%1、"/>
      <w:lvlJc w:val="left"/>
      <w:rPr>
        <w:rFonts w:hint="eastAsia"/>
      </w:rPr>
    </w:lvl>
  </w:abstractNum>
  <w:abstractNum w:abstractNumId="2">
    <w:nsid w:val="3CACC622"/>
    <w:multiLevelType w:val="singleLevel"/>
    <w:tmpl w:val="3CACC622"/>
    <w:lvl w:ilvl="0" w:tentative="0">
      <w:start w:val="1"/>
      <w:numFmt w:val="decimal"/>
      <w:suff w:val="nothing"/>
      <w:lvlText w:val="%1、"/>
      <w:lvlJc w:val="left"/>
    </w:lvl>
  </w:abstractNum>
  <w:abstractNum w:abstractNumId="3">
    <w:nsid w:val="7ACC0A89"/>
    <w:multiLevelType w:val="singleLevel"/>
    <w:tmpl w:val="7ACC0A89"/>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DM0ZTY2M2MzOTgzMzg4MDJlMmEyZGNhMTdhOGI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1510C"/>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1B7206"/>
    <w:rsid w:val="02B52775"/>
    <w:rsid w:val="033101D6"/>
    <w:rsid w:val="04CA672C"/>
    <w:rsid w:val="06C84383"/>
    <w:rsid w:val="06FC2DC7"/>
    <w:rsid w:val="089B41CC"/>
    <w:rsid w:val="09B93D28"/>
    <w:rsid w:val="09DF1F3F"/>
    <w:rsid w:val="0B372620"/>
    <w:rsid w:val="0BFD702B"/>
    <w:rsid w:val="0E6365CF"/>
    <w:rsid w:val="10A22BBE"/>
    <w:rsid w:val="13622204"/>
    <w:rsid w:val="16897AA8"/>
    <w:rsid w:val="260848BE"/>
    <w:rsid w:val="26EB24EE"/>
    <w:rsid w:val="30515A9D"/>
    <w:rsid w:val="31450A0F"/>
    <w:rsid w:val="319E5031"/>
    <w:rsid w:val="35F20D6E"/>
    <w:rsid w:val="39ED253A"/>
    <w:rsid w:val="3B94781B"/>
    <w:rsid w:val="3CA408E8"/>
    <w:rsid w:val="3E693D35"/>
    <w:rsid w:val="420229E1"/>
    <w:rsid w:val="4EDA665A"/>
    <w:rsid w:val="51D64E9B"/>
    <w:rsid w:val="54030019"/>
    <w:rsid w:val="54B67241"/>
    <w:rsid w:val="55C47E2D"/>
    <w:rsid w:val="59987F3E"/>
    <w:rsid w:val="5F3C2ED6"/>
    <w:rsid w:val="63634020"/>
    <w:rsid w:val="63673E64"/>
    <w:rsid w:val="637B403B"/>
    <w:rsid w:val="644C1922"/>
    <w:rsid w:val="67B50A65"/>
    <w:rsid w:val="6B7A1FEA"/>
    <w:rsid w:val="6D136888"/>
    <w:rsid w:val="6FD125DA"/>
    <w:rsid w:val="70DC62C7"/>
    <w:rsid w:val="74081F82"/>
    <w:rsid w:val="779F6E1B"/>
    <w:rsid w:val="78D42310"/>
    <w:rsid w:val="7BBF08D3"/>
    <w:rsid w:val="7BD5403F"/>
    <w:rsid w:val="7BDE0EB1"/>
    <w:rsid w:val="7E891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1163</Words>
  <Characters>1273</Characters>
  <Lines>69</Lines>
  <Paragraphs>19</Paragraphs>
  <TotalTime>2</TotalTime>
  <ScaleCrop>false</ScaleCrop>
  <LinksUpToDate>false</LinksUpToDate>
  <CharactersWithSpaces>1306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MR</cp:lastModifiedBy>
  <cp:lastPrinted>2022-07-27T12:55:00Z</cp:lastPrinted>
  <dcterms:modified xsi:type="dcterms:W3CDTF">2025-08-28T01:20:02Z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D810A86403C24F0D8F0AF689C3663627</vt:lpwstr>
  </property>
  <property fmtid="{D5CDD505-2E9C-101B-9397-08002B2CF9AE}" pid="4" name="KSOTemplateDocerSaveRecord">
    <vt:lpwstr>eyJoZGlkIjoiYzYxN2RkYTBhNDA4MWUzNzRmMDdiN2FlZjRjZGVhMTQifQ==</vt:lpwstr>
  </property>
</Properties>
</file>