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sz w:val="84"/>
          <w:szCs w:val="84"/>
        </w:rPr>
      </w:pPr>
      <w:r>
        <w:rPr>
          <w:rFonts w:hint="eastAsia"/>
          <w:sz w:val="84"/>
          <w:szCs w:val="84"/>
          <w:lang w:eastAsia="zh-CN"/>
        </w:rPr>
        <w:t>2024年</w:t>
      </w:r>
      <w:r>
        <w:rPr>
          <w:rFonts w:hint="eastAsia"/>
          <w:sz w:val="84"/>
          <w:szCs w:val="84"/>
        </w:rPr>
        <w:t>度</w:t>
      </w:r>
    </w:p>
    <w:p>
      <w:pPr>
        <w:pStyle w:val="13"/>
        <w:jc w:val="center"/>
        <w:rPr>
          <w:sz w:val="84"/>
          <w:szCs w:val="84"/>
        </w:rPr>
      </w:pPr>
      <w:r>
        <w:rPr>
          <w:rFonts w:hint="eastAsia"/>
          <w:sz w:val="84"/>
          <w:szCs w:val="84"/>
          <w:lang w:eastAsia="zh-CN"/>
        </w:rPr>
        <w:t>道县旅游发展服务中心</w:t>
      </w:r>
      <w:r>
        <w:rPr>
          <w:rFonts w:hint="eastAsia"/>
          <w:sz w:val="84"/>
          <w:szCs w:val="84"/>
          <w:lang w:val="en-US" w:eastAsia="zh-CN"/>
        </w:rPr>
        <w:t xml:space="preserve">   </w:t>
      </w:r>
      <w:r>
        <w:rPr>
          <w:rFonts w:hint="eastAsia"/>
          <w:sz w:val="84"/>
          <w:szCs w:val="84"/>
        </w:rPr>
        <w:t>部门决算</w:t>
      </w: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00" w:lineRule="exact"/>
        <w:jc w:val="center"/>
        <w:rPr>
          <w:b/>
          <w:sz w:val="36"/>
          <w:szCs w:val="28"/>
        </w:rPr>
      </w:pPr>
      <w:r>
        <w:rPr>
          <w:rFonts w:hint="eastAsia"/>
          <w:b/>
          <w:sz w:val="36"/>
          <w:szCs w:val="28"/>
        </w:rPr>
        <w:t>目录</w:t>
      </w:r>
    </w:p>
    <w:p>
      <w:pPr>
        <w:pStyle w:val="13"/>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道县旅游发展服务中心</w:t>
      </w:r>
      <w:r>
        <w:rPr>
          <w:rFonts w:hint="eastAsia"/>
          <w:b/>
          <w:sz w:val="28"/>
          <w:szCs w:val="28"/>
        </w:rPr>
        <w:t>概况</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3"/>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2024年</w:t>
      </w:r>
      <w:r>
        <w:rPr>
          <w:rFonts w:hint="eastAsia" w:hAnsi="仿宋_GB2312"/>
          <w:b/>
          <w:sz w:val="28"/>
          <w:szCs w:val="28"/>
        </w:rPr>
        <w:t>度部门决算表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3"/>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3"/>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2024年</w:t>
      </w:r>
      <w:r>
        <w:rPr>
          <w:rFonts w:hint="eastAsia" w:hAnsi="仿宋_GB2312"/>
          <w:b/>
          <w:sz w:val="28"/>
          <w:szCs w:val="28"/>
        </w:rPr>
        <w:t>度部门决算情况说明</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3"/>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3"/>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lang w:eastAsia="zh-CN"/>
        </w:rPr>
        <w:t>2024年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3"/>
        <w:jc w:val="center"/>
        <w:rPr>
          <w:sz w:val="84"/>
          <w:szCs w:val="84"/>
        </w:rPr>
      </w:pPr>
      <w:r>
        <w:rPr>
          <w:rFonts w:hint="eastAsia"/>
          <w:sz w:val="84"/>
          <w:szCs w:val="84"/>
        </w:rPr>
        <w:t>第一部分</w:t>
      </w:r>
      <w:r>
        <w:rPr>
          <w:sz w:val="84"/>
          <w:szCs w:val="84"/>
        </w:rPr>
        <w:t xml:space="preserve"> </w:t>
      </w:r>
    </w:p>
    <w:p>
      <w:pPr>
        <w:pStyle w:val="13"/>
        <w:jc w:val="center"/>
        <w:rPr>
          <w:sz w:val="84"/>
          <w:szCs w:val="84"/>
        </w:rPr>
      </w:pPr>
    </w:p>
    <w:p>
      <w:pPr>
        <w:pStyle w:val="13"/>
        <w:jc w:val="center"/>
        <w:rPr>
          <w:sz w:val="84"/>
          <w:szCs w:val="84"/>
        </w:rPr>
      </w:pPr>
      <w:r>
        <w:rPr>
          <w:rFonts w:hint="eastAsia"/>
          <w:sz w:val="84"/>
          <w:szCs w:val="84"/>
          <w:lang w:eastAsia="zh-CN"/>
        </w:rPr>
        <w:t>道县旅游发展服务中心</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4"/>
        <w:ind w:left="720" w:firstLine="0" w:firstLineChars="0"/>
        <w:jc w:val="left"/>
        <w:rPr>
          <w:rFonts w:ascii="黑体" w:hAnsi="黑体" w:eastAsia="黑体"/>
          <w:sz w:val="32"/>
          <w:szCs w:val="32"/>
        </w:rPr>
      </w:pPr>
    </w:p>
    <w:p>
      <w:pPr>
        <w:pStyle w:val="14"/>
        <w:ind w:left="720" w:firstLine="0" w:firstLineChars="0"/>
        <w:jc w:val="left"/>
        <w:rPr>
          <w:rFonts w:ascii="黑体" w:hAnsi="黑体" w:eastAsia="黑体"/>
          <w:sz w:val="32"/>
          <w:szCs w:val="32"/>
        </w:rPr>
      </w:pPr>
    </w:p>
    <w:p>
      <w:pPr>
        <w:pStyle w:val="14"/>
        <w:ind w:left="720" w:firstLine="0" w:firstLineChars="0"/>
        <w:jc w:val="left"/>
        <w:rPr>
          <w:rFonts w:ascii="黑体" w:hAnsi="黑体" w:eastAsia="黑体"/>
          <w:sz w:val="32"/>
          <w:szCs w:val="32"/>
        </w:rPr>
      </w:pPr>
    </w:p>
    <w:p>
      <w:pPr>
        <w:pStyle w:val="14"/>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pacing w:line="570" w:lineRule="atLeast"/>
        <w:ind w:firstLine="640" w:firstLineChars="200"/>
        <w:rPr>
          <w:rFonts w:hint="eastAsia" w:ascii="宋体" w:hAnsi="宋体" w:eastAsia="宋体" w:cs="宋体"/>
          <w:color w:val="000000"/>
          <w:sz w:val="32"/>
          <w:szCs w:val="32"/>
          <w:shd w:val="clear" w:color="auto" w:fill="FFFFFF"/>
        </w:rPr>
      </w:pPr>
      <w:bookmarkStart w:id="0" w:name="AGENCY_NAME_TITLE3"/>
      <w:r>
        <w:rPr>
          <w:rFonts w:hint="eastAsia" w:ascii="宋体" w:hAnsi="宋体" w:eastAsia="宋体" w:cs="宋体"/>
          <w:color w:val="000000"/>
          <w:sz w:val="32"/>
          <w:szCs w:val="32"/>
          <w:shd w:val="clear" w:color="auto" w:fill="FFFFFF"/>
        </w:rPr>
        <w:t>道县旅游发展服务中心</w:t>
      </w:r>
      <w:bookmarkEnd w:id="0"/>
      <w:r>
        <w:rPr>
          <w:rFonts w:hint="eastAsia" w:ascii="宋体" w:hAnsi="宋体" w:eastAsia="宋体" w:cs="宋体"/>
          <w:color w:val="000000"/>
          <w:sz w:val="32"/>
          <w:szCs w:val="32"/>
          <w:shd w:val="clear" w:color="auto" w:fill="FFFFFF"/>
        </w:rPr>
        <w:t>的主要职责是：</w:t>
      </w:r>
    </w:p>
    <w:p>
      <w:pPr>
        <w:spacing w:line="570" w:lineRule="atLeast"/>
        <w:ind w:firstLine="640" w:firstLineChars="200"/>
        <w:rPr>
          <w:rFonts w:hint="eastAsia" w:ascii="宋体" w:hAnsi="宋体" w:eastAsia="宋体" w:cs="宋体"/>
          <w:color w:val="000000"/>
          <w:sz w:val="32"/>
          <w:szCs w:val="32"/>
          <w:shd w:val="clear" w:color="auto" w:fill="FFFFFF"/>
        </w:rPr>
      </w:pPr>
      <w:bookmarkStart w:id="1" w:name="FUNCRESP"/>
      <w:r>
        <w:rPr>
          <w:rFonts w:hint="eastAsia" w:ascii="宋体" w:hAnsi="宋体" w:eastAsia="宋体" w:cs="宋体"/>
          <w:color w:val="000000"/>
          <w:sz w:val="32"/>
          <w:szCs w:val="32"/>
          <w:shd w:val="clear" w:color="auto" w:fill="FFFFFF"/>
        </w:rPr>
        <w:t>负责全县旅游行业和旅游市场监管，旅游宣传推广，组织实施各类旅游规划，承办县委、县政府交办的其他事项。</w:t>
      </w:r>
      <w:bookmarkEnd w:id="1"/>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spacing w:line="570" w:lineRule="atLeas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bookmarkStart w:id="2" w:name="ORG_SET"/>
      <w:r>
        <w:rPr>
          <w:rFonts w:hint="eastAsia" w:ascii="仿宋_GB2312" w:hAnsi="仿宋_GB2312" w:eastAsia="仿宋_GB2312" w:cs="仿宋_GB2312"/>
          <w:color w:val="000000"/>
          <w:sz w:val="32"/>
          <w:szCs w:val="32"/>
          <w:shd w:val="clear" w:color="auto" w:fill="FFFFFF"/>
        </w:rPr>
        <w:t>下设综合股、政工财务股、市场营销股和产业发展股。</w:t>
      </w:r>
      <w:bookmarkEnd w:id="2"/>
    </w:p>
    <w:p>
      <w:pPr>
        <w:jc w:val="left"/>
        <w:rPr>
          <w:rFonts w:ascii="仿宋_GB2312" w:eastAsia="仿宋_GB2312" w:hAnsiTheme="minorEastAsia"/>
          <w:sz w:val="28"/>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val="en-US" w:eastAsia="zh-CN"/>
        </w:rPr>
        <w:t>道县旅游发展服务中心</w:t>
      </w:r>
      <w:r>
        <w:rPr>
          <w:rFonts w:hint="eastAsia" w:asciiTheme="minorEastAsia" w:hAnsiTheme="minorEastAsia"/>
          <w:bCs/>
          <w:kern w:val="0"/>
          <w:sz w:val="32"/>
          <w:szCs w:val="32"/>
        </w:rPr>
        <w:t>只有本级，没有其他二级</w:t>
      </w:r>
      <w:r>
        <w:rPr>
          <w:rFonts w:hint="eastAsia" w:asciiTheme="minorEastAsia" w:hAnsiTheme="minorEastAsia"/>
          <w:bCs/>
          <w:kern w:val="0"/>
          <w:sz w:val="32"/>
          <w:szCs w:val="32"/>
          <w:lang w:eastAsia="zh-CN"/>
        </w:rPr>
        <w:t>决算</w:t>
      </w:r>
      <w:r>
        <w:rPr>
          <w:rFonts w:hint="eastAsia" w:asciiTheme="minorEastAsia" w:hAnsiTheme="minorEastAsia"/>
          <w:bCs/>
          <w:kern w:val="0"/>
          <w:sz w:val="32"/>
          <w:szCs w:val="32"/>
        </w:rPr>
        <w:t>单位，因此，纳入</w:t>
      </w:r>
      <w:r>
        <w:rPr>
          <w:rFonts w:hint="eastAsia" w:asciiTheme="minorEastAsia" w:hAnsiTheme="minorEastAsia"/>
          <w:bCs/>
          <w:kern w:val="0"/>
          <w:sz w:val="32"/>
          <w:szCs w:val="32"/>
          <w:lang w:eastAsia="zh-CN"/>
        </w:rPr>
        <w:t>2024年</w:t>
      </w:r>
      <w:r>
        <w:rPr>
          <w:rFonts w:hint="eastAsia" w:asciiTheme="minorEastAsia" w:hAnsiTheme="minorEastAsia"/>
          <w:bCs/>
          <w:kern w:val="0"/>
          <w:sz w:val="32"/>
          <w:szCs w:val="32"/>
        </w:rPr>
        <w:t>部门</w:t>
      </w:r>
      <w:r>
        <w:rPr>
          <w:rFonts w:hint="eastAsia" w:asciiTheme="minorEastAsia" w:hAnsiTheme="minorEastAsia"/>
          <w:bCs/>
          <w:kern w:val="0"/>
          <w:sz w:val="32"/>
          <w:szCs w:val="32"/>
          <w:lang w:eastAsia="zh-CN"/>
        </w:rPr>
        <w:t>决</w:t>
      </w:r>
      <w:r>
        <w:rPr>
          <w:rFonts w:hint="eastAsia" w:asciiTheme="minorEastAsia" w:hAnsiTheme="minorEastAsia"/>
          <w:bCs/>
          <w:kern w:val="0"/>
          <w:sz w:val="32"/>
          <w:szCs w:val="32"/>
        </w:rPr>
        <w:t>算编制范围的只有</w:t>
      </w:r>
      <w:r>
        <w:rPr>
          <w:rFonts w:hint="eastAsia" w:asciiTheme="minorEastAsia" w:hAnsiTheme="minorEastAsia"/>
          <w:bCs/>
          <w:kern w:val="0"/>
          <w:sz w:val="32"/>
          <w:szCs w:val="32"/>
          <w:lang w:eastAsia="zh-CN"/>
        </w:rPr>
        <w:t>道县旅游发展服务中心</w:t>
      </w:r>
      <w:r>
        <w:rPr>
          <w:rFonts w:hint="eastAsia" w:asciiTheme="minorEastAsia" w:hAnsiTheme="minorEastAsia"/>
          <w:bCs/>
          <w:kern w:val="0"/>
          <w:sz w:val="32"/>
          <w:szCs w:val="32"/>
        </w:rPr>
        <w:t>本级。</w:t>
      </w: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4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845"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tabs>
                <w:tab w:val="left" w:pos="347"/>
              </w:tabs>
              <w:jc w:val="lef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eastAsia="zh-CN"/>
              </w:rPr>
              <w:tab/>
            </w:r>
            <w:r>
              <w:rPr>
                <w:rFonts w:hint="eastAsia" w:ascii="宋体" w:hAnsi="宋体" w:eastAsia="宋体" w:cs="宋体"/>
                <w:kern w:val="0"/>
                <w:sz w:val="22"/>
                <w:lang w:val="en-US" w:eastAsia="zh-CN"/>
              </w:rPr>
              <w:t>181.75</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149.31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16.93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8.13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7.38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181.75</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181.75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181.75</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181.75</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15386" w:type="dxa"/>
        <w:tblInd w:w="0" w:type="dxa"/>
        <w:tblLayout w:type="fixed"/>
        <w:tblCellMar>
          <w:top w:w="0" w:type="dxa"/>
          <w:left w:w="0" w:type="dxa"/>
          <w:bottom w:w="0" w:type="dxa"/>
          <w:right w:w="0" w:type="dxa"/>
        </w:tblCellMar>
      </w:tblPr>
      <w:tblGrid>
        <w:gridCol w:w="986"/>
        <w:gridCol w:w="44"/>
        <w:gridCol w:w="74"/>
        <w:gridCol w:w="704"/>
        <w:gridCol w:w="222"/>
        <w:gridCol w:w="953"/>
        <w:gridCol w:w="458"/>
        <w:gridCol w:w="891"/>
        <w:gridCol w:w="322"/>
        <w:gridCol w:w="433"/>
        <w:gridCol w:w="377"/>
        <w:gridCol w:w="861"/>
        <w:gridCol w:w="441"/>
        <w:gridCol w:w="1230"/>
        <w:gridCol w:w="449"/>
        <w:gridCol w:w="1222"/>
        <w:gridCol w:w="457"/>
        <w:gridCol w:w="1214"/>
        <w:gridCol w:w="465"/>
        <w:gridCol w:w="1206"/>
        <w:gridCol w:w="1102"/>
        <w:gridCol w:w="1275"/>
      </w:tblGrid>
      <w:tr>
        <w:tblPrEx>
          <w:tblCellMar>
            <w:top w:w="0" w:type="dxa"/>
            <w:left w:w="0" w:type="dxa"/>
            <w:bottom w:w="0" w:type="dxa"/>
            <w:right w:w="0" w:type="dxa"/>
          </w:tblCellMar>
        </w:tblPrEx>
        <w:trPr>
          <w:trHeight w:val="435" w:hRule="atLeast"/>
        </w:trPr>
        <w:tc>
          <w:tcPr>
            <w:tcW w:w="15386" w:type="dxa"/>
            <w:gridSpan w:val="22"/>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10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9"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10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879"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983"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71"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04"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879"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10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79" w:type="dxa"/>
            <w:gridSpan w:val="3"/>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983"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67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67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23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0" w:type="dxa"/>
            <w:bottom w:w="0" w:type="dxa"/>
            <w:right w:w="0" w:type="dxa"/>
          </w:tblCellMar>
        </w:tblPrEx>
        <w:trPr>
          <w:trHeight w:val="450" w:hRule="atLeast"/>
        </w:trPr>
        <w:tc>
          <w:tcPr>
            <w:tcW w:w="4332" w:type="dxa"/>
            <w:gridSpan w:val="8"/>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181.75</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181.75</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149.31</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149.31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149.31</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149.31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2070113</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旅游宣传</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149.31</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149.31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16.93</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16.93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16.93</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16.93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16.93</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16.93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8.13</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8.13</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事业单位医疗</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8.13</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7.38</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7.38</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7.38</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7.38</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3302"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住房公积金</w:t>
            </w:r>
          </w:p>
        </w:tc>
        <w:tc>
          <w:tcPr>
            <w:tcW w:w="113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7.38</w:t>
            </w:r>
          </w:p>
        </w:tc>
        <w:tc>
          <w:tcPr>
            <w:tcW w:w="8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7.38</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386" w:type="dxa"/>
            <w:gridSpan w:val="22"/>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gridAfter w:val="1"/>
          <w:wAfter w:w="1275" w:type="dxa"/>
          <w:trHeight w:val="611" w:hRule="atLeast"/>
        </w:trPr>
        <w:tc>
          <w:tcPr>
            <w:tcW w:w="14111" w:type="dxa"/>
            <w:gridSpan w:val="2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1275" w:type="dxa"/>
          <w:trHeight w:val="285" w:hRule="atLeast"/>
        </w:trPr>
        <w:tc>
          <w:tcPr>
            <w:tcW w:w="1808"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1275" w:type="dxa"/>
          <w:trHeight w:val="285" w:hRule="atLeast"/>
        </w:trPr>
        <w:tc>
          <w:tcPr>
            <w:tcW w:w="1808"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1275" w:type="dxa"/>
          <w:trHeight w:val="450" w:hRule="atLeast"/>
        </w:trPr>
        <w:tc>
          <w:tcPr>
            <w:tcW w:w="3441"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1275" w:type="dxa"/>
          <w:trHeight w:val="450" w:hRule="atLeast"/>
        </w:trPr>
        <w:tc>
          <w:tcPr>
            <w:tcW w:w="2030"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11"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203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3441"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646"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9"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9"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9"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9"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30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gridAfter w:val="1"/>
          <w:wAfter w:w="1275" w:type="dxa"/>
          <w:trHeight w:val="450" w:hRule="atLeast"/>
        </w:trPr>
        <w:tc>
          <w:tcPr>
            <w:tcW w:w="3441"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181.75</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141.75</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40.00</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149.31</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109.31</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149.31</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109.31</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2070113</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旅游宣传</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149.31</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109.31</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16.93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16.93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16.93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16.93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16.93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16.93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455"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64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630" w:hRule="atLeast"/>
        </w:trPr>
        <w:tc>
          <w:tcPr>
            <w:tcW w:w="14111" w:type="dxa"/>
            <w:gridSpan w:val="2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3" w:name="RANGE!A1:I22"/>
            <w:bookmarkEnd w:id="3"/>
            <w:bookmarkStart w:id="4"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3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181.75</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149.31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149.31</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16.93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16.93</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8.13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8.13</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7.38</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7.38</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181.75</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181.75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181.75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181.75</w:t>
            </w:r>
          </w:p>
        </w:tc>
        <w:tc>
          <w:tcPr>
            <w:tcW w:w="341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181.75</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181.75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4"/>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986"/>
        <w:gridCol w:w="1004"/>
        <w:gridCol w:w="3284"/>
        <w:gridCol w:w="2833"/>
        <w:gridCol w:w="3287"/>
        <w:gridCol w:w="2825"/>
      </w:tblGrid>
      <w:tr>
        <w:tblPrEx>
          <w:tblCellMar>
            <w:top w:w="0" w:type="dxa"/>
            <w:left w:w="108" w:type="dxa"/>
            <w:bottom w:w="0" w:type="dxa"/>
            <w:right w:w="108" w:type="dxa"/>
          </w:tblCellMar>
        </w:tblPrEx>
        <w:trPr>
          <w:trHeight w:val="405" w:hRule="atLeast"/>
          <w:jc w:val="center"/>
        </w:trPr>
        <w:tc>
          <w:tcPr>
            <w:tcW w:w="5274"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45"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99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25"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99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99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74"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450" w:hRule="atLeast"/>
          <w:jc w:val="center"/>
        </w:trPr>
        <w:tc>
          <w:tcPr>
            <w:tcW w:w="5274"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181.75</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141.75</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149.31</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109.31</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149.31</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109.31</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2070113</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旅游宣传</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149.31</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109.31</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16.93</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16.93</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16.93</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8.13</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8.13</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8.13</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7.38</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7.38</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7.38</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7.38</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7.38</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7.38</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tbl>
      <w:tblPr>
        <w:tblStyle w:val="8"/>
        <w:tblW w:w="0" w:type="auto"/>
        <w:tblInd w:w="0" w:type="dxa"/>
        <w:tblLayout w:type="fixed"/>
        <w:tblCellMar>
          <w:top w:w="0" w:type="dxa"/>
          <w:left w:w="108" w:type="dxa"/>
          <w:bottom w:w="0" w:type="dxa"/>
          <w:right w:w="108" w:type="dxa"/>
        </w:tblCellMar>
      </w:tblPr>
      <w:tblGrid>
        <w:gridCol w:w="1297"/>
        <w:gridCol w:w="3073"/>
        <w:gridCol w:w="1048"/>
        <w:gridCol w:w="1186"/>
        <w:gridCol w:w="2240"/>
        <w:gridCol w:w="766"/>
        <w:gridCol w:w="1187"/>
        <w:gridCol w:w="4062"/>
        <w:gridCol w:w="766"/>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5" w:name="RANGE!A1:I34"/>
            <w:r>
              <w:rPr>
                <w:rFonts w:hint="eastAsia" w:ascii="华文中宋" w:hAnsi="华文中宋" w:eastAsia="华文中宋" w:cs="宋体"/>
                <w:color w:val="000000"/>
                <w:kern w:val="0"/>
                <w:szCs w:val="32"/>
              </w:rPr>
              <w:t>一般公共预算财政拨款基本支出决算明细表</w:t>
            </w:r>
            <w:bookmarkEnd w:id="5"/>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1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125.25</w:t>
            </w: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7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16.50</w:t>
            </w: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43.54</w:t>
            </w: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1.61</w:t>
            </w: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1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14.63</w:t>
            </w: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1"/>
                <w:szCs w:val="20"/>
                <w:lang w:val="en-US" w:eastAsia="zh-CN" w:bidi="ar-SA"/>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34.64</w:t>
            </w: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16.93</w:t>
            </w: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0.20</w:t>
            </w: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8.13</w:t>
            </w: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0.12</w:t>
            </w: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7.38</w:t>
            </w: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0.09</w:t>
            </w: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2.84</w:t>
            </w: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4.93</w:t>
            </w: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4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62"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0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6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7"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62"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7"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07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10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2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4.72</w:t>
            </w:r>
          </w:p>
        </w:tc>
        <w:tc>
          <w:tcPr>
            <w:tcW w:w="1187"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62"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76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3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1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125.25</w:t>
            </w:r>
          </w:p>
        </w:tc>
        <w:tc>
          <w:tcPr>
            <w:tcW w:w="9435"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7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18"/>
                <w:lang w:val="en-US"/>
              </w:rPr>
            </w:pPr>
            <w:r>
              <w:rPr>
                <w:rFonts w:hint="eastAsia" w:ascii="宋体" w:hAnsi="宋体" w:eastAsia="宋体" w:cs="宋体"/>
                <w:i w:val="0"/>
                <w:iCs w:val="0"/>
                <w:color w:val="000000"/>
                <w:kern w:val="0"/>
                <w:sz w:val="22"/>
                <w:szCs w:val="22"/>
                <w:u w:val="none"/>
                <w:lang w:val="en-US" w:eastAsia="zh-CN" w:bidi="ar"/>
              </w:rPr>
              <w:t>16.50</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3.00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3.00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0.09</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0.09</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3"/>
        <w:rPr>
          <w:sz w:val="72"/>
          <w:szCs w:val="72"/>
        </w:rPr>
        <w:sectPr>
          <w:pgSz w:w="16838" w:h="11906" w:orient="landscape"/>
          <w:pgMar w:top="720" w:right="720" w:bottom="720" w:left="720" w:header="851" w:footer="992" w:gutter="0"/>
          <w:cols w:space="425" w:num="1"/>
          <w:docGrid w:type="lines" w:linePitch="312" w:charSpace="0"/>
        </w:sectPr>
      </w:pP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r>
        <w:rPr>
          <w:rFonts w:hint="eastAsia"/>
          <w:sz w:val="72"/>
          <w:szCs w:val="72"/>
        </w:rPr>
        <w:t>第三部分</w:t>
      </w:r>
    </w:p>
    <w:p>
      <w:pPr>
        <w:pStyle w:val="13"/>
        <w:jc w:val="center"/>
        <w:rPr>
          <w:sz w:val="70"/>
          <w:szCs w:val="70"/>
        </w:rPr>
      </w:pPr>
    </w:p>
    <w:p>
      <w:pPr>
        <w:pStyle w:val="13"/>
        <w:jc w:val="center"/>
        <w:rPr>
          <w:sz w:val="70"/>
          <w:szCs w:val="70"/>
        </w:rPr>
      </w:pPr>
      <w:r>
        <w:rPr>
          <w:rFonts w:hint="eastAsia"/>
          <w:sz w:val="70"/>
          <w:szCs w:val="70"/>
          <w:lang w:eastAsia="zh-CN"/>
        </w:rPr>
        <w:t>2024年</w:t>
      </w:r>
      <w:r>
        <w:rPr>
          <w:rFonts w:hint="eastAsia"/>
          <w:sz w:val="70"/>
          <w:szCs w:val="70"/>
        </w:rPr>
        <w:t>度部门决算情况说明</w:t>
      </w:r>
    </w:p>
    <w:p>
      <w:pPr>
        <w:widowControl/>
        <w:jc w:val="left"/>
        <w:rPr>
          <w:rFonts w:ascii="黑体" w:eastAsia="黑体" w:cs="黑体"/>
          <w:color w:val="000000"/>
          <w:kern w:val="0"/>
          <w:sz w:val="70"/>
          <w:szCs w:val="70"/>
        </w:rPr>
      </w:pPr>
      <w:r>
        <w:rPr>
          <w:sz w:val="70"/>
          <w:szCs w:val="70"/>
        </w:rPr>
        <w:br w:type="page"/>
      </w:r>
    </w:p>
    <w:p>
      <w:pPr>
        <w:pStyle w:val="13"/>
        <w:rPr>
          <w:rFonts w:asciiTheme="minorEastAsia" w:hAnsiTheme="minorEastAsia" w:eastAsiaTheme="minorEastAsia"/>
          <w:sz w:val="32"/>
          <w:szCs w:val="32"/>
        </w:rPr>
      </w:pPr>
    </w:p>
    <w:p>
      <w:pPr>
        <w:pStyle w:val="13"/>
        <w:ind w:firstLine="640" w:firstLineChars="200"/>
        <w:rPr>
          <w:rFonts w:hAnsi="黑体"/>
          <w:b/>
          <w:sz w:val="32"/>
          <w:szCs w:val="32"/>
        </w:rPr>
      </w:pPr>
      <w:r>
        <w:rPr>
          <w:rFonts w:hint="eastAsia" w:hAnsi="黑体"/>
          <w:b/>
          <w:sz w:val="32"/>
          <w:szCs w:val="32"/>
        </w:rPr>
        <w:t>一、收入支出决算总体情况说明</w:t>
      </w:r>
    </w:p>
    <w:p>
      <w:pPr>
        <w:pStyle w:val="13"/>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度收、支总计</w:t>
      </w:r>
      <w:r>
        <w:rPr>
          <w:rFonts w:hint="eastAsia" w:asciiTheme="minorEastAsia" w:hAnsiTheme="minorEastAsia" w:eastAsiaTheme="minorEastAsia"/>
          <w:sz w:val="32"/>
          <w:szCs w:val="32"/>
          <w:lang w:val="en-US" w:eastAsia="zh-CN"/>
        </w:rPr>
        <w:t>181.75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比</w:t>
      </w:r>
      <w:r>
        <w:rPr>
          <w:rFonts w:hint="eastAsia" w:asciiTheme="minorEastAsia" w:hAnsiTheme="minorEastAsia" w:eastAsiaTheme="minorEastAsia"/>
          <w:sz w:val="32"/>
          <w:szCs w:val="32"/>
        </w:rPr>
        <w:t>上年</w:t>
      </w:r>
      <w:r>
        <w:rPr>
          <w:rFonts w:hint="eastAsia" w:asciiTheme="minorEastAsia" w:hAnsiTheme="minorEastAsia" w:eastAsiaTheme="minorEastAsia"/>
          <w:sz w:val="32"/>
          <w:szCs w:val="32"/>
          <w:lang w:val="en-US" w:eastAsia="zh-CN"/>
        </w:rPr>
        <w:t>相比，增加130.08万元，增长39.72%，主要是工资福利收支增加</w:t>
      </w:r>
      <w:r>
        <w:rPr>
          <w:rFonts w:hint="eastAsia" w:asciiTheme="minorEastAsia" w:hAnsiTheme="minorEastAsia" w:eastAsiaTheme="minorEastAsia"/>
          <w:sz w:val="32"/>
          <w:szCs w:val="32"/>
          <w:lang w:eastAsia="zh-CN"/>
        </w:rPr>
        <w:t>。</w:t>
      </w:r>
    </w:p>
    <w:p>
      <w:pPr>
        <w:pStyle w:val="13"/>
        <w:ind w:firstLine="640" w:firstLineChars="200"/>
        <w:rPr>
          <w:rFonts w:hAnsi="黑体"/>
          <w:b/>
          <w:sz w:val="32"/>
          <w:szCs w:val="32"/>
        </w:rPr>
      </w:pPr>
      <w:r>
        <w:rPr>
          <w:rFonts w:hint="eastAsia" w:hAnsi="黑体"/>
          <w:b/>
          <w:sz w:val="32"/>
          <w:szCs w:val="32"/>
        </w:rPr>
        <w:t>二、收入决算情况说明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度收入合计</w:t>
      </w:r>
      <w:r>
        <w:rPr>
          <w:rFonts w:hint="eastAsia" w:asciiTheme="minorEastAsia" w:hAnsiTheme="minorEastAsia" w:eastAsiaTheme="minorEastAsia"/>
          <w:sz w:val="32"/>
          <w:szCs w:val="32"/>
          <w:lang w:val="en-US" w:eastAsia="zh-CN"/>
        </w:rPr>
        <w:t>181.75</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181.75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3"/>
        <w:ind w:firstLine="640" w:firstLineChars="200"/>
        <w:rPr>
          <w:rFonts w:hAnsi="黑体"/>
          <w:b/>
          <w:sz w:val="32"/>
          <w:szCs w:val="32"/>
        </w:rPr>
      </w:pPr>
      <w:r>
        <w:rPr>
          <w:rFonts w:hint="eastAsia" w:hAnsi="黑体"/>
          <w:b/>
          <w:sz w:val="32"/>
          <w:szCs w:val="32"/>
        </w:rPr>
        <w:t>三、支出决算情况说明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度支出合计</w:t>
      </w:r>
      <w:r>
        <w:rPr>
          <w:rFonts w:hint="eastAsia" w:asciiTheme="minorEastAsia" w:hAnsiTheme="minorEastAsia" w:eastAsiaTheme="minorEastAsia"/>
          <w:sz w:val="32"/>
          <w:szCs w:val="32"/>
          <w:lang w:val="en-US" w:eastAsia="zh-CN"/>
        </w:rPr>
        <w:t>181.75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141.75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77.99</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22.01</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3"/>
        <w:ind w:firstLine="640" w:firstLineChars="200"/>
        <w:rPr>
          <w:rFonts w:hAnsi="黑体"/>
          <w:b/>
          <w:sz w:val="32"/>
          <w:szCs w:val="32"/>
        </w:rPr>
      </w:pPr>
      <w:r>
        <w:rPr>
          <w:rFonts w:hint="eastAsia" w:hAnsi="黑体"/>
          <w:b/>
          <w:sz w:val="32"/>
          <w:szCs w:val="32"/>
        </w:rPr>
        <w:t>四、财政拨款收入支出决算总体情况说明</w:t>
      </w:r>
    </w:p>
    <w:p>
      <w:pPr>
        <w:pStyle w:val="13"/>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度财政拨款收、支总计</w:t>
      </w:r>
      <w:r>
        <w:rPr>
          <w:rFonts w:hint="eastAsia" w:asciiTheme="minorEastAsia" w:hAnsiTheme="minorEastAsia" w:eastAsiaTheme="minorEastAsia"/>
          <w:sz w:val="32"/>
          <w:szCs w:val="32"/>
          <w:lang w:val="en-US" w:eastAsia="zh-CN"/>
        </w:rPr>
        <w:t>181.75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比</w:t>
      </w:r>
      <w:r>
        <w:rPr>
          <w:rFonts w:hint="eastAsia" w:asciiTheme="minorEastAsia" w:hAnsiTheme="minorEastAsia" w:eastAsiaTheme="minorEastAsia"/>
          <w:sz w:val="32"/>
          <w:szCs w:val="32"/>
        </w:rPr>
        <w:t>上年</w:t>
      </w:r>
      <w:r>
        <w:rPr>
          <w:rFonts w:hint="eastAsia" w:asciiTheme="minorEastAsia" w:hAnsiTheme="minorEastAsia" w:eastAsiaTheme="minorEastAsia"/>
          <w:sz w:val="32"/>
          <w:szCs w:val="32"/>
          <w:lang w:val="en-US" w:eastAsia="zh-CN"/>
        </w:rPr>
        <w:t>相比，增加130.08万元，增长39.72%，主要是工资福利收支增加</w:t>
      </w:r>
      <w:r>
        <w:rPr>
          <w:rFonts w:hint="eastAsia" w:asciiTheme="minorEastAsia" w:hAnsiTheme="minorEastAsia" w:eastAsiaTheme="minorEastAsia"/>
          <w:sz w:val="32"/>
          <w:szCs w:val="32"/>
          <w:lang w:eastAsia="zh-CN"/>
        </w:rPr>
        <w:t>。</w:t>
      </w:r>
    </w:p>
    <w:p>
      <w:pPr>
        <w:pStyle w:val="13"/>
        <w:ind w:firstLine="640" w:firstLineChars="200"/>
        <w:rPr>
          <w:rFonts w:hAnsi="黑体"/>
          <w:b/>
          <w:sz w:val="32"/>
          <w:szCs w:val="32"/>
        </w:rPr>
      </w:pPr>
      <w:r>
        <w:rPr>
          <w:rFonts w:hint="eastAsia" w:hAnsi="黑体"/>
          <w:b/>
          <w:sz w:val="32"/>
          <w:szCs w:val="32"/>
        </w:rPr>
        <w:t>五、一般公共预算财政拨款支出决算情况说明</w:t>
      </w:r>
    </w:p>
    <w:p>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3"/>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181.75</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持平。</w:t>
      </w:r>
    </w:p>
    <w:p>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3"/>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181.75</w:t>
      </w:r>
      <w:r>
        <w:rPr>
          <w:rFonts w:hint="eastAsia" w:asciiTheme="minorEastAsia" w:hAnsiTheme="minorEastAsia" w:eastAsiaTheme="minorEastAsia"/>
          <w:sz w:val="32"/>
          <w:szCs w:val="32"/>
        </w:rPr>
        <w:t>万元，主要用于以下方面：文化旅游体育与传媒支出文化旅游体育与传媒支出支出</w:t>
      </w:r>
      <w:r>
        <w:rPr>
          <w:rFonts w:hint="eastAsia" w:asciiTheme="minorEastAsia" w:hAnsiTheme="minorEastAsia" w:eastAsiaTheme="minorEastAsia"/>
          <w:sz w:val="32"/>
          <w:szCs w:val="32"/>
          <w:lang w:val="en-US" w:eastAsia="zh-CN"/>
        </w:rPr>
        <w:t>153.31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82.54</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16.93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9.11</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8.13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4.38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住房保障支出7.38万元，占比3.97%</w:t>
      </w:r>
      <w:r>
        <w:rPr>
          <w:rFonts w:hint="eastAsia" w:asciiTheme="minorEastAsia" w:hAnsiTheme="minorEastAsia" w:eastAsiaTheme="minorEastAsia"/>
          <w:sz w:val="32"/>
          <w:szCs w:val="32"/>
          <w:lang w:eastAsia="zh-CN"/>
        </w:rPr>
        <w:t>。</w:t>
      </w:r>
    </w:p>
    <w:p>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度财政拨款支出年初预算数为</w:t>
      </w:r>
      <w:r>
        <w:rPr>
          <w:rFonts w:hint="eastAsia" w:asciiTheme="minorEastAsia" w:hAnsiTheme="minorEastAsia" w:eastAsiaTheme="minorEastAsia"/>
          <w:sz w:val="32"/>
          <w:szCs w:val="32"/>
          <w:lang w:val="en-US" w:eastAsia="zh-CN"/>
        </w:rPr>
        <w:t>179.65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181.75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103.40</w:t>
      </w:r>
      <w:r>
        <w:rPr>
          <w:rFonts w:hint="eastAsia" w:asciiTheme="minorEastAsia" w:hAnsiTheme="minorEastAsia" w:eastAsiaTheme="minorEastAsia"/>
          <w:sz w:val="32"/>
          <w:szCs w:val="32"/>
        </w:rPr>
        <w:t>%，其中：</w:t>
      </w:r>
    </w:p>
    <w:p>
      <w:pPr>
        <w:pStyle w:val="13"/>
        <w:numPr>
          <w:ilvl w:val="0"/>
          <w:numId w:val="2"/>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文化旅游体育与传媒支出</w:t>
      </w:r>
      <w:r>
        <w:rPr>
          <w:rFonts w:hint="eastAsia" w:asciiTheme="minorEastAsia" w:hAnsiTheme="minorEastAsia" w:eastAsiaTheme="minorEastAsia"/>
          <w:sz w:val="32"/>
          <w:szCs w:val="32"/>
          <w:lang w:eastAsia="zh-CN"/>
        </w:rPr>
        <w:t>（类）</w:t>
      </w:r>
      <w:r>
        <w:rPr>
          <w:rFonts w:hint="eastAsia" w:asciiTheme="minorEastAsia" w:hAnsiTheme="minorEastAsia" w:eastAsiaTheme="minorEastAsia"/>
          <w:sz w:val="32"/>
          <w:szCs w:val="32"/>
        </w:rPr>
        <w:t>文化</w:t>
      </w:r>
      <w:r>
        <w:rPr>
          <w:rFonts w:hint="eastAsia" w:asciiTheme="minorEastAsia" w:hAnsiTheme="minorEastAsia" w:eastAsiaTheme="minorEastAsia"/>
          <w:sz w:val="32"/>
          <w:szCs w:val="32"/>
          <w:lang w:eastAsia="zh-CN"/>
        </w:rPr>
        <w:t>和</w:t>
      </w:r>
      <w:r>
        <w:rPr>
          <w:rFonts w:hint="eastAsia" w:asciiTheme="minorEastAsia" w:hAnsiTheme="minorEastAsia" w:eastAsiaTheme="minorEastAsia"/>
          <w:sz w:val="32"/>
          <w:szCs w:val="32"/>
        </w:rPr>
        <w:t>旅游</w:t>
      </w:r>
      <w:r>
        <w:rPr>
          <w:rFonts w:hint="eastAsia" w:asciiTheme="minorEastAsia" w:hAnsiTheme="minorEastAsia" w:eastAsiaTheme="minorEastAsia"/>
          <w:sz w:val="32"/>
          <w:szCs w:val="32"/>
          <w:lang w:eastAsia="zh-CN"/>
        </w:rPr>
        <w:t>（款）其他文化和旅游支出（项）</w:t>
      </w:r>
    </w:p>
    <w:p>
      <w:pPr>
        <w:pStyle w:val="13"/>
        <w:numPr>
          <w:ilvl w:val="0"/>
          <w:numId w:val="0"/>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153.49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153.31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99.88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，支出决算小于支出预算是由于项目支出减少。</w:t>
      </w:r>
    </w:p>
    <w:p>
      <w:pPr>
        <w:pStyle w:val="13"/>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2、社会保障和就业支出</w:t>
      </w:r>
      <w:r>
        <w:rPr>
          <w:rFonts w:hint="eastAsia" w:asciiTheme="minorEastAsia" w:hAnsiTheme="minorEastAsia" w:eastAsiaTheme="minorEastAsia"/>
          <w:sz w:val="32"/>
          <w:szCs w:val="32"/>
          <w:lang w:eastAsia="zh-CN"/>
        </w:rPr>
        <w:t>（类）行政事业单位养老支出（款）机关事业单位基本养老保险缴费支出（项）</w:t>
      </w:r>
    </w:p>
    <w:p>
      <w:pPr>
        <w:pStyle w:val="13"/>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11.41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16.93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148.38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，决算大于预算是由于基数调整所致。</w:t>
      </w:r>
    </w:p>
    <w:p>
      <w:pPr>
        <w:pStyle w:val="13"/>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eastAsia="zh-CN"/>
        </w:rPr>
        <w:t>（类）行政事业单位医疗（款）事业单位医疗（项）</w:t>
      </w:r>
    </w:p>
    <w:p>
      <w:pPr>
        <w:pStyle w:val="13"/>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8.13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131.13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，决算大于预算是由于基数调整所致。</w:t>
      </w:r>
    </w:p>
    <w:p>
      <w:pPr>
        <w:pStyle w:val="13"/>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lang w:eastAsia="zh-CN"/>
        </w:rPr>
        <w:t>住房保障支出</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住房改革支出</w:t>
      </w:r>
      <w:r>
        <w:rPr>
          <w:rFonts w:hint="eastAsia" w:asciiTheme="minorEastAsia" w:hAnsiTheme="minorEastAsia" w:eastAsiaTheme="minorEastAsia"/>
          <w:sz w:val="32"/>
          <w:szCs w:val="32"/>
          <w:lang w:val="en-US" w:eastAsia="zh-CN"/>
        </w:rPr>
        <w:t>（款）住房公积金（项）</w:t>
      </w:r>
    </w:p>
    <w:p>
      <w:pPr>
        <w:pStyle w:val="13"/>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8.55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7.38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w:t>
      </w:r>
      <w:r>
        <w:rPr>
          <w:rFonts w:hint="eastAsia" w:asciiTheme="minorEastAsia" w:hAnsiTheme="minorEastAsia" w:eastAsiaTheme="minorEastAsia"/>
          <w:sz w:val="32"/>
          <w:szCs w:val="32"/>
          <w:lang w:val="en-US" w:eastAsia="zh-CN"/>
        </w:rPr>
        <w:t>86.32%。支出决算小于年初预算是缴费工资基数调整。</w:t>
      </w:r>
    </w:p>
    <w:p>
      <w:pPr>
        <w:pStyle w:val="13"/>
        <w:ind w:firstLine="640" w:firstLineChars="200"/>
        <w:rPr>
          <w:rFonts w:hAnsi="黑体"/>
          <w:b/>
          <w:sz w:val="32"/>
          <w:szCs w:val="32"/>
        </w:rPr>
      </w:pPr>
      <w:r>
        <w:rPr>
          <w:rFonts w:hint="eastAsia" w:hAnsi="黑体"/>
          <w:b/>
          <w:sz w:val="32"/>
          <w:szCs w:val="32"/>
        </w:rPr>
        <w:t>六、一般公共预算财政拨款基本支出决算情况说明</w:t>
      </w:r>
    </w:p>
    <w:p>
      <w:pPr>
        <w:pStyle w:val="13"/>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度财政拨款基本支出</w:t>
      </w:r>
      <w:r>
        <w:rPr>
          <w:rFonts w:hint="eastAsia" w:asciiTheme="minorEastAsia" w:hAnsiTheme="minorEastAsia" w:eastAsiaTheme="minorEastAsia"/>
          <w:sz w:val="32"/>
          <w:szCs w:val="32"/>
          <w:lang w:val="en-US" w:eastAsia="zh-CN"/>
        </w:rPr>
        <w:t>141.75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125.25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88.36</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16.5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11.64</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w:t>
      </w:r>
    </w:p>
    <w:p>
      <w:pPr>
        <w:pStyle w:val="13"/>
        <w:ind w:firstLine="640" w:firstLineChars="200"/>
        <w:rPr>
          <w:rFonts w:hAnsi="黑体"/>
          <w:b/>
          <w:sz w:val="32"/>
          <w:szCs w:val="32"/>
        </w:rPr>
      </w:pPr>
      <w:r>
        <w:rPr>
          <w:rFonts w:hint="eastAsia" w:hAnsi="黑体"/>
          <w:b/>
          <w:sz w:val="32"/>
          <w:szCs w:val="32"/>
        </w:rPr>
        <w:t>七、一般公共预算财政拨款“三公”经费支出决算情况说明</w:t>
      </w:r>
    </w:p>
    <w:p>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highlight w:val="none"/>
          <w:lang w:val="en-US" w:eastAsia="zh-CN"/>
        </w:rPr>
        <w:t>0.09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highlight w:val="none"/>
          <w:lang w:val="en-US" w:eastAsia="zh-CN"/>
        </w:rPr>
        <w:t>0.03</w:t>
      </w:r>
      <w:r>
        <w:rPr>
          <w:rFonts w:hint="eastAsia" w:asciiTheme="minorEastAsia" w:hAnsiTheme="minorEastAsia" w:eastAsiaTheme="minorEastAsia"/>
          <w:sz w:val="32"/>
          <w:szCs w:val="32"/>
        </w:rPr>
        <w:t>%，其中：</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highlight w:val="none"/>
          <w:lang w:val="en-US" w:eastAsia="zh-CN"/>
        </w:rPr>
        <w:t>0.09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0.03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节约开支</w:t>
      </w:r>
      <w:r>
        <w:rPr>
          <w:rFonts w:hint="eastAsia" w:asciiTheme="minorEastAsia" w:hAnsiTheme="minorEastAsia" w:eastAsiaTheme="minorEastAsia"/>
          <w:sz w:val="32"/>
          <w:szCs w:val="32"/>
        </w:rPr>
        <w:t>。。</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节约开支</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度“三公”经费财政拨款支出决算中，公务接待费支出决算</w:t>
      </w:r>
      <w:r>
        <w:rPr>
          <w:rFonts w:hint="eastAsia" w:asciiTheme="minorEastAsia" w:hAnsiTheme="minorEastAsia" w:eastAsiaTheme="minorEastAsia"/>
          <w:sz w:val="32"/>
          <w:szCs w:val="32"/>
          <w:highlight w:val="none"/>
          <w:lang w:val="en-US" w:eastAsia="zh-CN"/>
        </w:rPr>
        <w:t>0.09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3"/>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highlight w:val="none"/>
          <w:lang w:val="en-US" w:eastAsia="zh-CN"/>
        </w:rPr>
        <w:t>0.09</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群众文化活动交流等</w:t>
      </w:r>
      <w:r>
        <w:rPr>
          <w:rFonts w:hint="eastAsia" w:asciiTheme="minorEastAsia" w:hAnsiTheme="minorEastAsia" w:eastAsiaTheme="minorEastAsia"/>
          <w:sz w:val="32"/>
          <w:szCs w:val="32"/>
        </w:rPr>
        <w:t>发生的接待支出。</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eastAsia="zh-CN"/>
        </w:rPr>
        <w:t>流动服务车司机工资及车辆燃油维修费</w:t>
      </w:r>
      <w:r>
        <w:rPr>
          <w:rFonts w:hint="eastAsia" w:asciiTheme="minorEastAsia" w:hAnsiTheme="minorEastAsia"/>
          <w:sz w:val="32"/>
          <w:szCs w:val="32"/>
        </w:rPr>
        <w:t>支出，截止</w:t>
      </w:r>
      <w:r>
        <w:rPr>
          <w:rFonts w:hint="eastAsia" w:asciiTheme="minorEastAsia" w:hAnsiTheme="minorEastAsia"/>
          <w:sz w:val="32"/>
          <w:szCs w:val="32"/>
          <w:lang w:eastAsia="zh-CN"/>
        </w:rPr>
        <w:t>2024年</w:t>
      </w:r>
      <w:r>
        <w:rPr>
          <w:rFonts w:hint="eastAsia" w:asciiTheme="minorEastAsia" w:hAnsiTheme="minorEastAsia"/>
          <w:sz w:val="32"/>
          <w:szCs w:val="32"/>
        </w:rPr>
        <w:t>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3"/>
        <w:ind w:firstLine="640" w:firstLineChars="200"/>
        <w:rPr>
          <w:rFonts w:hAnsi="黑体"/>
          <w:b/>
          <w:sz w:val="32"/>
          <w:szCs w:val="32"/>
        </w:rPr>
      </w:pPr>
      <w:r>
        <w:rPr>
          <w:rFonts w:hint="eastAsia" w:hAnsi="黑体"/>
          <w:b/>
          <w:sz w:val="32"/>
          <w:szCs w:val="32"/>
        </w:rPr>
        <w:t>八、政府性基金预算收入支出决算情况</w:t>
      </w:r>
    </w:p>
    <w:p>
      <w:pPr>
        <w:pStyle w:val="13"/>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度政府性基金预算财政拨款收入0万元；年初结转和结余0万元；支出0万元，其中基本支出0万元，项目支出0万元；年末结转和结余0万元。具体情况如下：本单位无政府性基金收支。</w:t>
      </w:r>
    </w:p>
    <w:p>
      <w:pPr>
        <w:pStyle w:val="13"/>
        <w:ind w:firstLine="640" w:firstLineChars="200"/>
        <w:rPr>
          <w:rFonts w:hAnsi="黑体"/>
          <w:b/>
          <w:sz w:val="32"/>
          <w:szCs w:val="32"/>
        </w:rPr>
      </w:pPr>
      <w:r>
        <w:rPr>
          <w:rFonts w:hint="eastAsia" w:hAnsi="黑体"/>
          <w:b/>
          <w:sz w:val="32"/>
          <w:szCs w:val="32"/>
        </w:rPr>
        <w:t>九、机关运行经费支出说明</w:t>
      </w:r>
    </w:p>
    <w:p>
      <w:pPr>
        <w:pStyle w:val="13"/>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度机关运行经费支出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与去年持平。</w:t>
      </w:r>
    </w:p>
    <w:p>
      <w:pPr>
        <w:pStyle w:val="13"/>
        <w:ind w:firstLine="640" w:firstLineChars="200"/>
        <w:rPr>
          <w:rFonts w:hAnsi="黑体"/>
          <w:b/>
          <w:sz w:val="32"/>
          <w:szCs w:val="32"/>
        </w:rPr>
      </w:pPr>
      <w:r>
        <w:rPr>
          <w:rFonts w:hint="eastAsia" w:hAnsi="黑体"/>
          <w:b/>
          <w:sz w:val="32"/>
          <w:szCs w:val="32"/>
        </w:rPr>
        <w:t>十、一般性支出情况说明</w:t>
      </w:r>
    </w:p>
    <w:p>
      <w:pPr>
        <w:pStyle w:val="13"/>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p>
    <w:p>
      <w:pPr>
        <w:pStyle w:val="13"/>
        <w:ind w:firstLine="640" w:firstLineChars="200"/>
        <w:rPr>
          <w:rFonts w:hAnsi="黑体"/>
          <w:b/>
          <w:sz w:val="32"/>
          <w:szCs w:val="32"/>
        </w:rPr>
      </w:pPr>
      <w:r>
        <w:rPr>
          <w:rFonts w:hint="eastAsia" w:hAnsi="黑体"/>
          <w:b/>
          <w:sz w:val="32"/>
          <w:szCs w:val="32"/>
        </w:rPr>
        <w:t>十一、政府采购支出说明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度政府采购支出总额</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3"/>
        <w:ind w:firstLine="640" w:firstLineChars="200"/>
        <w:rPr>
          <w:rFonts w:hAnsi="黑体"/>
          <w:b/>
          <w:sz w:val="32"/>
          <w:szCs w:val="32"/>
        </w:rPr>
      </w:pPr>
      <w:r>
        <w:rPr>
          <w:rFonts w:hint="eastAsia" w:hAnsi="黑体"/>
          <w:b/>
          <w:sz w:val="32"/>
          <w:szCs w:val="32"/>
        </w:rPr>
        <w:t>十二、国有资产占用情况说明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3"/>
        <w:ind w:firstLine="640" w:firstLineChars="200"/>
        <w:rPr>
          <w:rFonts w:hAnsi="黑体"/>
          <w:b/>
          <w:sz w:val="32"/>
          <w:szCs w:val="32"/>
        </w:rPr>
      </w:pPr>
      <w:r>
        <w:rPr>
          <w:rFonts w:hint="eastAsia" w:hAnsi="黑体"/>
          <w:b/>
          <w:sz w:val="32"/>
          <w:szCs w:val="32"/>
        </w:rPr>
        <w:t>十三、</w:t>
      </w:r>
      <w:r>
        <w:rPr>
          <w:rFonts w:hint="eastAsia" w:hAnsi="黑体"/>
          <w:b/>
          <w:sz w:val="32"/>
          <w:szCs w:val="32"/>
          <w:lang w:eastAsia="zh-CN"/>
        </w:rPr>
        <w:t>2024年</w:t>
      </w:r>
      <w:r>
        <w:rPr>
          <w:rFonts w:hint="eastAsia" w:hAnsi="黑体"/>
          <w:b/>
          <w:sz w:val="32"/>
          <w:szCs w:val="32"/>
        </w:rPr>
        <w:t>度预算绩效情况说明</w:t>
      </w: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本部门预算绩效管理开展情况、绩效目标和绩效评价报告等见附件。</w:t>
      </w:r>
    </w:p>
    <w:p>
      <w:pPr>
        <w:pStyle w:val="13"/>
        <w:jc w:val="center"/>
        <w:rPr>
          <w:rFonts w:hint="eastAsia"/>
          <w:sz w:val="72"/>
          <w:szCs w:val="72"/>
        </w:rPr>
      </w:pPr>
    </w:p>
    <w:p>
      <w:pPr>
        <w:pStyle w:val="13"/>
        <w:jc w:val="center"/>
        <w:rPr>
          <w:rFonts w:hint="eastAsia"/>
          <w:sz w:val="72"/>
          <w:szCs w:val="72"/>
        </w:rPr>
      </w:pPr>
    </w:p>
    <w:p>
      <w:pPr>
        <w:pStyle w:val="13"/>
        <w:jc w:val="center"/>
        <w:rPr>
          <w:rFonts w:hint="eastAsia"/>
          <w:sz w:val="72"/>
          <w:szCs w:val="72"/>
        </w:rPr>
      </w:pPr>
    </w:p>
    <w:p>
      <w:pPr>
        <w:pStyle w:val="13"/>
        <w:jc w:val="center"/>
        <w:rPr>
          <w:rFonts w:hint="eastAsia"/>
          <w:sz w:val="72"/>
          <w:szCs w:val="72"/>
        </w:rPr>
      </w:pPr>
    </w:p>
    <w:p>
      <w:pPr>
        <w:pStyle w:val="13"/>
        <w:jc w:val="center"/>
        <w:rPr>
          <w:rFonts w:hint="eastAsia"/>
          <w:sz w:val="72"/>
          <w:szCs w:val="72"/>
        </w:rPr>
      </w:pPr>
    </w:p>
    <w:p>
      <w:pPr>
        <w:pStyle w:val="13"/>
        <w:jc w:val="center"/>
        <w:rPr>
          <w:rFonts w:hint="eastAsia"/>
          <w:sz w:val="72"/>
          <w:szCs w:val="72"/>
        </w:rPr>
      </w:pPr>
    </w:p>
    <w:p>
      <w:pPr>
        <w:pStyle w:val="13"/>
        <w:jc w:val="center"/>
        <w:rPr>
          <w:rFonts w:hint="eastAsia"/>
          <w:sz w:val="72"/>
          <w:szCs w:val="72"/>
        </w:rPr>
      </w:pPr>
    </w:p>
    <w:p>
      <w:pPr>
        <w:pStyle w:val="13"/>
        <w:jc w:val="center"/>
        <w:rPr>
          <w:rFonts w:hint="eastAsia"/>
          <w:sz w:val="72"/>
          <w:szCs w:val="72"/>
        </w:rPr>
      </w:pPr>
    </w:p>
    <w:p>
      <w:pPr>
        <w:pStyle w:val="13"/>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pStyle w:val="13"/>
        <w:jc w:val="center"/>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pStyle w:val="13"/>
        <w:jc w:val="center"/>
        <w:rPr>
          <w:rFonts w:hint="eastAsia" w:ascii="黑体" w:eastAsia="黑体" w:cs="黑体"/>
          <w:color w:val="000000"/>
          <w:kern w:val="0"/>
          <w:sz w:val="70"/>
          <w:szCs w:val="70"/>
        </w:rPr>
      </w:pPr>
    </w:p>
    <w:p>
      <w:pPr>
        <w:pStyle w:val="13"/>
        <w:jc w:val="center"/>
        <w:rPr>
          <w:rFonts w:hint="eastAsia" w:ascii="黑体" w:eastAsia="黑体" w:cs="黑体"/>
          <w:color w:val="000000"/>
          <w:kern w:val="0"/>
          <w:sz w:val="70"/>
          <w:szCs w:val="70"/>
        </w:rPr>
      </w:pPr>
    </w:p>
    <w:p>
      <w:pPr>
        <w:pStyle w:val="13"/>
        <w:jc w:val="center"/>
        <w:rPr>
          <w:rFonts w:hint="eastAsia" w:ascii="黑体" w:eastAsia="黑体" w:cs="黑体"/>
          <w:color w:val="000000"/>
          <w:kern w:val="0"/>
          <w:sz w:val="70"/>
          <w:szCs w:val="70"/>
        </w:rPr>
      </w:pPr>
    </w:p>
    <w:p>
      <w:pPr>
        <w:pStyle w:val="13"/>
        <w:jc w:val="center"/>
        <w:rPr>
          <w:rFonts w:hint="eastAsia" w:ascii="黑体" w:eastAsia="黑体" w:cs="黑体"/>
          <w:color w:val="000000"/>
          <w:kern w:val="0"/>
          <w:sz w:val="70"/>
          <w:szCs w:val="70"/>
        </w:rPr>
      </w:pPr>
    </w:p>
    <w:p>
      <w:pPr>
        <w:pStyle w:val="13"/>
        <w:jc w:val="center"/>
        <w:rPr>
          <w:rFonts w:hint="eastAsia" w:ascii="黑体" w:eastAsia="黑体" w:cs="黑体"/>
          <w:color w:val="000000"/>
          <w:kern w:val="0"/>
          <w:sz w:val="70"/>
          <w:szCs w:val="70"/>
        </w:rPr>
      </w:pPr>
    </w:p>
    <w:p>
      <w:pPr>
        <w:pStyle w:val="13"/>
        <w:jc w:val="center"/>
        <w:rPr>
          <w:rFonts w:hint="eastAsia" w:ascii="黑体" w:eastAsia="黑体" w:cs="黑体"/>
          <w:color w:val="000000"/>
          <w:kern w:val="0"/>
          <w:sz w:val="70"/>
          <w:szCs w:val="70"/>
        </w:rPr>
      </w:pPr>
    </w:p>
    <w:p>
      <w:pPr>
        <w:pStyle w:val="13"/>
        <w:jc w:val="center"/>
        <w:rPr>
          <w:rFonts w:hint="eastAsia" w:ascii="黑体" w:eastAsia="黑体" w:cs="黑体"/>
          <w:color w:val="000000"/>
          <w:kern w:val="0"/>
          <w:sz w:val="70"/>
          <w:szCs w:val="70"/>
        </w:rPr>
      </w:pPr>
    </w:p>
    <w:p>
      <w:pPr>
        <w:pStyle w:val="13"/>
        <w:jc w:val="center"/>
        <w:rPr>
          <w:rFonts w:hint="eastAsia" w:ascii="黑体" w:eastAsia="黑体" w:cs="黑体"/>
          <w:color w:val="000000"/>
          <w:kern w:val="0"/>
          <w:sz w:val="70"/>
          <w:szCs w:val="70"/>
        </w:rPr>
      </w:pPr>
    </w:p>
    <w:p>
      <w:pPr>
        <w:pStyle w:val="13"/>
        <w:jc w:val="both"/>
        <w:rPr>
          <w:rFonts w:hint="eastAsia" w:ascii="黑体" w:eastAsia="黑体" w:cs="黑体"/>
          <w:color w:val="000000"/>
          <w:kern w:val="0"/>
          <w:sz w:val="70"/>
          <w:szCs w:val="70"/>
        </w:rPr>
      </w:pP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1、财政拨款收入：指单位本年度从同级财政部门取得的各类财政</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拨款。</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2．上级补助收入：指事业单位从主管部门和上级单位取得的非财</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政补助收入。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3．机关运行经费：指行政单位（含参照公务员法管理的事业单位）</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使用一般公共预算安排的基本支出中的公用经费支出，包括办公及印刷</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费、邮电费、差旅费、会议费、福利费、日常维修费、专用材料及一般</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设备购置费、办公用房水电费、办公用房取暖费、办公用房物业管理费、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公务用车运行维护费及其他费用。</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4．“三公”经费：指单位用一般公共预算财政拨款安排的因公出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国（境）费、公务用车购置及运行维护费和公务接待费。其中，因公出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国（境）费反映单位公务出国（境）的国际旅费、国外城市间交通费、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住宿费、伙食费、培训费、公杂费等支出；公务用车购置及运行维护费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反映单位公务用车购置支出（含车辆购置税、牌照费）以及按规定保留</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的公务用车燃料费、维修费、过路过桥费、保险费、安全奖励费用等支</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出；公务接待费反映单位按规定开支的各类公务接待（含外宾接待）费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用。</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5．对附属单位补助支出：指事业单位用财政拨款收入之外的收入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对附属单位补助发生的支出。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6．经营支出：指事业单位在专业业务活动及其辅助活动之外开展</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非独立核算经营活动发生的支出。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7.事业收入：指事业单位开展专业业务活动及其辅助活动取得的</w:t>
      </w:r>
    </w:p>
    <w:p>
      <w:pPr>
        <w:keepNext w:val="0"/>
        <w:keepLines w:val="0"/>
        <w:widowControl/>
        <w:suppressLineNumbers w:val="0"/>
        <w:bidi w:val="0"/>
        <w:jc w:val="left"/>
        <w:rPr>
          <w:rFonts w:hint="eastAsia" w:ascii="宋体" w:hAnsi="宋体" w:eastAsia="宋体" w:cs="宋体"/>
          <w:sz w:val="32"/>
          <w:szCs w:val="32"/>
        </w:rPr>
      </w:pPr>
      <w:bookmarkStart w:id="6" w:name="28"/>
      <w:bookmarkEnd w:id="6"/>
      <w:r>
        <w:rPr>
          <w:rFonts w:hint="eastAsia" w:ascii="宋体" w:hAnsi="宋体" w:eastAsia="宋体" w:cs="宋体"/>
          <w:kern w:val="0"/>
          <w:sz w:val="32"/>
          <w:szCs w:val="32"/>
          <w:lang w:val="en-US" w:eastAsia="zh-CN" w:bidi="ar"/>
        </w:rPr>
        <w:t>- 16 -</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收入，事业单位收到的财政专户实际核拨的教育收费等资金在此反映。</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8．经营收入：指事业单位在专业业务活动及其辅助活动之外开展</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非独立核算经营活动取得的收入。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9．附属单位上缴收入：指事业单位附属独立核算单位按照有关规</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定上缴的收入。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10．其他收入：指单位取得的除上述“财政拨款收入”、“事业收</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入”、“经营收入”等以外的各项收入。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11．使用非财政拨款结余：指事业单位使用非财政拨款结余（原事</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业基金）弥补当年收支差额的数额。</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12．年初结转和结余：指单位上年结转本年使用的基本支出结转、</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项目支出结转和结余和经营结余。</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13．结余分配：指事业单位按规定对非财政拨款结余资金提取的专</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用基金、缴纳的所得税和转入非财政拨款结余等。</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14．年末结转和结余资金：指本年度或以前年度预算安排、因客观</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条件发生变化无法按原计划实施，需要延迟到以后年度按有关规定继续</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使用的资金。</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15．基本支出：指为保障机构正常运转、完成日常工作任务而发生</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的支出，包括人员经费和公用经费。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16．项目支出：指在为完成特定的工作任务和事业发展目标所发生</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17．上缴上级支出：指事业单位按照财政部门和主管部门的规定上</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缴上级单位的支出。</w:t>
      </w:r>
    </w:p>
    <w:p>
      <w:pPr>
        <w:widowControl/>
        <w:jc w:val="left"/>
        <w:rPr>
          <w:rFonts w:ascii="黑体" w:eastAsia="黑体" w:cs="黑体"/>
          <w:color w:val="000000"/>
          <w:kern w:val="0"/>
          <w:sz w:val="70"/>
          <w:szCs w:val="70"/>
        </w:rPr>
      </w:pPr>
      <w:bookmarkStart w:id="7" w:name="29"/>
      <w:bookmarkEnd w:id="7"/>
      <w:bookmarkStart w:id="8" w:name="_GoBack"/>
      <w:bookmarkEnd w:id="8"/>
    </w:p>
    <w:p>
      <w:pPr>
        <w:pStyle w:val="13"/>
        <w:jc w:val="both"/>
        <w:rPr>
          <w:sz w:val="72"/>
          <w:szCs w:val="72"/>
        </w:rPr>
      </w:pPr>
    </w:p>
    <w:p>
      <w:pPr>
        <w:ind w:firstLine="640" w:firstLineChars="200"/>
        <w:jc w:val="left"/>
        <w:rPr>
          <w:rFonts w:cs="黑体" w:asciiTheme="minorEastAsia" w:hAnsiTheme="minorEastAsia"/>
          <w:color w:val="000000"/>
          <w:kern w:val="0"/>
          <w:sz w:val="32"/>
          <w:szCs w:val="32"/>
        </w:rPr>
      </w:pPr>
    </w:p>
    <w:p>
      <w:pPr>
        <w:pStyle w:val="3"/>
        <w:rPr>
          <w:rFonts w:cs="黑体" w:asciiTheme="minorEastAsia" w:hAnsiTheme="minorEastAsia"/>
          <w:color w:val="000000"/>
          <w:kern w:val="0"/>
          <w:sz w:val="32"/>
          <w:szCs w:val="32"/>
        </w:rPr>
      </w:pPr>
    </w:p>
    <w:p>
      <w:pPr>
        <w:pStyle w:val="3"/>
        <w:rPr>
          <w:rFonts w:cs="黑体" w:asciiTheme="minorEastAsia" w:hAnsiTheme="minorEastAsia"/>
          <w:color w:val="000000"/>
          <w:kern w:val="0"/>
          <w:sz w:val="32"/>
          <w:szCs w:val="32"/>
        </w:rPr>
      </w:pPr>
    </w:p>
    <w:p>
      <w:pPr>
        <w:pStyle w:val="3"/>
        <w:rPr>
          <w:rFonts w:cs="黑体" w:asciiTheme="minorEastAsia" w:hAnsiTheme="minorEastAsia"/>
          <w:color w:val="000000"/>
          <w:kern w:val="0"/>
          <w:sz w:val="32"/>
          <w:szCs w:val="32"/>
        </w:rPr>
      </w:pPr>
    </w:p>
    <w:p>
      <w:pPr>
        <w:pStyle w:val="3"/>
        <w:rPr>
          <w:rFonts w:cs="黑体" w:asciiTheme="minorEastAsia" w:hAnsiTheme="minorEastAsia"/>
          <w:color w:val="000000"/>
          <w:kern w:val="0"/>
          <w:sz w:val="32"/>
          <w:szCs w:val="32"/>
        </w:rPr>
      </w:pPr>
    </w:p>
    <w:p>
      <w:pPr>
        <w:pStyle w:val="3"/>
        <w:rPr>
          <w:rFonts w:cs="黑体" w:asciiTheme="minorEastAsia" w:hAnsiTheme="minorEastAsia"/>
          <w:color w:val="000000"/>
          <w:kern w:val="0"/>
          <w:sz w:val="32"/>
          <w:szCs w:val="32"/>
        </w:rPr>
      </w:pPr>
    </w:p>
    <w:p>
      <w:pPr>
        <w:pStyle w:val="3"/>
        <w:rPr>
          <w:rFonts w:cs="黑体" w:asciiTheme="minorEastAsia" w:hAnsiTheme="minorEastAsia"/>
          <w:color w:val="000000"/>
          <w:kern w:val="0"/>
          <w:sz w:val="32"/>
          <w:szCs w:val="32"/>
        </w:rPr>
      </w:pPr>
    </w:p>
    <w:p>
      <w:pPr>
        <w:pStyle w:val="3"/>
        <w:rPr>
          <w:rFonts w:cs="黑体" w:asciiTheme="minorEastAsia" w:hAnsiTheme="minorEastAsia"/>
          <w:color w:val="000000"/>
          <w:kern w:val="0"/>
          <w:sz w:val="32"/>
          <w:szCs w:val="32"/>
        </w:rPr>
      </w:pPr>
    </w:p>
    <w:p>
      <w:pPr>
        <w:pStyle w:val="3"/>
        <w:rPr>
          <w:rFonts w:cs="黑体" w:asciiTheme="minorEastAsia" w:hAnsiTheme="minorEastAsia"/>
          <w:color w:val="000000"/>
          <w:kern w:val="0"/>
          <w:sz w:val="32"/>
          <w:szCs w:val="32"/>
        </w:rPr>
      </w:pPr>
    </w:p>
    <w:p>
      <w:pPr>
        <w:pStyle w:val="13"/>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pStyle w:val="3"/>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pStyle w:val="3"/>
        <w:rPr>
          <w:rFonts w:hint="eastAsia" w:ascii="黑体" w:eastAsia="黑体" w:cs="黑体"/>
          <w:color w:val="000000"/>
          <w:kern w:val="0"/>
          <w:sz w:val="70"/>
          <w:szCs w:val="70"/>
        </w:rPr>
      </w:pPr>
    </w:p>
    <w:p>
      <w:pPr>
        <w:pStyle w:val="7"/>
        <w:widowControl/>
        <w:spacing w:before="600" w:after="150" w:line="450" w:lineRule="atLeast"/>
        <w:jc w:val="center"/>
        <w:rPr>
          <w:rFonts w:hint="eastAsia" w:ascii="方正小标宋简体" w:hAnsi="方正小标宋简体" w:eastAsia="方正小标宋简体" w:cs="方正小标宋简体"/>
          <w:bCs/>
          <w:sz w:val="44"/>
          <w:szCs w:val="44"/>
        </w:rPr>
      </w:pPr>
      <w:r>
        <w:rPr>
          <w:rStyle w:val="10"/>
          <w:rFonts w:hint="eastAsia" w:ascii="方正小标宋简体" w:hAnsi="方正小标宋简体" w:eastAsia="方正小标宋简体" w:cs="方正小标宋简体"/>
          <w:b w:val="0"/>
          <w:bCs/>
          <w:sz w:val="44"/>
          <w:szCs w:val="44"/>
          <w:shd w:val="clear" w:color="auto" w:fill="FFFFFF"/>
        </w:rPr>
        <w:t>2024年度</w:t>
      </w:r>
      <w:r>
        <w:rPr>
          <w:rFonts w:hint="eastAsia" w:ascii="方正小标宋简体" w:hAnsi="方正小标宋简体" w:eastAsia="方正小标宋简体" w:cs="方正小标宋简体"/>
          <w:bCs/>
          <w:sz w:val="44"/>
          <w:szCs w:val="44"/>
        </w:rPr>
        <w:t>道县旅游发展服务中心</w:t>
      </w:r>
    </w:p>
    <w:p>
      <w:pPr>
        <w:pStyle w:val="7"/>
        <w:widowControl/>
        <w:spacing w:before="600" w:after="150" w:line="450" w:lineRule="atLeast"/>
        <w:jc w:val="center"/>
        <w:rPr>
          <w:rStyle w:val="10"/>
          <w:rFonts w:hint="eastAsia" w:ascii="方正小标宋简体" w:hAnsi="方正小标宋简体" w:eastAsia="方正小标宋简体" w:cs="方正小标宋简体"/>
          <w:b w:val="0"/>
          <w:bCs/>
          <w:sz w:val="44"/>
          <w:szCs w:val="44"/>
          <w:shd w:val="clear" w:color="auto" w:fill="FFFFFF"/>
        </w:rPr>
      </w:pPr>
      <w:r>
        <w:rPr>
          <w:rStyle w:val="10"/>
          <w:rFonts w:hint="eastAsia" w:ascii="方正小标宋简体" w:hAnsi="方正小标宋简体" w:eastAsia="方正小标宋简体" w:cs="方正小标宋简体"/>
          <w:b w:val="0"/>
          <w:bCs/>
          <w:sz w:val="44"/>
          <w:szCs w:val="44"/>
          <w:shd w:val="clear" w:color="auto" w:fill="FFFFFF"/>
        </w:rPr>
        <w:t>整体支出绩效自评报告</w:t>
      </w:r>
    </w:p>
    <w:p>
      <w:pPr>
        <w:pStyle w:val="14"/>
        <w:numPr>
          <w:ilvl w:val="0"/>
          <w:numId w:val="3"/>
        </w:numPr>
        <w:spacing w:line="360" w:lineRule="auto"/>
        <w:ind w:firstLineChars="0"/>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基本情况</w:t>
      </w:r>
    </w:p>
    <w:p>
      <w:pPr>
        <w:spacing w:line="360" w:lineRule="auto"/>
        <w:rPr>
          <w:rFonts w:asciiTheme="majorEastAsia" w:hAnsiTheme="majorEastAsia" w:eastAsiaTheme="majorEastAsia"/>
          <w:b/>
          <w:bCs/>
          <w:sz w:val="32"/>
          <w:szCs w:val="32"/>
        </w:rPr>
      </w:pPr>
      <w:r>
        <w:rPr>
          <w:rFonts w:hint="eastAsia" w:asciiTheme="majorEastAsia" w:hAnsiTheme="majorEastAsia" w:eastAsiaTheme="majorEastAsia"/>
          <w:b/>
          <w:sz w:val="32"/>
          <w:szCs w:val="32"/>
        </w:rPr>
        <w:t>（一）部门（单位）基本情况</w:t>
      </w:r>
    </w:p>
    <w:p>
      <w:pPr>
        <w:snapToGrid w:val="0"/>
        <w:spacing w:line="520" w:lineRule="exact"/>
        <w:ind w:firstLine="640" w:firstLineChars="200"/>
        <w:rPr>
          <w:rFonts w:ascii="仿宋_GB2312" w:hAnsi="仿宋" w:eastAsia="仿宋_GB2312"/>
          <w:sz w:val="32"/>
          <w:szCs w:val="32"/>
        </w:rPr>
      </w:pPr>
      <w:r>
        <w:rPr>
          <w:rFonts w:hint="eastAsia" w:cs="仿宋" w:asciiTheme="minorEastAsia" w:hAnsiTheme="minorEastAsia" w:eastAsiaTheme="minorEastAsia"/>
          <w:sz w:val="32"/>
          <w:szCs w:val="32"/>
        </w:rPr>
        <w:t>1、机构设置和在职人员情况：我单位为县政府直属正科级事业单位,</w:t>
      </w:r>
      <w:r>
        <w:rPr>
          <w:rFonts w:hint="eastAsia" w:ascii="新宋体" w:hAnsi="新宋体" w:eastAsia="新宋体" w:cs="新宋体"/>
          <w:sz w:val="32"/>
          <w:szCs w:val="32"/>
          <w:shd w:val="clear" w:color="auto" w:fill="FFFFFF"/>
        </w:rPr>
        <w:t>下设综合股、政工财务股、市场营销股和产业发展股</w:t>
      </w:r>
      <w:r>
        <w:rPr>
          <w:rFonts w:hint="eastAsia" w:ascii="仿宋_GB2312" w:hAnsi="仿宋" w:eastAsia="仿宋_GB2312"/>
          <w:sz w:val="32"/>
          <w:szCs w:val="32"/>
        </w:rPr>
        <w:t>。</w:t>
      </w:r>
      <w:r>
        <w:rPr>
          <w:rFonts w:hint="eastAsia" w:ascii="新宋体" w:hAnsi="新宋体" w:eastAsia="新宋体" w:cs="新宋体"/>
          <w:sz w:val="32"/>
          <w:szCs w:val="32"/>
          <w:shd w:val="clear" w:color="auto" w:fill="FFFFFF"/>
        </w:rPr>
        <w:t>2024年</w:t>
      </w:r>
      <w:r>
        <w:rPr>
          <w:rFonts w:hint="eastAsia" w:cs="仿宋" w:asciiTheme="minorEastAsia" w:hAnsiTheme="minorEastAsia" w:eastAsiaTheme="minorEastAsia"/>
          <w:sz w:val="32"/>
          <w:szCs w:val="32"/>
        </w:rPr>
        <w:t>事业编制12人，</w:t>
      </w:r>
      <w:r>
        <w:rPr>
          <w:rFonts w:hint="eastAsia" w:ascii="新宋体" w:hAnsi="新宋体" w:eastAsia="新宋体" w:cs="新宋体"/>
          <w:sz w:val="32"/>
          <w:szCs w:val="32"/>
          <w:shd w:val="clear" w:color="auto" w:fill="FFFFFF"/>
        </w:rPr>
        <w:t>在职人员11人，退休人员2人，合计13人</w:t>
      </w:r>
      <w:r>
        <w:rPr>
          <w:rFonts w:hint="eastAsia" w:ascii="仿宋_GB2312" w:hAnsi="仿宋" w:eastAsia="仿宋_GB2312"/>
          <w:sz w:val="32"/>
          <w:szCs w:val="32"/>
        </w:rPr>
        <w:t>。</w:t>
      </w:r>
    </w:p>
    <w:p>
      <w:pPr>
        <w:ind w:firstLine="640" w:firstLineChars="200"/>
        <w:rPr>
          <w:rFonts w:ascii="仿宋_GB2312" w:hAnsi="宋体"/>
          <w:sz w:val="32"/>
          <w:szCs w:val="32"/>
        </w:rPr>
      </w:pPr>
      <w:r>
        <w:rPr>
          <w:rFonts w:hint="eastAsia" w:cs="仿宋" w:asciiTheme="minorEastAsia" w:hAnsiTheme="minorEastAsia" w:eastAsiaTheme="minorEastAsia"/>
          <w:sz w:val="32"/>
          <w:szCs w:val="32"/>
        </w:rPr>
        <w:t>2、部门主要职能：</w:t>
      </w:r>
      <w:r>
        <w:rPr>
          <w:rFonts w:hint="eastAsia" w:ascii="宋体" w:hAnsi="宋体" w:cs="宋体"/>
          <w:sz w:val="32"/>
          <w:szCs w:val="32"/>
        </w:rPr>
        <w:t>负责全县旅游行业和旅游市场监管，旅游宣传推广，组织实施各类旅游规划，承办县委、县政府交办的其他事项。</w:t>
      </w:r>
    </w:p>
    <w:p>
      <w:pPr>
        <w:spacing w:line="360" w:lineRule="auto"/>
        <w:rPr>
          <w:rFonts w:asciiTheme="majorEastAsia" w:hAnsiTheme="majorEastAsia" w:eastAsiaTheme="majorEastAsia"/>
          <w:b/>
          <w:sz w:val="32"/>
          <w:szCs w:val="32"/>
        </w:rPr>
      </w:pPr>
      <w:r>
        <w:rPr>
          <w:rFonts w:hint="eastAsia" w:asciiTheme="majorEastAsia" w:hAnsiTheme="majorEastAsia" w:eastAsiaTheme="majorEastAsia"/>
          <w:b/>
          <w:sz w:val="32"/>
          <w:szCs w:val="32"/>
        </w:rPr>
        <w:t>（二）部门（单位）年度整体项目支出绩效目标</w:t>
      </w:r>
    </w:p>
    <w:p>
      <w:pPr>
        <w:pStyle w:val="14"/>
        <w:spacing w:line="360" w:lineRule="auto"/>
        <w:ind w:firstLine="640"/>
        <w:rPr>
          <w:rFonts w:asciiTheme="majorEastAsia" w:hAnsiTheme="majorEastAsia" w:eastAsiaTheme="majorEastAsia"/>
          <w:b/>
          <w:bCs/>
          <w:sz w:val="32"/>
          <w:szCs w:val="32"/>
        </w:rPr>
      </w:pPr>
      <w:r>
        <w:rPr>
          <w:rFonts w:hint="eastAsia" w:ascii="宋体" w:hAnsi="宋体" w:cs="宋体"/>
          <w:kern w:val="0"/>
          <w:sz w:val="32"/>
          <w:szCs w:val="32"/>
        </w:rPr>
        <w:t>预期完成2024年整体支出绩效目标181.75万元</w:t>
      </w:r>
    </w:p>
    <w:p>
      <w:pPr>
        <w:pStyle w:val="14"/>
        <w:numPr>
          <w:ilvl w:val="0"/>
          <w:numId w:val="3"/>
        </w:numPr>
        <w:spacing w:line="360" w:lineRule="auto"/>
        <w:ind w:firstLineChars="0"/>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一般公共预算支出情况</w:t>
      </w:r>
    </w:p>
    <w:p>
      <w:pPr>
        <w:numPr>
          <w:ilvl w:val="0"/>
          <w:numId w:val="4"/>
        </w:numPr>
        <w:rPr>
          <w:rFonts w:cs="仿宋" w:asciiTheme="minorEastAsia" w:hAnsiTheme="minorEastAsia" w:eastAsiaTheme="minorEastAsia"/>
          <w:sz w:val="32"/>
          <w:szCs w:val="32"/>
        </w:rPr>
      </w:pPr>
      <w:r>
        <w:rPr>
          <w:rFonts w:hint="eastAsia" w:cs="仿宋" w:asciiTheme="minorEastAsia" w:hAnsiTheme="minorEastAsia" w:eastAsiaTheme="minorEastAsia"/>
          <w:b/>
          <w:bCs/>
          <w:sz w:val="32"/>
          <w:szCs w:val="32"/>
        </w:rPr>
        <w:t>基本支出情况：</w:t>
      </w:r>
      <w:r>
        <w:rPr>
          <w:rFonts w:hint="eastAsia" w:cs="仿宋" w:asciiTheme="minorEastAsia" w:hAnsiTheme="minorEastAsia" w:eastAsiaTheme="minorEastAsia"/>
          <w:sz w:val="32"/>
          <w:szCs w:val="32"/>
        </w:rPr>
        <w:t>2024年基本支出141.75万元，</w:t>
      </w:r>
    </w:p>
    <w:p>
      <w:pPr>
        <w:snapToGrid w:val="0"/>
        <w:spacing w:line="520" w:lineRule="exact"/>
        <w:ind w:firstLine="640" w:firstLineChars="200"/>
        <w:rPr>
          <w:rFonts w:ascii="新宋体" w:hAnsi="新宋体" w:eastAsia="新宋体" w:cs="新宋体"/>
          <w:color w:val="333333"/>
          <w:sz w:val="32"/>
          <w:szCs w:val="32"/>
        </w:rPr>
      </w:pPr>
      <w:r>
        <w:rPr>
          <w:rFonts w:hint="eastAsia" w:cs="仿宋" w:asciiTheme="minorEastAsia" w:hAnsiTheme="minorEastAsia" w:eastAsiaTheme="minorEastAsia"/>
          <w:sz w:val="32"/>
          <w:szCs w:val="32"/>
        </w:rPr>
        <w:t>1、</w:t>
      </w:r>
      <w:r>
        <w:rPr>
          <w:rFonts w:hint="eastAsia" w:cs="仿宋" w:asciiTheme="minorEastAsia" w:hAnsiTheme="minorEastAsia" w:eastAsiaTheme="minorEastAsia"/>
          <w:b/>
          <w:sz w:val="32"/>
          <w:szCs w:val="32"/>
        </w:rPr>
        <w:t>工资福利支出</w:t>
      </w:r>
      <w:r>
        <w:rPr>
          <w:rFonts w:hint="eastAsia" w:cs="仿宋" w:asciiTheme="minorEastAsia" w:hAnsiTheme="minorEastAsia" w:eastAsiaTheme="minorEastAsia"/>
          <w:bCs/>
          <w:sz w:val="32"/>
          <w:szCs w:val="32"/>
        </w:rPr>
        <w:t>125.25万元，</w:t>
      </w:r>
      <w:r>
        <w:rPr>
          <w:rFonts w:hint="eastAsia" w:cs="仿宋" w:asciiTheme="minorEastAsia" w:hAnsiTheme="minorEastAsia" w:eastAsiaTheme="minorEastAsia"/>
          <w:sz w:val="32"/>
          <w:szCs w:val="32"/>
        </w:rPr>
        <w:t>其</w:t>
      </w:r>
      <w:r>
        <w:rPr>
          <w:rFonts w:hint="eastAsia" w:cs="仿宋" w:asciiTheme="minorEastAsia" w:hAnsiTheme="minorEastAsia" w:eastAsiaTheme="minorEastAsia"/>
          <w:sz w:val="28"/>
          <w:szCs w:val="28"/>
        </w:rPr>
        <w:t>中：</w:t>
      </w:r>
      <w:r>
        <w:rPr>
          <w:rFonts w:hint="eastAsia" w:ascii="新宋体" w:hAnsi="新宋体" w:eastAsia="新宋体" w:cs="新宋体"/>
          <w:color w:val="333333"/>
          <w:sz w:val="32"/>
          <w:szCs w:val="32"/>
        </w:rPr>
        <w:t>基本工资43.54万元，奖金14.63万元，绩效工资34.64万元，养老保险缴费16.93万元，医疗保险缴费8.13万元，住房公积金缴费7.38万元。</w:t>
      </w:r>
    </w:p>
    <w:p>
      <w:pPr>
        <w:snapToGrid w:val="0"/>
        <w:spacing w:line="520" w:lineRule="exact"/>
        <w:ind w:firstLine="640" w:firstLineChars="200"/>
        <w:rPr>
          <w:rFonts w:ascii="新宋体" w:hAnsi="新宋体" w:eastAsia="新宋体" w:cs="新宋体"/>
          <w:color w:val="333333"/>
          <w:sz w:val="32"/>
          <w:szCs w:val="32"/>
        </w:rPr>
      </w:pPr>
      <w:r>
        <w:rPr>
          <w:rFonts w:hint="eastAsia" w:ascii="新宋体" w:hAnsi="新宋体" w:eastAsia="新宋体" w:cs="新宋体"/>
          <w:b/>
          <w:bCs/>
          <w:color w:val="333333"/>
          <w:sz w:val="32"/>
          <w:szCs w:val="32"/>
        </w:rPr>
        <w:t>2、商品和服务支出</w:t>
      </w:r>
      <w:r>
        <w:rPr>
          <w:rFonts w:hint="eastAsia" w:ascii="新宋体" w:hAnsi="新宋体" w:eastAsia="新宋体" w:cs="新宋体"/>
          <w:color w:val="333333"/>
          <w:sz w:val="32"/>
          <w:szCs w:val="32"/>
        </w:rPr>
        <w:t>16.50万元，其中：办公费1.61万元，印刷费2.00万元，邮电费0.2万元，差旅费0.12万元，公务接待费0.09万元，劳务费2.84万元，工会经费4.93万元，其他交通费4.72万元。</w:t>
      </w:r>
    </w:p>
    <w:p>
      <w:pPr>
        <w:rPr>
          <w:rFonts w:ascii="宋体" w:hAnsi="宋体" w:cs="宋体"/>
          <w:sz w:val="32"/>
          <w:szCs w:val="32"/>
        </w:rPr>
      </w:pPr>
      <w:r>
        <w:rPr>
          <w:rFonts w:hint="eastAsia" w:ascii="宋体" w:hAnsi="宋体" w:cs="宋体"/>
          <w:b/>
          <w:bCs/>
          <w:sz w:val="32"/>
          <w:szCs w:val="32"/>
        </w:rPr>
        <w:t>（二）项目支出情况：</w:t>
      </w:r>
    </w:p>
    <w:p>
      <w:pPr>
        <w:snapToGrid w:val="0"/>
        <w:spacing w:line="520" w:lineRule="exact"/>
        <w:ind w:firstLine="640" w:firstLineChars="200"/>
        <w:rPr>
          <w:rFonts w:ascii="新宋体" w:hAnsi="新宋体" w:eastAsia="新宋体" w:cs="新宋体"/>
          <w:color w:val="333333"/>
          <w:sz w:val="32"/>
          <w:szCs w:val="32"/>
        </w:rPr>
      </w:pPr>
      <w:r>
        <w:rPr>
          <w:rFonts w:hint="eastAsia" w:ascii="新宋体" w:hAnsi="新宋体" w:eastAsia="新宋体" w:cs="新宋体"/>
          <w:color w:val="333333"/>
          <w:sz w:val="32"/>
          <w:szCs w:val="32"/>
        </w:rPr>
        <w:t>2024年</w:t>
      </w:r>
      <w:r>
        <w:rPr>
          <w:rFonts w:hint="eastAsia" w:ascii="新宋体" w:hAnsi="新宋体" w:eastAsia="新宋体" w:cs="新宋体"/>
          <w:kern w:val="0"/>
          <w:sz w:val="32"/>
          <w:szCs w:val="32"/>
        </w:rPr>
        <w:t>项目支出</w:t>
      </w:r>
      <w:r>
        <w:rPr>
          <w:rFonts w:hint="eastAsia" w:ascii="新宋体" w:hAnsi="新宋体" w:eastAsia="新宋体" w:cs="新宋体"/>
          <w:color w:val="333333"/>
          <w:sz w:val="32"/>
          <w:szCs w:val="32"/>
        </w:rPr>
        <w:t>40.00</w:t>
      </w:r>
      <w:r>
        <w:rPr>
          <w:rFonts w:hint="eastAsia" w:ascii="新宋体" w:hAnsi="新宋体" w:eastAsia="新宋体" w:cs="新宋体"/>
          <w:kern w:val="0"/>
          <w:sz w:val="32"/>
          <w:szCs w:val="32"/>
        </w:rPr>
        <w:t>万元，其中：游客大数据系统运营费19.00万元，中心日常工作经费14.00万元，深圳文博道县推介会经费7.00万元。</w:t>
      </w:r>
    </w:p>
    <w:p>
      <w:pPr>
        <w:spacing w:line="360" w:lineRule="auto"/>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三、政府性基金预算支出情况</w:t>
      </w:r>
    </w:p>
    <w:p>
      <w:pPr>
        <w:spacing w:line="360" w:lineRule="auto"/>
        <w:ind w:firstLine="640" w:firstLineChars="200"/>
        <w:rPr>
          <w:rFonts w:asciiTheme="minorEastAsia" w:hAnsiTheme="minorEastAsia" w:eastAsiaTheme="minorEastAsia"/>
          <w:sz w:val="28"/>
          <w:szCs w:val="28"/>
        </w:rPr>
      </w:pPr>
      <w:r>
        <w:rPr>
          <w:rFonts w:hint="eastAsia" w:ascii="宋体" w:hAnsi="宋体" w:cs="宋体"/>
          <w:sz w:val="32"/>
          <w:szCs w:val="32"/>
        </w:rPr>
        <w:t>本单位2024年度无政府性基金预算支出。</w:t>
      </w:r>
    </w:p>
    <w:p>
      <w:pPr>
        <w:spacing w:line="360" w:lineRule="auto"/>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四、国有资本经营预算支出情况</w:t>
      </w:r>
    </w:p>
    <w:p>
      <w:pPr>
        <w:spacing w:line="360" w:lineRule="auto"/>
        <w:ind w:firstLine="640" w:firstLineChars="200"/>
        <w:rPr>
          <w:rFonts w:ascii="宋体" w:hAnsi="宋体" w:cs="宋体"/>
          <w:b/>
          <w:bCs/>
          <w:sz w:val="32"/>
          <w:szCs w:val="32"/>
        </w:rPr>
      </w:pPr>
      <w:r>
        <w:rPr>
          <w:rFonts w:hint="eastAsia" w:ascii="宋体" w:hAnsi="宋体" w:cs="宋体"/>
          <w:sz w:val="32"/>
          <w:szCs w:val="32"/>
        </w:rPr>
        <w:t>本单位2024年度无国有资本经营预算支出。</w:t>
      </w:r>
    </w:p>
    <w:p>
      <w:pPr>
        <w:spacing w:line="360" w:lineRule="auto"/>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五、社会保险基金预算支出情况</w:t>
      </w:r>
    </w:p>
    <w:p>
      <w:pPr>
        <w:pStyle w:val="16"/>
        <w:spacing w:before="0" w:beforeAutospacing="0" w:after="0" w:afterAutospacing="0"/>
        <w:jc w:val="both"/>
        <w:rPr>
          <w:rFonts w:asciiTheme="minorEastAsia" w:hAnsiTheme="minorEastAsia" w:eastAsiaTheme="minorEastAsia"/>
          <w:sz w:val="28"/>
          <w:szCs w:val="28"/>
        </w:rPr>
      </w:pPr>
      <w:r>
        <w:rPr>
          <w:rFonts w:hint="eastAsia"/>
          <w:sz w:val="32"/>
          <w:szCs w:val="32"/>
        </w:rPr>
        <w:t>本单位</w:t>
      </w:r>
      <w:r>
        <w:rPr>
          <w:rFonts w:hint="eastAsia"/>
          <w:color w:val="000000"/>
          <w:sz w:val="32"/>
          <w:szCs w:val="32"/>
        </w:rPr>
        <w:t>2024年无社会保险基金预算支出。</w:t>
      </w:r>
    </w:p>
    <w:p>
      <w:pPr>
        <w:pStyle w:val="14"/>
        <w:numPr>
          <w:ilvl w:val="0"/>
          <w:numId w:val="5"/>
        </w:numPr>
        <w:spacing w:line="360" w:lineRule="auto"/>
        <w:ind w:firstLineChars="0"/>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部门整体支出绩效情况</w:t>
      </w:r>
    </w:p>
    <w:p>
      <w:pPr>
        <w:widowControl/>
        <w:spacing w:line="600" w:lineRule="exact"/>
        <w:jc w:val="left"/>
        <w:rPr>
          <w:rFonts w:ascii="新宋体" w:hAnsi="新宋体" w:eastAsia="新宋体" w:cs="新宋体"/>
          <w:b/>
          <w:bCs/>
          <w:sz w:val="32"/>
          <w:szCs w:val="32"/>
        </w:rPr>
      </w:pPr>
      <w:r>
        <w:rPr>
          <w:rFonts w:hint="eastAsia" w:ascii="仿宋" w:hAnsi="仿宋" w:eastAsia="仿宋" w:cs="仿宋"/>
          <w:b/>
          <w:bCs/>
          <w:color w:val="222222"/>
          <w:kern w:val="0"/>
          <w:sz w:val="32"/>
          <w:szCs w:val="32"/>
          <w:shd w:val="clear" w:color="auto" w:fill="FFFFFF"/>
        </w:rPr>
        <w:t>（</w:t>
      </w:r>
      <w:r>
        <w:rPr>
          <w:rFonts w:hint="eastAsia" w:ascii="新宋体" w:hAnsi="新宋体" w:eastAsia="新宋体" w:cs="新宋体"/>
          <w:b/>
          <w:bCs/>
          <w:color w:val="222222"/>
          <w:kern w:val="0"/>
          <w:sz w:val="32"/>
          <w:szCs w:val="32"/>
          <w:shd w:val="clear" w:color="auto" w:fill="FFFFFF"/>
        </w:rPr>
        <w:t>一）经济效益评价</w:t>
      </w:r>
    </w:p>
    <w:p>
      <w:pPr>
        <w:snapToGrid w:val="0"/>
        <w:spacing w:line="520" w:lineRule="exact"/>
        <w:rPr>
          <w:rFonts w:ascii="新宋体" w:hAnsi="新宋体" w:eastAsia="新宋体" w:cs="新宋体"/>
          <w:color w:val="222222"/>
          <w:kern w:val="0"/>
          <w:sz w:val="32"/>
          <w:szCs w:val="32"/>
          <w:shd w:val="clear" w:color="auto" w:fill="FFFFFF"/>
        </w:rPr>
      </w:pPr>
      <w:r>
        <w:rPr>
          <w:rFonts w:hint="eastAsia" w:cs="仿宋" w:asciiTheme="minorEastAsia" w:hAnsiTheme="minorEastAsia" w:eastAsiaTheme="minorEastAsia"/>
          <w:kern w:val="0"/>
          <w:sz w:val="28"/>
          <w:szCs w:val="28"/>
        </w:rPr>
        <w:t>1、</w:t>
      </w:r>
      <w:r>
        <w:rPr>
          <w:rFonts w:hint="eastAsia" w:ascii="新宋体" w:hAnsi="新宋体" w:eastAsia="新宋体" w:cs="新宋体"/>
          <w:color w:val="222222"/>
          <w:kern w:val="0"/>
          <w:sz w:val="32"/>
          <w:szCs w:val="32"/>
          <w:shd w:val="clear" w:color="auto" w:fill="FFFFFF"/>
        </w:rPr>
        <w:t>本年预算配置控制较好。</w:t>
      </w:r>
    </w:p>
    <w:p>
      <w:pPr>
        <w:snapToGrid w:val="0"/>
        <w:spacing w:line="520" w:lineRule="exact"/>
        <w:ind w:firstLine="640" w:firstLineChars="200"/>
        <w:rPr>
          <w:rFonts w:ascii="仿宋_GB2312" w:hAnsi="仿宋" w:eastAsia="仿宋_GB2312"/>
          <w:sz w:val="32"/>
          <w:szCs w:val="32"/>
        </w:rPr>
      </w:pPr>
      <w:r>
        <w:rPr>
          <w:rFonts w:hint="eastAsia" w:ascii="新宋体" w:hAnsi="新宋体" w:eastAsia="新宋体" w:cs="新宋体"/>
          <w:color w:val="222222"/>
          <w:kern w:val="0"/>
          <w:sz w:val="32"/>
          <w:szCs w:val="32"/>
          <w:shd w:val="clear" w:color="auto" w:fill="FFFFFF"/>
        </w:rPr>
        <w:t>财政供养人员控制在预算编制以内，</w:t>
      </w:r>
      <w:r>
        <w:rPr>
          <w:rFonts w:hint="eastAsia" w:ascii="宋体" w:hAnsi="宋体" w:cs="宋体"/>
          <w:sz w:val="32"/>
          <w:szCs w:val="32"/>
        </w:rPr>
        <w:t>本年三公经费开支0.09万元，其中公务接待0.09万元。完成预算3万元的3%。比上年决算3万元减少2.91万元。</w:t>
      </w:r>
    </w:p>
    <w:p>
      <w:pPr>
        <w:widowControl/>
        <w:numPr>
          <w:ilvl w:val="0"/>
          <w:numId w:val="6"/>
        </w:numPr>
        <w:spacing w:line="600" w:lineRule="exact"/>
        <w:jc w:val="left"/>
        <w:rPr>
          <w:rFonts w:ascii="新宋体" w:hAnsi="新宋体" w:eastAsia="新宋体" w:cs="新宋体"/>
          <w:color w:val="222222"/>
          <w:kern w:val="0"/>
          <w:sz w:val="32"/>
          <w:szCs w:val="32"/>
          <w:shd w:val="clear" w:color="auto" w:fill="FFFFFF"/>
        </w:rPr>
      </w:pPr>
      <w:r>
        <w:rPr>
          <w:rFonts w:hint="eastAsia" w:ascii="新宋体" w:hAnsi="新宋体" w:eastAsia="新宋体" w:cs="新宋体"/>
          <w:color w:val="222222"/>
          <w:kern w:val="0"/>
          <w:sz w:val="32"/>
          <w:szCs w:val="32"/>
          <w:shd w:val="clear" w:color="auto" w:fill="FFFFFF"/>
        </w:rPr>
        <w:t>预算执管理执行方面。</w:t>
      </w:r>
    </w:p>
    <w:p>
      <w:pPr>
        <w:widowControl/>
        <w:spacing w:line="600" w:lineRule="exact"/>
        <w:ind w:firstLine="640" w:firstLineChars="200"/>
        <w:jc w:val="left"/>
        <w:rPr>
          <w:rFonts w:ascii="新宋体" w:hAnsi="新宋体" w:eastAsia="新宋体" w:cs="新宋体"/>
          <w:sz w:val="32"/>
          <w:szCs w:val="32"/>
        </w:rPr>
      </w:pPr>
      <w:r>
        <w:rPr>
          <w:rFonts w:hint="eastAsia" w:ascii="新宋体" w:hAnsi="新宋体" w:eastAsia="新宋体" w:cs="新宋体"/>
          <w:sz w:val="32"/>
          <w:szCs w:val="32"/>
          <w:shd w:val="clear" w:color="auto" w:fill="FFFFFF"/>
        </w:rPr>
        <w:t>履行职责职能,严格按财经法规及制度使用和管理资金</w:t>
      </w:r>
      <w:r>
        <w:rPr>
          <w:rFonts w:hint="eastAsia" w:ascii="新宋体" w:hAnsi="新宋体" w:eastAsia="新宋体" w:cs="新宋体"/>
          <w:color w:val="222222"/>
          <w:kern w:val="0"/>
          <w:sz w:val="32"/>
          <w:szCs w:val="32"/>
          <w:shd w:val="clear" w:color="auto" w:fill="FFFFFF"/>
        </w:rPr>
        <w:t>，</w:t>
      </w:r>
      <w:r>
        <w:rPr>
          <w:rFonts w:hint="eastAsia" w:ascii="新宋体" w:hAnsi="新宋体" w:eastAsia="新宋体" w:cs="新宋体"/>
          <w:sz w:val="32"/>
          <w:szCs w:val="32"/>
        </w:rPr>
        <w:t>完成本单位预算收支计划，实现收支平衡</w:t>
      </w:r>
      <w:r>
        <w:rPr>
          <w:rFonts w:hint="eastAsia" w:ascii="新宋体" w:hAnsi="新宋体" w:eastAsia="新宋体" w:cs="新宋体"/>
          <w:color w:val="222222"/>
          <w:kern w:val="0"/>
          <w:sz w:val="32"/>
          <w:szCs w:val="32"/>
          <w:shd w:val="clear" w:color="auto" w:fill="FFFFFF"/>
        </w:rPr>
        <w:t>。支出总额控制在预算总额以内。</w:t>
      </w:r>
    </w:p>
    <w:p>
      <w:pPr>
        <w:widowControl/>
        <w:numPr>
          <w:ilvl w:val="0"/>
          <w:numId w:val="7"/>
        </w:numPr>
        <w:spacing w:line="600" w:lineRule="exact"/>
        <w:rPr>
          <w:rFonts w:ascii="新宋体" w:hAnsi="新宋体" w:eastAsia="新宋体" w:cs="新宋体"/>
          <w:color w:val="222222"/>
          <w:kern w:val="0"/>
          <w:sz w:val="32"/>
          <w:szCs w:val="32"/>
          <w:shd w:val="clear" w:color="auto" w:fill="FFFFFF"/>
        </w:rPr>
      </w:pPr>
      <w:r>
        <w:rPr>
          <w:rFonts w:hint="eastAsia" w:ascii="新宋体" w:hAnsi="新宋体" w:eastAsia="新宋体" w:cs="新宋体"/>
          <w:color w:val="222222"/>
          <w:kern w:val="0"/>
          <w:sz w:val="32"/>
          <w:szCs w:val="32"/>
          <w:shd w:val="clear" w:color="auto" w:fill="FFFFFF"/>
        </w:rPr>
        <w:t>资产管理方面。</w:t>
      </w:r>
    </w:p>
    <w:p>
      <w:pPr>
        <w:widowControl/>
        <w:spacing w:line="600" w:lineRule="exact"/>
        <w:ind w:firstLine="640" w:firstLineChars="200"/>
        <w:rPr>
          <w:rFonts w:ascii="新宋体" w:hAnsi="新宋体" w:eastAsia="新宋体" w:cs="新宋体"/>
          <w:sz w:val="32"/>
          <w:szCs w:val="32"/>
        </w:rPr>
      </w:pPr>
      <w:r>
        <w:rPr>
          <w:rFonts w:hint="eastAsia" w:ascii="新宋体" w:hAnsi="新宋体" w:eastAsia="新宋体" w:cs="新宋体"/>
          <w:color w:val="222222"/>
          <w:kern w:val="0"/>
          <w:sz w:val="32"/>
          <w:szCs w:val="32"/>
          <w:shd w:val="clear" w:color="auto" w:fill="FFFFFF"/>
        </w:rPr>
        <w:t>建立健全了资产管理制度，进行资产登记，据实记帐，进行了资产清理，做到帐实相符。</w:t>
      </w:r>
    </w:p>
    <w:p>
      <w:pPr>
        <w:widowControl/>
        <w:spacing w:line="600" w:lineRule="exact"/>
        <w:jc w:val="left"/>
        <w:rPr>
          <w:rFonts w:ascii="新宋体" w:hAnsi="新宋体" w:eastAsia="新宋体" w:cs="新宋体"/>
          <w:b/>
          <w:bCs/>
          <w:sz w:val="32"/>
          <w:szCs w:val="32"/>
        </w:rPr>
      </w:pPr>
      <w:r>
        <w:rPr>
          <w:rFonts w:hint="eastAsia" w:ascii="新宋体" w:hAnsi="新宋体" w:eastAsia="新宋体" w:cs="新宋体"/>
          <w:b/>
          <w:bCs/>
          <w:color w:val="222222"/>
          <w:kern w:val="0"/>
          <w:sz w:val="32"/>
          <w:szCs w:val="32"/>
          <w:shd w:val="clear" w:color="auto" w:fill="FFFFFF"/>
        </w:rPr>
        <w:t>（二）效率性评价和有效性评价</w:t>
      </w:r>
    </w:p>
    <w:p>
      <w:pPr>
        <w:spacing w:line="276" w:lineRule="auto"/>
        <w:ind w:firstLine="640" w:firstLineChars="200"/>
        <w:rPr>
          <w:rFonts w:ascii="宋体" w:hAnsi="宋体" w:cs="宋体"/>
          <w:sz w:val="32"/>
          <w:szCs w:val="32"/>
        </w:rPr>
      </w:pPr>
      <w:r>
        <w:rPr>
          <w:rFonts w:hint="eastAsia" w:ascii="宋体" w:hAnsi="宋体" w:cs="宋体"/>
          <w:kern w:val="0"/>
          <w:sz w:val="32"/>
          <w:szCs w:val="32"/>
        </w:rPr>
        <w:t>科学规划统筹全县旅游建设，旅游宣传效果明显，完成旅游资源调查，开展</w:t>
      </w:r>
      <w:r>
        <w:rPr>
          <w:rFonts w:hint="eastAsia" w:ascii="新宋体" w:hAnsi="新宋体" w:eastAsia="新宋体" w:cs="新宋体"/>
          <w:kern w:val="0"/>
          <w:sz w:val="32"/>
          <w:szCs w:val="32"/>
        </w:rPr>
        <w:t>讲解员大赛和</w:t>
      </w:r>
      <w:r>
        <w:rPr>
          <w:rFonts w:hint="eastAsia" w:ascii="宋体" w:hAnsi="宋体" w:cs="宋体"/>
          <w:kern w:val="0"/>
          <w:sz w:val="32"/>
          <w:szCs w:val="32"/>
        </w:rPr>
        <w:t>旅游招商</w:t>
      </w:r>
      <w:r>
        <w:rPr>
          <w:rFonts w:hint="eastAsia" w:ascii="宋体" w:hAnsi="宋体" w:cs="宋体"/>
          <w:color w:val="222222"/>
          <w:kern w:val="0"/>
          <w:sz w:val="32"/>
          <w:szCs w:val="32"/>
          <w:shd w:val="clear" w:color="auto" w:fill="FFFFFF"/>
        </w:rPr>
        <w:t>。</w:t>
      </w:r>
    </w:p>
    <w:p>
      <w:pPr>
        <w:widowControl/>
        <w:spacing w:line="600" w:lineRule="exact"/>
        <w:jc w:val="left"/>
        <w:rPr>
          <w:rFonts w:ascii="新宋体" w:hAnsi="新宋体" w:eastAsia="新宋体" w:cs="新宋体"/>
          <w:b/>
          <w:bCs/>
          <w:sz w:val="32"/>
          <w:szCs w:val="32"/>
        </w:rPr>
      </w:pPr>
      <w:r>
        <w:rPr>
          <w:rFonts w:hint="eastAsia" w:ascii="新宋体" w:hAnsi="新宋体" w:eastAsia="新宋体" w:cs="新宋体"/>
          <w:b/>
          <w:bCs/>
          <w:color w:val="222222"/>
          <w:kern w:val="0"/>
          <w:sz w:val="32"/>
          <w:szCs w:val="32"/>
          <w:shd w:val="clear" w:color="auto" w:fill="FFFFFF"/>
        </w:rPr>
        <w:t xml:space="preserve">（三）社会公众满意度评价    </w:t>
      </w:r>
    </w:p>
    <w:p>
      <w:pPr>
        <w:ind w:firstLine="640" w:firstLineChars="200"/>
        <w:rPr>
          <w:rFonts w:ascii="新宋体" w:hAnsi="新宋体" w:eastAsia="新宋体" w:cs="新宋体"/>
          <w:color w:val="222222"/>
          <w:kern w:val="0"/>
          <w:sz w:val="32"/>
          <w:szCs w:val="32"/>
          <w:shd w:val="clear" w:color="auto" w:fill="FFFFFF"/>
        </w:rPr>
      </w:pPr>
      <w:r>
        <w:rPr>
          <w:rFonts w:hint="eastAsia" w:ascii="宋体" w:hAnsi="宋体" w:cs="宋体"/>
          <w:sz w:val="32"/>
          <w:szCs w:val="32"/>
        </w:rPr>
        <w:t>制定全县旅游业工作中长期发展规划，负责旅游市场开发，对外宣传和重大促销活动，指导全县旅游新产品的开发；发展国际国内旅游市场，编制行业规划；进行全县旅游区质量等级评定工作；监督、检查旅游市场和服务质量；指导旅游教育、培训工作，</w:t>
      </w:r>
      <w:r>
        <w:rPr>
          <w:rFonts w:hint="eastAsia" w:ascii="新宋体" w:hAnsi="新宋体" w:eastAsia="新宋体" w:cs="新宋体"/>
          <w:color w:val="222222"/>
          <w:kern w:val="0"/>
          <w:sz w:val="32"/>
          <w:szCs w:val="32"/>
          <w:shd w:val="clear" w:color="auto" w:fill="FFFFFF"/>
        </w:rPr>
        <w:t>得到了社会的很好评价。</w:t>
      </w:r>
    </w:p>
    <w:p>
      <w:pPr>
        <w:ind w:firstLine="640" w:firstLineChars="200"/>
        <w:rPr>
          <w:rFonts w:ascii="新宋体" w:hAnsi="新宋体" w:eastAsia="新宋体" w:cs="新宋体"/>
          <w:b/>
          <w:bCs/>
          <w:sz w:val="32"/>
          <w:szCs w:val="32"/>
        </w:rPr>
      </w:pPr>
      <w:r>
        <w:rPr>
          <w:rFonts w:hint="eastAsia" w:ascii="新宋体" w:hAnsi="新宋体" w:eastAsia="新宋体" w:cs="新宋体"/>
          <w:b/>
          <w:bCs/>
          <w:sz w:val="32"/>
          <w:szCs w:val="32"/>
        </w:rPr>
        <w:t>（四）完成产出指标任务，产生了很好的经济社会效益。</w:t>
      </w:r>
    </w:p>
    <w:p>
      <w:pPr>
        <w:spacing w:line="360" w:lineRule="auto"/>
        <w:ind w:firstLine="640" w:firstLineChars="200"/>
        <w:rPr>
          <w:rFonts w:ascii="新宋体" w:hAnsi="新宋体" w:eastAsia="新宋体" w:cs="新宋体"/>
          <w:sz w:val="32"/>
          <w:szCs w:val="32"/>
        </w:rPr>
      </w:pPr>
      <w:r>
        <w:rPr>
          <w:rFonts w:hint="eastAsia" w:ascii="新宋体" w:hAnsi="新宋体" w:eastAsia="新宋体" w:cs="新宋体"/>
          <w:sz w:val="32"/>
          <w:szCs w:val="32"/>
        </w:rPr>
        <w:t>完成了产出各项指标，产生了很好的经济社会效益。</w:t>
      </w:r>
    </w:p>
    <w:p>
      <w:pPr>
        <w:pStyle w:val="7"/>
        <w:widowControl/>
        <w:ind w:right="11"/>
        <w:rPr>
          <w:rFonts w:ascii="宋体" w:hAnsi="宋体" w:cs="宋体"/>
          <w:b/>
          <w:color w:val="010101"/>
          <w:sz w:val="32"/>
          <w:szCs w:val="32"/>
        </w:rPr>
      </w:pPr>
      <w:r>
        <w:rPr>
          <w:rFonts w:hint="eastAsia" w:ascii="宋体" w:hAnsi="宋体" w:cs="宋体"/>
          <w:b/>
          <w:color w:val="010101"/>
          <w:sz w:val="32"/>
          <w:szCs w:val="32"/>
        </w:rPr>
        <w:t>七、存在的问题及原因分析</w:t>
      </w:r>
    </w:p>
    <w:p>
      <w:pPr>
        <w:spacing w:line="360" w:lineRule="auto"/>
        <w:ind w:firstLine="640" w:firstLineChars="200"/>
        <w:rPr>
          <w:rFonts w:ascii="新宋体" w:hAnsi="新宋体" w:eastAsia="新宋体" w:cs="新宋体"/>
          <w:sz w:val="32"/>
          <w:szCs w:val="32"/>
        </w:rPr>
      </w:pPr>
      <w:r>
        <w:rPr>
          <w:rFonts w:hint="eastAsia" w:ascii="新宋体" w:hAnsi="新宋体" w:eastAsia="新宋体" w:cs="新宋体"/>
          <w:color w:val="222222"/>
          <w:kern w:val="0"/>
          <w:sz w:val="32"/>
          <w:szCs w:val="32"/>
          <w:shd w:val="clear" w:color="auto" w:fill="FFFFFF"/>
        </w:rPr>
        <w:t>由于年中预算支出的具体支出项目与年初预算指标有偏差，需要进行预算相关项目的调整，年中增加工作经费，本年本单位年中进行本年预算的增加调整，是因为年中具体支出数的调整工作经费的增加。</w:t>
      </w:r>
    </w:p>
    <w:p>
      <w:pPr>
        <w:spacing w:line="360" w:lineRule="auto"/>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八、下一步改进措施</w:t>
      </w:r>
    </w:p>
    <w:p>
      <w:pPr>
        <w:numPr>
          <w:ilvl w:val="0"/>
          <w:numId w:val="8"/>
        </w:numPr>
        <w:adjustRightInd w:val="0"/>
        <w:snapToGrid w:val="0"/>
        <w:spacing w:line="600" w:lineRule="exact"/>
        <w:jc w:val="left"/>
        <w:rPr>
          <w:rFonts w:ascii="宋体" w:hAnsi="宋体" w:cs="宋体"/>
          <w:sz w:val="32"/>
          <w:szCs w:val="32"/>
        </w:rPr>
      </w:pPr>
      <w:r>
        <w:rPr>
          <w:rFonts w:hint="eastAsia" w:ascii="宋体" w:hAnsi="宋体" w:cs="宋体"/>
          <w:sz w:val="32"/>
          <w:szCs w:val="32"/>
        </w:rPr>
        <w:t>、规范财务管理，提高财务管理水平。</w:t>
      </w:r>
    </w:p>
    <w:p>
      <w:pPr>
        <w:ind w:firstLine="640" w:firstLineChars="200"/>
        <w:jc w:val="left"/>
        <w:rPr>
          <w:rFonts w:ascii="仿宋_GB2312" w:eastAsia="仿宋_GB2312"/>
          <w:color w:val="000000"/>
          <w:sz w:val="32"/>
          <w:szCs w:val="32"/>
        </w:rPr>
      </w:pPr>
      <w:r>
        <w:rPr>
          <w:rFonts w:hint="eastAsia" w:ascii="宋体" w:hAnsi="宋体" w:cs="宋体"/>
          <w:sz w:val="32"/>
          <w:szCs w:val="32"/>
        </w:rPr>
        <w:t>严格执行《会计法》、《事业单位财务规定》、《预算法》等规定执行财务核算，做好部门预算，严格按照年初资金的预算用途使用资金，</w:t>
      </w:r>
      <w:r>
        <w:rPr>
          <w:rFonts w:hint="eastAsia" w:ascii="宋体" w:hAnsi="宋体" w:cs="宋体"/>
          <w:color w:val="010101"/>
          <w:kern w:val="0"/>
          <w:sz w:val="32"/>
          <w:szCs w:val="32"/>
        </w:rPr>
        <w:t>做到决算与预算相衔接，</w:t>
      </w:r>
      <w:r>
        <w:rPr>
          <w:rFonts w:hint="eastAsia" w:ascii="宋体" w:hAnsi="宋体" w:cs="宋体"/>
          <w:bCs/>
          <w:color w:val="010101"/>
          <w:kern w:val="0"/>
          <w:sz w:val="32"/>
          <w:szCs w:val="32"/>
        </w:rPr>
        <w:t>提高财务信息质量</w:t>
      </w:r>
      <w:r>
        <w:rPr>
          <w:rFonts w:hint="eastAsia" w:ascii="宋体" w:hAnsi="宋体" w:cs="宋体"/>
          <w:color w:val="010101"/>
          <w:kern w:val="0"/>
          <w:sz w:val="32"/>
          <w:szCs w:val="32"/>
        </w:rPr>
        <w:t>。</w:t>
      </w:r>
    </w:p>
    <w:p>
      <w:pPr>
        <w:pStyle w:val="7"/>
        <w:widowControl/>
        <w:numPr>
          <w:ilvl w:val="0"/>
          <w:numId w:val="4"/>
        </w:numPr>
        <w:spacing w:line="480" w:lineRule="auto"/>
        <w:jc w:val="both"/>
        <w:rPr>
          <w:rFonts w:asciiTheme="majorEastAsia" w:hAnsiTheme="majorEastAsia" w:eastAsiaTheme="majorEastAsia"/>
          <w:b/>
          <w:bCs/>
          <w:sz w:val="32"/>
          <w:szCs w:val="32"/>
        </w:rPr>
      </w:pPr>
      <w:r>
        <w:rPr>
          <w:rFonts w:hint="eastAsia" w:ascii="新宋体" w:hAnsi="新宋体" w:eastAsia="新宋体" w:cs="新宋体"/>
          <w:sz w:val="32"/>
          <w:szCs w:val="32"/>
        </w:rPr>
        <w:t>、加强新政府事业单位会计制度、内控制度、固定资产管理制度等的学习培训，加强会计队伍建设，提高财务人员的业务水平。</w:t>
      </w:r>
    </w:p>
    <w:p>
      <w:pPr>
        <w:pStyle w:val="7"/>
        <w:widowControl/>
        <w:numPr>
          <w:ilvl w:val="0"/>
          <w:numId w:val="4"/>
        </w:numPr>
        <w:spacing w:line="480" w:lineRule="auto"/>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w:t>
      </w:r>
      <w:r>
        <w:rPr>
          <w:rFonts w:hint="eastAsia" w:ascii="宋体" w:hAnsi="宋体" w:cs="宋体"/>
          <w:sz w:val="32"/>
          <w:szCs w:val="32"/>
        </w:rPr>
        <w:t>健全资产管理制度，加强资产管理。</w:t>
      </w:r>
    </w:p>
    <w:p>
      <w:pPr>
        <w:spacing w:line="360" w:lineRule="auto"/>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九、绩效自评结果拟应用和公开情况</w:t>
      </w:r>
    </w:p>
    <w:p>
      <w:pPr>
        <w:spacing w:line="360" w:lineRule="auto"/>
        <w:ind w:left="210" w:firstLine="480" w:firstLineChars="150"/>
        <w:rPr>
          <w:rFonts w:ascii="宋体" w:hAnsi="宋体" w:cs="宋体"/>
          <w:sz w:val="32"/>
          <w:szCs w:val="32"/>
        </w:rPr>
      </w:pPr>
      <w:r>
        <w:rPr>
          <w:rFonts w:hint="eastAsia" w:ascii="宋体" w:hAnsi="宋体" w:cs="宋体"/>
          <w:sz w:val="32"/>
          <w:szCs w:val="32"/>
        </w:rPr>
        <w:t>根据2024年</w:t>
      </w:r>
      <w:r>
        <w:rPr>
          <w:rFonts w:hint="eastAsia" w:ascii="宋体" w:hAnsi="宋体" w:cs="宋体"/>
          <w:bCs/>
          <w:sz w:val="32"/>
          <w:szCs w:val="32"/>
        </w:rPr>
        <w:t>道县旅游发展服务中心</w:t>
      </w:r>
      <w:r>
        <w:rPr>
          <w:rFonts w:hint="eastAsia" w:ascii="宋体" w:hAnsi="宋体" w:cs="宋体"/>
          <w:sz w:val="32"/>
          <w:szCs w:val="32"/>
        </w:rPr>
        <w:t>部门整体支出绩效自评表打分，自评得分为96分。</w:t>
      </w:r>
    </w:p>
    <w:p>
      <w:pPr>
        <w:pStyle w:val="2"/>
        <w:numPr>
          <w:ilvl w:val="0"/>
          <w:numId w:val="9"/>
        </w:numPr>
        <w:ind w:firstLine="0"/>
        <w:jc w:val="left"/>
        <w:rPr>
          <w:rFonts w:hint="eastAsia"/>
          <w:b/>
          <w:bCs/>
          <w:sz w:val="32"/>
          <w:szCs w:val="32"/>
        </w:rPr>
      </w:pPr>
      <w:r>
        <w:rPr>
          <w:rFonts w:hint="eastAsia"/>
          <w:b/>
          <w:bCs/>
          <w:sz w:val="32"/>
          <w:szCs w:val="32"/>
        </w:rPr>
        <w:t>其他需要说明的情况</w:t>
      </w:r>
    </w:p>
    <w:p>
      <w:pPr>
        <w:pStyle w:val="2"/>
        <w:numPr>
          <w:ilvl w:val="0"/>
          <w:numId w:val="0"/>
        </w:numPr>
        <w:jc w:val="left"/>
        <w:rPr>
          <w:b/>
          <w:bCs/>
          <w:sz w:val="32"/>
          <w:szCs w:val="32"/>
        </w:rPr>
      </w:pPr>
      <w:r>
        <w:rPr>
          <w:rFonts w:hint="eastAsia"/>
          <w:b/>
          <w:bCs/>
          <w:sz w:val="32"/>
          <w:szCs w:val="32"/>
        </w:rPr>
        <w:t>（无）</w:t>
      </w:r>
    </w:p>
    <w:p>
      <w:pPr>
        <w:adjustRightInd w:val="0"/>
        <w:snapToGrid w:val="0"/>
        <w:spacing w:line="600" w:lineRule="exact"/>
        <w:jc w:val="both"/>
        <w:rPr>
          <w:rFonts w:hint="eastAsia" w:ascii="宋体" w:hAnsi="宋体" w:cs="宋体"/>
          <w:b/>
          <w:bCs/>
          <w:sz w:val="32"/>
          <w:szCs w:val="32"/>
        </w:rPr>
      </w:pPr>
      <w:r>
        <w:rPr>
          <w:rFonts w:hint="eastAsia" w:ascii="宋体" w:hAnsi="宋体" w:cs="宋体"/>
          <w:b/>
          <w:bCs/>
          <w:sz w:val="32"/>
          <w:szCs w:val="32"/>
        </w:rPr>
        <w:t xml:space="preserve">                   </w:t>
      </w:r>
    </w:p>
    <w:p>
      <w:pPr>
        <w:adjustRightInd w:val="0"/>
        <w:snapToGrid w:val="0"/>
        <w:spacing w:line="600" w:lineRule="exact"/>
        <w:ind w:firstLine="640" w:firstLineChars="200"/>
        <w:jc w:val="center"/>
        <w:rPr>
          <w:rFonts w:hint="eastAsia" w:ascii="宋体" w:hAnsi="宋体" w:cs="宋体"/>
          <w:b/>
          <w:bCs/>
          <w:sz w:val="32"/>
          <w:szCs w:val="32"/>
        </w:rPr>
      </w:pPr>
    </w:p>
    <w:p>
      <w:pPr>
        <w:adjustRightInd w:val="0"/>
        <w:snapToGrid w:val="0"/>
        <w:spacing w:line="600" w:lineRule="exact"/>
        <w:ind w:firstLine="640" w:firstLineChars="200"/>
        <w:jc w:val="right"/>
        <w:rPr>
          <w:rFonts w:ascii="宋体" w:hAnsi="宋体" w:cs="宋体"/>
          <w:b w:val="0"/>
          <w:bCs w:val="0"/>
          <w:sz w:val="32"/>
          <w:szCs w:val="32"/>
        </w:rPr>
      </w:pPr>
      <w:r>
        <w:rPr>
          <w:rFonts w:hint="eastAsia" w:ascii="宋体" w:hAnsi="宋体" w:cs="宋体"/>
          <w:b w:val="0"/>
          <w:bCs w:val="0"/>
          <w:sz w:val="32"/>
          <w:szCs w:val="32"/>
        </w:rPr>
        <w:t>道县旅游发展服务中心</w:t>
      </w:r>
    </w:p>
    <w:p>
      <w:pPr>
        <w:wordWrap w:val="0"/>
        <w:adjustRightInd w:val="0"/>
        <w:snapToGrid w:val="0"/>
        <w:spacing w:line="600" w:lineRule="exact"/>
        <w:ind w:firstLine="640" w:firstLineChars="200"/>
        <w:jc w:val="center"/>
        <w:rPr>
          <w:rFonts w:cs="黑体" w:asciiTheme="minorEastAsia" w:hAnsiTheme="minorEastAsia"/>
          <w:color w:val="000000"/>
          <w:kern w:val="0"/>
          <w:sz w:val="32"/>
          <w:szCs w:val="32"/>
        </w:rPr>
      </w:pPr>
      <w:r>
        <w:rPr>
          <w:rFonts w:hint="eastAsia" w:cs="仿宋" w:asciiTheme="minorEastAsia" w:hAnsiTheme="minorEastAsia"/>
          <w:b w:val="0"/>
          <w:bCs w:val="0"/>
          <w:sz w:val="32"/>
          <w:szCs w:val="32"/>
          <w:lang w:val="en-US" w:eastAsia="zh-CN"/>
        </w:rPr>
        <w:t xml:space="preserve">                                         </w:t>
      </w:r>
      <w:r>
        <w:rPr>
          <w:rFonts w:hint="eastAsia" w:cs="仿宋" w:asciiTheme="minorEastAsia" w:hAnsiTheme="minorEastAsia" w:eastAsiaTheme="minorEastAsia"/>
          <w:b w:val="0"/>
          <w:bCs w:val="0"/>
          <w:sz w:val="32"/>
          <w:szCs w:val="32"/>
        </w:rPr>
        <w:t>202</w:t>
      </w:r>
      <w:r>
        <w:rPr>
          <w:rFonts w:hint="eastAsia" w:cs="仿宋" w:asciiTheme="minorEastAsia" w:hAnsiTheme="minorEastAsia" w:eastAsiaTheme="minorEastAsia"/>
          <w:b w:val="0"/>
          <w:bCs w:val="0"/>
          <w:sz w:val="32"/>
          <w:szCs w:val="32"/>
          <w:lang w:val="en-US" w:eastAsia="zh-CN"/>
        </w:rPr>
        <w:t>5</w:t>
      </w:r>
      <w:r>
        <w:rPr>
          <w:rFonts w:hint="eastAsia" w:cs="仿宋" w:asciiTheme="minorEastAsia" w:hAnsiTheme="minorEastAsia" w:eastAsiaTheme="minorEastAsia"/>
          <w:b w:val="0"/>
          <w:bCs w:val="0"/>
          <w:sz w:val="32"/>
          <w:szCs w:val="32"/>
        </w:rPr>
        <w:t>年</w:t>
      </w:r>
      <w:r>
        <w:rPr>
          <w:rFonts w:hint="eastAsia" w:cs="仿宋" w:asciiTheme="minorEastAsia" w:hAnsiTheme="minorEastAsia" w:eastAsiaTheme="minorEastAsia"/>
          <w:b w:val="0"/>
          <w:bCs w:val="0"/>
          <w:sz w:val="32"/>
          <w:szCs w:val="32"/>
          <w:lang w:val="en-US" w:eastAsia="zh-CN"/>
        </w:rPr>
        <w:t>6</w:t>
      </w:r>
      <w:r>
        <w:rPr>
          <w:rFonts w:hint="eastAsia" w:cs="仿宋" w:asciiTheme="minorEastAsia" w:hAnsiTheme="minorEastAsia" w:eastAsiaTheme="minorEastAsia"/>
          <w:b w:val="0"/>
          <w:bCs w:val="0"/>
          <w:sz w:val="32"/>
          <w:szCs w:val="32"/>
        </w:rPr>
        <w:t>月13日</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587FB"/>
    <w:multiLevelType w:val="singleLevel"/>
    <w:tmpl w:val="82D587FB"/>
    <w:lvl w:ilvl="0" w:tentative="0">
      <w:start w:val="10"/>
      <w:numFmt w:val="chineseCounting"/>
      <w:suff w:val="nothing"/>
      <w:lvlText w:val="%1、"/>
      <w:lvlJc w:val="left"/>
      <w:rPr>
        <w:rFonts w:hint="eastAsia"/>
      </w:rPr>
    </w:lvl>
  </w:abstractNum>
  <w:abstractNum w:abstractNumId="1">
    <w:nsid w:val="8582CBD4"/>
    <w:multiLevelType w:val="singleLevel"/>
    <w:tmpl w:val="8582CBD4"/>
    <w:lvl w:ilvl="0" w:tentative="0">
      <w:start w:val="3"/>
      <w:numFmt w:val="decimal"/>
      <w:suff w:val="nothing"/>
      <w:lvlText w:val="%1、"/>
      <w:lvlJc w:val="left"/>
    </w:lvl>
  </w:abstractNum>
  <w:abstractNum w:abstractNumId="2">
    <w:nsid w:val="B89E91B3"/>
    <w:multiLevelType w:val="singleLevel"/>
    <w:tmpl w:val="B89E91B3"/>
    <w:lvl w:ilvl="0" w:tentative="0">
      <w:start w:val="1"/>
      <w:numFmt w:val="decimal"/>
      <w:suff w:val="nothing"/>
      <w:lvlText w:val="%1、"/>
      <w:lvlJc w:val="left"/>
    </w:lvl>
  </w:abstractNum>
  <w:abstractNum w:abstractNumId="3">
    <w:nsid w:val="F324D1B8"/>
    <w:multiLevelType w:val="singleLevel"/>
    <w:tmpl w:val="F324D1B8"/>
    <w:lvl w:ilvl="0" w:tentative="0">
      <w:start w:val="1"/>
      <w:numFmt w:val="chineseCounting"/>
      <w:suff w:val="nothing"/>
      <w:lvlText w:val="（%1）"/>
      <w:lvlJc w:val="left"/>
      <w:rPr>
        <w:rFonts w:hint="eastAsia"/>
      </w:rPr>
    </w:lvl>
  </w:abstractNum>
  <w:abstractNum w:abstractNumId="4">
    <w:nsid w:val="32496122"/>
    <w:multiLevelType w:val="multilevel"/>
    <w:tmpl w:val="3249612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1E0351"/>
    <w:multiLevelType w:val="multilevel"/>
    <w:tmpl w:val="391E0351"/>
    <w:lvl w:ilvl="0" w:tentative="0">
      <w:start w:val="6"/>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B63832B"/>
    <w:multiLevelType w:val="singleLevel"/>
    <w:tmpl w:val="3B63832B"/>
    <w:lvl w:ilvl="0" w:tentative="0">
      <w:start w:val="2"/>
      <w:numFmt w:val="decimal"/>
      <w:suff w:val="space"/>
      <w:lvlText w:val="%1."/>
      <w:lvlJc w:val="left"/>
    </w:lvl>
  </w:abstractNum>
  <w:abstractNum w:abstractNumId="8">
    <w:nsid w:val="5953145E"/>
    <w:multiLevelType w:val="singleLevel"/>
    <w:tmpl w:val="5953145E"/>
    <w:lvl w:ilvl="0" w:tentative="0">
      <w:start w:val="1"/>
      <w:numFmt w:val="chineseCounting"/>
      <w:suff w:val="nothing"/>
      <w:lvlText w:val="（%1）"/>
      <w:lvlJc w:val="left"/>
      <w:rPr>
        <w:rFonts w:cs="Times New Roman"/>
      </w:rPr>
    </w:lvl>
  </w:abstractNum>
  <w:num w:numId="1">
    <w:abstractNumId w:val="5"/>
  </w:num>
  <w:num w:numId="2">
    <w:abstractNumId w:val="2"/>
  </w:num>
  <w:num w:numId="3">
    <w:abstractNumId w:val="4"/>
  </w:num>
  <w:num w:numId="4">
    <w:abstractNumId w:val="3"/>
  </w:num>
  <w:num w:numId="5">
    <w:abstractNumId w:val="6"/>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DM0ZTY2M2MzOTgzMzg4MDJlMmEyZGNhMTdhOG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8AF79C5"/>
    <w:rsid w:val="0CF51B57"/>
    <w:rsid w:val="0D4B2C6A"/>
    <w:rsid w:val="0E575B4B"/>
    <w:rsid w:val="127E47B5"/>
    <w:rsid w:val="14C50C9C"/>
    <w:rsid w:val="19063631"/>
    <w:rsid w:val="1C26433F"/>
    <w:rsid w:val="1D924DA0"/>
    <w:rsid w:val="1DED70A7"/>
    <w:rsid w:val="2300018F"/>
    <w:rsid w:val="23A36359"/>
    <w:rsid w:val="26275EEA"/>
    <w:rsid w:val="26861D2B"/>
    <w:rsid w:val="2860443A"/>
    <w:rsid w:val="28814A83"/>
    <w:rsid w:val="2D3D0399"/>
    <w:rsid w:val="2ECF26CC"/>
    <w:rsid w:val="2FA546AD"/>
    <w:rsid w:val="320469ED"/>
    <w:rsid w:val="390C4C59"/>
    <w:rsid w:val="3A670B4C"/>
    <w:rsid w:val="3BB97BC2"/>
    <w:rsid w:val="3BE575CB"/>
    <w:rsid w:val="3E2D671D"/>
    <w:rsid w:val="3FBB6674"/>
    <w:rsid w:val="42DD6902"/>
    <w:rsid w:val="44DC50C3"/>
    <w:rsid w:val="457066E6"/>
    <w:rsid w:val="464807C5"/>
    <w:rsid w:val="4AAE7095"/>
    <w:rsid w:val="4D5E034A"/>
    <w:rsid w:val="4F624D5E"/>
    <w:rsid w:val="54BF30D0"/>
    <w:rsid w:val="565C6063"/>
    <w:rsid w:val="58E90ECE"/>
    <w:rsid w:val="59987F3E"/>
    <w:rsid w:val="5A2609C5"/>
    <w:rsid w:val="5B181ACC"/>
    <w:rsid w:val="5B994536"/>
    <w:rsid w:val="5DA560E7"/>
    <w:rsid w:val="61133F03"/>
    <w:rsid w:val="63DA2CBD"/>
    <w:rsid w:val="65DA0D53"/>
    <w:rsid w:val="6A2A7525"/>
    <w:rsid w:val="6B5477F9"/>
    <w:rsid w:val="6D9D5FF3"/>
    <w:rsid w:val="70F164D4"/>
    <w:rsid w:val="710C740D"/>
    <w:rsid w:val="712A0C45"/>
    <w:rsid w:val="72931595"/>
    <w:rsid w:val="73AB5C5E"/>
    <w:rsid w:val="7465095D"/>
    <w:rsid w:val="765751BB"/>
    <w:rsid w:val="776E1686"/>
    <w:rsid w:val="77FE6B23"/>
    <w:rsid w:val="7BD91CB4"/>
    <w:rsid w:val="7F6F1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paragraph" w:styleId="3">
    <w:name w:val="Normal Indent"/>
    <w:basedOn w:val="1"/>
    <w:qFormat/>
    <w:uiPriority w:val="0"/>
    <w:pPr>
      <w:ind w:firstLine="420"/>
    </w:pPr>
    <w:rPr>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character" w:styleId="10">
    <w:name w:val="Strong"/>
    <w:basedOn w:val="9"/>
    <w:qFormat/>
    <w:uiPriority w:val="0"/>
    <w:rPr>
      <w:b/>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paragraph" w:customStyle="1" w:styleId="16">
    <w:name w:val="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1187</Words>
  <Characters>1296</Characters>
  <Lines>69</Lines>
  <Paragraphs>19</Paragraphs>
  <TotalTime>0</TotalTime>
  <ScaleCrop>false</ScaleCrop>
  <LinksUpToDate>false</LinksUpToDate>
  <CharactersWithSpaces>1328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MR</cp:lastModifiedBy>
  <cp:lastPrinted>2022-07-27T12:55:00Z</cp:lastPrinted>
  <dcterms:modified xsi:type="dcterms:W3CDTF">2025-08-22T08:09:06Z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3CC1AF00134849AA887ADF2F64457157</vt:lpwstr>
  </property>
  <property fmtid="{D5CDD505-2E9C-101B-9397-08002B2CF9AE}" pid="4" name="KSOTemplateDocerSaveRecord">
    <vt:lpwstr>eyJoZGlkIjoiYzYxN2RkYTBhNDA4MWUzNzRmMDdiN2FlZjRjZGVhMTQifQ==</vt:lpwstr>
  </property>
</Properties>
</file>