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600" w:after="150" w:line="45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2024年度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道县旅游发展服务中心</w:t>
      </w:r>
    </w:p>
    <w:p>
      <w:pPr>
        <w:pStyle w:val="5"/>
        <w:widowControl/>
        <w:spacing w:before="600" w:after="150" w:line="450" w:lineRule="atLeast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整体支出绩效自评报告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基本情况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（一）部门（单位）基本情况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1、机构设置和在职人员情况：我单位为县政府直属正科级事业单位,</w:t>
      </w: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下设综合股、政工财务股、市场营销股和产业发展股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2024年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事业编制12人，</w:t>
      </w: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在职人员11人，退休人员2人，合计13人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2、部门主要职能：</w:t>
      </w:r>
      <w:r>
        <w:rPr>
          <w:rFonts w:hint="eastAsia" w:ascii="宋体" w:hAnsi="宋体" w:cs="宋体"/>
          <w:sz w:val="32"/>
          <w:szCs w:val="32"/>
        </w:rPr>
        <w:t>负责全县旅游行业和旅游市场监管，旅游宣传推广，组织实施各类旅游规划，承办县委、县政府交办的其他事项。</w:t>
      </w:r>
    </w:p>
    <w:p>
      <w:pPr>
        <w:spacing w:line="360" w:lineRule="auto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（二）部门（单位）年度整体项目支出绩效目标</w:t>
      </w:r>
    </w:p>
    <w:p>
      <w:pPr>
        <w:pStyle w:val="9"/>
        <w:spacing w:line="360" w:lineRule="auto"/>
        <w:ind w:firstLine="640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预期完成2024年整体支出绩效目标181.75万元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一般公共预算支出情况</w:t>
      </w:r>
    </w:p>
    <w:p>
      <w:pPr>
        <w:numPr>
          <w:ilvl w:val="0"/>
          <w:numId w:val="2"/>
        </w:numPr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/>
          <w:sz w:val="32"/>
          <w:szCs w:val="32"/>
        </w:rPr>
        <w:t>基本支出情况：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2024年基本支出141.75万元，</w:t>
      </w:r>
    </w:p>
    <w:p>
      <w:pPr>
        <w:snapToGrid w:val="0"/>
        <w:spacing w:line="520" w:lineRule="exact"/>
        <w:ind w:firstLine="640" w:firstLineChars="200"/>
        <w:rPr>
          <w:rFonts w:ascii="新宋体" w:hAnsi="新宋体" w:eastAsia="新宋体" w:cs="新宋体"/>
          <w:color w:val="333333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1、</w:t>
      </w:r>
      <w:r>
        <w:rPr>
          <w:rFonts w:hint="eastAsia" w:cs="仿宋" w:asciiTheme="minorEastAsia" w:hAnsiTheme="minorEastAsia" w:eastAsiaTheme="minorEastAsia"/>
          <w:b/>
          <w:sz w:val="32"/>
          <w:szCs w:val="32"/>
        </w:rPr>
        <w:t>工资福利支出</w:t>
      </w: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125.25万元，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其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中：</w:t>
      </w:r>
      <w:r>
        <w:rPr>
          <w:rFonts w:hint="eastAsia" w:ascii="新宋体" w:hAnsi="新宋体" w:eastAsia="新宋体" w:cs="新宋体"/>
          <w:color w:val="333333"/>
          <w:sz w:val="32"/>
          <w:szCs w:val="32"/>
        </w:rPr>
        <w:t>基本工资43.54万元，奖金14.63万元，绩效工资34.64万元，养老保险缴费16.93万元，医疗保险缴费8.13万元，住房公积金缴费7.38万元。</w:t>
      </w:r>
    </w:p>
    <w:p>
      <w:pPr>
        <w:snapToGrid w:val="0"/>
        <w:spacing w:line="520" w:lineRule="exact"/>
        <w:ind w:firstLine="643" w:firstLineChars="200"/>
        <w:rPr>
          <w:rFonts w:ascii="新宋体" w:hAnsi="新宋体" w:eastAsia="新宋体" w:cs="新宋体"/>
          <w:color w:val="333333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color w:val="333333"/>
          <w:sz w:val="32"/>
          <w:szCs w:val="32"/>
        </w:rPr>
        <w:t>2、商品和服务支出</w:t>
      </w:r>
      <w:r>
        <w:rPr>
          <w:rFonts w:hint="eastAsia" w:ascii="新宋体" w:hAnsi="新宋体" w:eastAsia="新宋体" w:cs="新宋体"/>
          <w:color w:val="333333"/>
          <w:sz w:val="32"/>
          <w:szCs w:val="32"/>
        </w:rPr>
        <w:t>16.50万元，其中：办公费1.61万元，印刷费2.00万元，邮电费0.2万元，差旅费0.12万元，公务接待费0.09万元，劳务费2.84万元，工会经费4.93万元，其他交通费4.72万元。</w:t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（二）项目支出情况：</w:t>
      </w:r>
    </w:p>
    <w:p>
      <w:pPr>
        <w:snapToGrid w:val="0"/>
        <w:spacing w:line="520" w:lineRule="exact"/>
        <w:ind w:firstLine="640" w:firstLineChars="200"/>
        <w:rPr>
          <w:rFonts w:ascii="新宋体" w:hAnsi="新宋体" w:eastAsia="新宋体" w:cs="新宋体"/>
          <w:color w:val="333333"/>
          <w:sz w:val="32"/>
          <w:szCs w:val="32"/>
        </w:rPr>
      </w:pPr>
      <w:r>
        <w:rPr>
          <w:rFonts w:hint="eastAsia" w:ascii="新宋体" w:hAnsi="新宋体" w:eastAsia="新宋体" w:cs="新宋体"/>
          <w:color w:val="333333"/>
          <w:sz w:val="32"/>
          <w:szCs w:val="32"/>
        </w:rPr>
        <w:t>2024年</w:t>
      </w:r>
      <w:r>
        <w:rPr>
          <w:rFonts w:hint="eastAsia" w:ascii="新宋体" w:hAnsi="新宋体" w:eastAsia="新宋体" w:cs="新宋体"/>
          <w:kern w:val="0"/>
          <w:sz w:val="32"/>
          <w:szCs w:val="32"/>
        </w:rPr>
        <w:t>项目支出</w:t>
      </w:r>
      <w:r>
        <w:rPr>
          <w:rFonts w:hint="eastAsia" w:ascii="新宋体" w:hAnsi="新宋体" w:eastAsia="新宋体" w:cs="新宋体"/>
          <w:color w:val="333333"/>
          <w:sz w:val="32"/>
          <w:szCs w:val="32"/>
        </w:rPr>
        <w:t>40.00</w:t>
      </w:r>
      <w:r>
        <w:rPr>
          <w:rFonts w:hint="eastAsia" w:ascii="新宋体" w:hAnsi="新宋体" w:eastAsia="新宋体" w:cs="新宋体"/>
          <w:kern w:val="0"/>
          <w:sz w:val="32"/>
          <w:szCs w:val="32"/>
        </w:rPr>
        <w:t>万元，其中：游客大数据系统运营费19.00万元，中心日常工作经费14.00万元，深圳文博道县推介会经费7.00万元。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三、政府性基金预算支出情况</w:t>
      </w:r>
    </w:p>
    <w:p>
      <w:pPr>
        <w:spacing w:line="360" w:lineRule="auto"/>
        <w:ind w:firstLine="64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</w:rPr>
        <w:t>本单位2024年度无政府性基金预算支出。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四、国有资本经营预算支出情况</w:t>
      </w:r>
    </w:p>
    <w:p>
      <w:pPr>
        <w:spacing w:line="360" w:lineRule="auto"/>
        <w:ind w:firstLine="640" w:firstLineChars="2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本单位2024年度无国有资本经营预算支出。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五、社会保险基金预算支出情况</w:t>
      </w:r>
    </w:p>
    <w:p>
      <w:pPr>
        <w:pStyle w:val="10"/>
        <w:spacing w:before="0" w:beforeAutospacing="0" w:after="0" w:afterAutospacing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  <w:sz w:val="32"/>
          <w:szCs w:val="32"/>
        </w:rPr>
        <w:t>本单位</w:t>
      </w:r>
      <w:r>
        <w:rPr>
          <w:rFonts w:hint="eastAsia"/>
          <w:color w:val="000000"/>
          <w:sz w:val="32"/>
          <w:szCs w:val="32"/>
        </w:rPr>
        <w:t>2024年无社会保险基金预算支出。</w:t>
      </w:r>
    </w:p>
    <w:p>
      <w:pPr>
        <w:pStyle w:val="9"/>
        <w:numPr>
          <w:ilvl w:val="0"/>
          <w:numId w:val="3"/>
        </w:numPr>
        <w:spacing w:line="360" w:lineRule="auto"/>
        <w:ind w:firstLineChars="0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部门整体支出绩效情况</w:t>
      </w:r>
    </w:p>
    <w:p>
      <w:pPr>
        <w:widowControl/>
        <w:spacing w:line="600" w:lineRule="exact"/>
        <w:jc w:val="left"/>
        <w:rPr>
          <w:rFonts w:ascii="新宋体" w:hAnsi="新宋体" w:eastAsia="新宋体" w:cs="新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新宋体" w:hAnsi="新宋体" w:eastAsia="新宋体" w:cs="新宋体"/>
          <w:b/>
          <w:bCs/>
          <w:color w:val="222222"/>
          <w:kern w:val="0"/>
          <w:sz w:val="32"/>
          <w:szCs w:val="32"/>
          <w:shd w:val="clear" w:color="auto" w:fill="FFFFFF"/>
        </w:rPr>
        <w:t>一）经济效益评价</w:t>
      </w:r>
    </w:p>
    <w:p>
      <w:pPr>
        <w:snapToGrid w:val="0"/>
        <w:spacing w:line="520" w:lineRule="exact"/>
        <w:rPr>
          <w:rFonts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</w:pPr>
      <w:r>
        <w:rPr>
          <w:rFonts w:hint="eastAsia" w:cs="仿宋" w:asciiTheme="minorEastAsia" w:hAnsiTheme="minorEastAsia" w:eastAsiaTheme="minorEastAsia"/>
          <w:kern w:val="0"/>
          <w:sz w:val="28"/>
          <w:szCs w:val="28"/>
        </w:rPr>
        <w:t>1、</w:t>
      </w:r>
      <w:r>
        <w:rPr>
          <w:rFonts w:hint="eastAsia"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  <w:t>本年预算配置控制较好。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  <w:t>财政供养人员控制在预算编制以内，</w:t>
      </w:r>
      <w:r>
        <w:rPr>
          <w:rFonts w:hint="eastAsia" w:ascii="宋体" w:hAnsi="宋体" w:cs="宋体"/>
          <w:sz w:val="32"/>
          <w:szCs w:val="32"/>
        </w:rPr>
        <w:t>本年三公经费开支0.09万元，其中公务接待0.09万元。完成预算3万元的3%。比上年决算3万元减少2.91万元。</w:t>
      </w:r>
    </w:p>
    <w:p>
      <w:pPr>
        <w:widowControl/>
        <w:numPr>
          <w:ilvl w:val="0"/>
          <w:numId w:val="4"/>
        </w:numPr>
        <w:spacing w:line="600" w:lineRule="exact"/>
        <w:jc w:val="left"/>
        <w:rPr>
          <w:rFonts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</w:pPr>
      <w:r>
        <w:rPr>
          <w:rFonts w:hint="eastAsia"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  <w:t>预算执管理执行方面。</w:t>
      </w:r>
    </w:p>
    <w:p>
      <w:pPr>
        <w:widowControl/>
        <w:spacing w:line="600" w:lineRule="exact"/>
        <w:ind w:firstLine="640" w:firstLineChars="200"/>
        <w:jc w:val="lef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  <w:shd w:val="clear" w:color="auto" w:fill="FFFFFF"/>
        </w:rPr>
        <w:t>履行职责职能,严格按财经法规及制度使用和管理资金</w:t>
      </w:r>
      <w:r>
        <w:rPr>
          <w:rFonts w:hint="eastAsia"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新宋体" w:hAnsi="新宋体" w:eastAsia="新宋体" w:cs="新宋体"/>
          <w:sz w:val="32"/>
          <w:szCs w:val="32"/>
        </w:rPr>
        <w:t>完成本单位预算收支计划，实现收支平衡</w:t>
      </w:r>
      <w:r>
        <w:rPr>
          <w:rFonts w:hint="eastAsia"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  <w:t>。支出总额控制在预算总额以内。</w:t>
      </w:r>
    </w:p>
    <w:p>
      <w:pPr>
        <w:widowControl/>
        <w:numPr>
          <w:ilvl w:val="0"/>
          <w:numId w:val="5"/>
        </w:numPr>
        <w:spacing w:line="600" w:lineRule="exact"/>
        <w:rPr>
          <w:rFonts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</w:pPr>
      <w:r>
        <w:rPr>
          <w:rFonts w:hint="eastAsia"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  <w:t>资产管理方面。</w:t>
      </w:r>
    </w:p>
    <w:p>
      <w:pPr>
        <w:widowControl/>
        <w:spacing w:line="600" w:lineRule="exact"/>
        <w:ind w:firstLine="640" w:firstLineChars="200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  <w:t>建立健全了资产管理制度，进行资产登记，据实记帐，进行了资产清理，做到帐实相符。</w:t>
      </w:r>
    </w:p>
    <w:p>
      <w:pPr>
        <w:widowControl/>
        <w:spacing w:line="600" w:lineRule="exact"/>
        <w:jc w:val="left"/>
        <w:rPr>
          <w:rFonts w:ascii="新宋体" w:hAnsi="新宋体" w:eastAsia="新宋体" w:cs="新宋体"/>
          <w:b/>
          <w:bCs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color w:val="222222"/>
          <w:kern w:val="0"/>
          <w:sz w:val="32"/>
          <w:szCs w:val="32"/>
          <w:shd w:val="clear" w:color="auto" w:fill="FFFFFF"/>
        </w:rPr>
        <w:t>（二）效率性评价和有效性评价</w:t>
      </w:r>
    </w:p>
    <w:p>
      <w:pPr>
        <w:spacing w:line="276" w:lineRule="auto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科学规划统筹全县旅游建设，旅游宣传效果明显，完成旅游资源调查，开展</w:t>
      </w:r>
      <w:r>
        <w:rPr>
          <w:rFonts w:hint="eastAsia" w:ascii="新宋体" w:hAnsi="新宋体" w:eastAsia="新宋体" w:cs="新宋体"/>
          <w:kern w:val="0"/>
          <w:sz w:val="32"/>
          <w:szCs w:val="32"/>
        </w:rPr>
        <w:t>讲解员大赛和</w:t>
      </w:r>
      <w:r>
        <w:rPr>
          <w:rFonts w:hint="eastAsia" w:ascii="宋体" w:hAnsi="宋体" w:cs="宋体"/>
          <w:kern w:val="0"/>
          <w:sz w:val="32"/>
          <w:szCs w:val="32"/>
        </w:rPr>
        <w:t>旅游招商</w:t>
      </w:r>
      <w:r>
        <w:rPr>
          <w:rFonts w:hint="eastAsia" w:ascii="宋体" w:hAnsi="宋体" w:cs="宋体"/>
          <w:color w:val="222222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600" w:lineRule="exact"/>
        <w:jc w:val="left"/>
        <w:rPr>
          <w:rFonts w:ascii="新宋体" w:hAnsi="新宋体" w:eastAsia="新宋体" w:cs="新宋体"/>
          <w:b/>
          <w:bCs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color w:val="222222"/>
          <w:kern w:val="0"/>
          <w:sz w:val="32"/>
          <w:szCs w:val="32"/>
          <w:shd w:val="clear" w:color="auto" w:fill="FFFFFF"/>
        </w:rPr>
        <w:t xml:space="preserve">（三）社会公众满意度评价    </w:t>
      </w:r>
    </w:p>
    <w:p>
      <w:pPr>
        <w:ind w:firstLine="640" w:firstLineChars="200"/>
        <w:rPr>
          <w:rFonts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32"/>
          <w:szCs w:val="32"/>
        </w:rPr>
        <w:t>制定全县旅游业工作中长期发展规划，负责旅游市场开发，对外宣传和重大促销活动，指导全县旅游新产品的开发；发展国际国内旅游市场，编制行业规划；进行全县旅游区质量等级评定工作；监督、检查旅游市场和服务质量；指导旅游教育、培训工作，</w:t>
      </w:r>
      <w:r>
        <w:rPr>
          <w:rFonts w:hint="eastAsia"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  <w:t>得到了社会的很好评价。</w:t>
      </w:r>
    </w:p>
    <w:p>
      <w:pPr>
        <w:ind w:firstLine="643" w:firstLineChars="200"/>
        <w:rPr>
          <w:rFonts w:ascii="新宋体" w:hAnsi="新宋体" w:eastAsia="新宋体" w:cs="新宋体"/>
          <w:b/>
          <w:bCs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</w:rPr>
        <w:t>（四）完成产出指标任务，产生了很好的经济社会效益。</w:t>
      </w:r>
    </w:p>
    <w:p>
      <w:pPr>
        <w:spacing w:line="360" w:lineRule="auto"/>
        <w:ind w:firstLine="640" w:firstLineChars="200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完成了产出各项指标，产生了很好的经济社会效益。</w:t>
      </w:r>
    </w:p>
    <w:p>
      <w:pPr>
        <w:pStyle w:val="5"/>
        <w:widowControl/>
        <w:ind w:right="11"/>
        <w:rPr>
          <w:rFonts w:ascii="宋体" w:hAnsi="宋体" w:cs="宋体"/>
          <w:b/>
          <w:color w:val="010101"/>
          <w:sz w:val="32"/>
          <w:szCs w:val="32"/>
        </w:rPr>
      </w:pPr>
      <w:r>
        <w:rPr>
          <w:rFonts w:hint="eastAsia" w:ascii="宋体" w:hAnsi="宋体" w:cs="宋体"/>
          <w:b/>
          <w:color w:val="010101"/>
          <w:sz w:val="32"/>
          <w:szCs w:val="32"/>
        </w:rPr>
        <w:t>七、存在的问题及原因分析</w:t>
      </w:r>
    </w:p>
    <w:p>
      <w:pPr>
        <w:spacing w:line="360" w:lineRule="auto"/>
        <w:ind w:firstLine="640" w:firstLineChars="200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color w:val="222222"/>
          <w:kern w:val="0"/>
          <w:sz w:val="32"/>
          <w:szCs w:val="32"/>
          <w:shd w:val="clear" w:color="auto" w:fill="FFFFFF"/>
        </w:rPr>
        <w:t>由于年中预算支出的具体支出项目与年初预算指标有偏差，需要进行预算相关项目的调整，年中增加工作经费，本年本单位年中进行本年预算的增加调整，是因为年中具体支出数的调整工作经费的增加。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八、下一步改进措施</w:t>
      </w:r>
    </w:p>
    <w:p>
      <w:pPr>
        <w:numPr>
          <w:ilvl w:val="0"/>
          <w:numId w:val="6"/>
        </w:numPr>
        <w:adjustRightInd w:val="0"/>
        <w:snapToGrid w:val="0"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、规范财务管理，提高财务管理水平。</w:t>
      </w:r>
    </w:p>
    <w:p>
      <w:pPr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严格执行《会计法》、《事业单位财务规定》、《预算法》等规定执行财务核算，做好部门预算，严格按照年初资金的预算用途使用资金，</w:t>
      </w:r>
      <w:r>
        <w:rPr>
          <w:rFonts w:hint="eastAsia" w:ascii="宋体" w:hAnsi="宋体" w:cs="宋体"/>
          <w:color w:val="010101"/>
          <w:kern w:val="0"/>
          <w:sz w:val="32"/>
          <w:szCs w:val="32"/>
        </w:rPr>
        <w:t>做到决算与预算相衔接，</w:t>
      </w:r>
      <w:r>
        <w:rPr>
          <w:rFonts w:hint="eastAsia" w:ascii="宋体" w:hAnsi="宋体" w:cs="宋体"/>
          <w:bCs/>
          <w:color w:val="010101"/>
          <w:kern w:val="0"/>
          <w:sz w:val="32"/>
          <w:szCs w:val="32"/>
        </w:rPr>
        <w:t>提高财务信息质量</w:t>
      </w:r>
      <w:r>
        <w:rPr>
          <w:rFonts w:hint="eastAsia" w:ascii="宋体" w:hAnsi="宋体" w:cs="宋体"/>
          <w:color w:val="010101"/>
          <w:kern w:val="0"/>
          <w:sz w:val="32"/>
          <w:szCs w:val="32"/>
        </w:rPr>
        <w:t>。</w:t>
      </w:r>
    </w:p>
    <w:p>
      <w:pPr>
        <w:pStyle w:val="5"/>
        <w:widowControl/>
        <w:numPr>
          <w:ilvl w:val="0"/>
          <w:numId w:val="2"/>
        </w:numPr>
        <w:spacing w:line="480" w:lineRule="auto"/>
        <w:jc w:val="both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、加强新政府事业单位会计制度、内控制度、固定资产管理制度等的学习培训，加强会计队伍建设，提高财务人员的业务水平。</w:t>
      </w:r>
    </w:p>
    <w:p>
      <w:pPr>
        <w:pStyle w:val="5"/>
        <w:widowControl/>
        <w:numPr>
          <w:ilvl w:val="0"/>
          <w:numId w:val="2"/>
        </w:numPr>
        <w:spacing w:line="480" w:lineRule="auto"/>
        <w:jc w:val="both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sz w:val="32"/>
          <w:szCs w:val="32"/>
        </w:rPr>
        <w:t>健全资产管理制度，加强资产管理。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九、绩效自评结果拟应用和公开情况</w:t>
      </w:r>
    </w:p>
    <w:p>
      <w:pPr>
        <w:spacing w:line="360" w:lineRule="auto"/>
        <w:ind w:left="210" w:firstLine="480" w:firstLineChars="15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根据2024年</w:t>
      </w:r>
      <w:r>
        <w:rPr>
          <w:rFonts w:hint="eastAsia" w:ascii="宋体" w:hAnsi="宋体" w:cs="宋体"/>
          <w:bCs/>
          <w:sz w:val="32"/>
          <w:szCs w:val="32"/>
        </w:rPr>
        <w:t>道县旅游发展服务中心</w:t>
      </w:r>
      <w:r>
        <w:rPr>
          <w:rFonts w:hint="eastAsia" w:ascii="宋体" w:hAnsi="宋体" w:cs="宋体"/>
          <w:sz w:val="32"/>
          <w:szCs w:val="32"/>
        </w:rPr>
        <w:t>部门整体支出绩效自评表打分，自评得分为96分。</w:t>
      </w:r>
    </w:p>
    <w:p>
      <w:pPr>
        <w:pStyle w:val="2"/>
        <w:numPr>
          <w:ilvl w:val="0"/>
          <w:numId w:val="7"/>
        </w:numPr>
        <w:ind w:firstLine="0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其他需要说明的情况</w:t>
      </w:r>
    </w:p>
    <w:p>
      <w:pPr>
        <w:pStyle w:val="2"/>
        <w:numPr>
          <w:numId w:val="0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（无）</w:t>
      </w:r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                     </w:t>
      </w:r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right"/>
        <w:rPr>
          <w:rFonts w:ascii="宋体" w:hAnsi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 xml:space="preserve">          道县旅游发展服务中心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b w:val="0"/>
          <w:bCs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 w:val="0"/>
          <w:bCs w:val="0"/>
          <w:sz w:val="32"/>
          <w:szCs w:val="32"/>
        </w:rPr>
        <w:t xml:space="preserve">              202</w:t>
      </w:r>
      <w:r>
        <w:rPr>
          <w:rFonts w:hint="eastAsia" w:cs="仿宋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b w:val="0"/>
          <w:bCs w:val="0"/>
          <w:sz w:val="32"/>
          <w:szCs w:val="32"/>
        </w:rPr>
        <w:t>年</w:t>
      </w:r>
      <w:r>
        <w:rPr>
          <w:rFonts w:hint="eastAsia" w:cs="仿宋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b w:val="0"/>
          <w:bCs w:val="0"/>
          <w:sz w:val="32"/>
          <w:szCs w:val="32"/>
        </w:rPr>
        <w:t>月13日</w:t>
      </w:r>
    </w:p>
    <w:p>
      <w:pPr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587FB"/>
    <w:multiLevelType w:val="singleLevel"/>
    <w:tmpl w:val="82D587FB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582CBD4"/>
    <w:multiLevelType w:val="singleLevel"/>
    <w:tmpl w:val="8582CBD4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F324D1B8"/>
    <w:multiLevelType w:val="singleLevel"/>
    <w:tmpl w:val="F324D1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2496122"/>
    <w:multiLevelType w:val="multilevel"/>
    <w:tmpl w:val="3249612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1E0351"/>
    <w:multiLevelType w:val="multilevel"/>
    <w:tmpl w:val="391E0351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63832B"/>
    <w:multiLevelType w:val="singleLevel"/>
    <w:tmpl w:val="3B63832B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5953145E"/>
    <w:multiLevelType w:val="singleLevel"/>
    <w:tmpl w:val="5953145E"/>
    <w:lvl w:ilvl="0" w:tentative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E3808"/>
    <w:rsid w:val="0057761C"/>
    <w:rsid w:val="00625D9D"/>
    <w:rsid w:val="007D4138"/>
    <w:rsid w:val="00952B1B"/>
    <w:rsid w:val="00CB0376"/>
    <w:rsid w:val="00D30397"/>
    <w:rsid w:val="00D81A36"/>
    <w:rsid w:val="00ED5A75"/>
    <w:rsid w:val="00F72366"/>
    <w:rsid w:val="02403E00"/>
    <w:rsid w:val="20C3784B"/>
    <w:rsid w:val="4CE35D83"/>
    <w:rsid w:val="4E2E3808"/>
    <w:rsid w:val="54011821"/>
    <w:rsid w:val="5A783A4D"/>
    <w:rsid w:val="5B860AE1"/>
    <w:rsid w:val="6E9839DC"/>
    <w:rsid w:val="78576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238</Words>
  <Characters>1357</Characters>
  <Lines>11</Lines>
  <Paragraphs>3</Paragraphs>
  <TotalTime>6</TotalTime>
  <ScaleCrop>false</ScaleCrop>
  <LinksUpToDate>false</LinksUpToDate>
  <CharactersWithSpaces>1592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2025-06-14T23:07:00Z</dcterms:created>
  <dc:creator>Administrator</dc:creator>
  <cp:lastModifiedBy>MR</cp:lastModifiedBy>
  <dcterms:modified xsi:type="dcterms:W3CDTF">2025-08-22T07:25:01Z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02ED539D31364413BADF6D5333D276A9</vt:lpwstr>
  </property>
</Properties>
</file>