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bookmarkStart w:id="44" w:name="_GoBack"/>
      <w:bookmarkEnd w:id="44"/>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LwJlDWAAAACgEAAA8AAAAAAAAAAQAgAAAAIgAAAGRycy9kb3du&#10;cmV2LnhtbFBLAQIUABQAAAAIAIdO4kBDKpePOgIAAEwEAAAOAAAAAAAAAAEAIAAAACUBAABkcnMv&#10;ZTJvRG9jLnhtbFBLBQYAAAAABgAGAFkBAADRBQAAAAA=&#10;">
                <v:fill on="t" focussize="0,0"/>
                <v:stroke on="f" weight="0.5pt"/>
                <v:imagedata o:title=""/>
                <o:lock v:ext="edit" aspectratio="f"/>
                <v:textbox>
                  <w:txbxContent>
                    <w:p>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道县全民健身中心</w:t>
      </w:r>
      <w:r>
        <w:rPr>
          <w:rFonts w:hint="eastAsia" w:ascii="方正小标宋_GBK" w:hAnsi="方正小标宋_GBK" w:eastAsia="方正小标宋_GBK" w:cs="方正小标宋_GBK"/>
          <w:sz w:val="84"/>
          <w:szCs w:val="84"/>
        </w:rPr>
        <w:t>部门决算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道县全民健身服务中心</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spacing w:line="500" w:lineRule="exact"/>
        <w:rPr>
          <w:rFonts w:hint="eastAsia" w:ascii="黑体" w:hAnsi="黑体" w:eastAsia="黑体" w:cs="黑体"/>
          <w:b w:val="0"/>
          <w:bCs/>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道县全民健身服务中心</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7"/>
        <w:numPr>
          <w:ilvl w:val="0"/>
          <w:numId w:val="1"/>
        </w:numPr>
        <w:ind w:left="720" w:leftChars="0" w:firstLine="120"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spacing w:line="360" w:lineRule="auto"/>
        <w:ind w:firstLine="960" w:firstLineChars="3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根据道编发(2016)17号(文件等)规定，本单位主要工作职责是:</w:t>
      </w:r>
    </w:p>
    <w:p>
      <w:pPr>
        <w:widowControl/>
        <w:spacing w:line="600" w:lineRule="exact"/>
        <w:ind w:left="0" w:leftChars="0" w:firstLine="838" w:firstLineChars="262"/>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（一）宣传、推广全民健身政策法规和科普知识。</w:t>
      </w:r>
    </w:p>
    <w:p>
      <w:pPr>
        <w:widowControl/>
        <w:spacing w:line="600" w:lineRule="exact"/>
        <w:ind w:left="0" w:leftChars="0" w:firstLine="838" w:firstLineChars="262"/>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（二）组织、策划各项群众体育赛事和全民健身活动，加强业余体校、群众体育竞赛和全民健身活动的管理指导和服务。</w:t>
      </w:r>
    </w:p>
    <w:p>
      <w:pPr>
        <w:widowControl/>
        <w:spacing w:line="600" w:lineRule="exact"/>
        <w:ind w:left="0" w:leftChars="0" w:firstLine="838" w:firstLineChars="262"/>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（三）</w:t>
      </w:r>
      <w:r>
        <w:rPr>
          <w:rFonts w:hint="eastAsia" w:ascii="Times New Roman" w:hAnsi="Times New Roman" w:eastAsia="仿宋_GB2312" w:cs="仿宋_GB2312"/>
          <w:bCs/>
          <w:kern w:val="0"/>
          <w:sz w:val="32"/>
          <w:szCs w:val="32"/>
        </w:rPr>
        <w:t>管理、维护、开发利用所管理的体育场馆及健身场地设施，负责院内公共区域的园林绿化管理、卫生保洁、安全保卫，确保体育场馆正常运营。</w:t>
      </w:r>
    </w:p>
    <w:p>
      <w:pPr>
        <w:widowControl/>
        <w:spacing w:line="600" w:lineRule="exact"/>
        <w:ind w:left="0" w:leftChars="0" w:firstLine="838" w:firstLineChars="262"/>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（四）</w:t>
      </w:r>
      <w:r>
        <w:rPr>
          <w:rFonts w:hint="eastAsia" w:ascii="Times New Roman" w:hAnsi="Times New Roman" w:eastAsia="仿宋_GB2312" w:cs="仿宋_GB2312"/>
          <w:bCs/>
          <w:kern w:val="0"/>
          <w:sz w:val="32"/>
          <w:szCs w:val="32"/>
        </w:rPr>
        <w:t>组织开展各类健身运动项目的培训，承担全县体育行业的职业培训任务。</w:t>
      </w:r>
    </w:p>
    <w:p>
      <w:pPr>
        <w:widowControl/>
        <w:spacing w:line="600" w:lineRule="exact"/>
        <w:ind w:left="0" w:leftChars="0" w:firstLine="838" w:firstLineChars="262"/>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（五）</w:t>
      </w:r>
      <w:r>
        <w:rPr>
          <w:rFonts w:hint="eastAsia" w:ascii="Times New Roman" w:hAnsi="Times New Roman" w:eastAsia="仿宋_GB2312" w:cs="仿宋_GB2312"/>
          <w:bCs/>
          <w:kern w:val="0"/>
          <w:sz w:val="32"/>
          <w:szCs w:val="32"/>
        </w:rPr>
        <w:t>承担县老年人体育协会的日常管理工作。</w:t>
      </w:r>
    </w:p>
    <w:p>
      <w:pPr>
        <w:widowControl/>
        <w:spacing w:line="600" w:lineRule="exact"/>
        <w:ind w:left="0" w:leftChars="0" w:firstLine="838" w:firstLineChars="262"/>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（六）</w:t>
      </w:r>
      <w:r>
        <w:rPr>
          <w:rFonts w:hint="eastAsia" w:ascii="Times New Roman" w:hAnsi="Times New Roman" w:eastAsia="仿宋_GB2312" w:cs="仿宋_GB2312"/>
          <w:bCs/>
          <w:kern w:val="0"/>
          <w:sz w:val="32"/>
          <w:szCs w:val="32"/>
        </w:rPr>
        <w:t>负责体育彩票发行的日常事务性工作和体育彩票公益金的使用、管理工作。</w:t>
      </w:r>
    </w:p>
    <w:p>
      <w:pPr>
        <w:widowControl/>
        <w:spacing w:line="600" w:lineRule="exact"/>
        <w:ind w:left="0" w:leftChars="0" w:firstLine="838" w:firstLineChars="262"/>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lang w:val="en-US" w:eastAsia="zh-CN"/>
        </w:rPr>
        <w:t>（七）</w:t>
      </w:r>
      <w:r>
        <w:rPr>
          <w:rFonts w:hint="eastAsia" w:ascii="Times New Roman" w:hAnsi="Times New Roman" w:eastAsia="仿宋_GB2312" w:cs="仿宋_GB2312"/>
          <w:bCs/>
          <w:kern w:val="0"/>
          <w:sz w:val="32"/>
          <w:szCs w:val="32"/>
        </w:rPr>
        <w:t>承办县委、县政府和县文旅广体局交办的其他工作。</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道县全民健身服务中心</w:t>
      </w:r>
      <w:r>
        <w:rPr>
          <w:rFonts w:hint="eastAsia" w:ascii="Times New Roman" w:hAnsi="Times New Roman" w:eastAsia="仿宋_GB2312" w:cs="仿宋_GB2312"/>
          <w:bCs/>
          <w:kern w:val="0"/>
          <w:sz w:val="32"/>
          <w:szCs w:val="32"/>
        </w:rPr>
        <w:t>单位内设机构包括：</w:t>
      </w:r>
      <w:r>
        <w:rPr>
          <w:rFonts w:hint="eastAsia" w:ascii="仿宋" w:hAnsi="仿宋" w:eastAsia="仿宋" w:cs="仿宋"/>
          <w:color w:val="000000"/>
          <w:sz w:val="32"/>
          <w:szCs w:val="32"/>
          <w:shd w:val="clear" w:color="auto" w:fill="FFFFFF"/>
        </w:rPr>
        <w:t>综合办公室、体彩发行股、业务指导股、场馆管理股。人员编制10人，年末实有在职人员8人。</w:t>
      </w:r>
    </w:p>
    <w:p>
      <w:pPr>
        <w:widowControl/>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道县全民健身服务中心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道县全民健身服务中心</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2"/>
        <w:tblW w:w="15428" w:type="dxa"/>
        <w:tblInd w:w="0" w:type="dxa"/>
        <w:tblLayout w:type="fixed"/>
        <w:tblCellMar>
          <w:top w:w="0" w:type="dxa"/>
          <w:left w:w="0" w:type="dxa"/>
          <w:bottom w:w="0" w:type="dxa"/>
          <w:right w:w="0" w:type="dxa"/>
        </w:tblCellMar>
      </w:tblPr>
      <w:tblGrid>
        <w:gridCol w:w="278"/>
        <w:gridCol w:w="588"/>
        <w:gridCol w:w="2614"/>
        <w:gridCol w:w="1445"/>
        <w:gridCol w:w="1350"/>
        <w:gridCol w:w="1459"/>
        <w:gridCol w:w="1521"/>
        <w:gridCol w:w="1805"/>
        <w:gridCol w:w="1805"/>
        <w:gridCol w:w="2563"/>
      </w:tblGrid>
      <w:tr>
        <w:tblPrEx>
          <w:tblLayout w:type="fixed"/>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12"/>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29"/>
              <w:gridCol w:w="584"/>
              <w:gridCol w:w="1339"/>
              <w:gridCol w:w="4791"/>
              <w:gridCol w:w="1531"/>
              <w:gridCol w:w="474"/>
              <w:gridCol w:w="568"/>
              <w:gridCol w:w="1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4" w:hRule="atLeast"/>
              </w:trPr>
              <w:tc>
                <w:tcPr>
                  <w:tcW w:w="4229" w:type="dxa"/>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p>
              </w:tc>
              <w:tc>
                <w:tcPr>
                  <w:tcW w:w="584"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791" w:type="dxa"/>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005" w:type="dxa"/>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2450" w:type="dxa"/>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2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05"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0"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4" w:hRule="atLeast"/>
              </w:trPr>
              <w:tc>
                <w:tcPr>
                  <w:tcW w:w="4229"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lang w:eastAsia="zh-CN"/>
                    </w:rPr>
                    <w:t>道县全民健身服务中心</w:t>
                  </w:r>
                </w:p>
              </w:tc>
              <w:tc>
                <w:tcPr>
                  <w:tcW w:w="58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33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79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005"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2450" w:type="dxa"/>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615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36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62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2100.72</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1400</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五、文化旅游体育与传媒支出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六、社会保障和就业支出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七、卫生健康支出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八、其他支出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3500.72</w:t>
                  </w: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882" w:type="dxa"/>
                <w:trHeight w:val="62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1882" w:type="dxa"/>
                <w:trHeight w:val="448" w:hRule="atLeast"/>
              </w:trPr>
              <w:tc>
                <w:tcPr>
                  <w:tcW w:w="42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3500.72</w:t>
                  </w:r>
                </w:p>
              </w:tc>
              <w:tc>
                <w:tcPr>
                  <w:tcW w:w="47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3500.72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Layout w:type="fixed"/>
          <w:tblCellMar>
            <w:top w:w="0" w:type="dxa"/>
            <w:left w:w="0" w:type="dxa"/>
            <w:bottom w:w="0" w:type="dxa"/>
            <w:right w:w="0" w:type="dxa"/>
          </w:tblCellMar>
        </w:tblPrEx>
        <w:trPr>
          <w:trHeight w:val="285" w:hRule="atLeast"/>
        </w:trPr>
        <w:tc>
          <w:tcPr>
            <w:tcW w:w="27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58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6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Layout w:type="fixed"/>
          <w:tblCellMar>
            <w:top w:w="0" w:type="dxa"/>
            <w:left w:w="0" w:type="dxa"/>
            <w:bottom w:w="0" w:type="dxa"/>
            <w:right w:w="0" w:type="dxa"/>
          </w:tblCellMar>
        </w:tblPrEx>
        <w:trPr>
          <w:trHeight w:val="285" w:hRule="atLeast"/>
        </w:trPr>
        <w:tc>
          <w:tcPr>
            <w:tcW w:w="86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6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eastAsia="zh-CN"/>
              </w:rPr>
              <w:t>道县全民健身服务中心</w:t>
            </w: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5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Layout w:type="fixed"/>
          <w:tblCellMar>
            <w:top w:w="0" w:type="dxa"/>
            <w:left w:w="0" w:type="dxa"/>
            <w:bottom w:w="0" w:type="dxa"/>
            <w:right w:w="0" w:type="dxa"/>
          </w:tblCellMar>
        </w:tblPrEx>
        <w:trPr>
          <w:trHeight w:val="450" w:hRule="atLeast"/>
        </w:trPr>
        <w:tc>
          <w:tcPr>
            <w:tcW w:w="348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35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8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5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Layout w:type="fixed"/>
          <w:tblCellMar>
            <w:top w:w="0" w:type="dxa"/>
            <w:left w:w="0" w:type="dxa"/>
            <w:bottom w:w="0" w:type="dxa"/>
            <w:right w:w="0" w:type="dxa"/>
          </w:tblCellMar>
        </w:tblPrEx>
        <w:trPr>
          <w:trHeight w:val="450" w:hRule="atLeast"/>
        </w:trPr>
        <w:tc>
          <w:tcPr>
            <w:tcW w:w="86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6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86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61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Layout w:type="fixed"/>
          <w:tblCellMar>
            <w:top w:w="0" w:type="dxa"/>
            <w:left w:w="0" w:type="dxa"/>
            <w:bottom w:w="0" w:type="dxa"/>
            <w:right w:w="0" w:type="dxa"/>
          </w:tblCellMar>
        </w:tblPrEx>
        <w:trPr>
          <w:trHeight w:val="450" w:hRule="atLeast"/>
        </w:trPr>
        <w:tc>
          <w:tcPr>
            <w:tcW w:w="34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4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4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2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8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5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Layout w:type="fixed"/>
          <w:tblCellMar>
            <w:top w:w="0" w:type="dxa"/>
            <w:left w:w="0" w:type="dxa"/>
            <w:bottom w:w="0" w:type="dxa"/>
            <w:right w:w="0" w:type="dxa"/>
          </w:tblCellMar>
        </w:tblPrEx>
        <w:trPr>
          <w:trHeight w:val="450" w:hRule="atLeast"/>
        </w:trPr>
        <w:tc>
          <w:tcPr>
            <w:tcW w:w="348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lang w:val="en-US" w:eastAsia="zh-CN"/>
              </w:rPr>
            </w:pPr>
            <w:r>
              <w:rPr>
                <w:rFonts w:hint="eastAsia"/>
                <w:lang w:val="en-US" w:eastAsia="zh-CN"/>
              </w:rPr>
              <w:t>3500.72</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3500.72</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2070301</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行政运行</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77.52</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77.52</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2101102</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事业单位医疗</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3.78</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3.78</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机关事业单位基本养老保险缴费支出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r>
              <w:rPr>
                <w:rFonts w:hint="eastAsia"/>
                <w:lang w:val="en-US" w:eastAsia="zh-CN"/>
              </w:rPr>
              <w:t>7.7</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2070303</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机关服务</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1912.2</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1912.2</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2080506</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机关事业单位基本养老保险缴费支出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0.07</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0.07</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2070399</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其他体育支出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99.53</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99.53</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450" w:hRule="atLeast"/>
        </w:trPr>
        <w:tc>
          <w:tcPr>
            <w:tcW w:w="86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lang w:val="en-US" w:eastAsia="zh-CN"/>
              </w:rPr>
            </w:pPr>
            <w:r>
              <w:rPr>
                <w:rFonts w:hint="eastAsia"/>
                <w:lang w:val="en-US" w:eastAsia="zh-CN"/>
              </w:rPr>
              <w:t>2290402</w:t>
            </w:r>
          </w:p>
        </w:tc>
        <w:tc>
          <w:tcPr>
            <w:tcW w:w="261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lang w:eastAsia="zh-CN"/>
              </w:rPr>
            </w:pPr>
            <w:r>
              <w:rPr>
                <w:rFonts w:hint="eastAsia"/>
                <w:lang w:eastAsia="zh-CN"/>
              </w:rPr>
              <w:t>其他地方自行试点项目收益专项债券收入安排的支出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kern w:val="2"/>
                <w:sz w:val="24"/>
                <w:szCs w:val="24"/>
                <w:lang w:val="en-US" w:eastAsia="zh-CN" w:bidi="ar-SA"/>
              </w:rPr>
            </w:pPr>
            <w:r>
              <w:rPr>
                <w:rFonts w:hint="eastAsia"/>
                <w:lang w:val="en-US" w:eastAsia="zh-CN"/>
              </w:rPr>
              <w:t>1400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1400</w:t>
            </w:r>
          </w:p>
        </w:tc>
        <w:tc>
          <w:tcPr>
            <w:tcW w:w="14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Layout w:type="fixed"/>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12"/>
        <w:tblpPr w:leftFromText="180" w:rightFromText="180" w:vertAnchor="text" w:horzAnchor="page" w:tblpX="926" w:tblpY="297"/>
        <w:tblOverlap w:val="never"/>
        <w:tblW w:w="15640" w:type="dxa"/>
        <w:tblInd w:w="0" w:type="dxa"/>
        <w:tblLayout w:type="fixed"/>
        <w:tblCellMar>
          <w:top w:w="0" w:type="dxa"/>
          <w:left w:w="108" w:type="dxa"/>
          <w:bottom w:w="0" w:type="dxa"/>
          <w:right w:w="108" w:type="dxa"/>
        </w:tblCellMar>
      </w:tblPr>
      <w:tblGrid>
        <w:gridCol w:w="1236"/>
        <w:gridCol w:w="263"/>
        <w:gridCol w:w="3175"/>
        <w:gridCol w:w="1704"/>
        <w:gridCol w:w="1718"/>
        <w:gridCol w:w="1811"/>
        <w:gridCol w:w="1844"/>
        <w:gridCol w:w="1404"/>
        <w:gridCol w:w="2485"/>
      </w:tblGrid>
      <w:tr>
        <w:tblPrEx>
          <w:tblLayout w:type="fixed"/>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Layout w:type="fixed"/>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1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Layout w:type="fixed"/>
          <w:tblCellMar>
            <w:top w:w="0" w:type="dxa"/>
            <w:left w:w="108" w:type="dxa"/>
            <w:bottom w:w="0" w:type="dxa"/>
            <w:right w:w="108" w:type="dxa"/>
          </w:tblCellMar>
        </w:tblPrEx>
        <w:trPr>
          <w:trHeight w:val="649" w:hRule="atLeast"/>
        </w:trPr>
        <w:tc>
          <w:tcPr>
            <w:tcW w:w="123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14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both"/>
              <w:rPr>
                <w:rFonts w:ascii="宋体" w:hAnsi="宋体" w:eastAsia="宋体" w:cs="宋体"/>
                <w:kern w:val="0"/>
                <w:sz w:val="24"/>
                <w:szCs w:val="24"/>
              </w:rPr>
            </w:pPr>
            <w:r>
              <w:rPr>
                <w:rFonts w:hint="eastAsia"/>
                <w:lang w:eastAsia="zh-CN"/>
              </w:rPr>
              <w:t>道县全民健身服务中心</w:t>
            </w: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84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595" w:hRule="atLeast"/>
        </w:trPr>
        <w:tc>
          <w:tcPr>
            <w:tcW w:w="4674"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1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8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8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4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4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Layout w:type="fixed"/>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31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312"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1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4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46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8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8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40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48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Layout w:type="fixed"/>
          <w:tblCellMar>
            <w:top w:w="0" w:type="dxa"/>
            <w:left w:w="108" w:type="dxa"/>
            <w:bottom w:w="0" w:type="dxa"/>
            <w:right w:w="108" w:type="dxa"/>
          </w:tblCellMar>
        </w:tblPrEx>
        <w:trPr>
          <w:trHeight w:val="595" w:hRule="atLeast"/>
        </w:trPr>
        <w:tc>
          <w:tcPr>
            <w:tcW w:w="4674"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3500.72</w:t>
            </w:r>
            <w:r>
              <w:rPr>
                <w:rFonts w:hint="eastAsia" w:ascii="宋体" w:hAnsi="宋体" w:eastAsia="宋体" w:cs="宋体"/>
                <w:kern w:val="0"/>
                <w:sz w:val="24"/>
                <w:szCs w:val="24"/>
              </w:rPr>
              <w:t>　</w:t>
            </w:r>
          </w:p>
        </w:tc>
        <w:tc>
          <w:tcPr>
            <w:tcW w:w="17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2070301</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77.52</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77.52</w:t>
            </w: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3.78</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3.78</w:t>
            </w: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7.7</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7.7</w:t>
            </w:r>
          </w:p>
        </w:tc>
        <w:tc>
          <w:tcPr>
            <w:tcW w:w="181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2070303</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机关服务</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1912.2</w:t>
            </w:r>
          </w:p>
        </w:tc>
        <w:tc>
          <w:tcPr>
            <w:tcW w:w="17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1912.2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2080506</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0.07</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0.07</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2070399</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其他体育支出</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lang w:val="en-US" w:eastAsia="zh-CN"/>
              </w:rPr>
              <w:t>99.53</w:t>
            </w:r>
          </w:p>
        </w:tc>
        <w:tc>
          <w:tcPr>
            <w:tcW w:w="171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2"/>
                <w:sz w:val="24"/>
                <w:szCs w:val="24"/>
                <w:lang w:val="en-US" w:eastAsia="zh-CN" w:bidi="ar-SA"/>
              </w:rPr>
            </w:pPr>
            <w:r>
              <w:rPr>
                <w:rFonts w:hint="eastAsia"/>
                <w:lang w:val="en-US" w:eastAsia="zh-CN"/>
              </w:rPr>
              <w:t>99.53</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2290402</w:t>
            </w:r>
          </w:p>
        </w:tc>
        <w:tc>
          <w:tcPr>
            <w:tcW w:w="3175" w:type="dxa"/>
            <w:tcBorders>
              <w:top w:val="nil"/>
              <w:left w:val="nil"/>
              <w:bottom w:val="single" w:color="auto" w:sz="4" w:space="0"/>
              <w:right w:val="single" w:color="auto" w:sz="4" w:space="0"/>
            </w:tcBorders>
            <w:shd w:val="clear" w:color="000000" w:fill="FFFFFF"/>
            <w:noWrap/>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其他地方自行试点项目收益专项债券收入安排的支出</w:t>
            </w:r>
          </w:p>
        </w:tc>
        <w:tc>
          <w:tcPr>
            <w:tcW w:w="170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2"/>
                <w:sz w:val="24"/>
                <w:szCs w:val="24"/>
                <w:lang w:val="en-US" w:eastAsia="zh-CN" w:bidi="ar-SA"/>
              </w:rPr>
            </w:pPr>
            <w:r>
              <w:rPr>
                <w:rFonts w:hint="eastAsia"/>
                <w:lang w:val="en-US" w:eastAsia="zh-CN"/>
              </w:rPr>
              <w:t>1400</w:t>
            </w:r>
          </w:p>
        </w:tc>
        <w:tc>
          <w:tcPr>
            <w:tcW w:w="171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11" w:type="dxa"/>
            <w:tcBorders>
              <w:top w:val="nil"/>
              <w:left w:val="nil"/>
              <w:bottom w:val="single" w:color="auto" w:sz="4" w:space="0"/>
              <w:right w:val="single" w:color="auto" w:sz="4" w:space="0"/>
            </w:tcBorders>
            <w:shd w:val="clear" w:color="auto" w:fill="auto"/>
            <w:noWrap/>
            <w:vAlign w:val="center"/>
          </w:tcPr>
          <w:p>
            <w:pPr>
              <w:jc w:val="right"/>
              <w:rPr>
                <w:rFonts w:hint="eastAsia"/>
                <w:lang w:val="en-US" w:eastAsia="zh-CN"/>
              </w:rPr>
            </w:pPr>
            <w:r>
              <w:rPr>
                <w:rFonts w:hint="eastAsia"/>
                <w:lang w:val="en-US" w:eastAsia="zh-CN"/>
              </w:rPr>
              <w:t>1400　</w:t>
            </w:r>
          </w:p>
        </w:tc>
        <w:tc>
          <w:tcPr>
            <w:tcW w:w="18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tbl>
      <w:tblPr>
        <w:tblStyle w:val="12"/>
        <w:tblpPr w:leftFromText="180" w:rightFromText="180" w:vertAnchor="text" w:horzAnchor="page" w:tblpX="712" w:tblpY="55"/>
        <w:tblOverlap w:val="never"/>
        <w:tblW w:w="15521" w:type="dxa"/>
        <w:tblInd w:w="0"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Layout w:type="fixed"/>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4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Layout w:type="fixed"/>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Layout w:type="fixed"/>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lang w:eastAsia="zh-CN"/>
              </w:rPr>
              <w:t>道县全民健身服务中心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Layout w:type="fixed"/>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Layout w:type="fixed"/>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2100.72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五、文化旅游体育与传媒支出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2089.24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2089.24</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color w:val="000000"/>
                <w:kern w:val="0"/>
                <w:sz w:val="22"/>
                <w:szCs w:val="22"/>
                <w:u w:val="none"/>
                <w:lang w:val="en-US" w:eastAsia="zh-CN" w:bidi="ar"/>
              </w:rPr>
              <w:t>六、社会保障和就业支出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7.7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7.7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color w:val="000000"/>
                <w:kern w:val="0"/>
                <w:sz w:val="22"/>
                <w:szCs w:val="22"/>
                <w:u w:val="none"/>
                <w:lang w:val="en-US" w:eastAsia="zh-CN" w:bidi="ar"/>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3.78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r>
              <w:rPr>
                <w:rFonts w:hint="eastAsia" w:ascii="宋体" w:hAnsi="宋体" w:eastAsia="宋体" w:cs="宋体"/>
                <w:i w:val="0"/>
                <w:color w:val="000000"/>
                <w:sz w:val="22"/>
                <w:szCs w:val="22"/>
                <w:u w:val="none"/>
                <w:lang w:eastAsia="zh-CN"/>
              </w:rPr>
              <w:t>八、其他支出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1400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i w:val="0"/>
                <w:color w:val="000000"/>
                <w:kern w:val="2"/>
                <w:sz w:val="22"/>
                <w:szCs w:val="22"/>
                <w:u w:val="none"/>
                <w:lang w:val="en-US" w:eastAsia="zh-CN" w:bidi="ar-SA"/>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3500.72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szCs w:val="22"/>
                <w:lang w:val="en-US" w:eastAsia="zh-CN" w:bidi="ar-SA"/>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3500.72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2100.72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1400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3500.72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3500.72</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2100.72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1400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Layout w:type="fixed"/>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rPr>
          <w:rFonts w:ascii="Times New Roman" w:hAnsi="Times New Roman" w:eastAsia="方正小标宋_GBK" w:cs="Times New Roman"/>
          <w:color w:val="000000"/>
          <w:kern w:val="0"/>
          <w:sz w:val="36"/>
          <w:szCs w:val="36"/>
        </w:rPr>
      </w:pPr>
    </w:p>
    <w:p>
      <w:pPr>
        <w:widowControl/>
        <w:jc w:val="both"/>
        <w:rPr>
          <w:rFonts w:ascii="Times New Roman" w:hAnsi="Times New Roman" w:eastAsia="方正小标宋_GBK" w:cs="Times New Roman"/>
          <w:color w:val="000000"/>
          <w:kern w:val="0"/>
          <w:sz w:val="36"/>
          <w:szCs w:val="21"/>
        </w:rPr>
      </w:pPr>
    </w:p>
    <w:p>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lang w:eastAsia="zh-CN"/>
        </w:rPr>
        <w:t>道县全民健身服务中心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12"/>
        <w:tblW w:w="14219" w:type="dxa"/>
        <w:jc w:val="center"/>
        <w:tblInd w:w="0" w:type="dxa"/>
        <w:tblLayout w:type="fixed"/>
        <w:tblCellMar>
          <w:top w:w="0" w:type="dxa"/>
          <w:left w:w="108" w:type="dxa"/>
          <w:bottom w:w="0" w:type="dxa"/>
          <w:right w:w="108" w:type="dxa"/>
        </w:tblCellMar>
      </w:tblPr>
      <w:tblGrid>
        <w:gridCol w:w="1200"/>
        <w:gridCol w:w="3527"/>
        <w:gridCol w:w="3000"/>
        <w:gridCol w:w="3492"/>
        <w:gridCol w:w="3000"/>
      </w:tblGrid>
      <w:tr>
        <w:tblPrEx>
          <w:tblLayout w:type="fixed"/>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Layout w:type="fixed"/>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Layout w:type="fixed"/>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Layout w:type="fixed"/>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2100.72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188.52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1912.2</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2070301</w:t>
            </w:r>
          </w:p>
        </w:tc>
        <w:tc>
          <w:tcPr>
            <w:tcW w:w="3527" w:type="dxa"/>
            <w:tcBorders>
              <w:top w:val="nil"/>
              <w:left w:val="nil"/>
              <w:bottom w:val="single" w:color="auto" w:sz="4"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行政运行</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77.52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77.52</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2101102</w:t>
            </w:r>
          </w:p>
        </w:tc>
        <w:tc>
          <w:tcPr>
            <w:tcW w:w="3527" w:type="dxa"/>
            <w:tcBorders>
              <w:top w:val="nil"/>
              <w:left w:val="nil"/>
              <w:bottom w:val="single" w:color="auto" w:sz="4"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3.78</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3.78</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2080505</w:t>
            </w:r>
          </w:p>
        </w:tc>
        <w:tc>
          <w:tcPr>
            <w:tcW w:w="3527" w:type="dxa"/>
            <w:tcBorders>
              <w:top w:val="nil"/>
              <w:left w:val="nil"/>
              <w:bottom w:val="single" w:color="auto" w:sz="4"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7.7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2070303</w:t>
            </w:r>
          </w:p>
        </w:tc>
        <w:tc>
          <w:tcPr>
            <w:tcW w:w="3527" w:type="dxa"/>
            <w:tcBorders>
              <w:top w:val="nil"/>
              <w:left w:val="nil"/>
              <w:bottom w:val="single" w:color="auto" w:sz="4"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机关服务</w:t>
            </w:r>
          </w:p>
        </w:tc>
        <w:tc>
          <w:tcPr>
            <w:tcW w:w="3000"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r>
              <w:rPr>
                <w:rFonts w:hint="eastAsia"/>
                <w:lang w:val="en-US" w:eastAsia="zh-CN"/>
              </w:rPr>
              <w:t>1912.2</w:t>
            </w:r>
          </w:p>
        </w:tc>
        <w:tc>
          <w:tcPr>
            <w:tcW w:w="3492" w:type="dxa"/>
            <w:tcBorders>
              <w:top w:val="nil"/>
              <w:left w:val="nil"/>
              <w:bottom w:val="single" w:color="auto" w:sz="4" w:space="0"/>
              <w:right w:val="single" w:color="auto" w:sz="4" w:space="0"/>
            </w:tcBorders>
            <w:shd w:val="clear" w:color="auto" w:fill="auto"/>
            <w:vAlign w:val="center"/>
          </w:tcPr>
          <w:p>
            <w:pPr>
              <w:jc w:val="right"/>
              <w:rPr>
                <w:rFonts w:hint="default" w:asciiTheme="minorHAnsi" w:hAnsiTheme="minorHAnsi" w:eastAsiaTheme="minorEastAsia" w:cstheme="minorBidi"/>
                <w:kern w:val="2"/>
                <w:sz w:val="21"/>
                <w:szCs w:val="22"/>
                <w:lang w:val="en-US" w:eastAsia="zh-CN" w:bidi="ar-SA"/>
              </w:rPr>
            </w:pP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1912.2</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2080506</w:t>
            </w:r>
          </w:p>
        </w:tc>
        <w:tc>
          <w:tcPr>
            <w:tcW w:w="3527" w:type="dxa"/>
            <w:tcBorders>
              <w:top w:val="nil"/>
              <w:left w:val="nil"/>
              <w:bottom w:val="single" w:color="auto" w:sz="4"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0.07</w:t>
            </w:r>
          </w:p>
        </w:tc>
        <w:tc>
          <w:tcPr>
            <w:tcW w:w="3492" w:type="dxa"/>
            <w:tcBorders>
              <w:top w:val="nil"/>
              <w:left w:val="nil"/>
              <w:bottom w:val="single" w:color="auto" w:sz="4" w:space="0"/>
              <w:right w:val="single" w:color="auto" w:sz="4" w:space="0"/>
            </w:tcBorders>
            <w:shd w:val="clear" w:color="auto" w:fill="auto"/>
            <w:vAlign w:val="center"/>
          </w:tcPr>
          <w:p>
            <w:pPr>
              <w:jc w:val="right"/>
              <w:rPr>
                <w:rFonts w:hint="eastAsia" w:asciiTheme="minorHAnsi" w:hAnsiTheme="minorHAnsi" w:eastAsiaTheme="minorEastAsia" w:cstheme="minorBidi"/>
                <w:kern w:val="2"/>
                <w:sz w:val="21"/>
                <w:szCs w:val="22"/>
                <w:lang w:val="en-US" w:eastAsia="zh-CN" w:bidi="ar-SA"/>
              </w:rPr>
            </w:pPr>
            <w:r>
              <w:rPr>
                <w:rFonts w:hint="eastAsia"/>
                <w:lang w:val="en-US" w:eastAsia="zh-CN"/>
              </w:rPr>
              <w:t>0.07</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2070399</w:t>
            </w:r>
          </w:p>
        </w:tc>
        <w:tc>
          <w:tcPr>
            <w:tcW w:w="3527" w:type="dxa"/>
            <w:tcBorders>
              <w:top w:val="nil"/>
              <w:left w:val="nil"/>
              <w:bottom w:val="single" w:color="auto" w:sz="8" w:space="0"/>
              <w:right w:val="single" w:color="auto"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其他体育支出</w:t>
            </w:r>
          </w:p>
        </w:tc>
        <w:tc>
          <w:tcPr>
            <w:tcW w:w="3000"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2"/>
                <w:sz w:val="24"/>
                <w:szCs w:val="24"/>
                <w:lang w:val="en-US" w:eastAsia="zh-CN" w:bidi="ar-SA"/>
              </w:rPr>
            </w:pPr>
            <w:r>
              <w:rPr>
                <w:rFonts w:hint="eastAsia"/>
                <w:lang w:val="en-US" w:eastAsia="zh-CN"/>
              </w:rPr>
              <w:t>99.53</w:t>
            </w:r>
          </w:p>
        </w:tc>
        <w:tc>
          <w:tcPr>
            <w:tcW w:w="3492" w:type="dxa"/>
            <w:tcBorders>
              <w:top w:val="nil"/>
              <w:left w:val="nil"/>
              <w:bottom w:val="single" w:color="auto" w:sz="8" w:space="0"/>
              <w:right w:val="single" w:color="auto" w:sz="4" w:space="0"/>
            </w:tcBorders>
            <w:shd w:val="clear" w:color="auto" w:fill="auto"/>
            <w:vAlign w:val="center"/>
          </w:tcPr>
          <w:p>
            <w:pPr>
              <w:jc w:val="right"/>
              <w:rPr>
                <w:rFonts w:hint="eastAsia" w:ascii="宋体" w:hAnsi="宋体" w:eastAsia="宋体" w:cs="宋体"/>
                <w:kern w:val="2"/>
                <w:sz w:val="24"/>
                <w:szCs w:val="24"/>
                <w:lang w:val="en-US" w:eastAsia="zh-CN" w:bidi="ar-SA"/>
              </w:rPr>
            </w:pPr>
            <w:r>
              <w:rPr>
                <w:rFonts w:hint="eastAsia"/>
                <w:lang w:val="en-US" w:eastAsia="zh-CN"/>
              </w:rPr>
              <w:t>99.53</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Layout w:type="fixed"/>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12"/>
        <w:tblW w:w="15614" w:type="dxa"/>
        <w:tblInd w:w="0" w:type="dxa"/>
        <w:tblLayout w:type="fixed"/>
        <w:tblCellMar>
          <w:top w:w="0" w:type="dxa"/>
          <w:left w:w="108" w:type="dxa"/>
          <w:bottom w:w="0" w:type="dxa"/>
          <w:right w:w="108" w:type="dxa"/>
        </w:tblCellMar>
      </w:tblPr>
      <w:tblGrid>
        <w:gridCol w:w="997"/>
        <w:gridCol w:w="240"/>
        <w:gridCol w:w="94"/>
        <w:gridCol w:w="1865"/>
        <w:gridCol w:w="1480"/>
        <w:gridCol w:w="525"/>
        <w:gridCol w:w="331"/>
        <w:gridCol w:w="1097"/>
        <w:gridCol w:w="308"/>
        <w:gridCol w:w="1881"/>
        <w:gridCol w:w="365"/>
        <w:gridCol w:w="562"/>
        <w:gridCol w:w="914"/>
        <w:gridCol w:w="489"/>
        <w:gridCol w:w="2106"/>
        <w:gridCol w:w="1619"/>
        <w:gridCol w:w="487"/>
        <w:gridCol w:w="254"/>
      </w:tblGrid>
      <w:tr>
        <w:tblPrEx>
          <w:tblLayout w:type="fixed"/>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Layout w:type="fixed"/>
          <w:tblCellMar>
            <w:top w:w="0" w:type="dxa"/>
            <w:left w:w="108" w:type="dxa"/>
            <w:bottom w:w="0" w:type="dxa"/>
            <w:right w:w="108" w:type="dxa"/>
          </w:tblCellMar>
        </w:tblPrEx>
        <w:trPr>
          <w:trHeight w:val="113" w:hRule="atLeast"/>
        </w:trPr>
        <w:tc>
          <w:tcPr>
            <w:tcW w:w="13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1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89</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98.25</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35.56</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27.41</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13.86</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13.86</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0.78</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8.63</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19.47</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0.14</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7.63</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1.26</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0.07</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0.2</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3.78</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2.56</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2.55</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5.34</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1.28</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0.07</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1.28</w:t>
            </w: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0.06</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20</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15</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0.82</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hint="eastAsia" w:ascii="宋体" w:hAnsi="宋体" w:eastAsia="宋体" w:cs="宋体"/>
                <w:color w:val="000000"/>
                <w:kern w:val="0"/>
                <w:szCs w:val="20"/>
              </w:rPr>
            </w:pPr>
          </w:p>
          <w:tbl>
            <w:tblPr>
              <w:tblStyle w:val="12"/>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pPr>
              <w:widowControl/>
              <w:jc w:val="left"/>
              <w:rPr>
                <w:rFonts w:ascii="宋体" w:hAnsi="宋体" w:eastAsia="宋体" w:cs="宋体"/>
                <w:color w:val="000000"/>
                <w:kern w:val="0"/>
                <w:szCs w:val="20"/>
              </w:rPr>
            </w:pP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1331"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1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22.07</w:t>
            </w:r>
            <w:r>
              <w:rPr>
                <w:rFonts w:hint="eastAsia" w:ascii="宋体" w:hAnsi="宋体" w:eastAsia="宋体" w:cs="宋体"/>
                <w:color w:val="000000"/>
                <w:kern w:val="0"/>
                <w:szCs w:val="20"/>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1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Layout w:type="fixed"/>
          <w:tblCellMar>
            <w:top w:w="0" w:type="dxa"/>
            <w:left w:w="108" w:type="dxa"/>
            <w:bottom w:w="0" w:type="dxa"/>
            <w:right w:w="108" w:type="dxa"/>
          </w:tblCellMar>
        </w:tblPrEx>
        <w:trPr>
          <w:trHeight w:val="284" w:hRule="exact"/>
        </w:trPr>
        <w:tc>
          <w:tcPr>
            <w:tcW w:w="467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56"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90.27</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90.27</w:t>
            </w:r>
          </w:p>
        </w:tc>
        <w:tc>
          <w:tcPr>
            <w:tcW w:w="934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741"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lang w:val="en-US" w:eastAsia="zh-CN"/>
              </w:rPr>
              <w:t>98.25</w:t>
            </w: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98.25</w:t>
            </w:r>
          </w:p>
        </w:tc>
      </w:tr>
      <w:tr>
        <w:tblPrEx>
          <w:tblLayout w:type="fixed"/>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345" w:hRule="atLeast"/>
        </w:trPr>
        <w:tc>
          <w:tcPr>
            <w:tcW w:w="99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5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3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6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90" w:hRule="atLeast"/>
        </w:trPr>
        <w:tc>
          <w:tcPr>
            <w:tcW w:w="997"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959"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73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4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965"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6"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459" w:hRule="atLeast"/>
        </w:trPr>
        <w:tc>
          <w:tcPr>
            <w:tcW w:w="3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9"/>
                <w:lang w:val="en-US" w:eastAsia="zh-CN" w:bidi="ar"/>
              </w:rPr>
              <w:t xml:space="preserve">   </w:t>
            </w:r>
            <w:r>
              <w:rPr>
                <w:rStyle w:val="20"/>
                <w:lang w:val="en-US" w:eastAsia="zh-CN" w:bidi="ar"/>
              </w:rPr>
              <w:t>目</w:t>
            </w:r>
          </w:p>
        </w:tc>
        <w:tc>
          <w:tcPr>
            <w:tcW w:w="2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17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609" w:hRule="atLeast"/>
        </w:trPr>
        <w:tc>
          <w:tcPr>
            <w:tcW w:w="12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9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19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4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3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31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2290402</w:t>
            </w:r>
          </w:p>
        </w:tc>
        <w:tc>
          <w:tcPr>
            <w:tcW w:w="1959"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其他地方自行试点项目收益专项债券收入安排的支出</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kern w:val="2"/>
                <w:sz w:val="24"/>
                <w:szCs w:val="24"/>
                <w:lang w:val="en-US" w:eastAsia="zh-CN" w:bidi="ar-SA"/>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lang w:val="en-US" w:eastAsia="zh-CN"/>
              </w:rPr>
              <w:t>1400</w:t>
            </w: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lang w:val="en-US" w:eastAsia="zh-CN"/>
              </w:rPr>
              <w:t>1400</w:t>
            </w: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r>
              <w:rPr>
                <w:rFonts w:hint="eastAsia"/>
                <w:lang w:val="en-US" w:eastAsia="zh-CN"/>
              </w:rPr>
              <w:t>1400</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509" w:hRule="atLeast"/>
        </w:trPr>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7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9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12"/>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4171"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21"/>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12"/>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70"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pPr>
        <w:pStyle w:val="16"/>
        <w:rPr>
          <w:sz w:val="72"/>
          <w:szCs w:val="72"/>
        </w:rPr>
      </w:pPr>
    </w:p>
    <w:p>
      <w:pPr>
        <w:pStyle w:val="16"/>
        <w:rPr>
          <w:sz w:val="72"/>
          <w:szCs w:val="72"/>
        </w:rPr>
      </w:pPr>
    </w:p>
    <w:p>
      <w:pPr>
        <w:pStyle w:val="16"/>
        <w:rPr>
          <w:sz w:val="72"/>
          <w:szCs w:val="72"/>
        </w:rPr>
      </w:pPr>
    </w:p>
    <w:p>
      <w:pPr>
        <w:pStyle w:val="16"/>
        <w:jc w:val="both"/>
        <w:rPr>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3500.72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3145.66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885.95%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全民健身中心项目3312.2万元。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3500.72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3500.72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3500.72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188.52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5.39</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3312.2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94.61</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3500.72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3145.66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885.95%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全民健身中心项目3312.2万元。</w:t>
      </w:r>
    </w:p>
    <w:p>
      <w:pPr>
        <w:pStyle w:val="16"/>
        <w:keepNext w:val="0"/>
        <w:keepLines w:val="0"/>
        <w:pageBreakBefore w:val="0"/>
        <w:widowControl w:val="0"/>
        <w:kinsoku/>
        <w:wordWrap/>
        <w:overflowPunct/>
        <w:topLinePunct w:val="0"/>
        <w:bidi w:val="0"/>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3500.72</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3145.66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885.95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全民健身中心项目3312.2万元。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2100.72</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2004.96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2093.73</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全民健身中心项目支出1912.2万元。</w:t>
      </w:r>
    </w:p>
    <w:p>
      <w:pPr>
        <w:pStyle w:val="16"/>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2100.72</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eastAsia="zh-CN"/>
        </w:rPr>
        <w:t>文化旅游体育与传媒</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2089.24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99.45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0.37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3.78万元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0.18</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384.04</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2100.72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547.01</w:t>
      </w:r>
      <w:r>
        <w:rPr>
          <w:rFonts w:hint="eastAsia" w:ascii="Times New Roman" w:hAnsi="Times New Roman" w:eastAsia="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92.53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77.52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83.79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第四季度绩效尚未发放。</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机关服务</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1912.2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增加了</w:t>
      </w:r>
      <w:r>
        <w:rPr>
          <w:rFonts w:hint="eastAsia" w:ascii="Times New Roman" w:hAnsi="Times New Roman" w:eastAsia="仿宋_GB2312"/>
          <w:sz w:val="32"/>
          <w:szCs w:val="32"/>
          <w:lang w:val="en-US" w:eastAsia="zh-CN"/>
        </w:rPr>
        <w:t>全民健身中心项目支出，未纳入当年预算。</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文化旅游体育与传媒支出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体育</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其他体育支出</w:t>
      </w:r>
      <w:r>
        <w:rPr>
          <w:rFonts w:hint="eastAsia" w:ascii="Times New Roman" w:hAnsi="Times New Roman" w:eastAsia="仿宋_GB2312"/>
          <w:sz w:val="32"/>
          <w:szCs w:val="32"/>
        </w:rPr>
        <w:t>（项）。</w:t>
      </w:r>
    </w:p>
    <w:p>
      <w:pPr>
        <w:pStyle w:val="5"/>
        <w:tabs>
          <w:tab w:val="left" w:pos="3864"/>
          <w:tab w:val="left" w:pos="6248"/>
          <w:tab w:val="left" w:pos="7386"/>
        </w:tabs>
        <w:overflowPunct w:val="0"/>
        <w:spacing w:before="1" w:line="360" w:lineRule="auto"/>
        <w:ind w:left="420" w:leftChars="200" w:right="420" w:firstLine="659" w:firstLineChars="206"/>
        <w:rPr>
          <w:rFonts w:hint="eastAsia" w:ascii="仿宋" w:hAnsi="仿宋" w:eastAsia="仿宋" w:cs="仿宋"/>
          <w:color w:val="000000"/>
          <w:shd w:val="clear" w:color="auto" w:fill="FFFFFF"/>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99.53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39.81</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该款项为体彩发行工作经费专项资金，该项目尚未完结</w:t>
      </w:r>
      <w:r>
        <w:rPr>
          <w:rFonts w:hint="eastAsia" w:ascii="仿宋" w:hAnsi="仿宋" w:eastAsia="仿宋" w:cs="仿宋"/>
          <w:color w:val="000000"/>
          <w:shd w:val="clear" w:color="auto" w:fill="FFFFFF"/>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8.85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7.63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86.21</w:t>
      </w:r>
      <w:r>
        <w:rPr>
          <w:rFonts w:hint="eastAsia" w:ascii="Times New Roman" w:hAnsi="Times New Roman" w:eastAsia="仿宋_GB2312"/>
          <w:sz w:val="32"/>
          <w:szCs w:val="32"/>
        </w:rPr>
        <w:t>%，决算数大于（小于）年初预算数的主要原因是：</w:t>
      </w:r>
      <w:r>
        <w:rPr>
          <w:rFonts w:hint="eastAsia" w:ascii="Times New Roman" w:hAnsi="Times New Roman" w:eastAsia="仿宋_GB2312"/>
          <w:sz w:val="32"/>
          <w:szCs w:val="32"/>
          <w:lang w:eastAsia="zh-CN"/>
        </w:rPr>
        <w:t>第四季度养老保险尚未缴纳。</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行政事业单位养老金支出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机关事业单位职业年金缴费支出</w:t>
      </w:r>
      <w:r>
        <w:rPr>
          <w:rFonts w:hint="eastAsia" w:ascii="Times New Roman" w:hAnsi="Times New Roman" w:eastAsia="仿宋_GB2312"/>
          <w:sz w:val="32"/>
          <w:szCs w:val="32"/>
        </w:rPr>
        <w:t>（项）。</w:t>
      </w:r>
    </w:p>
    <w:p>
      <w:pPr>
        <w:pStyle w:val="5"/>
        <w:tabs>
          <w:tab w:val="left" w:pos="3864"/>
          <w:tab w:val="left" w:pos="6248"/>
          <w:tab w:val="left" w:pos="7386"/>
        </w:tabs>
        <w:overflowPunct w:val="0"/>
        <w:spacing w:before="1" w:line="360" w:lineRule="auto"/>
        <w:ind w:right="420" w:firstLine="640" w:firstLineChars="200"/>
        <w:rPr>
          <w:rFonts w:hint="eastAsia" w:ascii="仿宋" w:hAnsi="仿宋" w:eastAsia="仿宋" w:cs="仿宋"/>
          <w:color w:val="000000"/>
          <w:shd w:val="clear" w:color="auto" w:fill="FFFFFF"/>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%，决算数大于（小于）年初预算数的主要原因是：</w:t>
      </w:r>
      <w:r>
        <w:rPr>
          <w:rFonts w:hint="eastAsia" w:ascii="仿宋" w:hAnsi="仿宋" w:eastAsia="仿宋" w:cs="仿宋"/>
          <w:color w:val="000000"/>
          <w:shd w:val="clear" w:color="auto" w:fill="FFFFFF"/>
        </w:rPr>
        <w:t>年初预算部分科目划分到其他科目，没有细分到该科目。</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78.59</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第四季度医疗保险尚未缴纳。</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188.52</w:t>
      </w:r>
      <w:r>
        <w:rPr>
          <w:rFonts w:hint="eastAsia" w:ascii="Times New Roman" w:hAnsi="Times New Roman" w:eastAsia="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90.27</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47.88</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机关事业单位基本养老保险缴费、职业年金缴费、职工基本医疗保险缴费、其他社会保障缴费、住房公积金、退休费、抚恤金、生活补助、救济费、奖励金、其他对个人和家庭的补助</w:t>
      </w:r>
      <w:r>
        <w:rPr>
          <w:rFonts w:hint="eastAsia" w:ascii="Times New Roman" w:hAnsi="Times New Roman" w:eastAsia="仿宋_GB2312"/>
          <w:sz w:val="32"/>
          <w:szCs w:val="32"/>
          <w:lang w:eastAsia="zh-CN"/>
        </w:rPr>
        <w:t>。</w:t>
      </w:r>
    </w:p>
    <w:p>
      <w:pPr>
        <w:pStyle w:val="5"/>
        <w:tabs>
          <w:tab w:val="left" w:pos="3864"/>
          <w:tab w:val="left" w:pos="6248"/>
          <w:tab w:val="left" w:pos="7386"/>
        </w:tabs>
        <w:overflowPunct w:val="0"/>
        <w:spacing w:before="1" w:line="360" w:lineRule="auto"/>
        <w:ind w:right="420" w:firstLine="643"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98.25</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52.12</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水费、电费、邮电费、物业管理费、差旅费、维修（护）费、会议费、培训费、公务接待费、劳务费、委托业务费、工会经费、福利费、公务用车运行维护费、其他商品和服务支出。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4.72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践行中央八项规定，</w:t>
      </w:r>
      <w:r>
        <w:rPr>
          <w:rFonts w:hint="eastAsia" w:ascii="Times New Roman" w:hAnsi="Times New Roman" w:eastAsia="仿宋_GB2312"/>
          <w:sz w:val="32"/>
          <w:szCs w:val="32"/>
        </w:rPr>
        <w:t>厉行节约，控制接待规模</w:t>
      </w:r>
      <w:r>
        <w:rPr>
          <w:rFonts w:hint="eastAsia" w:ascii="Times New Roman" w:hAnsi="Times New Roman" w:eastAsia="仿宋_GB2312"/>
          <w:sz w:val="32"/>
          <w:szCs w:val="32"/>
          <w:lang w:eastAsia="zh-CN"/>
        </w:rPr>
        <w:t>，接待人次减少，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94.17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践行中央八项规定，厉行节约的成效</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4.72</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践行中央八项规定，</w:t>
      </w:r>
      <w:r>
        <w:rPr>
          <w:rFonts w:hint="eastAsia" w:ascii="Times New Roman" w:hAnsi="Times New Roman" w:eastAsia="仿宋_GB2312"/>
          <w:sz w:val="32"/>
          <w:szCs w:val="32"/>
        </w:rPr>
        <w:t>厉行节约，控制接待规模</w:t>
      </w:r>
      <w:r>
        <w:rPr>
          <w:rFonts w:hint="eastAsia" w:ascii="Times New Roman" w:hAnsi="Times New Roman" w:eastAsia="仿宋_GB2312"/>
          <w:sz w:val="32"/>
          <w:szCs w:val="32"/>
          <w:lang w:eastAsia="zh-CN"/>
        </w:rPr>
        <w:t>，接待人次减少，</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0.97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94.17</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践行中央八项规定，厉行节约的成效</w:t>
      </w:r>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万元，完成预算的XX%，与本年预算数相同，</w:t>
      </w:r>
      <w:bookmarkStart w:id="3" w:name="DIS_MARK_IS_ZERO_03_1"/>
      <w:bookmarkEnd w:id="3"/>
      <w:bookmarkStart w:id="4" w:name="IS_ZERO_03"/>
      <w:bookmarkEnd w:id="4"/>
      <w:bookmarkStart w:id="5" w:name="END_THERR_CZBK_GWYCGZJYXW_FINAL_BGT_D"/>
      <w:bookmarkEnd w:id="5"/>
      <w:bookmarkStart w:id="6" w:name="START_IS_ZERO_03_2"/>
      <w:bookmarkEnd w:id="6"/>
      <w:bookmarkStart w:id="7" w:name="START_IS_ZERO_03_1"/>
      <w:bookmarkEnd w:id="7"/>
      <w:bookmarkStart w:id="8" w:name="END_IS_ZERO_03_1"/>
      <w:bookmarkEnd w:id="8"/>
      <w:bookmarkStart w:id="9" w:name="DIS_MARK_IS_ZERO_03_2"/>
      <w:r>
        <w:rPr>
          <w:rFonts w:hint="eastAsia" w:ascii="Times New Roman" w:hAnsi="Times New Roman" w:eastAsia="仿宋_GB2312"/>
          <w:sz w:val="32"/>
          <w:szCs w:val="32"/>
        </w:rPr>
        <w:t>与上年决算数相同</w:t>
      </w:r>
      <w:bookmarkEnd w:id="9"/>
      <w:r>
        <w:rPr>
          <w:rFonts w:hint="eastAsia" w:ascii="Times New Roman" w:hAnsi="Times New Roman" w:eastAsia="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rPr>
      </w:pPr>
      <w:r>
        <w:rPr>
          <w:rFonts w:hint="eastAsia" w:ascii="Times New Roman" w:hAnsi="Times New Roman" w:eastAsia="仿宋_GB2312"/>
          <w:sz w:val="32"/>
          <w:szCs w:val="32"/>
        </w:rPr>
        <w:t>公务用车运行维护费支出预算为</w:t>
      </w:r>
      <w:bookmarkStart w:id="10" w:name="THERR_CZBK_GWYCYXWHF_BGT_AMT"/>
      <w:r>
        <w:rPr>
          <w:rFonts w:hint="eastAsia" w:ascii="Times New Roman" w:hAnsi="Times New Roman" w:eastAsia="仿宋_GB2312"/>
          <w:sz w:val="32"/>
          <w:szCs w:val="32"/>
        </w:rPr>
        <w:t>0.00</w:t>
      </w:r>
      <w:bookmarkEnd w:id="10"/>
      <w:r>
        <w:rPr>
          <w:rFonts w:hint="eastAsia" w:ascii="Times New Roman" w:hAnsi="Times New Roman" w:eastAsia="仿宋_GB2312"/>
          <w:sz w:val="32"/>
          <w:szCs w:val="32"/>
        </w:rPr>
        <w:t>万元，支出决算为</w:t>
      </w:r>
      <w:bookmarkStart w:id="11" w:name="THERR_CZBK_GWYCYXWHF_FINAL_ACCOUNTS_AMT"/>
      <w:r>
        <w:rPr>
          <w:rFonts w:hint="eastAsia" w:ascii="Times New Roman" w:hAnsi="Times New Roman" w:eastAsia="仿宋_GB2312"/>
          <w:sz w:val="32"/>
          <w:szCs w:val="32"/>
        </w:rPr>
        <w:t>0.00</w:t>
      </w:r>
      <w:bookmarkEnd w:id="11"/>
      <w:r>
        <w:rPr>
          <w:rFonts w:hint="eastAsia" w:ascii="Times New Roman" w:hAnsi="Times New Roman" w:eastAsia="仿宋_GB2312"/>
          <w:sz w:val="32"/>
          <w:szCs w:val="32"/>
        </w:rPr>
        <w:t>万元，</w:t>
      </w:r>
      <w:bookmarkStart w:id="12" w:name="END_THERR_CZBK_GWYCYXWHF_BGT_AMT"/>
      <w:bookmarkEnd w:id="12"/>
      <w:bookmarkStart w:id="13" w:name="DIS_MARK_THERR_CZBK_GWYCYXWHF_BGT_AMT"/>
      <w:bookmarkEnd w:id="13"/>
      <w:bookmarkStart w:id="14" w:name="END_THERR_CZBK_GWYCYXWHF_FINAL_BGT_DB"/>
      <w:bookmarkEnd w:id="14"/>
      <w:bookmarkStart w:id="15" w:name="START_THERR_CZBK_GWYCYXWHF_FINAL_BGT_D"/>
      <w:bookmarkEnd w:id="15"/>
      <w:bookmarkStart w:id="16" w:name="DIS_MARK_THERR_CZBK_GWYCYXWHF_FINAL_BGT_"/>
      <w:bookmarkEnd w:id="16"/>
      <w:bookmarkStart w:id="17" w:name="START_THERR_CZBK_GWYCYXWHF_FINAL_BGT_DB"/>
      <w:bookmarkEnd w:id="17"/>
      <w:bookmarkStart w:id="18" w:name="START_THERR_CZBK_GWYCYXWHF_BGT_AMT"/>
      <w:bookmarkEnd w:id="18"/>
      <w:r>
        <w:rPr>
          <w:rFonts w:hint="eastAsia" w:ascii="Times New Roman" w:hAnsi="Times New Roman" w:eastAsia="仿宋_GB2312"/>
          <w:sz w:val="32"/>
          <w:szCs w:val="32"/>
        </w:rPr>
        <w:t>与本年预算数相同，</w:t>
      </w:r>
      <w:bookmarkStart w:id="19" w:name="START_IS_ZERO_11_1"/>
      <w:bookmarkEnd w:id="19"/>
      <w:bookmarkStart w:id="20" w:name="DIS_MARK_IS_ZERO_11_1"/>
      <w:bookmarkEnd w:id="20"/>
      <w:bookmarkStart w:id="21" w:name="END_THERR_CZBK_GWYCYXWHF_FINAL_BGT_D"/>
      <w:bookmarkEnd w:id="21"/>
      <w:bookmarkStart w:id="22" w:name="START_IS_ZERO_11_2"/>
      <w:bookmarkEnd w:id="22"/>
      <w:bookmarkStart w:id="23" w:name="IS_ZERO_11"/>
      <w:bookmarkEnd w:id="23"/>
      <w:bookmarkStart w:id="24" w:name="END_IS_ZERO_11_1"/>
      <w:bookmarkEnd w:id="24"/>
      <w:bookmarkStart w:id="25" w:name="DIS_MARK_IS_ZERO_11_2"/>
      <w:r>
        <w:rPr>
          <w:rFonts w:hint="eastAsia" w:ascii="Times New Roman" w:hAnsi="Times New Roman" w:eastAsia="仿宋_GB2312"/>
          <w:sz w:val="32"/>
          <w:szCs w:val="32"/>
        </w:rPr>
        <w:t>与上年决算数相同。</w:t>
      </w:r>
      <w:bookmarkEnd w:id="25"/>
    </w:p>
    <w:p>
      <w:pPr>
        <w:pStyle w:val="16"/>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6"/>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val="en-US"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5"/>
        <w:tabs>
          <w:tab w:val="left" w:pos="3864"/>
          <w:tab w:val="left" w:pos="6248"/>
          <w:tab w:val="left" w:pos="7386"/>
        </w:tabs>
        <w:overflowPunct w:val="0"/>
        <w:spacing w:before="1" w:line="360" w:lineRule="auto"/>
        <w:ind w:left="420" w:leftChars="200" w:right="420" w:firstLine="659" w:firstLineChars="206"/>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0.06</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人次，主要是</w:t>
      </w:r>
      <w:r>
        <w:rPr>
          <w:rFonts w:hint="eastAsia" w:ascii="仿宋" w:hAnsi="仿宋" w:eastAsia="仿宋" w:cs="仿宋"/>
        </w:rPr>
        <w:t>其他县区领导及代表队来道交流学习发生的接待支出</w:t>
      </w:r>
      <w:bookmarkStart w:id="26" w:name="END_THERR_GWJDF_AMT"/>
      <w:bookmarkEnd w:id="26"/>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本部门</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6"/>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1400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1400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1400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其他政府性基金支出</w:t>
      </w:r>
      <w:r>
        <w:rPr>
          <w:rFonts w:hint="eastAsia" w:ascii="Times New Roman" w:hAnsi="Times New Roman" w:eastAsia="仿宋_GB2312"/>
          <w:sz w:val="32"/>
          <w:szCs w:val="32"/>
        </w:rPr>
        <w:t>其他地方自行试点项目收益专项债券收入安排的支出（项）。</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%，决算数大于年初预算数的主要原因是：增加了全民健身中心项目</w:t>
      </w:r>
      <w:r>
        <w:rPr>
          <w:rFonts w:hint="eastAsia" w:ascii="Times New Roman" w:hAnsi="Times New Roman" w:eastAsia="仿宋_GB2312"/>
          <w:sz w:val="32"/>
          <w:szCs w:val="32"/>
          <w:lang w:eastAsia="zh-CN"/>
        </w:rPr>
        <w:t>，年初未纳入预算。</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本单位为公益一类事业单位。</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bookmarkStart w:id="27" w:name="MEET_FUNDS_AMT"/>
      <w:r>
        <w:rPr>
          <w:rFonts w:hint="eastAsia" w:ascii="Times New Roman" w:hAnsi="Times New Roman" w:eastAsia="仿宋_GB2312"/>
          <w:sz w:val="32"/>
          <w:szCs w:val="32"/>
        </w:rPr>
        <w:t>0</w:t>
      </w:r>
      <w:bookmarkEnd w:id="27"/>
      <w:r>
        <w:rPr>
          <w:rFonts w:hint="eastAsia" w:ascii="Times New Roman" w:hAnsi="Times New Roman" w:eastAsia="仿宋_GB2312"/>
          <w:sz w:val="32"/>
          <w:szCs w:val="32"/>
        </w:rPr>
        <w:t>万元</w:t>
      </w:r>
      <w:bookmarkStart w:id="28" w:name="DIS_MARK_MEET_FUNDS_AMT"/>
      <w:bookmarkEnd w:id="28"/>
      <w:bookmarkStart w:id="29" w:name="END_MEET_FUNDS_AMT"/>
      <w:bookmarkEnd w:id="29"/>
      <w:bookmarkStart w:id="30" w:name="MEET_FUNDS_HYNR"/>
      <w:bookmarkEnd w:id="30"/>
      <w:bookmarkStart w:id="31" w:name="START_MEET_FUNDS_AMT"/>
      <w:bookmarkEnd w:id="31"/>
      <w:r>
        <w:rPr>
          <w:rFonts w:hint="eastAsia" w:ascii="Times New Roman" w:hAnsi="Times New Roman" w:eastAsia="仿宋_GB2312"/>
          <w:sz w:val="32"/>
          <w:szCs w:val="32"/>
        </w:rPr>
        <w:t>；开支培训费</w:t>
      </w:r>
      <w:bookmarkStart w:id="32" w:name="TRAIN_FUNDS_AMT"/>
      <w:r>
        <w:rPr>
          <w:rFonts w:hint="eastAsia" w:ascii="Times New Roman" w:hAnsi="Times New Roman" w:eastAsia="仿宋_GB2312"/>
          <w:sz w:val="32"/>
          <w:szCs w:val="32"/>
        </w:rPr>
        <w:t>0</w:t>
      </w:r>
      <w:bookmarkEnd w:id="32"/>
      <w:r>
        <w:rPr>
          <w:rFonts w:hint="eastAsia" w:ascii="Times New Roman" w:hAnsi="Times New Roman" w:eastAsia="仿宋_GB2312"/>
          <w:sz w:val="32"/>
          <w:szCs w:val="32"/>
        </w:rPr>
        <w:t>万元</w:t>
      </w:r>
      <w:bookmarkStart w:id="33" w:name="TRAIN_FUNDS_PXNR"/>
      <w:bookmarkEnd w:id="33"/>
      <w:bookmarkStart w:id="34" w:name="START_TRAIN_FUNDS_AMT"/>
      <w:bookmarkEnd w:id="34"/>
      <w:bookmarkStart w:id="35" w:name="DIS_MARK_TRAIN_FUNDS_AMT"/>
      <w:bookmarkEnd w:id="35"/>
      <w:bookmarkStart w:id="36" w:name="END_TRAIN_FUNDS_AMT"/>
      <w:bookmarkEnd w:id="36"/>
      <w:r>
        <w:rPr>
          <w:rFonts w:hint="eastAsia" w:ascii="Times New Roman" w:hAnsi="Times New Roman" w:eastAsia="仿宋_GB2312"/>
          <w:sz w:val="32"/>
          <w:szCs w:val="32"/>
        </w:rPr>
        <w:t>；</w:t>
      </w:r>
      <w:bookmarkStart w:id="37" w:name="END_YES"/>
      <w:bookmarkEnd w:id="37"/>
      <w:bookmarkStart w:id="38" w:name="START_YES"/>
      <w:bookmarkEnd w:id="38"/>
      <w:bookmarkStart w:id="39" w:name="START_NO"/>
      <w:bookmarkEnd w:id="39"/>
      <w:bookmarkStart w:id="40" w:name="YES_NO"/>
      <w:bookmarkEnd w:id="40"/>
      <w:bookmarkStart w:id="41" w:name="DIS_MARK_YES"/>
      <w:bookmarkEnd w:id="41"/>
      <w:bookmarkStart w:id="42" w:name="DIS_MARK_NO"/>
      <w:r>
        <w:rPr>
          <w:rFonts w:hint="eastAsia" w:ascii="Times New Roman" w:hAnsi="Times New Roman" w:eastAsia="仿宋_GB2312"/>
          <w:sz w:val="32"/>
          <w:szCs w:val="32"/>
        </w:rPr>
        <w:t>未举办节庆、晚会、论坛、赛事活动。</w:t>
      </w:r>
      <w:bookmarkEnd w:id="42"/>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本部门2023年度政府采购支出总额</w:t>
      </w:r>
      <w:r>
        <w:rPr>
          <w:rFonts w:hint="eastAsia" w:ascii="Times New Roman" w:hAnsi="Times New Roman" w:eastAsia="仿宋_GB2312"/>
          <w:sz w:val="32"/>
          <w:szCs w:val="32"/>
          <w:lang w:val="en-US" w:eastAsia="zh-CN"/>
        </w:rPr>
        <w:t>41.89</w:t>
      </w:r>
      <w:r>
        <w:rPr>
          <w:rFonts w:hint="eastAsia" w:ascii="Times New Roman" w:hAnsi="Times New Roman" w:eastAsia="仿宋_GB2312"/>
          <w:sz w:val="32"/>
          <w:szCs w:val="32"/>
        </w:rPr>
        <w:t>万元，其中：政府采购货物支出0万元、政府采购工程支出0万元、政府采购服务支出</w:t>
      </w:r>
      <w:r>
        <w:rPr>
          <w:rFonts w:hint="eastAsia" w:ascii="Times New Roman" w:hAnsi="Times New Roman" w:eastAsia="仿宋_GB2312"/>
          <w:sz w:val="32"/>
          <w:szCs w:val="32"/>
          <w:lang w:val="en-US" w:eastAsia="zh-CN"/>
        </w:rPr>
        <w:t>41.89</w:t>
      </w:r>
      <w:r>
        <w:rPr>
          <w:rFonts w:hint="eastAsia" w:ascii="Times New Roman" w:hAnsi="Times New Roman" w:eastAsia="仿宋_GB2312"/>
          <w:sz w:val="32"/>
          <w:szCs w:val="32"/>
        </w:rPr>
        <w:t>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年12月31日，本部门共有公务用车</w:t>
      </w:r>
      <w:bookmarkStart w:id="43" w:name="GYZC_TOTAL_GWYC"/>
      <w:r>
        <w:rPr>
          <w:rFonts w:hint="eastAsia" w:ascii="Times New Roman" w:hAnsi="Times New Roman" w:eastAsia="仿宋_GB2312"/>
          <w:sz w:val="32"/>
          <w:szCs w:val="32"/>
        </w:rPr>
        <w:t>0</w:t>
      </w:r>
      <w:bookmarkEnd w:id="43"/>
      <w:r>
        <w:rPr>
          <w:rFonts w:hint="eastAsia" w:ascii="Times New Roman" w:hAnsi="Times New Roman" w:eastAsia="仿宋_GB2312"/>
          <w:sz w:val="32"/>
          <w:szCs w:val="32"/>
        </w:rPr>
        <w:t>辆，其中</w:t>
      </w:r>
      <w:r>
        <w:rPr>
          <w:rFonts w:hint="eastAsia" w:ascii="Times New Roman" w:hAnsi="Times New Roman" w:eastAsia="仿宋_GB2312"/>
          <w:sz w:val="32"/>
          <w:szCs w:val="32"/>
          <w:lang w:eastAsia="zh-CN"/>
        </w:rPr>
        <w:t>，副部（省）级及以上领导用车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w:t>
      </w:r>
      <w:r>
        <w:rPr>
          <w:rFonts w:hint="eastAsia" w:ascii="Times New Roman" w:hAnsi="Times New Roman" w:eastAsia="仿宋_GB2312"/>
          <w:sz w:val="32"/>
          <w:szCs w:val="32"/>
          <w:lang w:eastAsia="zh-CN"/>
        </w:rPr>
        <w:t>负责人</w:t>
      </w:r>
      <w:r>
        <w:rPr>
          <w:rFonts w:hint="eastAsia" w:ascii="Times New Roman" w:hAnsi="Times New Roman" w:eastAsia="仿宋_GB2312"/>
          <w:sz w:val="32"/>
          <w:szCs w:val="32"/>
        </w:rPr>
        <w:t>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离退休干部服务用车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辆；单位价值100万元以上设备</w:t>
      </w:r>
      <w:r>
        <w:rPr>
          <w:rFonts w:hint="eastAsia" w:ascii="Times New Roman" w:hAnsi="Times New Roman" w:eastAsia="仿宋_GB2312"/>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widowControl/>
        <w:suppressLineNumbers w:val="0"/>
        <w:ind w:firstLine="640" w:firstLineChars="200"/>
        <w:jc w:val="left"/>
        <w:rPr>
          <w:rFonts w:hint="eastAsia" w:ascii="楷体" w:hAnsi="楷体" w:eastAsia="楷体" w:cs="楷体"/>
          <w:b/>
          <w:bCs/>
          <w:sz w:val="32"/>
          <w:szCs w:val="32"/>
          <w:lang w:eastAsia="zh-CN"/>
        </w:rPr>
      </w:pPr>
      <w:r>
        <w:rPr>
          <w:rFonts w:hint="eastAsia" w:ascii="Times New Roman" w:hAnsi="Times New Roman" w:eastAsia="仿宋_GB2312" w:cs="黑体"/>
          <w:color w:val="auto"/>
          <w:kern w:val="0"/>
          <w:sz w:val="32"/>
          <w:szCs w:val="32"/>
          <w:lang w:val="en-US" w:eastAsia="zh-CN" w:bidi="ar-SA"/>
        </w:rPr>
        <w:t>2023年我部门按照县财政的要求，牢固树立“花钱必问效、无效必问责”的预算绩效管理理念，不断提升绩效管理水平，将绩效理念和方法深度融入预算编制、执行、监督全过程，构建事前评估、事中监控、事后绩效评价的绩效管理闭环系统，最大程度发挥财政资金效益。</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部门整体支出绩效情况</w:t>
      </w:r>
    </w:p>
    <w:p>
      <w:pPr>
        <w:keepNext w:val="0"/>
        <w:keepLines w:val="0"/>
        <w:pageBreakBefore w:val="0"/>
        <w:widowControl w:val="0"/>
        <w:kinsoku/>
        <w:overflowPunct/>
        <w:topLinePunct w:val="0"/>
        <w:bidi w:val="0"/>
        <w:snapToGrid w:val="0"/>
        <w:spacing w:line="560" w:lineRule="atLeast"/>
        <w:ind w:firstLine="640" w:firstLineChars="200"/>
        <w:rPr>
          <w:rFonts w:hint="eastAsia" w:ascii="仿宋" w:hAnsi="仿宋" w:eastAsia="仿宋" w:cs="仿宋"/>
          <w:sz w:val="32"/>
          <w:szCs w:val="32"/>
          <w:lang w:val="en-US" w:eastAsia="zh-CN"/>
        </w:rPr>
      </w:pPr>
      <w:r>
        <w:rPr>
          <w:rFonts w:hint="eastAsia" w:ascii="Times New Roman" w:hAnsi="Times New Roman" w:eastAsia="仿宋_GB2312" w:cs="黑体"/>
          <w:color w:val="000000"/>
          <w:kern w:val="0"/>
          <w:sz w:val="32"/>
          <w:szCs w:val="32"/>
          <w:lang w:val="en-US" w:eastAsia="zh-CN" w:bidi="ar-SA"/>
        </w:rPr>
        <w:t>2023年是全面贯彻落实党的二十大精神的开局之年。我们坚持以习近平新时代中国特色社会主义思想为指导，深入学习贯彻党的二十大和二十届二中全会精神，不折不扣落实县委、县政府确定的工作思路和目标任务。在县委的坚强领导下，坚持稳中求进工作总基调，以不断提高人民群众健康素质为目标，坚决贯彻落实《全民健身实施计划（2022—2025年）》。</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80" w:lineRule="exact"/>
        <w:ind w:leftChars="300" w:right="0" w:rightChars="0"/>
        <w:jc w:val="both"/>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1、突出履职尽责担当，增强基层党建凝聚力</w:t>
      </w:r>
    </w:p>
    <w:p>
      <w:pPr>
        <w:keepNext w:val="0"/>
        <w:keepLines w:val="0"/>
        <w:pageBreakBefore w:val="0"/>
        <w:widowControl w:val="0"/>
        <w:kinsoku/>
        <w:overflowPunct/>
        <w:topLinePunct w:val="0"/>
        <w:bidi w:val="0"/>
        <w:snapToGrid w:val="0"/>
        <w:spacing w:line="560" w:lineRule="atLeast"/>
        <w:ind w:firstLine="640" w:firstLineChars="20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一是始终以党的旗帜为旗帜。坚持党的领导，深刻领悟“两个确立”，坚决做到“两个维护”。把学习宣传贯彻党的二十大精神作为首要政治任务，拍摄“微党课”视频1个、下体育协会宣讲2次。以“体育+党建”形式，以“凝心铸魂跟党走.团结奋斗新征程”、“学习贯彻二十大.踔厉奋发新征程”为主题，组织举办县级以上群体活动14次。通过支部书记带头学，党员干部集中学，党课研讨学、网络线上学等形式组织单位党员每月跟进学习习近平总书记重要讲话重要指示批示精神。做到把准政治方向，经常对标对表，主动跟进跟上，始终在政治立场、政治方向、政治原则、政治道路上同习近平同志为核心的中共中央保持高度一致。二是始终以党的方向为方向。坚持执行“三会一课”规范制度化。年内共召开党员大会6次、专题组织生活会和民主评议党员各1次，支部书记上专题党课4次，组织支部主题党日</w:t>
      </w:r>
      <w:r>
        <w:rPr>
          <w:rFonts w:hint="eastAsia" w:ascii="Times New Roman" w:hAnsi="Times New Roman" w:eastAsia="仿宋_GB2312" w:cs="黑体"/>
          <w:color w:val="000000"/>
          <w:kern w:val="0"/>
          <w:sz w:val="32"/>
          <w:szCs w:val="32"/>
          <w:lang w:val="en-US" w:eastAsia="zh-CN" w:bidi="ar-SA"/>
        </w:rPr>
        <w:fldChar w:fldCharType="begin"/>
      </w:r>
      <w:r>
        <w:rPr>
          <w:rFonts w:hint="eastAsia" w:ascii="Times New Roman" w:hAnsi="Times New Roman" w:eastAsia="仿宋_GB2312" w:cs="黑体"/>
          <w:color w:val="000000"/>
          <w:kern w:val="0"/>
          <w:sz w:val="32"/>
          <w:szCs w:val="32"/>
          <w:lang w:val="en-US" w:eastAsia="zh-CN" w:bidi="ar-SA"/>
        </w:rPr>
        <w:instrText xml:space="preserve"> HYPERLINK "http://www.zw2.cn/zhuanti/guanyuhuodongzuowen/" \t "https://www.zw2.cn/hanjiazuoye/_blank" </w:instrText>
      </w:r>
      <w:r>
        <w:rPr>
          <w:rFonts w:hint="eastAsia" w:ascii="Times New Roman" w:hAnsi="Times New Roman" w:eastAsia="仿宋_GB2312" w:cs="黑体"/>
          <w:color w:val="000000"/>
          <w:kern w:val="0"/>
          <w:sz w:val="32"/>
          <w:szCs w:val="32"/>
          <w:lang w:val="en-US" w:eastAsia="zh-CN" w:bidi="ar-SA"/>
        </w:rPr>
        <w:fldChar w:fldCharType="separate"/>
      </w:r>
      <w:r>
        <w:rPr>
          <w:rFonts w:hint="eastAsia" w:ascii="Times New Roman" w:hAnsi="Times New Roman" w:eastAsia="仿宋_GB2312" w:cs="黑体"/>
          <w:color w:val="000000"/>
          <w:kern w:val="0"/>
          <w:sz w:val="32"/>
          <w:szCs w:val="32"/>
          <w:lang w:val="en-US" w:eastAsia="zh-CN" w:bidi="ar-SA"/>
        </w:rPr>
        <w:t>活动</w:t>
      </w:r>
      <w:r>
        <w:rPr>
          <w:rFonts w:hint="eastAsia" w:ascii="Times New Roman" w:hAnsi="Times New Roman" w:eastAsia="仿宋_GB2312" w:cs="黑体"/>
          <w:color w:val="000000"/>
          <w:kern w:val="0"/>
          <w:sz w:val="32"/>
          <w:szCs w:val="32"/>
          <w:lang w:val="en-US" w:eastAsia="zh-CN" w:bidi="ar-SA"/>
        </w:rPr>
        <w:fldChar w:fldCharType="end"/>
      </w:r>
      <w:r>
        <w:rPr>
          <w:rFonts w:hint="eastAsia" w:ascii="Times New Roman" w:hAnsi="Times New Roman" w:eastAsia="仿宋_GB2312" w:cs="黑体"/>
          <w:color w:val="000000"/>
          <w:kern w:val="0"/>
          <w:sz w:val="32"/>
          <w:szCs w:val="32"/>
          <w:lang w:val="en-US" w:eastAsia="zh-CN" w:bidi="ar-SA"/>
        </w:rPr>
        <w:t>12次，开展党员廉政警示教育2次，走访慰问退休、困难党员2次，党员联系群众不低于12次，通过开展“一课一片一实践”活动3次，让支部组织生活提质增效。三是以党的意志为意志。开展“以学铸魂”“以学增智”“以学正风”“以学促干”主题教育专题研讨会4次，组织支部党员干部集中学习12次，支部书记上专题党课4次，上廉政党课2次。自觉按照中共中央重大决策和省委、市委、县委部署要求，做到党委工作部署到哪里，党员履职就跟进到哪里，作用就发挥到哪里。“坚持党委重点抓什么，支部就配合监督什么”，紧盯政策落实中的“中梗阻”、工作推进中的“老大难”，助推党委决策部署落实落地。</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80" w:lineRule="exact"/>
        <w:ind w:leftChars="300" w:right="0" w:rightChars="0"/>
        <w:jc w:val="both"/>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2、强化思想政治引领，全面筑牢意识形态防线</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一是管好宣传主阵地。</w:t>
      </w:r>
      <w:r>
        <w:rPr>
          <w:rFonts w:hint="eastAsia" w:ascii="Times New Roman" w:hAnsi="Times New Roman" w:eastAsia="仿宋_GB2312"/>
          <w:sz w:val="32"/>
          <w:szCs w:val="32"/>
          <w:lang w:val="en-US" w:eastAsia="zh-CN"/>
        </w:rPr>
        <w:t>坚持“体育”姓党根本原则，严格落实“一岗双责”主体责任，明确分管领导和股室责任人意识形态工作，配齐宣传干事，单位上下形成“党委统一领导、党政齐抓共管、宣传干事组织协调、相关股室分工负责”的意识形态工作格局。坚持做到意识形态工作同中心工作同安排、同部署、同考核，对重点领域、重点对象、重要问题特别是重大网络意识形态，按照“四个一”要求，做到情况清楚、心中有数。端午节龙船赛期间，就龙船赛的开展先后3次向县委、宣传部、县网信办汇报意识形态舆情分析，调度突发敏感舆情分析研判，提出相应处置方案和措施，回复群众龙船信访问题4件，将各种问题化解在萌芽阶段或关键环节，为端午节龙船赛的成功安全举办奠定坚实的工作基础。</w:t>
      </w:r>
      <w:r>
        <w:rPr>
          <w:rFonts w:hint="eastAsia" w:ascii="Times New Roman" w:hAnsi="Times New Roman" w:eastAsia="仿宋_GB2312"/>
          <w:sz w:val="32"/>
          <w:szCs w:val="32"/>
          <w:lang w:eastAsia="zh-CN"/>
        </w:rPr>
        <w:t>二是</w:t>
      </w:r>
      <w:r>
        <w:rPr>
          <w:rFonts w:hint="eastAsia" w:ascii="Times New Roman" w:hAnsi="Times New Roman" w:eastAsia="仿宋_GB2312"/>
          <w:sz w:val="32"/>
          <w:szCs w:val="32"/>
        </w:rPr>
        <w:t>强化理论学习教育。</w:t>
      </w:r>
      <w:r>
        <w:rPr>
          <w:rFonts w:hint="eastAsia" w:ascii="Times New Roman" w:hAnsi="Times New Roman" w:eastAsia="仿宋_GB2312"/>
          <w:sz w:val="32"/>
          <w:szCs w:val="32"/>
          <w:lang w:val="en-US" w:eastAsia="zh-CN"/>
        </w:rPr>
        <w:t>中心召开4次专题会议研究意识形态工作，主要负责人积极参加理论学习中心组集中学习8次.并采取支部集中学、会前传达学、日常工作学等形式，及时传达贯彻党中央和上级党委指示精神，扎实做好强信心、聚人心、筑同心工作，牢牢把握正确的政治导向，统一党员干部思想，为推动我县经济高质量发展提供了强大的精神动力和思想保证。</w:t>
      </w:r>
      <w:r>
        <w:rPr>
          <w:rFonts w:hint="eastAsia" w:ascii="Times New Roman" w:hAnsi="Times New Roman" w:eastAsia="仿宋_GB2312"/>
          <w:sz w:val="32"/>
          <w:szCs w:val="32"/>
          <w:lang w:eastAsia="zh-CN"/>
        </w:rPr>
        <w:t>三是</w:t>
      </w:r>
      <w:r>
        <w:rPr>
          <w:rFonts w:hint="eastAsia" w:ascii="Times New Roman" w:hAnsi="Times New Roman" w:eastAsia="仿宋_GB2312"/>
          <w:sz w:val="32"/>
          <w:szCs w:val="32"/>
        </w:rPr>
        <w:t>加强正确舆论引导。</w:t>
      </w:r>
      <w:r>
        <w:rPr>
          <w:rFonts w:hint="eastAsia" w:ascii="Times New Roman" w:hAnsi="Times New Roman" w:eastAsia="仿宋_GB2312"/>
          <w:sz w:val="32"/>
          <w:szCs w:val="32"/>
          <w:lang w:val="en-US" w:eastAsia="zh-CN"/>
        </w:rPr>
        <w:t>确保组织举办的体育赛事弘扬主旋律，传播正能量。通过中心微信工作群、体育单项协会微信群、群体活动微信群适时开展网上正面宣传引导。及时对党建工作、乡村振兴、文明创建、平安建设等工作进行宣传，通过举办丰富多样的活动在国家、省、市、县等媒体发表各类正面宣传稿件110余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80" w:lineRule="exact"/>
        <w:ind w:left="642" w:leftChars="0" w:right="0" w:rightChars="0" w:firstLine="0" w:firstLineChars="0"/>
        <w:jc w:val="both"/>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3、推动全民健身发展，打造县域体育“品牌”赛事</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是开展丰富多彩的群体活动，引导群众加入全民健身行列。1至12月，组织举办县级以上大型群体活动14次，以“开展全民健身.创建文明社区”为主题，举办道县2023年“体彩杯”社区趣味运动会；与县总工会组织举办道县第三届“职工杯”乒乓球比赛；组织举办道县第一届职工羽毛球比赛；以“发展体育运动.增强人民体质”为主题，组织举办道县2023年“体彩杯”瑜伽项目展演赛；以“凝心铸魂跟党走.同心筑梦谱新篇”举办道县第五届职工篮球赛；以“理传千年.龙腾四海”为主题，组织举办道县2023年端午节“紫金杯”国家非遗龙船赛，赛事规模之大、队伍之多、运动员之众为历年之最；8月5日，组织举办道县2023年“体彩杯”篮球联赛；以“珍爱生命.远离溺水”为主题，组织举办2023年防溺水知识宣传暨道县第五届“体彩杯”青少年游泳比赛；举办2023年永州市南六县“冠一高中杯”篮球邀请赛；以“学习贯彻二十大.踔厉奋发新征程”为主题，组织举办西洲街道第四届气排球赛暨“玉龙湾杯”邀请赛；以“我们的节日”为主题，开展“全民健身、你我同行”2023年重阳节永州市南六县“体彩杯”太极拳（剑）邀请赛；以“走，去永州，品道州脐橙”为主题，组织举办“巅峰湖南.2023”六大名山登山赛暨“大美永州”大穿越活动（道县站），宣传道县，推介道县；以“加强锻炼、增强体质、全民健身、从校抓起”为主题，与教育局组织举办道县42届中小学生运动会，积极推广“三大球”，即篮球、乒乓球、足球进校园青少年活动。活动举办的丰富多彩，为“健康道县”工作的推进贡献了道县全民健身中心力量。二是点燃群众参与热情，共享健康生活。组队参加省、市群体活动3次：永州市2023年气排球比赛获青年组第三名；湖南省第三届社区趣味运动会暨永州市选拔赛获团体赛第三名、青年组第一名；第一届宣传文旅系统运动会获优胜奖；湖南省第四届社区趣味运动会暨永州市选拔赛获团体第三名；组队参加2023年“盐津铺子.湖南省乒协杯</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乒乓球俱乐部联赛（成年组），道县队获得第三名。通过群体活动的举办，营造“体育赛事齐参与、全民健身享健康”良好氛围，引导广大群众走进健身行列。三是紧紧围绕国家非遗“名片”，精心打造龙船“品牌”赛事。我们以“体育活动塔台、推介宣传道县”为基准，通过“体育+文化”“体育+旅游”模式，走出县门学经验，创新思维办赛事。道县2023年端午节“紫金杯”国家非遗龙船赛的成功举办，无论是参赛办法、竞赛规则、航道布置、赛事解说、多措宣传，都是耳目一新、质的提升，对大力宣传推介道县美丽山水、厚重文化、优质旅游资源和推动道县体育健身与文化旅游融合发展具有重要意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80" w:lineRule="exact"/>
        <w:ind w:left="642" w:leftChars="0" w:right="0" w:rightChars="0" w:firstLine="0" w:firstLineChars="0"/>
        <w:jc w:val="both"/>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4、落实奥运争光计划，提升道县竞技体育实力</w:t>
      </w:r>
    </w:p>
    <w:p>
      <w:pPr>
        <w:keepNext w:val="0"/>
        <w:keepLines w:val="0"/>
        <w:pageBreakBefore w:val="0"/>
        <w:widowControl w:val="0"/>
        <w:tabs>
          <w:tab w:val="left" w:pos="749"/>
        </w:tabs>
        <w:kinsoku/>
        <w:wordWrap/>
        <w:overflowPunct/>
        <w:topLinePunct w:val="0"/>
        <w:autoSpaceDE w:val="0"/>
        <w:autoSpaceDN w:val="0"/>
        <w:bidi w:val="0"/>
        <w:adjustRightInd/>
        <w:snapToGrid/>
        <w:spacing w:beforeAutospacing="0" w:afterAutospacing="0" w:line="580" w:lineRule="exact"/>
        <w:ind w:firstLine="643" w:firstLineChars="200"/>
        <w:jc w:val="left"/>
        <w:rPr>
          <w:rFonts w:hint="eastAsia" w:ascii="仿宋" w:hAnsi="仿宋" w:eastAsia="仿宋" w:cs="仿宋"/>
          <w:sz w:val="32"/>
          <w:szCs w:val="32"/>
          <w:lang w:val="en-US" w:eastAsia="zh-CN"/>
        </w:rPr>
      </w:pPr>
      <w:r>
        <w:rPr>
          <w:rFonts w:hint="eastAsia" w:ascii="仿宋" w:hAnsi="仿宋" w:eastAsia="仿宋" w:cs="仿宋"/>
          <w:b/>
          <w:bCs w:val="0"/>
          <w:spacing w:val="0"/>
          <w:w w:val="100"/>
          <w:sz w:val="32"/>
          <w:szCs w:val="32"/>
          <w:lang w:val="en-US" w:eastAsia="zh-CN"/>
        </w:rPr>
        <w:t xml:space="preserve"> </w:t>
      </w:r>
      <w:r>
        <w:rPr>
          <w:rFonts w:hint="eastAsia" w:ascii="Times New Roman" w:hAnsi="Times New Roman" w:eastAsia="仿宋_GB2312" w:cs="黑体"/>
          <w:color w:val="000000"/>
          <w:kern w:val="0"/>
          <w:sz w:val="32"/>
          <w:szCs w:val="32"/>
          <w:lang w:val="en-US" w:eastAsia="zh-CN" w:bidi="ar-SA"/>
        </w:rPr>
        <w:t>一是以体教融合为重点，推动重点体育项目进校园。2023年成功申报道县五中为“湖南省摔跤柔道跆拳道项目试点学校”。2月13日，组队代表参加湖南省青少年武术锦标赛荣获1金1银1铜。5月29日，组队参加湖南省首届儿童体育大会暨永州市运动会，我县获女子足球U16组铜牌。二是以体育选材为基准，推动竞技体育后备人才储备。今年4月，组织教练员深入全县9个中小学校，选拔39名优秀运动苗子输送到市体校。参加2023年永州市青少年举重锦标赛暨后备人才选拔赛，我县运动员获金牌4枚，银牌2枚；参加2023年永州市青少年游泳锦标赛暨后备人才选拔赛获团体总分第一名。竞技体育后备人才队伍的不断壮大，为我县业余体校恢复奠定坚实人才基础。三是以业训工作为核心，推动《奥运争光计划》落实。从县财政体彩公益金专批15万元资金用于市体校71名道县籍重点体育项目运动员、重大赛事集训运动员日常训练伙食补助，为我县运动健儿艰苦训练提供强有力的后勤保障。4月19日，我县运动员欧冠代表湖南参加2023年全国水球锦标赛荣获铜牌1枚；7月29日，道县籍运动员周婷参加湖南省青少年攀岩锦标赛荣获攀石铜牌1枚；8月1日，道县籍街舞运动员何俊豪参加2023年湖南省青少年街舞锦标赛获金牌1枚，并入选湖南省体育局备战2025年全运会街舞队集训。</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80" w:lineRule="exact"/>
        <w:ind w:left="642" w:leftChars="0" w:right="0" w:rightChars="0" w:firstLine="0" w:firstLineChars="0"/>
        <w:jc w:val="both"/>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5、拓展体彩销售渠道，持续推动体育产业增效</w:t>
      </w:r>
    </w:p>
    <w:p>
      <w:pPr>
        <w:keepNext w:val="0"/>
        <w:keepLines w:val="0"/>
        <w:pageBreakBefore w:val="0"/>
        <w:widowControl w:val="0"/>
        <w:tabs>
          <w:tab w:val="left" w:pos="749"/>
        </w:tabs>
        <w:kinsoku/>
        <w:wordWrap/>
        <w:overflowPunct/>
        <w:topLinePunct w:val="0"/>
        <w:autoSpaceDE w:val="0"/>
        <w:autoSpaceDN w:val="0"/>
        <w:bidi w:val="0"/>
        <w:adjustRightInd/>
        <w:snapToGrid/>
        <w:spacing w:beforeAutospacing="0" w:afterAutospacing="0" w:line="580" w:lineRule="exact"/>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val="0"/>
          <w:spacing w:val="0"/>
          <w:w w:val="100"/>
          <w:sz w:val="32"/>
          <w:szCs w:val="32"/>
          <w:lang w:val="en-US" w:eastAsia="zh-CN"/>
        </w:rPr>
        <w:t>一是</w:t>
      </w:r>
      <w:r>
        <w:rPr>
          <w:rFonts w:hint="eastAsia" w:ascii="仿宋" w:hAnsi="仿宋" w:eastAsia="仿宋" w:cs="仿宋"/>
          <w:sz w:val="32"/>
          <w:szCs w:val="32"/>
          <w:lang w:val="en-US" w:eastAsia="zh-CN"/>
        </w:rPr>
        <w:t>坚持开年即冲刺的指导思想，早谋划、早行动，不断提升“乐透型”玩法的市场影响力，保持“即开型”玩法稳步增长，推进“竞猜型”玩法市场培育。</w:t>
      </w:r>
      <w:r>
        <w:rPr>
          <w:rFonts w:hint="eastAsia" w:ascii="仿宋" w:hAnsi="仿宋" w:eastAsia="仿宋" w:cs="仿宋"/>
          <w:b/>
          <w:bCs w:val="0"/>
          <w:spacing w:val="0"/>
          <w:w w:val="100"/>
          <w:sz w:val="32"/>
          <w:szCs w:val="32"/>
          <w:lang w:val="en-US" w:eastAsia="zh-CN"/>
        </w:rPr>
        <w:t>二是</w:t>
      </w:r>
      <w:r>
        <w:rPr>
          <w:rFonts w:hint="eastAsia" w:ascii="仿宋" w:hAnsi="仿宋" w:eastAsia="仿宋" w:cs="仿宋"/>
          <w:sz w:val="32"/>
          <w:szCs w:val="32"/>
          <w:lang w:val="en-US" w:eastAsia="zh-CN"/>
        </w:rPr>
        <w:t>针对消费复苏和经济热潮，集中精力做好服务，哪个体彩网店需要帮扶，就派人驻点；哪个玩法属于短板，就群策群力想办法解决。先后3次召开高频建设研讨会，出台12条相关激励促销措施。三是发挥“后世界杯”效益，组织5次全县性业务培训，强化实体店代销员技能提升。全县50个体彩网店体彩销量达到2300余万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完成省、市分配任务数</w:t>
      </w:r>
      <w:r>
        <w:rPr>
          <w:rFonts w:hint="default" w:ascii="仿宋" w:hAnsi="仿宋" w:eastAsia="仿宋" w:cs="仿宋"/>
          <w:sz w:val="32"/>
          <w:szCs w:val="32"/>
          <w:lang w:val="en-US" w:eastAsia="zh-CN"/>
        </w:rPr>
        <w:t>。</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80" w:lineRule="exact"/>
        <w:ind w:left="642" w:leftChars="0" w:right="0" w:rightChars="0" w:firstLine="0" w:firstLineChars="0"/>
        <w:jc w:val="both"/>
        <w:rPr>
          <w:rFonts w:hint="eastAsia" w:ascii="楷体" w:hAnsi="楷体" w:eastAsia="楷体" w:cs="楷体"/>
          <w:b/>
          <w:bCs/>
          <w:spacing w:val="0"/>
          <w:w w:val="100"/>
          <w:sz w:val="32"/>
          <w:szCs w:val="32"/>
          <w:lang w:val="en-US" w:eastAsia="zh-CN"/>
        </w:rPr>
      </w:pPr>
      <w:r>
        <w:rPr>
          <w:rFonts w:hint="eastAsia" w:ascii="楷体" w:hAnsi="楷体" w:eastAsia="楷体" w:cs="楷体"/>
          <w:b/>
          <w:bCs/>
          <w:spacing w:val="0"/>
          <w:w w:val="100"/>
          <w:sz w:val="32"/>
          <w:szCs w:val="32"/>
          <w:lang w:val="en-US" w:eastAsia="zh-CN"/>
        </w:rPr>
        <w:t>6、完善公共服务体系，补齐全民健身设施短板</w:t>
      </w:r>
    </w:p>
    <w:p>
      <w:pPr>
        <w:keepNext w:val="0"/>
        <w:keepLines w:val="0"/>
        <w:pageBreakBefore w:val="0"/>
        <w:widowControl w:val="0"/>
        <w:tabs>
          <w:tab w:val="left" w:pos="749"/>
        </w:tabs>
        <w:kinsoku/>
        <w:wordWrap/>
        <w:overflowPunct/>
        <w:topLinePunct w:val="0"/>
        <w:autoSpaceDE w:val="0"/>
        <w:autoSpaceDN w:val="0"/>
        <w:bidi w:val="0"/>
        <w:adjustRightInd/>
        <w:snapToGrid/>
        <w:spacing w:beforeAutospacing="0" w:afterAutospacing="0" w:line="580" w:lineRule="exact"/>
        <w:ind w:firstLine="640" w:firstLineChars="200"/>
        <w:jc w:val="lef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为广泛开展全民健身活动，补齐全民健身设施短板，在大力推进文体公园对外运营管理工作的同时，今年3月28日成功定标并启动道县全民健身中心项目建设，完成项目初步设计、项目初勘、项目监理挂网招标、现场活动板房搭建、项目土地征收补偿、水电接入、青苗补偿、房屋征收、迁坟、项目详勘及施工图的深化设计等。全民健身中心建设项目的开工建设，大大提升道县形象，成为道县一张新的城市名片。</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Autospacing="0" w:line="580" w:lineRule="exact"/>
        <w:ind w:right="0" w:rightChars="0" w:firstLine="643" w:firstLineChars="200"/>
        <w:jc w:val="both"/>
        <w:rPr>
          <w:rFonts w:hint="eastAsia" w:ascii="楷体" w:hAnsi="楷体" w:eastAsia="楷体" w:cs="楷体"/>
          <w:b/>
          <w:bCs/>
          <w:color w:val="auto"/>
          <w:spacing w:val="0"/>
          <w:w w:val="100"/>
          <w:sz w:val="32"/>
          <w:szCs w:val="32"/>
          <w:shd w:val="clear" w:color="auto" w:fill="auto"/>
          <w:lang w:val="en-US" w:eastAsia="zh-CN"/>
        </w:rPr>
      </w:pPr>
      <w:r>
        <w:rPr>
          <w:rFonts w:hint="eastAsia" w:ascii="楷体" w:hAnsi="楷体" w:eastAsia="楷体" w:cs="楷体"/>
          <w:b/>
          <w:bCs/>
          <w:color w:val="auto"/>
          <w:spacing w:val="0"/>
          <w:w w:val="100"/>
          <w:sz w:val="32"/>
          <w:szCs w:val="32"/>
          <w:shd w:val="clear" w:color="auto" w:fill="auto"/>
          <w:lang w:val="en-US" w:eastAsia="zh-CN"/>
        </w:rPr>
        <w:t>7、实施“体育惠民”工程，切实办好惠民利民实事</w:t>
      </w:r>
    </w:p>
    <w:p>
      <w:pPr>
        <w:keepNext w:val="0"/>
        <w:keepLines w:val="0"/>
        <w:pageBreakBefore w:val="0"/>
        <w:widowControl w:val="0"/>
        <w:numPr>
          <w:ilvl w:val="0"/>
          <w:numId w:val="0"/>
        </w:numPr>
        <w:tabs>
          <w:tab w:val="left" w:pos="749"/>
        </w:tabs>
        <w:kinsoku/>
        <w:wordWrap/>
        <w:overflowPunct/>
        <w:topLinePunct w:val="0"/>
        <w:autoSpaceDE w:val="0"/>
        <w:autoSpaceDN w:val="0"/>
        <w:bidi w:val="0"/>
        <w:adjustRightInd/>
        <w:snapToGrid/>
        <w:spacing w:beforeAutospacing="0" w:afterAutospacing="0" w:line="580" w:lineRule="exact"/>
        <w:ind w:right="0" w:rightChars="0" w:firstLine="640" w:firstLineChars="200"/>
        <w:jc w:val="both"/>
        <w:rPr>
          <w:rFonts w:hint="eastAsia" w:ascii="仿宋" w:hAnsi="仿宋" w:eastAsia="仿宋" w:cs="仿宋"/>
          <w:sz w:val="32"/>
          <w:szCs w:val="32"/>
          <w:lang w:val="en-US" w:eastAsia="zh-CN"/>
        </w:rPr>
      </w:pPr>
      <w:r>
        <w:rPr>
          <w:rFonts w:hint="eastAsia" w:ascii="Times New Roman" w:hAnsi="Times New Roman" w:eastAsia="仿宋_GB2312" w:cs="黑体"/>
          <w:color w:val="000000"/>
          <w:kern w:val="0"/>
          <w:sz w:val="32"/>
          <w:szCs w:val="32"/>
          <w:lang w:val="en-US" w:eastAsia="zh-CN" w:bidi="ar-SA"/>
        </w:rPr>
        <w:t>一是攻坚克难，加大争资跑项力度。今年项目争资282.12万元，极大缓解我县体育资金支出紧张的问题，全部用于群众体育活动的开展、体育场地设施的新增、体育健身器材的维修；省市争项4套农民体育健身工程和9套全民健身路径，全部下放到位13个行政村并指导安装、验收投入使用。二是多措并举，实施体育惠民工程。实现城区40个社区建有“晨晚练体育活动点”，体育健身设施覆盖率达到100%，城市“15分钟健身圈”逐步形成；全县369个行政村(社区)拥有农民体育健身工程、全民健身路径等体育健身设施的333个，覆盖率达到90.24%，其中，108个乡村振兴示范村体育健身设施覆盖率达到100%。三是全力以赴，助力创文创卫工作。为迎接国卫复审、全国文明县城创建，完善西洲公园健康步道1个，对破损、丢失的健康步道标识牌、健康知识宣传牌进行恢复和维修；新建绍基公园、爱莲桥南岸健康步道2个；为40个社区实地检查体育健身器材462件、义务维修38件、更新22件。</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一是绩效评价结果运用还不够。预算编制不科学, 预算与绩效管理“两张皮”现象依然存在。绩效评价以事后评价为主，问题的发现、评价结果的提出与实际应用，时间跨度较大，使结果应用效力受限。 </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sz w:val="72"/>
          <w:szCs w:val="72"/>
        </w:rPr>
      </w:pPr>
      <w:r>
        <w:rPr>
          <w:rFonts w:hint="eastAsia" w:ascii="Times New Roman" w:hAnsi="Times New Roman" w:eastAsia="仿宋_GB2312"/>
          <w:sz w:val="32"/>
          <w:szCs w:val="32"/>
          <w:lang w:val="en-US" w:eastAsia="zh-CN"/>
        </w:rPr>
        <w:t>二是绩效评价应用有待继续加强。绩效评价通常在项目完成后进行，绩效评价结果很难改变预算使用效果。效果，影响客观评价。</w:t>
      </w:r>
    </w:p>
    <w:p>
      <w:pPr>
        <w:pStyle w:val="16"/>
        <w:jc w:val="both"/>
        <w:rPr>
          <w:sz w:val="72"/>
          <w:szCs w:val="72"/>
        </w:rPr>
      </w:pP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1．财政拨款收入：指单位本年度从同级财政部门取得的各类财政拨款。</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2．上级补助收入：指事业单位从主管部门和上级单位取得的非财政补助收入。</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5．事业收入：指事业单位开展专业业务活动及其辅助活动取得的收入，事业单位收到的财政专户实际核拨的教育收费等资金在此反映。</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6．经营收入：指事业单位在专业业务活动及其辅助活动之外开展非独立核算经营活动取得的收入。</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7．附属单位上缴收入：指事业单位附属独立核算单位按照有关规定上缴的收入。</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8．其他收入：指单位取得的除上述“财政拨款收入”、“事业收入”、“经营收入”等以外的各项收入。</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9．使用非财政拨款结余：指事业单位使用非财政拨款结余（原事业基金）弥补当年收支差额的数额。</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ab/>
      </w:r>
      <w:r>
        <w:rPr>
          <w:rFonts w:hint="eastAsia" w:ascii="仿宋_GB2312" w:hAnsi="仿宋_GB2312" w:eastAsia="仿宋_GB2312" w:cs="仿宋_GB2312"/>
          <w:color w:val="000000"/>
          <w:sz w:val="32"/>
          <w:szCs w:val="32"/>
          <w:shd w:val="clear" w:color="auto" w:fill="FFFFFF"/>
        </w:rPr>
        <w:t>10．年初结转和结余：指单位上年结转本年使用的基本支出结转、项目支出结转和结余和经营结余。</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11．结余分配：指事业单位按规定对非财政拨款结余资金提取的专用基金、缴纳的所得税和转入非财政拨款结余等。</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12．年末结转和结余资金：指本年度或以前年度预算安排、因客观条件发生变化无法按原计划实施，需要延迟到以后年度按有关规定继续使用的资金。</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13．基本支出：指为保障机构正常运转、完成日常工作任务而发生的支出，包括人员经费和公用经费。</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14．项目支出：指在为完成特定的工作任务和事业发展目标所发生的支出。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15．上缴上级支出：指事业单位按照财政部门和主管部门的规定上缴上级单位的支出。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16．经营支出：指事业单位在专业业务活动及其辅助活动之外开展非独立核算经营活动发生的支出。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17．对附属单位补助支出：指事业单位用财政拨款收入之外的收入对附属单位补助发生的支出。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18．文化旅游体育与传媒支出（类）体育（款）其他体育支出（项）：反映除上述项目以外其他用于体育方面的支出。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19．社会保障和就业支出（类）行政事业单位养老支出（款）机关事业单位基本养老保险缴费支出（项）：反映机关事业单位实施养老保险制度由单位缴纳的基本养老保险费支出。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rPr>
        <w:sectPr>
          <w:pgSz w:w="11906" w:h="16838"/>
          <w:pgMar w:top="1440" w:right="746" w:bottom="1440" w:left="720" w:header="851" w:footer="992" w:gutter="0"/>
          <w:pgNumType w:fmt="numberInDash"/>
          <w:cols w:space="720" w:num="1"/>
          <w:docGrid w:type="lines" w:linePitch="319" w:charSpace="0"/>
        </w:sectPr>
      </w:pPr>
      <w:r>
        <w:rPr>
          <w:rFonts w:hint="eastAsia" w:ascii="仿宋_GB2312" w:hAnsi="仿宋_GB2312" w:eastAsia="仿宋_GB2312" w:cs="仿宋_GB2312"/>
          <w:color w:val="000000"/>
          <w:sz w:val="32"/>
          <w:szCs w:val="32"/>
          <w:shd w:val="clear" w:color="auto" w:fill="FFFFFF"/>
        </w:rPr>
        <w:t>20．卫生健康支出（类）行政事业单位医疗（款）事业单位医疗（项）：反映财政部门安排的事业单位基本医疗保险缴费经费，未参 加医疗保险的事业单位的公费医疗经费，按国家规定享受离休 人员待遇的医疗经费。</w:t>
      </w:r>
    </w:p>
    <w:p>
      <w:pPr>
        <w:pStyle w:val="16"/>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p>
    <w:p>
      <w:pPr>
        <w:pStyle w:val="16"/>
        <w:jc w:val="center"/>
        <w:rPr>
          <w:sz w:val="72"/>
          <w:szCs w:val="72"/>
        </w:rPr>
      </w:pPr>
    </w:p>
    <w:p>
      <w:pPr>
        <w:pStyle w:val="16"/>
        <w:jc w:val="center"/>
        <w:rPr>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6"/>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pPr>
        <w:pStyle w:val="16"/>
        <w:jc w:val="center"/>
        <w:rPr>
          <w:sz w:val="72"/>
          <w:szCs w:val="72"/>
        </w:rPr>
      </w:pPr>
    </w:p>
    <w:p>
      <w:pPr>
        <w:pStyle w:val="16"/>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2ViMWEyZjkyOWJjMzE1YmE2ZTU0MjI5NjMwY2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3CE115C"/>
    <w:rsid w:val="1D97DEFF"/>
    <w:rsid w:val="1DFF72E5"/>
    <w:rsid w:val="1EFC6F07"/>
    <w:rsid w:val="248C1EB8"/>
    <w:rsid w:val="25B31826"/>
    <w:rsid w:val="263712CE"/>
    <w:rsid w:val="2BC75883"/>
    <w:rsid w:val="2FDF85B8"/>
    <w:rsid w:val="2FFFEE04"/>
    <w:rsid w:val="34DF85B0"/>
    <w:rsid w:val="3B8F36BC"/>
    <w:rsid w:val="3B9114CB"/>
    <w:rsid w:val="491FF225"/>
    <w:rsid w:val="4FFD214C"/>
    <w:rsid w:val="508B5328"/>
    <w:rsid w:val="5777D4F5"/>
    <w:rsid w:val="59D40607"/>
    <w:rsid w:val="59DD8326"/>
    <w:rsid w:val="5DEF592A"/>
    <w:rsid w:val="5FC6BB1E"/>
    <w:rsid w:val="5FF720F1"/>
    <w:rsid w:val="67FF5C0B"/>
    <w:rsid w:val="6EFC0924"/>
    <w:rsid w:val="6FB74722"/>
    <w:rsid w:val="6FEF8B7E"/>
    <w:rsid w:val="70A42689"/>
    <w:rsid w:val="71A6591B"/>
    <w:rsid w:val="737D59BA"/>
    <w:rsid w:val="7532040C"/>
    <w:rsid w:val="7695169A"/>
    <w:rsid w:val="77382E94"/>
    <w:rsid w:val="77C37683"/>
    <w:rsid w:val="79FF267E"/>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39"/>
      <w:ind w:left="760"/>
      <w:outlineLvl w:val="0"/>
    </w:pPr>
    <w:rPr>
      <w:rFonts w:ascii="仿宋" w:hAnsi="仿宋" w:eastAsia="仿宋" w:cs="仿宋"/>
      <w:b/>
      <w:bCs/>
      <w:sz w:val="30"/>
      <w:szCs w:val="30"/>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eastAsia="宋体"/>
    </w:rPr>
  </w:style>
  <w:style w:type="paragraph" w:styleId="4">
    <w:name w:val="Normal Indent"/>
    <w:basedOn w:val="1"/>
    <w:qFormat/>
    <w:uiPriority w:val="0"/>
    <w:pPr>
      <w:widowControl w:val="0"/>
      <w:ind w:firstLine="420"/>
      <w:jc w:val="both"/>
    </w:pPr>
    <w:rPr>
      <w:rFonts w:ascii="Calibri" w:hAnsi="Calibri" w:eastAsia="宋体"/>
      <w:kern w:val="2"/>
      <w:sz w:val="21"/>
      <w:szCs w:val="20"/>
      <w:lang w:val="en-US" w:eastAsia="zh-CN" w:bidi="ar-SA"/>
    </w:rPr>
  </w:style>
  <w:style w:type="paragraph" w:styleId="5">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6">
    <w:name w:val="Body Text Indent"/>
    <w:basedOn w:val="1"/>
    <w:next w:val="7"/>
    <w:unhideWhenUsed/>
    <w:qFormat/>
    <w:uiPriority w:val="99"/>
    <w:pPr>
      <w:widowControl/>
      <w:spacing w:after="120"/>
      <w:ind w:left="420" w:leftChars="200"/>
      <w:jc w:val="left"/>
    </w:pPr>
    <w:rPr>
      <w:rFonts w:ascii="宋体" w:hAnsi="宋体" w:eastAsia="宋体" w:cs="宋体"/>
      <w:kern w:val="0"/>
      <w:sz w:val="24"/>
    </w:rPr>
  </w:style>
  <w:style w:type="paragraph" w:styleId="7">
    <w:name w:val="Body Text First Indent 2"/>
    <w:basedOn w:val="6"/>
    <w:next w:val="1"/>
    <w:unhideWhenUsed/>
    <w:qFormat/>
    <w:uiPriority w:val="99"/>
    <w:pPr>
      <w:ind w:firstLine="420" w:firstLineChars="200"/>
    </w:pPr>
  </w:style>
  <w:style w:type="paragraph" w:styleId="8">
    <w:name w:val="Balloon Text"/>
    <w:basedOn w:val="1"/>
    <w:link w:val="18"/>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7"/>
    <w:semiHidden/>
    <w:qFormat/>
    <w:uiPriority w:val="0"/>
    <w:pPr>
      <w:snapToGrid w:val="0"/>
      <w:jc w:val="left"/>
    </w:pPr>
    <w:rPr>
      <w:sz w:val="18"/>
      <w:szCs w:val="18"/>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8"/>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11690</Words>
  <Characters>13159</Characters>
  <Lines>63</Lines>
  <Paragraphs>18</Paragraphs>
  <TotalTime>35</TotalTime>
  <ScaleCrop>false</ScaleCrop>
  <LinksUpToDate>false</LinksUpToDate>
  <CharactersWithSpaces>14107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2024-08-28T03:40:51Z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E32447A7330E4439BC0D2EA0868212A8_13</vt:lpwstr>
  </property>
</Properties>
</file>