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7"/>
        <w:jc w:val="center"/>
        <w:rPr>
          <w:sz w:val="56"/>
          <w:szCs w:val="56"/>
        </w:rPr>
      </w:pPr>
    </w:p>
    <w:p>
      <w:pPr>
        <w:pStyle w:val="17"/>
        <w:jc w:val="center"/>
        <w:rPr>
          <w:sz w:val="84"/>
          <w:szCs w:val="84"/>
        </w:rPr>
      </w:pPr>
    </w:p>
    <w:p>
      <w:pPr>
        <w:pStyle w:val="17"/>
        <w:jc w:val="center"/>
        <w:rPr>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7"/>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道县住房和城乡建设局</w:t>
      </w: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7"/>
        <w:jc w:val="center"/>
        <w:rPr>
          <w:rFonts w:hint="eastAsia" w:ascii="方正小标宋_GBK" w:hAnsi="方正小标宋_GBK" w:eastAsia="方正小标宋_GBK" w:cs="方正小标宋_GBK"/>
          <w:sz w:val="56"/>
          <w:szCs w:val="56"/>
        </w:rPr>
      </w:pP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32"/>
          <w:szCs w:val="32"/>
        </w:rPr>
      </w:pPr>
    </w:p>
    <w:p>
      <w:pPr>
        <w:pStyle w:val="17"/>
        <w:jc w:val="center"/>
        <w:rPr>
          <w:sz w:val="32"/>
          <w:szCs w:val="32"/>
        </w:rPr>
      </w:pPr>
    </w:p>
    <w:p>
      <w:pPr>
        <w:pStyle w:val="17"/>
        <w:spacing w:line="500" w:lineRule="exact"/>
        <w:jc w:val="both"/>
        <w:rPr>
          <w:b/>
          <w:sz w:val="36"/>
          <w:szCs w:val="28"/>
        </w:rPr>
      </w:pPr>
    </w:p>
    <w:p>
      <w:pPr>
        <w:pStyle w:val="17"/>
        <w:spacing w:line="500" w:lineRule="exact"/>
        <w:jc w:val="both"/>
        <w:rPr>
          <w:b/>
          <w:sz w:val="36"/>
          <w:szCs w:val="28"/>
        </w:rPr>
      </w:pPr>
    </w:p>
    <w:p>
      <w:pPr>
        <w:pStyle w:val="17"/>
        <w:spacing w:line="500" w:lineRule="exact"/>
        <w:jc w:val="center"/>
        <w:rPr>
          <w:b/>
          <w:sz w:val="36"/>
          <w:szCs w:val="28"/>
        </w:rPr>
      </w:pPr>
      <w:r>
        <w:rPr>
          <w:rFonts w:hint="eastAsia"/>
          <w:b/>
          <w:sz w:val="36"/>
          <w:szCs w:val="28"/>
        </w:rPr>
        <w:t>目录</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道县住房和城乡建设局</w:t>
      </w:r>
      <w:r>
        <w:rPr>
          <w:rFonts w:hint="eastAsia" w:ascii="黑体" w:hAnsi="黑体" w:eastAsia="黑体" w:cs="黑体"/>
          <w:b w:val="0"/>
          <w:bCs/>
          <w:sz w:val="28"/>
          <w:szCs w:val="28"/>
        </w:rPr>
        <w:t>概况</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7"/>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7"/>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7"/>
        <w:jc w:val="center"/>
        <w:rPr>
          <w:rFonts w:hint="eastAsia" w:ascii="方正小标宋_GBK" w:hAnsi="方正小标宋_GBK" w:eastAsia="方正小标宋_GBK" w:cs="方正小标宋_GBK"/>
          <w:sz w:val="84"/>
          <w:szCs w:val="84"/>
        </w:rPr>
      </w:pPr>
    </w:p>
    <w:p>
      <w:pPr>
        <w:pStyle w:val="17"/>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道县住房和城乡建设局</w:t>
      </w: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both"/>
        <w:rPr>
          <w:sz w:val="72"/>
          <w:szCs w:val="72"/>
        </w:rPr>
      </w:pPr>
    </w:p>
    <w:p>
      <w:pPr>
        <w:pStyle w:val="18"/>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一、</w:t>
      </w:r>
      <w:r>
        <w:rPr>
          <w:rFonts w:hint="eastAsia" w:ascii="黑体" w:hAnsi="黑体" w:eastAsia="黑体" w:cs="黑体"/>
          <w:b w:val="0"/>
          <w:bCs w:val="0"/>
          <w:sz w:val="32"/>
          <w:szCs w:val="32"/>
        </w:rPr>
        <w:t>部门职责</w:t>
      </w:r>
    </w:p>
    <w:p>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本单位主要工作职责是：</w:t>
      </w:r>
    </w:p>
    <w:p>
      <w:pPr>
        <w:widowControl/>
        <w:spacing w:line="600" w:lineRule="exact"/>
        <w:ind w:firstLine="640" w:firstLineChars="200"/>
        <w:jc w:val="left"/>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贯彻执行国家、省、市有关住房和城乡建设工作的法律法规和方针政策。负责拟订推进新型城市化、城乡建设、住房保障、工程建设、建筑业、住宅房地产业、勘察设计咨询业规范性文件以及中长期规划和年度计划并组织实施，进行行业管理。</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负责指导全县小城镇建设与管理。负责全县基础设施建设和建筑行业、房地产行业违法违规案件查处工作。</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负责保障城镇低收入家庭住房工作。拟订全县住房保障相关政策措施并组织、指导实施，编制全县保障性住房、棚户区改造发展规划及年度计划并组织指导和监督实施；会同相关部门做好政府有关保障性住房资金监管；负责全县保障性住房的建设和管理工作；负责全县旧城改造、危房鉴定和危房改造的监管工作。</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(4)</w:t>
      </w:r>
      <w:r>
        <w:rPr>
          <w:rFonts w:hint="eastAsia" w:ascii="仿宋" w:hAnsi="仿宋" w:eastAsia="仿宋" w:cs="仿宋"/>
          <w:bCs/>
          <w:sz w:val="32"/>
          <w:szCs w:val="32"/>
        </w:rPr>
        <w:t>负责规范房地产市场秩序、监督管理房地产市场工作。会同或配合有关部门组织拟订房地产市场监管政策措施并监督执行，指导城镇土地使用权有偿转让和开发利用工作，提出房地产业的行业发展规划和产业政策措施，拟订房地产开发、房屋租赁、房地产评估和经营管理、物业管理、房屋征收拆迁的规章制度并监督执行。</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(5)</w:t>
      </w:r>
      <w:r>
        <w:rPr>
          <w:rFonts w:hint="eastAsia" w:ascii="仿宋" w:hAnsi="仿宋" w:eastAsia="仿宋" w:cs="仿宋"/>
          <w:bCs/>
          <w:sz w:val="32"/>
          <w:szCs w:val="32"/>
        </w:rPr>
        <w:t>负责推进住房制度改革工作。拟订适合县情的住房政策措施，指导住房建设和住房制度改革，拟订全县住房建设规划并组织实施。</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(6)</w:t>
      </w:r>
      <w:r>
        <w:rPr>
          <w:rFonts w:hint="eastAsia" w:ascii="仿宋" w:hAnsi="仿宋" w:eastAsia="仿宋" w:cs="仿宋"/>
          <w:bCs/>
          <w:sz w:val="32"/>
          <w:szCs w:val="32"/>
        </w:rPr>
        <w:t>负责指导和管理全县建筑活动。贯彻国家、省、市</w:t>
      </w:r>
    </w:p>
    <w:p>
      <w:pPr>
        <w:widowControl/>
        <w:spacing w:line="600" w:lineRule="exact"/>
        <w:ind w:firstLine="627" w:firstLineChars="196"/>
        <w:jc w:val="left"/>
        <w:rPr>
          <w:rFonts w:ascii="仿宋" w:hAnsi="仿宋" w:eastAsia="仿宋" w:cs="仿宋"/>
          <w:bCs/>
          <w:sz w:val="32"/>
          <w:szCs w:val="32"/>
        </w:rPr>
      </w:pPr>
      <w:r>
        <w:rPr>
          <w:rFonts w:hint="eastAsia" w:ascii="仿宋" w:hAnsi="仿宋" w:eastAsia="仿宋" w:cs="仿宋"/>
          <w:bCs/>
          <w:sz w:val="32"/>
          <w:szCs w:val="32"/>
        </w:rPr>
        <w:t>县有关建筑行业、勘察设计咨询业法律、法规、规章和规范性文件，拟订拗察设计咨询、工程施工、建筑监理和相关中介组织管理的制度并监督执行，指导监督建筑市场准入、工程招投标、工程监理，组织建筑企业、勘察设计咨询企业参与对外工程承包、建筑劳务合作。负责指导全县城建档案管理工作，收集、保管和开发利用县城规划区内城建档案。</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(7)</w:t>
      </w:r>
      <w:r>
        <w:rPr>
          <w:rFonts w:hint="eastAsia" w:ascii="仿宋" w:hAnsi="仿宋" w:eastAsia="仿宋" w:cs="仿宋"/>
          <w:bCs/>
          <w:sz w:val="32"/>
          <w:szCs w:val="32"/>
        </w:rPr>
        <w:t>负责实施科学规范的工程建设标准体系工作。负责贯彻执行国家、省工程建设实施阶段的相关国家标准、全国统一定额和行业标准及省工程建设地方标准、省级工程建设工法、地方定额及其实施办法和相关管理制度，组织拟订具体实施办法。负责监督指导各类工程建设造价、标准定额的实施，拟订并发布全县工程建设地方性村料季节调差规范性文件。</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(8)</w:t>
      </w:r>
      <w:r>
        <w:rPr>
          <w:rFonts w:hint="eastAsia" w:ascii="仿宋" w:hAnsi="仿宋" w:eastAsia="仿宋" w:cs="仿宋"/>
          <w:bCs/>
          <w:sz w:val="32"/>
          <w:szCs w:val="32"/>
        </w:rPr>
        <w:t>负责全县房屋建筑和市政基础设施工程的质量安全监管工作。拟订工程质量、安全生产和竣工验收备案的政策措施、规章制度并监督执行，组织或参与工程质量、安全事故的调查处理，负责实施各类房屋建筑及其附属设施和城市市政设施的建设工程抗震设防工作，指导城市地下空间的勘察设计、工程质量安全及开发利用。</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(9)</w:t>
      </w:r>
      <w:r>
        <w:rPr>
          <w:rFonts w:hint="eastAsia" w:ascii="仿宋" w:hAnsi="仿宋" w:eastAsia="仿宋" w:cs="仿宋"/>
          <w:bCs/>
          <w:sz w:val="32"/>
          <w:szCs w:val="32"/>
        </w:rPr>
        <w:t>会同有关部门负责历史文化名城、名镇、名村的初审报批和保护监督工作。</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(10)</w:t>
      </w:r>
      <w:r>
        <w:rPr>
          <w:rFonts w:hint="eastAsia" w:ascii="仿宋" w:hAnsi="仿宋" w:eastAsia="仿宋" w:cs="仿宋"/>
          <w:bCs/>
          <w:sz w:val="32"/>
          <w:szCs w:val="32"/>
        </w:rPr>
        <w:t>负责组织全县推进新型城镇化工作。积极推进智慧城市、海绵城市的建设；拟订全县村镇建设政策措施并组织实施；组织指导示范镇、重点镇的建设工作；指导各类示范镇村、传统村落的评审、推荐工作；组织、指导规范农村建房工作和农村危房改造工作；会同有关部门指导乡镇污水处理设施建设和乡镇黑臭水体治理工作。</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(11)</w:t>
      </w:r>
      <w:r>
        <w:rPr>
          <w:rFonts w:hint="eastAsia" w:ascii="仿宋" w:hAnsi="仿宋" w:eastAsia="仿宋" w:cs="仿宋"/>
          <w:bCs/>
          <w:sz w:val="32"/>
          <w:szCs w:val="32"/>
        </w:rPr>
        <w:t>负责推进全县建筑节能与建设科技进步工作。组织拟订全县建筑节能、绿色建筑、装配式建筑等政策、行业规划并监督实施；负责组织住房和城乡建设领域科技项目攻关、新技术新产品开发利用和科技成果转化、推广，负责管理行业科技成果。</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(12)</w:t>
      </w:r>
      <w:r>
        <w:rPr>
          <w:rFonts w:hint="eastAsia" w:ascii="仿宋" w:hAnsi="仿宋" w:eastAsia="仿宋" w:cs="仿宋"/>
          <w:bCs/>
          <w:sz w:val="32"/>
          <w:szCs w:val="32"/>
        </w:rPr>
        <w:t>负责拟订全县勘察设计咨询、装修装饰行业发展规划，负责勘察设计、装修装饰</w:t>
      </w:r>
      <w:r>
        <w:rPr>
          <w:rFonts w:ascii="仿宋" w:hAnsi="仿宋" w:eastAsia="仿宋" w:cs="仿宋"/>
          <w:bCs/>
          <w:sz w:val="32"/>
          <w:szCs w:val="32"/>
        </w:rPr>
        <w:t>(</w:t>
      </w:r>
      <w:r>
        <w:rPr>
          <w:rFonts w:hint="eastAsia" w:ascii="仿宋" w:hAnsi="仿宋" w:eastAsia="仿宋" w:cs="仿宋"/>
          <w:bCs/>
          <w:sz w:val="32"/>
          <w:szCs w:val="32"/>
        </w:rPr>
        <w:t>含室内装修装饰</w:t>
      </w:r>
      <w:r>
        <w:rPr>
          <w:rFonts w:ascii="仿宋" w:hAnsi="仿宋" w:eastAsia="仿宋" w:cs="仿宋"/>
          <w:bCs/>
          <w:sz w:val="32"/>
          <w:szCs w:val="32"/>
        </w:rPr>
        <w:t>)</w:t>
      </w:r>
      <w:r>
        <w:rPr>
          <w:rFonts w:hint="eastAsia" w:ascii="仿宋" w:hAnsi="仿宋" w:eastAsia="仿宋" w:cs="仿宋"/>
          <w:bCs/>
          <w:sz w:val="32"/>
          <w:szCs w:val="32"/>
        </w:rPr>
        <w:t>行业的市场监管。负责建设工程初步设计审批，施工图审查工作，提高工程设计水平。负责建设工程人防、消防设计审查、验收、备案和抽查工作。</w:t>
      </w:r>
    </w:p>
    <w:p>
      <w:pPr>
        <w:widowControl/>
        <w:spacing w:line="600" w:lineRule="exact"/>
        <w:ind w:firstLine="627" w:firstLineChars="196"/>
        <w:jc w:val="left"/>
        <w:rPr>
          <w:rFonts w:eastAsia="楷体_GB2312"/>
          <w:b/>
          <w:sz w:val="32"/>
          <w:szCs w:val="32"/>
        </w:rPr>
      </w:pPr>
      <w:r>
        <w:rPr>
          <w:rFonts w:ascii="仿宋" w:hAnsi="仿宋" w:eastAsia="仿宋" w:cs="仿宋"/>
          <w:bCs/>
          <w:sz w:val="32"/>
          <w:szCs w:val="32"/>
        </w:rPr>
        <w:t>(13)</w:t>
      </w:r>
      <w:r>
        <w:rPr>
          <w:rFonts w:hint="eastAsia" w:ascii="仿宋" w:hAnsi="仿宋" w:eastAsia="仿宋" w:cs="仿宋"/>
          <w:bCs/>
          <w:sz w:val="32"/>
          <w:szCs w:val="32"/>
        </w:rPr>
        <w:t>负责仝县城市基础设施配套费的征收与管理。会同财政等有关部门管理城市建设资金及其他专项资金，监督各项资金使用情况。</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(14)</w:t>
      </w:r>
      <w:r>
        <w:rPr>
          <w:rFonts w:hint="eastAsia" w:ascii="仿宋" w:hAnsi="仿宋" w:eastAsia="仿宋" w:cs="仿宋"/>
          <w:bCs/>
          <w:sz w:val="32"/>
          <w:szCs w:val="32"/>
        </w:rPr>
        <w:t>建设工程施工许可证的核发。按照国家改革要求推进建设工程规划许可与施工许可的合并实施。</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(15)</w:t>
      </w:r>
      <w:r>
        <w:rPr>
          <w:rFonts w:hint="eastAsia" w:ascii="仿宋" w:hAnsi="仿宋" w:eastAsia="仿宋" w:cs="仿宋"/>
          <w:bCs/>
          <w:sz w:val="32"/>
          <w:szCs w:val="32"/>
        </w:rPr>
        <w:t>负责拟订建设行业人才发展规划，指导本系统行业人才</w:t>
      </w:r>
      <w:r>
        <w:rPr>
          <w:rFonts w:ascii="仿宋" w:hAnsi="仿宋" w:eastAsia="仿宋" w:cs="仿宋"/>
          <w:bCs/>
          <w:sz w:val="32"/>
          <w:szCs w:val="32"/>
        </w:rPr>
        <w:t>(</w:t>
      </w:r>
      <w:r>
        <w:rPr>
          <w:rFonts w:hint="eastAsia" w:ascii="仿宋" w:hAnsi="仿宋" w:eastAsia="仿宋" w:cs="仿宋"/>
          <w:bCs/>
          <w:sz w:val="32"/>
          <w:szCs w:val="32"/>
        </w:rPr>
        <w:t>含农村工匠</w:t>
      </w:r>
      <w:r>
        <w:rPr>
          <w:rFonts w:ascii="仿宋" w:hAnsi="仿宋" w:eastAsia="仿宋" w:cs="仿宋"/>
          <w:bCs/>
          <w:sz w:val="32"/>
          <w:szCs w:val="32"/>
        </w:rPr>
        <w:t>)</w:t>
      </w:r>
      <w:r>
        <w:rPr>
          <w:rFonts w:hint="eastAsia" w:ascii="仿宋" w:hAnsi="仿宋" w:eastAsia="仿宋" w:cs="仿宋"/>
          <w:bCs/>
          <w:sz w:val="32"/>
          <w:szCs w:val="32"/>
        </w:rPr>
        <w:t>队伍建设，负责组织开展本系统职工队伍的培训和继续教育工作；负责本系统相关专业技术职称评定和职业资格管理工作，负责本系统的行业统计。</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(16)</w:t>
      </w:r>
      <w:r>
        <w:rPr>
          <w:rFonts w:hint="eastAsia" w:ascii="仿宋" w:hAnsi="仿宋" w:eastAsia="仿宋" w:cs="仿宋"/>
          <w:bCs/>
          <w:sz w:val="32"/>
          <w:szCs w:val="32"/>
        </w:rPr>
        <w:t>管理县本级人民防空经费和资产，编制县本级人民防空经费预决算，并对使用情况实施监督检查。组织开展人民防空科学技术研究，推广应用科技成果；承担县政府赋予的应急救援任务，利用人民防空设施和人民防空专业队伍为应急救援服务；负责人民防空行政执法工作。</w:t>
      </w:r>
    </w:p>
    <w:p>
      <w:pPr>
        <w:widowControl/>
        <w:spacing w:line="600" w:lineRule="exact"/>
        <w:ind w:firstLine="627" w:firstLineChars="196"/>
        <w:jc w:val="left"/>
        <w:rPr>
          <w:rFonts w:ascii="仿宋" w:hAnsi="仿宋" w:eastAsia="仿宋" w:cs="仿宋"/>
          <w:bCs/>
          <w:sz w:val="32"/>
          <w:szCs w:val="32"/>
        </w:rPr>
      </w:pPr>
      <w:r>
        <w:rPr>
          <w:rFonts w:ascii="仿宋" w:hAnsi="仿宋" w:eastAsia="仿宋" w:cs="仿宋"/>
          <w:bCs/>
          <w:sz w:val="32"/>
          <w:szCs w:val="32"/>
        </w:rPr>
        <w:t>(17)</w:t>
      </w:r>
      <w:r>
        <w:rPr>
          <w:rFonts w:hint="eastAsia" w:ascii="仿宋" w:hAnsi="仿宋" w:eastAsia="仿宋" w:cs="仿宋"/>
          <w:bCs/>
          <w:sz w:val="32"/>
          <w:szCs w:val="32"/>
        </w:rPr>
        <w:t>贯彻执行国家、省关于人民防空的方针、政策和法律法规，拟定全县人民防空的基本战略方案，编制全县人民防空建设中长期规划和年度工作计划。负责城市地下空间开发利用审批，负责城市地下空间开发利用兼顾人民防空要求的监督管理；指导城市防空袭方案制定、群众防空组织</w:t>
      </w:r>
      <w:r>
        <w:rPr>
          <w:rFonts w:ascii="仿宋" w:hAnsi="仿宋" w:eastAsia="仿宋" w:cs="仿宋"/>
          <w:bCs/>
          <w:sz w:val="32"/>
          <w:szCs w:val="32"/>
        </w:rPr>
        <w:t>(</w:t>
      </w:r>
      <w:r>
        <w:rPr>
          <w:rFonts w:hint="eastAsia" w:ascii="仿宋" w:hAnsi="仿宋" w:eastAsia="仿宋" w:cs="仿宋"/>
          <w:bCs/>
          <w:sz w:val="32"/>
          <w:szCs w:val="32"/>
        </w:rPr>
        <w:t>人民防空专业队</w:t>
      </w:r>
      <w:r>
        <w:rPr>
          <w:rFonts w:ascii="仿宋" w:hAnsi="仿宋" w:eastAsia="仿宋" w:cs="仿宋"/>
          <w:bCs/>
          <w:sz w:val="32"/>
          <w:szCs w:val="32"/>
        </w:rPr>
        <w:t>)</w:t>
      </w:r>
      <w:r>
        <w:rPr>
          <w:rFonts w:hint="eastAsia" w:ascii="仿宋" w:hAnsi="仿宋" w:eastAsia="仿宋" w:cs="仿宋"/>
          <w:bCs/>
          <w:sz w:val="32"/>
          <w:szCs w:val="32"/>
        </w:rPr>
        <w:t>建设和训练、防空防灾演习演练、疏散体系建设，协助军事部门指导城市防卫建设，战时组织开展城市人民防空袭斗争；组织管理人民防空通信警报和信息化建设，对人民防空通信警报网和信息化建设实施计划、技术和质量管理，督促保障全县人民防空通信警报畅通、负责实施人民防空无线电管理；组织管理人民防空工程建设；拟订人民防空教育计划，会同有关部门组织开展人民防空宣传教育工作。</w:t>
      </w:r>
    </w:p>
    <w:p>
      <w:pPr>
        <w:widowControl/>
        <w:spacing w:line="600" w:lineRule="exact"/>
        <w:ind w:firstLine="627" w:firstLineChars="196"/>
        <w:jc w:val="left"/>
        <w:rPr>
          <w:rFonts w:eastAsia="楷体_GB2312"/>
          <w:b/>
          <w:sz w:val="32"/>
          <w:szCs w:val="32"/>
        </w:rPr>
      </w:pPr>
      <w:r>
        <w:rPr>
          <w:rFonts w:ascii="仿宋" w:hAnsi="仿宋" w:eastAsia="仿宋" w:cs="仿宋"/>
          <w:bCs/>
          <w:sz w:val="32"/>
          <w:szCs w:val="32"/>
        </w:rPr>
        <w:t>(18)</w:t>
      </w:r>
      <w:r>
        <w:rPr>
          <w:rFonts w:hint="eastAsia" w:ascii="仿宋" w:hAnsi="仿宋" w:eastAsia="仿宋" w:cs="仿宋"/>
          <w:bCs/>
          <w:sz w:val="32"/>
          <w:szCs w:val="32"/>
        </w:rPr>
        <w:t>承办县委、县人民政府、县人武部、县国防动员委员会及上级主管部门交办的其他事项。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3" w:firstLineChars="200"/>
        <w:rPr>
          <w:rFonts w:hint="eastAsia" w:ascii="楷体_GB2312" w:hAnsi="宋体" w:eastAsia="楷体_GB2312"/>
          <w:b/>
          <w:bCs/>
          <w:kern w:val="0"/>
          <w:sz w:val="32"/>
          <w:szCs w:val="32"/>
        </w:rPr>
      </w:pPr>
      <w:r>
        <w:rPr>
          <w:rFonts w:hint="eastAsia" w:ascii="楷体_GB2312" w:hAnsi="宋体" w:eastAsia="楷体_GB2312"/>
          <w:b/>
          <w:bCs/>
          <w:kern w:val="0"/>
          <w:sz w:val="32"/>
          <w:szCs w:val="32"/>
        </w:rPr>
        <w:t>（一）内设机构设置</w:t>
      </w:r>
    </w:p>
    <w:p>
      <w:pPr>
        <w:widowControl/>
        <w:spacing w:line="600" w:lineRule="exact"/>
        <w:ind w:firstLine="640" w:firstLineChars="200"/>
        <w:rPr>
          <w:rFonts w:eastAsia="楷体_GB2312"/>
          <w:b/>
          <w:sz w:val="32"/>
          <w:szCs w:val="32"/>
        </w:rPr>
      </w:pPr>
      <w:r>
        <w:rPr>
          <w:rFonts w:hint="eastAsia" w:eastAsia="仿宋_GB2312"/>
          <w:bCs/>
          <w:kern w:val="0"/>
          <w:sz w:val="32"/>
          <w:szCs w:val="32"/>
        </w:rPr>
        <w:t>办公室、政工股、计划财务审计股、政策法规与执法稽查股、宣传教育股、指挥通讯股、行政审批股、勘察设计和建筑节能股、建筑业质量安全管理股、综合验收备案股、城市建设管理股、村镇建设管理股、住房保障股、房地产市场监管股。</w:t>
      </w:r>
    </w:p>
    <w:p>
      <w:pPr>
        <w:widowControl/>
        <w:numPr>
          <w:ilvl w:val="0"/>
          <w:numId w:val="1"/>
        </w:numPr>
        <w:spacing w:line="600" w:lineRule="exact"/>
        <w:ind w:firstLine="630"/>
        <w:jc w:val="left"/>
        <w:rPr>
          <w:rFonts w:hint="eastAsia" w:ascii="楷体_GB2312" w:hAnsi="宋体" w:eastAsia="楷体_GB2312"/>
          <w:b/>
          <w:bCs/>
          <w:kern w:val="0"/>
          <w:sz w:val="32"/>
          <w:szCs w:val="32"/>
        </w:rPr>
      </w:pPr>
      <w:r>
        <w:rPr>
          <w:rFonts w:hint="eastAsia" w:ascii="楷体_GB2312" w:hAnsi="宋体" w:eastAsia="楷体_GB2312"/>
          <w:b/>
          <w:bCs/>
          <w:kern w:val="0"/>
          <w:sz w:val="32"/>
          <w:szCs w:val="32"/>
        </w:rPr>
        <w:t>决算单位构成</w:t>
      </w:r>
    </w:p>
    <w:p>
      <w:pPr>
        <w:widowControl/>
        <w:spacing w:line="600" w:lineRule="exact"/>
        <w:ind w:firstLine="640" w:firstLineChars="200"/>
        <w:jc w:val="left"/>
        <w:rPr>
          <w:rFonts w:eastAsia="仿宋_GB2312"/>
          <w:sz w:val="32"/>
          <w:szCs w:val="32"/>
        </w:rPr>
      </w:pPr>
      <w:r>
        <w:rPr>
          <w:rFonts w:eastAsia="仿宋_GB2312"/>
          <w:sz w:val="32"/>
          <w:szCs w:val="32"/>
        </w:rPr>
        <w:t>本部门</w:t>
      </w:r>
      <w:r>
        <w:rPr>
          <w:rFonts w:hint="eastAsia" w:eastAsia="仿宋_GB2312"/>
          <w:sz w:val="32"/>
          <w:szCs w:val="32"/>
        </w:rPr>
        <w:t>决算</w:t>
      </w:r>
      <w:r>
        <w:rPr>
          <w:rFonts w:eastAsia="仿宋_GB2312"/>
          <w:sz w:val="32"/>
          <w:szCs w:val="32"/>
        </w:rPr>
        <w:t>为汇总</w:t>
      </w:r>
      <w:r>
        <w:rPr>
          <w:rFonts w:hint="eastAsia" w:eastAsia="仿宋_GB2312"/>
          <w:sz w:val="32"/>
          <w:szCs w:val="32"/>
        </w:rPr>
        <w:t>决算</w:t>
      </w:r>
      <w:r>
        <w:rPr>
          <w:rFonts w:eastAsia="仿宋_GB2312"/>
          <w:sz w:val="32"/>
          <w:szCs w:val="32"/>
        </w:rPr>
        <w:t>，纳入编制范围的预算单位包括：</w:t>
      </w:r>
    </w:p>
    <w:p>
      <w:pPr>
        <w:widowControl/>
        <w:numPr>
          <w:ilvl w:val="0"/>
          <w:numId w:val="2"/>
        </w:numPr>
        <w:spacing w:line="600" w:lineRule="exact"/>
        <w:ind w:firstLine="627" w:firstLineChars="196"/>
        <w:jc w:val="left"/>
        <w:rPr>
          <w:rFonts w:eastAsia="仿宋_GB2312"/>
          <w:sz w:val="32"/>
          <w:szCs w:val="32"/>
        </w:rPr>
      </w:pPr>
      <w:r>
        <w:rPr>
          <w:rFonts w:hint="eastAsia" w:eastAsia="仿宋_GB2312"/>
          <w:sz w:val="32"/>
          <w:szCs w:val="32"/>
        </w:rPr>
        <w:t>道县住房和城乡规划建设局部门本级</w:t>
      </w:r>
    </w:p>
    <w:p>
      <w:pPr>
        <w:ind w:firstLine="640" w:firstLineChars="200"/>
        <w:rPr>
          <w:sz w:val="72"/>
          <w:szCs w:val="72"/>
        </w:rPr>
      </w:pPr>
      <w:r>
        <w:rPr>
          <w:rFonts w:hint="eastAsia" w:eastAsia="仿宋_GB2312"/>
          <w:sz w:val="32"/>
          <w:szCs w:val="32"/>
        </w:rPr>
        <w:t>2、道县建设工程质量安全监督站</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7"/>
        <w:jc w:val="center"/>
        <w:rPr>
          <w:rFonts w:hint="eastAsia" w:ascii="方正小标宋_GBK" w:hAnsi="方正小标宋_GBK" w:eastAsia="方正小标宋_GBK" w:cs="方正小标宋_GBK"/>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7"/>
        <w:jc w:val="center"/>
        <w:rPr>
          <w:rFonts w:hint="eastAsia" w:ascii="方正小标宋_GBK" w:hAnsi="方正小标宋_GBK" w:eastAsia="方正小标宋_GBK" w:cs="方正小标宋_GBK"/>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428" w:type="dxa"/>
        <w:tblInd w:w="0" w:type="dxa"/>
        <w:tblLayout w:type="fixed"/>
        <w:tblCellMar>
          <w:top w:w="0" w:type="dxa"/>
          <w:left w:w="0" w:type="dxa"/>
          <w:bottom w:w="0" w:type="dxa"/>
          <w:right w:w="0" w:type="dxa"/>
        </w:tblCellMar>
      </w:tblPr>
      <w:tblGrid>
        <w:gridCol w:w="283"/>
        <w:gridCol w:w="624"/>
        <w:gridCol w:w="1333"/>
        <w:gridCol w:w="1607"/>
        <w:gridCol w:w="1804"/>
        <w:gridCol w:w="1804"/>
        <w:gridCol w:w="1804"/>
        <w:gridCol w:w="1804"/>
        <w:gridCol w:w="1804"/>
        <w:gridCol w:w="256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4"/>
              <w:gridCol w:w="774"/>
              <w:gridCol w:w="1959"/>
              <w:gridCol w:w="3650"/>
              <w:gridCol w:w="1117"/>
              <w:gridCol w:w="1391"/>
              <w:gridCol w:w="659"/>
              <w:gridCol w:w="1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64"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77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95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365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508"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43"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6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7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5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65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08"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4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64"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7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5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65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08"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4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448" w:hRule="atLeast"/>
              </w:trPr>
              <w:tc>
                <w:tcPr>
                  <w:tcW w:w="679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681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62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44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44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1653.35</w:t>
                  </w:r>
                </w:p>
              </w:tc>
              <w:tc>
                <w:tcPr>
                  <w:tcW w:w="3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44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39063.58</w:t>
                  </w:r>
                </w:p>
              </w:tc>
              <w:tc>
                <w:tcPr>
                  <w:tcW w:w="3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44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44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44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44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44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十一、城乡社区支出</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1653.35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44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44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二十三、其他支出</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39063.58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44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40716.93</w:t>
                  </w: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40716.93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44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62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4" w:type="dxa"/>
                <w:trHeight w:val="448" w:hRule="atLeast"/>
              </w:trPr>
              <w:tc>
                <w:tcPr>
                  <w:tcW w:w="4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40716.93</w:t>
                  </w:r>
                </w:p>
              </w:tc>
              <w:tc>
                <w:tcPr>
                  <w:tcW w:w="3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880" w:firstLineChars="400"/>
                    <w:jc w:val="right"/>
                    <w:rPr>
                      <w:rFonts w:hint="default" w:ascii="宋体" w:hAnsi="宋体" w:eastAsia="宋体" w:cs="宋体"/>
                      <w:b/>
                      <w:i w:val="0"/>
                      <w:color w:val="000000"/>
                      <w:sz w:val="22"/>
                      <w:szCs w:val="22"/>
                      <w:u w:val="none"/>
                      <w:lang w:val="en-US"/>
                    </w:rPr>
                  </w:pPr>
                  <w:r>
                    <w:rPr>
                      <w:rFonts w:hint="eastAsia" w:ascii="宋体" w:hAnsi="宋体" w:eastAsia="宋体" w:cs="宋体"/>
                      <w:i w:val="0"/>
                      <w:color w:val="000000"/>
                      <w:sz w:val="22"/>
                      <w:szCs w:val="22"/>
                      <w:u w:val="none"/>
                      <w:lang w:val="en-US" w:eastAsia="zh-CN"/>
                    </w:rPr>
                    <w:t>40716.93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0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3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24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0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3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0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2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887"/>
                <w:tab w:val="right" w:pos="2104"/>
              </w:tabs>
              <w:jc w:val="right"/>
              <w:rPr>
                <w:rFonts w:ascii="宋体" w:hAnsi="宋体" w:eastAsia="宋体" w:cs="宋体"/>
                <w:sz w:val="24"/>
                <w:szCs w:val="24"/>
              </w:rPr>
            </w:pPr>
            <w:r>
              <w:rPr>
                <w:rFonts w:hint="eastAsia"/>
                <w:lang w:eastAsia="zh-CN"/>
              </w:rPr>
              <w:tab/>
            </w:r>
            <w:r>
              <w:rPr>
                <w:rFonts w:hint="eastAsia" w:ascii="宋体" w:hAnsi="宋体" w:eastAsia="宋体" w:cs="宋体"/>
                <w:i w:val="0"/>
                <w:color w:val="000000"/>
                <w:sz w:val="22"/>
                <w:szCs w:val="22"/>
                <w:u w:val="none"/>
                <w:lang w:val="en-US" w:eastAsia="zh-CN"/>
              </w:rPr>
              <w:t>40716.93</w:t>
            </w: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40716.93</w:t>
            </w: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559" w:hRule="atLeast"/>
        </w:trPr>
        <w:tc>
          <w:tcPr>
            <w:tcW w:w="9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2120101</w:t>
            </w:r>
          </w:p>
          <w:p>
            <w:pPr>
              <w:pStyle w:val="8"/>
              <w:rPr>
                <w:rFonts w:hint="default"/>
                <w:lang w:val="en-US" w:eastAsia="zh-CN"/>
              </w:rPr>
            </w:pPr>
          </w:p>
        </w:tc>
        <w:tc>
          <w:tcPr>
            <w:tcW w:w="13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行政运行</w:t>
            </w:r>
          </w:p>
        </w:tc>
        <w:tc>
          <w:tcPr>
            <w:tcW w:w="16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899.57</w:t>
            </w: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899.57</w:t>
            </w: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522" w:hRule="atLeast"/>
        </w:trPr>
        <w:tc>
          <w:tcPr>
            <w:tcW w:w="9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rPr>
              <w:t>　</w:t>
            </w:r>
            <w:r>
              <w:rPr>
                <w:rFonts w:hint="eastAsia"/>
                <w:lang w:val="en-US" w:eastAsia="zh-CN"/>
              </w:rPr>
              <w:t>2120201</w:t>
            </w:r>
          </w:p>
        </w:tc>
        <w:tc>
          <w:tcPr>
            <w:tcW w:w="13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城乡社区规划与管理</w:t>
            </w:r>
          </w:p>
        </w:tc>
        <w:tc>
          <w:tcPr>
            <w:tcW w:w="16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753.78</w:t>
            </w:r>
            <w:r>
              <w:rPr>
                <w:rFonts w:hint="eastAsia" w:ascii="华文中宋" w:hAnsi="华文中宋" w:eastAsia="华文中宋"/>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753.78</w:t>
            </w: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2290402</w:t>
            </w:r>
          </w:p>
        </w:tc>
        <w:tc>
          <w:tcPr>
            <w:tcW w:w="13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其他地方自行试点项目收益专项债劵收入安排的支出</w:t>
            </w:r>
          </w:p>
        </w:tc>
        <w:tc>
          <w:tcPr>
            <w:tcW w:w="16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b w:val="0"/>
                <w:bCs/>
                <w:i w:val="0"/>
                <w:color w:val="000000"/>
                <w:sz w:val="22"/>
                <w:szCs w:val="22"/>
                <w:u w:val="none"/>
                <w:lang w:val="en-US" w:eastAsia="zh-CN"/>
              </w:rPr>
              <w:t>39063.58</w:t>
            </w: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b w:val="0"/>
                <w:bCs/>
                <w:i w:val="0"/>
                <w:color w:val="000000"/>
                <w:sz w:val="22"/>
                <w:szCs w:val="22"/>
                <w:u w:val="none"/>
                <w:lang w:val="en-US" w:eastAsia="zh-CN"/>
              </w:rPr>
              <w:t>39063.58</w:t>
            </w: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3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6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3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6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3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6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1"/>
        <w:tblW w:w="15640" w:type="dxa"/>
        <w:tblInd w:w="93" w:type="dxa"/>
        <w:tblLayout w:type="fixed"/>
        <w:tblCellMar>
          <w:top w:w="0" w:type="dxa"/>
          <w:left w:w="108" w:type="dxa"/>
          <w:bottom w:w="0" w:type="dxa"/>
          <w:right w:w="108" w:type="dxa"/>
        </w:tblCellMar>
      </w:tblPr>
      <w:tblGrid>
        <w:gridCol w:w="1236"/>
        <w:gridCol w:w="240"/>
        <w:gridCol w:w="1916"/>
        <w:gridCol w:w="1819"/>
        <w:gridCol w:w="1712"/>
        <w:gridCol w:w="1991"/>
        <w:gridCol w:w="1991"/>
        <w:gridCol w:w="1991"/>
        <w:gridCol w:w="2744"/>
      </w:tblGrid>
      <w:tr>
        <w:tblPrEx>
          <w:tblCellMar>
            <w:top w:w="0" w:type="dxa"/>
            <w:left w:w="108" w:type="dxa"/>
            <w:bottom w:w="0" w:type="dxa"/>
            <w:right w:w="108" w:type="dxa"/>
          </w:tblCellMar>
        </w:tblPrEx>
        <w:trPr>
          <w:trHeight w:val="90"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3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1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9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3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1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3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40716.93</w:t>
            </w:r>
            <w:r>
              <w:rPr>
                <w:rFonts w:hint="eastAsia" w:ascii="宋体" w:hAnsi="宋体" w:eastAsia="宋体" w:cs="宋体"/>
                <w:kern w:val="0"/>
                <w:sz w:val="24"/>
                <w:szCs w:val="24"/>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1653.35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b w:val="0"/>
                <w:bCs/>
                <w:i w:val="0"/>
                <w:color w:val="000000"/>
                <w:sz w:val="22"/>
                <w:szCs w:val="22"/>
                <w:u w:val="none"/>
                <w:lang w:val="en-US" w:eastAsia="zh-CN"/>
              </w:rPr>
              <w:t>39063.58</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2120101</w:t>
            </w:r>
          </w:p>
          <w:p>
            <w:pPr>
              <w:pStyle w:val="8"/>
              <w:rPr>
                <w:rFonts w:hint="default"/>
                <w:lang w:val="en-US" w:eastAsia="zh-CN"/>
              </w:rPr>
            </w:pPr>
          </w:p>
        </w:tc>
        <w:tc>
          <w:tcPr>
            <w:tcW w:w="19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行政运行</w:t>
            </w:r>
          </w:p>
        </w:tc>
        <w:tc>
          <w:tcPr>
            <w:tcW w:w="18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899.57</w:t>
            </w:r>
            <w:r>
              <w:rPr>
                <w:rFonts w:hint="eastAsia" w:ascii="宋体" w:hAnsi="宋体" w:eastAsia="宋体" w:cs="宋体"/>
                <w:kern w:val="0"/>
                <w:sz w:val="24"/>
                <w:szCs w:val="24"/>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899.57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2120201</w:t>
            </w:r>
          </w:p>
          <w:p>
            <w:pPr>
              <w:pStyle w:val="8"/>
              <w:rPr>
                <w:rFonts w:hint="default"/>
                <w:lang w:val="en-US" w:eastAsia="zh-CN"/>
              </w:rPr>
            </w:pPr>
          </w:p>
        </w:tc>
        <w:tc>
          <w:tcPr>
            <w:tcW w:w="1916" w:type="dxa"/>
            <w:tcBorders>
              <w:top w:val="nil"/>
              <w:left w:val="nil"/>
              <w:bottom w:val="single" w:color="auto" w:sz="4" w:space="0"/>
              <w:right w:val="single" w:color="auto" w:sz="4" w:space="0"/>
            </w:tcBorders>
            <w:shd w:val="clear" w:color="000000" w:fill="FFFFFF"/>
            <w:noWrap/>
            <w:vAlign w:val="center"/>
          </w:tcPr>
          <w:p>
            <w:pPr>
              <w:widowControl/>
              <w:ind w:left="480" w:hanging="480" w:hanging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城乡社区规划与管理</w:t>
            </w:r>
          </w:p>
        </w:tc>
        <w:tc>
          <w:tcPr>
            <w:tcW w:w="18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753.78</w:t>
            </w:r>
            <w:r>
              <w:rPr>
                <w:rFonts w:hint="eastAsia"/>
              </w:rPr>
              <w:t>　</w:t>
            </w:r>
            <w:r>
              <w:rPr>
                <w:rFonts w:hint="eastAsia" w:ascii="宋体" w:hAnsi="宋体" w:eastAsia="宋体" w:cs="宋体"/>
                <w:kern w:val="0"/>
                <w:sz w:val="24"/>
                <w:szCs w:val="24"/>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753.78</w:t>
            </w:r>
            <w:r>
              <w:rPr>
                <w:rFonts w:hint="eastAsia"/>
              </w:rPr>
              <w:t>　</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383"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2290402</w:t>
            </w:r>
          </w:p>
        </w:tc>
        <w:tc>
          <w:tcPr>
            <w:tcW w:w="19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其他地方自行试点项目收益专项债劵收入安排的支出</w:t>
            </w:r>
          </w:p>
        </w:tc>
        <w:tc>
          <w:tcPr>
            <w:tcW w:w="18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b w:val="0"/>
                <w:bCs/>
                <w:i w:val="0"/>
                <w:color w:val="000000"/>
                <w:sz w:val="22"/>
                <w:szCs w:val="22"/>
                <w:u w:val="none"/>
                <w:lang w:val="en-US" w:eastAsia="zh-CN"/>
              </w:rPr>
              <w:t>39063.58</w:t>
            </w:r>
            <w:r>
              <w:rPr>
                <w:rFonts w:hint="eastAsia" w:ascii="宋体" w:hAnsi="宋体" w:eastAsia="宋体" w:cs="宋体"/>
                <w:kern w:val="0"/>
                <w:sz w:val="24"/>
                <w:szCs w:val="24"/>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b w:val="0"/>
                <w:bCs/>
                <w:i w:val="0"/>
                <w:color w:val="000000"/>
                <w:sz w:val="22"/>
                <w:szCs w:val="22"/>
                <w:u w:val="none"/>
                <w:lang w:val="en-US" w:eastAsia="zh-CN"/>
              </w:rPr>
              <w:t>39063.58</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1"/>
        <w:tblW w:w="15148" w:type="dxa"/>
        <w:tblInd w:w="185" w:type="dxa"/>
        <w:tblLayout w:type="fixed"/>
        <w:tblCellMar>
          <w:top w:w="0" w:type="dxa"/>
          <w:left w:w="108" w:type="dxa"/>
          <w:bottom w:w="0" w:type="dxa"/>
          <w:right w:w="108" w:type="dxa"/>
        </w:tblCellMar>
      </w:tblPr>
      <w:tblGrid>
        <w:gridCol w:w="3091"/>
        <w:gridCol w:w="796"/>
        <w:gridCol w:w="1960"/>
        <w:gridCol w:w="2351"/>
        <w:gridCol w:w="745"/>
        <w:gridCol w:w="255"/>
        <w:gridCol w:w="1696"/>
        <w:gridCol w:w="1561"/>
        <w:gridCol w:w="1498"/>
        <w:gridCol w:w="1195"/>
      </w:tblGrid>
      <w:tr>
        <w:tblPrEx>
          <w:tblCellMar>
            <w:top w:w="0" w:type="dxa"/>
            <w:left w:w="108" w:type="dxa"/>
            <w:bottom w:w="0" w:type="dxa"/>
            <w:right w:w="108" w:type="dxa"/>
          </w:tblCellMar>
        </w:tblPrEx>
        <w:trPr>
          <w:trHeight w:val="90" w:hRule="atLeast"/>
        </w:trPr>
        <w:tc>
          <w:tcPr>
            <w:tcW w:w="15148"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90" w:hRule="atLeast"/>
        </w:trPr>
        <w:tc>
          <w:tcPr>
            <w:tcW w:w="30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9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90" w:hRule="atLeast"/>
        </w:trPr>
        <w:tc>
          <w:tcPr>
            <w:tcW w:w="30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7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9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90" w:hRule="atLeast"/>
        </w:trPr>
        <w:tc>
          <w:tcPr>
            <w:tcW w:w="584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301"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90"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3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4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387"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3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500"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1653.35</w:t>
            </w:r>
            <w:r>
              <w:rPr>
                <w:rFonts w:hint="eastAsia" w:ascii="宋体" w:hAnsi="宋体" w:eastAsia="宋体" w:cs="宋体"/>
                <w:kern w:val="0"/>
                <w:sz w:val="22"/>
              </w:rPr>
              <w:t>　</w:t>
            </w:r>
          </w:p>
        </w:tc>
        <w:tc>
          <w:tcPr>
            <w:tcW w:w="2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5"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val="0"/>
                <w:bCs/>
                <w:i w:val="0"/>
                <w:color w:val="000000"/>
                <w:sz w:val="22"/>
                <w:szCs w:val="22"/>
                <w:u w:val="none"/>
                <w:lang w:val="en-US" w:eastAsia="zh-CN"/>
              </w:rPr>
              <w:t>39063.58</w:t>
            </w:r>
            <w:r>
              <w:rPr>
                <w:rFonts w:hint="eastAsia" w:ascii="宋体" w:hAnsi="宋体" w:eastAsia="宋体" w:cs="宋体"/>
                <w:kern w:val="0"/>
                <w:sz w:val="22"/>
              </w:rPr>
              <w:t>　</w:t>
            </w:r>
          </w:p>
        </w:tc>
        <w:tc>
          <w:tcPr>
            <w:tcW w:w="2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9"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87"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68"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4"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62"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十一、城乡社区支出</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1653.35</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1653.35</w:t>
            </w:r>
            <w:r>
              <w:rPr>
                <w:rFonts w:hint="eastAsia" w:ascii="宋体" w:hAnsi="宋体" w:eastAsia="宋体" w:cs="宋体"/>
                <w:kern w:val="0"/>
                <w:sz w:val="22"/>
              </w:rPr>
              <w:t>　</w:t>
            </w: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68"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5"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2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二十三、其他支出</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b w:val="0"/>
                <w:bCs/>
                <w:i w:val="0"/>
                <w:color w:val="000000"/>
                <w:sz w:val="22"/>
                <w:szCs w:val="22"/>
                <w:u w:val="none"/>
                <w:lang w:val="en-US" w:eastAsia="zh-CN"/>
              </w:rPr>
              <w:t>39063.58</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b w:val="0"/>
                <w:bCs/>
                <w:i w:val="0"/>
                <w:color w:val="000000"/>
                <w:sz w:val="22"/>
                <w:szCs w:val="22"/>
                <w:u w:val="none"/>
                <w:lang w:val="en-US" w:eastAsia="zh-CN"/>
              </w:rPr>
              <w:t>39063.58</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p>
        </w:tc>
      </w:tr>
      <w:tr>
        <w:tblPrEx>
          <w:tblCellMar>
            <w:top w:w="0" w:type="dxa"/>
            <w:left w:w="108" w:type="dxa"/>
            <w:bottom w:w="0" w:type="dxa"/>
            <w:right w:w="108" w:type="dxa"/>
          </w:tblCellMar>
        </w:tblPrEx>
        <w:trPr>
          <w:trHeight w:val="425"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3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68"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1</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4"/>
                <w:szCs w:val="24"/>
                <w:lang w:val="en-US" w:eastAsia="zh-CN"/>
              </w:rPr>
              <w:t>40716.93</w:t>
            </w:r>
            <w:r>
              <w:rPr>
                <w:rFonts w:hint="eastAsia"/>
              </w:rPr>
              <w:t>　</w:t>
            </w:r>
            <w:r>
              <w:rPr>
                <w:rFonts w:hint="eastAsia" w:ascii="宋体" w:hAnsi="宋体" w:eastAsia="宋体" w:cs="宋体"/>
                <w:kern w:val="0"/>
                <w:sz w:val="22"/>
              </w:rPr>
              <w:t>　</w:t>
            </w:r>
          </w:p>
        </w:tc>
        <w:tc>
          <w:tcPr>
            <w:tcW w:w="23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4"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both"/>
              <w:rPr>
                <w:rFonts w:ascii="宋体" w:hAnsi="宋体" w:eastAsia="宋体" w:cs="宋体"/>
                <w:kern w:val="0"/>
                <w:sz w:val="22"/>
              </w:rPr>
            </w:pPr>
            <w:r>
              <w:rPr>
                <w:rFonts w:hint="eastAsia" w:ascii="宋体" w:hAnsi="宋体" w:eastAsia="宋体" w:cs="宋体"/>
                <w:kern w:val="0"/>
                <w:sz w:val="22"/>
              </w:rPr>
              <w:t>一般公共预算财政拨款</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2</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7"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3</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6"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4</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37" w:hRule="atLeast"/>
        </w:trPr>
        <w:tc>
          <w:tcPr>
            <w:tcW w:w="30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79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4"/>
                <w:szCs w:val="24"/>
                <w:lang w:val="en-US" w:eastAsia="zh-CN"/>
              </w:rPr>
              <w:t>40716.93</w:t>
            </w:r>
            <w:r>
              <w:rPr>
                <w:rFonts w:hint="eastAsia" w:ascii="宋体" w:hAnsi="宋体" w:eastAsia="宋体" w:cs="宋体"/>
                <w:kern w:val="0"/>
                <w:sz w:val="22"/>
              </w:rPr>
              <w:t>　</w:t>
            </w:r>
          </w:p>
        </w:tc>
        <w:tc>
          <w:tcPr>
            <w:tcW w:w="23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0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6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40716.93</w:t>
            </w: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1653.35</w:t>
            </w:r>
            <w:r>
              <w:rPr>
                <w:rFonts w:hint="eastAsia" w:ascii="宋体" w:hAnsi="宋体" w:eastAsia="宋体" w:cs="宋体"/>
                <w:kern w:val="0"/>
                <w:sz w:val="22"/>
              </w:rPr>
              <w:t>　　</w:t>
            </w:r>
          </w:p>
        </w:tc>
        <w:tc>
          <w:tcPr>
            <w:tcW w:w="14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val="0"/>
                <w:bCs/>
                <w:i w:val="0"/>
                <w:color w:val="000000"/>
                <w:sz w:val="22"/>
                <w:szCs w:val="22"/>
                <w:u w:val="none"/>
                <w:lang w:val="en-US" w:eastAsia="zh-CN"/>
              </w:rPr>
              <w:t>39063.58</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90" w:hRule="atLeast"/>
        </w:trPr>
        <w:tc>
          <w:tcPr>
            <w:tcW w:w="15148"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457"/>
        <w:gridCol w:w="2869"/>
        <w:gridCol w:w="3037"/>
        <w:gridCol w:w="3856"/>
        <w:gridCol w:w="3000"/>
      </w:tblGrid>
      <w:tr>
        <w:tblPrEx>
          <w:tblCellMar>
            <w:top w:w="0" w:type="dxa"/>
            <w:left w:w="108" w:type="dxa"/>
            <w:bottom w:w="0" w:type="dxa"/>
            <w:right w:w="108" w:type="dxa"/>
          </w:tblCellMar>
        </w:tblPrEx>
        <w:trPr>
          <w:trHeight w:val="405" w:hRule="atLeast"/>
          <w:jc w:val="center"/>
        </w:trPr>
        <w:tc>
          <w:tcPr>
            <w:tcW w:w="432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89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457"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28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457"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3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457"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3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3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3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3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37" w:type="dxa"/>
            <w:tcBorders>
              <w:top w:val="nil"/>
              <w:left w:val="nil"/>
              <w:bottom w:val="single" w:color="auto" w:sz="4" w:space="0"/>
              <w:right w:val="single" w:color="auto" w:sz="4" w:space="0"/>
            </w:tcBorders>
            <w:shd w:val="clear" w:color="auto" w:fill="auto"/>
            <w:vAlign w:val="center"/>
          </w:tcPr>
          <w:p>
            <w:pPr>
              <w:widowControl/>
              <w:ind w:firstLine="720" w:firstLineChars="300"/>
              <w:jc w:val="both"/>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1653.35</w:t>
            </w:r>
          </w:p>
        </w:tc>
        <w:tc>
          <w:tcPr>
            <w:tcW w:w="3856" w:type="dxa"/>
            <w:tcBorders>
              <w:top w:val="nil"/>
              <w:left w:val="nil"/>
              <w:bottom w:val="single" w:color="auto" w:sz="4" w:space="0"/>
              <w:right w:val="single" w:color="auto" w:sz="4" w:space="0"/>
            </w:tcBorders>
            <w:shd w:val="clear" w:color="auto" w:fill="auto"/>
            <w:vAlign w:val="center"/>
          </w:tcPr>
          <w:p>
            <w:pPr>
              <w:widowControl/>
              <w:ind w:firstLine="960" w:firstLineChars="400"/>
              <w:jc w:val="both"/>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1653.35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45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2120101</w:t>
            </w:r>
            <w:r>
              <w:rPr>
                <w:rFonts w:ascii="Times New Roman" w:hAnsi="Times New Roman" w:eastAsia="仿宋_GB2312" w:cs="Times New Roman"/>
                <w:kern w:val="0"/>
                <w:szCs w:val="21"/>
              </w:rPr>
              <w:t>　</w:t>
            </w:r>
          </w:p>
        </w:tc>
        <w:tc>
          <w:tcPr>
            <w:tcW w:w="286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行政运行</w:t>
            </w:r>
          </w:p>
        </w:tc>
        <w:tc>
          <w:tcPr>
            <w:tcW w:w="3037" w:type="dxa"/>
            <w:tcBorders>
              <w:top w:val="nil"/>
              <w:left w:val="nil"/>
              <w:bottom w:val="single" w:color="auto" w:sz="4" w:space="0"/>
              <w:right w:val="single" w:color="auto" w:sz="4" w:space="0"/>
            </w:tcBorders>
            <w:shd w:val="clear" w:color="auto" w:fill="auto"/>
            <w:vAlign w:val="center"/>
          </w:tcPr>
          <w:p>
            <w:pPr>
              <w:widowControl/>
              <w:ind w:firstLine="630" w:firstLineChars="300"/>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899.57</w:t>
            </w:r>
          </w:p>
        </w:tc>
        <w:tc>
          <w:tcPr>
            <w:tcW w:w="3856" w:type="dxa"/>
            <w:tcBorders>
              <w:top w:val="nil"/>
              <w:left w:val="nil"/>
              <w:bottom w:val="single" w:color="auto" w:sz="4" w:space="0"/>
              <w:right w:val="single" w:color="auto" w:sz="4" w:space="0"/>
            </w:tcBorders>
            <w:shd w:val="clear" w:color="auto" w:fill="auto"/>
            <w:vAlign w:val="center"/>
          </w:tcPr>
          <w:p>
            <w:pPr>
              <w:widowControl/>
              <w:ind w:firstLine="840" w:firstLineChars="400"/>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899.57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45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2120201</w:t>
            </w:r>
            <w:r>
              <w:rPr>
                <w:rFonts w:ascii="Times New Roman" w:hAnsi="Times New Roman" w:eastAsia="仿宋_GB2312" w:cs="Times New Roman"/>
                <w:kern w:val="0"/>
                <w:szCs w:val="21"/>
              </w:rPr>
              <w:t>　</w:t>
            </w:r>
          </w:p>
        </w:tc>
        <w:tc>
          <w:tcPr>
            <w:tcW w:w="286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城乡社区规划与管理</w:t>
            </w:r>
          </w:p>
        </w:tc>
        <w:tc>
          <w:tcPr>
            <w:tcW w:w="303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753.78</w:t>
            </w:r>
          </w:p>
        </w:tc>
        <w:tc>
          <w:tcPr>
            <w:tcW w:w="3856"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753.78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45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8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3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85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45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8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3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85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45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8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3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85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45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869"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3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856"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15942" w:type="dxa"/>
        <w:tblInd w:w="0" w:type="dxa"/>
        <w:tblLayout w:type="fixed"/>
        <w:tblCellMar>
          <w:top w:w="0" w:type="dxa"/>
          <w:left w:w="108" w:type="dxa"/>
          <w:bottom w:w="0" w:type="dxa"/>
          <w:right w:w="108" w:type="dxa"/>
        </w:tblCellMar>
      </w:tblPr>
      <w:tblGrid>
        <w:gridCol w:w="942"/>
        <w:gridCol w:w="61"/>
        <w:gridCol w:w="240"/>
        <w:gridCol w:w="1757"/>
        <w:gridCol w:w="1375"/>
        <w:gridCol w:w="305"/>
        <w:gridCol w:w="1177"/>
        <w:gridCol w:w="651"/>
        <w:gridCol w:w="212"/>
        <w:gridCol w:w="1938"/>
        <w:gridCol w:w="344"/>
        <w:gridCol w:w="973"/>
        <w:gridCol w:w="785"/>
        <w:gridCol w:w="361"/>
        <w:gridCol w:w="2119"/>
        <w:gridCol w:w="1252"/>
        <w:gridCol w:w="868"/>
        <w:gridCol w:w="582"/>
      </w:tblGrid>
      <w:tr>
        <w:tblPrEx>
          <w:tblCellMar>
            <w:top w:w="0" w:type="dxa"/>
            <w:left w:w="108" w:type="dxa"/>
            <w:bottom w:w="0" w:type="dxa"/>
            <w:right w:w="108" w:type="dxa"/>
          </w:tblCellMar>
        </w:tblPrEx>
        <w:trPr>
          <w:trHeight w:val="753" w:hRule="atLeast"/>
        </w:trPr>
        <w:tc>
          <w:tcPr>
            <w:tcW w:w="15942"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3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6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3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1428.9</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176.94</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529.34</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8.15</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13.4</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14.6</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29.32</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29.31</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593.8</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12.19</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15.93</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128.1</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10.67</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2.93</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2.06</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69.58</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6.14</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25.23</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15.34</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2.61</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1.66</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33.2</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18.19</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1.08</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5.72</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5.1</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16.53</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1.66</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7.25</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4.6</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48.18</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14.21</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3.35</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3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18.92</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3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3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4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1447.09</w:t>
            </w:r>
          </w:p>
        </w:tc>
        <w:tc>
          <w:tcPr>
            <w:tcW w:w="863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206.26</w:t>
            </w:r>
          </w:p>
        </w:tc>
      </w:tr>
      <w:tr>
        <w:tblPrEx>
          <w:tblCellMar>
            <w:top w:w="0" w:type="dxa"/>
            <w:left w:w="108" w:type="dxa"/>
            <w:bottom w:w="0" w:type="dxa"/>
            <w:right w:w="108" w:type="dxa"/>
          </w:tblCellMar>
        </w:tblPrEx>
        <w:trPr>
          <w:trHeight w:val="284" w:hRule="exact"/>
        </w:trPr>
        <w:tc>
          <w:tcPr>
            <w:tcW w:w="15942"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345" w:hRule="atLeast"/>
        </w:trPr>
        <w:tc>
          <w:tcPr>
            <w:tcW w:w="100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75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68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4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8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690" w:hRule="atLeast"/>
        </w:trPr>
        <w:tc>
          <w:tcPr>
            <w:tcW w:w="1003"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75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68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4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8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459" w:hRule="atLeast"/>
        </w:trPr>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0"/>
                <w:lang w:val="en-US" w:eastAsia="zh-CN" w:bidi="ar"/>
              </w:rPr>
              <w:t xml:space="preserve">   </w:t>
            </w:r>
            <w:r>
              <w:rPr>
                <w:rStyle w:val="21"/>
                <w:lang w:val="en-US" w:eastAsia="zh-CN" w:bidi="ar"/>
              </w:rPr>
              <w:t>目</w:t>
            </w:r>
          </w:p>
        </w:tc>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0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5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509" w:hRule="atLeast"/>
        </w:trPr>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509" w:hRule="atLeast"/>
        </w:trPr>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894"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2290402</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r>
              <w:rPr>
                <w:rFonts w:hint="eastAsia" w:ascii="宋体" w:hAnsi="宋体" w:eastAsia="宋体" w:cs="宋体"/>
                <w:kern w:val="0"/>
                <w:sz w:val="24"/>
                <w:szCs w:val="24"/>
                <w:lang w:val="en-US" w:eastAsia="zh-CN"/>
              </w:rPr>
              <w:t>其他地方自行试点项目收益专项债劵收入安排的支出</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kern w:val="0"/>
                <w:sz w:val="22"/>
                <w:szCs w:val="22"/>
                <w:lang w:val="en-US" w:eastAsia="zh-CN" w:bidi="ar-SA"/>
              </w:rPr>
            </w:pPr>
            <w:r>
              <w:rPr>
                <w:rFonts w:hint="eastAsia" w:ascii="宋体" w:hAnsi="宋体" w:eastAsia="宋体" w:cs="宋体"/>
                <w:b w:val="0"/>
                <w:bCs/>
                <w:i w:val="0"/>
                <w:color w:val="000000"/>
                <w:sz w:val="22"/>
                <w:szCs w:val="22"/>
                <w:u w:val="none"/>
                <w:lang w:val="en-US" w:eastAsia="zh-CN"/>
              </w:rPr>
              <w:t>39063.58</w:t>
            </w: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kern w:val="0"/>
                <w:sz w:val="22"/>
                <w:szCs w:val="22"/>
                <w:lang w:val="en-US" w:eastAsia="zh-CN" w:bidi="ar-SA"/>
              </w:rPr>
            </w:pPr>
            <w:r>
              <w:rPr>
                <w:rFonts w:hint="eastAsia" w:ascii="宋体" w:hAnsi="宋体" w:eastAsia="宋体" w:cs="宋体"/>
                <w:b w:val="0"/>
                <w:bCs/>
                <w:i w:val="0"/>
                <w:color w:val="000000"/>
                <w:sz w:val="22"/>
                <w:szCs w:val="22"/>
                <w:u w:val="none"/>
                <w:lang w:val="en-US" w:eastAsia="zh-CN"/>
              </w:rPr>
              <w:t>39063.58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kern w:val="0"/>
                <w:sz w:val="22"/>
                <w:szCs w:val="22"/>
                <w:lang w:val="en-US" w:eastAsia="zh-CN" w:bidi="ar-SA"/>
              </w:rPr>
            </w:pPr>
            <w:r>
              <w:rPr>
                <w:rFonts w:hint="eastAsia" w:ascii="宋体" w:hAnsi="宋体" w:eastAsia="宋体" w:cs="宋体"/>
                <w:b w:val="0"/>
                <w:bCs/>
                <w:i w:val="0"/>
                <w:color w:val="000000"/>
                <w:sz w:val="22"/>
                <w:szCs w:val="22"/>
                <w:u w:val="none"/>
                <w:lang w:val="en-US" w:eastAsia="zh-CN"/>
              </w:rPr>
              <w:t>39063.58</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2"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2"/>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7"/>
        <w:rPr>
          <w:sz w:val="72"/>
          <w:szCs w:val="72"/>
        </w:rPr>
      </w:pPr>
    </w:p>
    <w:p>
      <w:pPr>
        <w:pStyle w:val="17"/>
        <w:rPr>
          <w:sz w:val="72"/>
          <w:szCs w:val="72"/>
        </w:rPr>
      </w:pPr>
    </w:p>
    <w:p>
      <w:pPr>
        <w:pStyle w:val="17"/>
        <w:rPr>
          <w:sz w:val="72"/>
          <w:szCs w:val="72"/>
        </w:rPr>
      </w:pPr>
    </w:p>
    <w:p>
      <w:pPr>
        <w:pStyle w:val="17"/>
        <w:rPr>
          <w:sz w:val="72"/>
          <w:szCs w:val="72"/>
        </w:rPr>
      </w:pPr>
    </w:p>
    <w:p>
      <w:pPr>
        <w:pStyle w:val="17"/>
        <w:jc w:val="center"/>
        <w:rPr>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7"/>
        <w:jc w:val="center"/>
        <w:rPr>
          <w:rFonts w:hint="eastAsia" w:ascii="方正小标宋_GBK" w:hAnsi="方正小标宋_GBK" w:eastAsia="方正小标宋_GBK" w:cs="方正小标宋_GBK"/>
          <w:sz w:val="70"/>
          <w:szCs w:val="70"/>
        </w:rPr>
      </w:pPr>
    </w:p>
    <w:p>
      <w:pPr>
        <w:pStyle w:val="17"/>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40716.93</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8874.05万元</w:t>
      </w:r>
      <w:r>
        <w:rPr>
          <w:rFonts w:hint="eastAsia" w:ascii="Times New Roman" w:hAnsi="Times New Roman" w:eastAsia="仿宋_GB2312"/>
          <w:sz w:val="32"/>
          <w:szCs w:val="32"/>
        </w:rPr>
        <w:t>相比，增加</w:t>
      </w:r>
      <w:r>
        <w:rPr>
          <w:rFonts w:hint="eastAsia" w:ascii="Times New Roman" w:hAnsi="Times New Roman" w:eastAsia="仿宋_GB2312"/>
          <w:sz w:val="32"/>
          <w:szCs w:val="32"/>
          <w:lang w:val="en-US" w:eastAsia="zh-CN"/>
        </w:rPr>
        <w:t>31842.88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358.83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增加专项债劵拨款和历年老旧小区改造等项目欠款。</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40716.93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40716.93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40716.93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1653.35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39063.58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40716.93</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8874.05万元</w:t>
      </w:r>
      <w:r>
        <w:rPr>
          <w:rFonts w:hint="eastAsia" w:ascii="Times New Roman" w:hAnsi="Times New Roman" w:eastAsia="仿宋_GB2312"/>
          <w:sz w:val="32"/>
          <w:szCs w:val="32"/>
        </w:rPr>
        <w:t>相比，增加</w:t>
      </w:r>
      <w:r>
        <w:rPr>
          <w:rFonts w:hint="eastAsia" w:ascii="Times New Roman" w:hAnsi="Times New Roman" w:eastAsia="仿宋_GB2312"/>
          <w:sz w:val="32"/>
          <w:szCs w:val="32"/>
          <w:lang w:val="en-US" w:eastAsia="zh-CN"/>
        </w:rPr>
        <w:t>31842.88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358.83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增加专项债劵拨款和历年老旧小区改造等项目欠款。</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1653.35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3582.34万元</w:t>
      </w:r>
      <w:r>
        <w:rPr>
          <w:rFonts w:hint="eastAsia" w:ascii="Times New Roman" w:hAnsi="Times New Roman" w:eastAsia="仿宋_GB2312"/>
          <w:sz w:val="32"/>
          <w:szCs w:val="32"/>
        </w:rPr>
        <w:t>相比，财政拨款支出减少</w:t>
      </w:r>
      <w:r>
        <w:rPr>
          <w:rFonts w:hint="eastAsia" w:ascii="Times New Roman" w:hAnsi="Times New Roman" w:eastAsia="仿宋_GB2312"/>
          <w:sz w:val="32"/>
          <w:szCs w:val="32"/>
          <w:lang w:val="en-US" w:eastAsia="zh-CN"/>
        </w:rPr>
        <w:t>1928.99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53.85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增加专项债券支出所以减少了。</w:t>
      </w:r>
    </w:p>
    <w:p>
      <w:pPr>
        <w:pStyle w:val="17"/>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1653.35</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城乡社区支出（类）城乡社区管理事务（款）行政运行（项）899.57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54.41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城乡社区支出（类）城乡社区规划和管理（款）城乡社区规划和管理（项）753.78万元，占45.59%。</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3739.33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1653.35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44.22</w:t>
      </w:r>
      <w:r>
        <w:rPr>
          <w:rFonts w:hint="eastAsia" w:ascii="Times New Roman" w:hAnsi="Times New Roman" w:eastAsia="仿宋_GB2312"/>
          <w:sz w:val="32"/>
          <w:szCs w:val="32"/>
        </w:rPr>
        <w:t>%，其中：</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城乡社区支出（类）城乡社区管理事务（款）行政运行（项）</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948.4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899.57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94.49</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执行中进行预算调整。</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城乡社区支出（类）城乡社区规划和管理（款）城乡社区规划和管理（项）</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2482.46</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753.78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30.36</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执行中进行预算调整。</w:t>
      </w:r>
    </w:p>
    <w:p>
      <w:pPr>
        <w:pStyle w:val="17"/>
        <w:keepNext w:val="0"/>
        <w:keepLines w:val="0"/>
        <w:pageBreakBefore w:val="0"/>
        <w:widowControl w:val="0"/>
        <w:numPr>
          <w:ilvl w:val="0"/>
          <w:numId w:val="0"/>
        </w:numPr>
        <w:kinsoku/>
        <w:wordWrap/>
        <w:overflowPunct/>
        <w:topLinePunct w:val="0"/>
        <w:bidi w:val="0"/>
        <w:snapToGrid/>
        <w:spacing w:line="600" w:lineRule="exact"/>
        <w:ind w:leftChars="196" w:firstLine="320" w:firstLineChars="100"/>
        <w:textAlignment w:val="auto"/>
        <w:rPr>
          <w:rFonts w:hint="eastAsia" w:ascii="Times New Roman" w:hAnsi="Times New Roman" w:eastAsia="仿宋"/>
          <w:sz w:val="32"/>
          <w:szCs w:val="32"/>
          <w:lang w:val="en-US" w:eastAsia="zh-CN"/>
        </w:rPr>
      </w:pPr>
      <w:r>
        <w:rPr>
          <w:rFonts w:hint="eastAsia" w:ascii="Times New Roman" w:hAnsi="Times New Roman" w:eastAsia="仿宋_GB2312"/>
          <w:sz w:val="32"/>
          <w:szCs w:val="32"/>
          <w:lang w:val="en-US" w:eastAsia="zh-CN"/>
        </w:rPr>
        <w:t>3、</w:t>
      </w:r>
      <w:r>
        <w:rPr>
          <w:rFonts w:hint="eastAsia" w:ascii="仿宋" w:hAnsi="仿宋" w:eastAsia="仿宋" w:cs="仿宋"/>
          <w:spacing w:val="4"/>
          <w:sz w:val="32"/>
          <w:szCs w:val="32"/>
        </w:rPr>
        <w:t>其他支出（类）其他政府性基金及对应专项债务收入安排的</w:t>
      </w:r>
      <w:r>
        <w:rPr>
          <w:rFonts w:hint="eastAsia" w:ascii="仿宋" w:hAnsi="仿宋" w:eastAsia="仿宋" w:cs="仿宋"/>
          <w:spacing w:val="-17"/>
          <w:sz w:val="32"/>
          <w:szCs w:val="32"/>
        </w:rPr>
        <w:t>支出（款）其他地方自行试点项目收益专项债券收入安排的支出（项）</w:t>
      </w:r>
      <w:r>
        <w:rPr>
          <w:rFonts w:hint="eastAsia" w:ascii="仿宋" w:hAnsi="仿宋" w:eastAsia="仿宋" w:cs="仿宋"/>
          <w:spacing w:val="-17"/>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39063.58</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执行中进行预算调整，项目工程款调整为专项债券拨款。</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1653.35</w:t>
      </w:r>
      <w:r>
        <w:rPr>
          <w:rFonts w:hint="eastAsia" w:ascii="Times New Roman" w:hAnsi="Times New Roman" w:eastAsia="仿宋_GB2312"/>
          <w:sz w:val="32"/>
          <w:szCs w:val="32"/>
        </w:rPr>
        <w:t>万元，其中：</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Times New Roman" w:hAnsi="Times New Roman" w:eastAsia="仿宋_GB2312"/>
          <w:b w:val="0"/>
          <w:bCs w:val="0"/>
          <w:sz w:val="32"/>
          <w:szCs w:val="32"/>
        </w:rPr>
        <w:t>人员经费</w:t>
      </w:r>
      <w:r>
        <w:rPr>
          <w:rFonts w:hint="eastAsia" w:ascii="Times New Roman" w:hAnsi="Times New Roman" w:eastAsia="仿宋_GB2312"/>
          <w:b w:val="0"/>
          <w:bCs w:val="0"/>
          <w:sz w:val="32"/>
          <w:szCs w:val="32"/>
          <w:lang w:val="en-US" w:eastAsia="zh-CN"/>
        </w:rPr>
        <w:t>1447.09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87.52</w:t>
      </w:r>
      <w:r>
        <w:rPr>
          <w:rFonts w:hint="eastAsia" w:ascii="Times New Roman" w:hAnsi="Times New Roman" w:eastAsia="仿宋_GB2312"/>
          <w:sz w:val="32"/>
          <w:szCs w:val="32"/>
        </w:rPr>
        <w:t>%,主要包括</w:t>
      </w:r>
      <w:r>
        <w:rPr>
          <w:rFonts w:hint="eastAsia" w:ascii="仿宋" w:hAnsi="仿宋" w:eastAsia="仿宋" w:cs="仿宋"/>
          <w:sz w:val="32"/>
          <w:szCs w:val="32"/>
        </w:rPr>
        <w:t>基本工资、津贴补贴、奖金、</w:t>
      </w:r>
      <w:r>
        <w:rPr>
          <w:rFonts w:hint="eastAsia" w:ascii="仿宋" w:hAnsi="仿宋" w:eastAsia="仿宋" w:cs="仿宋"/>
          <w:sz w:val="32"/>
          <w:szCs w:val="32"/>
          <w:lang w:eastAsia="zh-CN"/>
        </w:rPr>
        <w:t>绩效工资、</w:t>
      </w:r>
      <w:r>
        <w:rPr>
          <w:rFonts w:ascii="仿宋" w:hAnsi="仿宋" w:eastAsia="仿宋" w:cs="仿宋"/>
          <w:spacing w:val="-1"/>
          <w:sz w:val="32"/>
          <w:szCs w:val="32"/>
        </w:rPr>
        <w:t>机关事业单位基本养老保险缴费、职业年金缴费、职工基本医疗保险缴费、</w:t>
      </w:r>
      <w:r>
        <w:rPr>
          <w:rFonts w:hint="eastAsia" w:ascii="仿宋" w:hAnsi="仿宋" w:eastAsia="仿宋" w:cs="仿宋"/>
          <w:spacing w:val="-1"/>
          <w:sz w:val="32"/>
          <w:szCs w:val="32"/>
          <w:lang w:eastAsia="zh-CN"/>
        </w:rPr>
        <w:t>医疗费、</w:t>
      </w:r>
      <w:r>
        <w:rPr>
          <w:rFonts w:ascii="仿宋" w:hAnsi="仿宋" w:eastAsia="仿宋" w:cs="仿宋"/>
          <w:spacing w:val="-1"/>
          <w:sz w:val="32"/>
          <w:szCs w:val="32"/>
        </w:rPr>
        <w:t>其他</w:t>
      </w:r>
      <w:r>
        <w:rPr>
          <w:rFonts w:hint="eastAsia" w:ascii="仿宋" w:hAnsi="仿宋" w:eastAsia="仿宋" w:cs="仿宋"/>
          <w:spacing w:val="-1"/>
          <w:sz w:val="32"/>
          <w:szCs w:val="32"/>
          <w:lang w:eastAsia="zh-CN"/>
        </w:rPr>
        <w:t>工资福利支出</w:t>
      </w:r>
      <w:r>
        <w:rPr>
          <w:rFonts w:hint="eastAsia" w:ascii="仿宋" w:hAnsi="仿宋" w:eastAsia="仿宋" w:cs="仿宋"/>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Times New Roman" w:hAnsi="Times New Roman" w:eastAsia="仿宋_GB2312"/>
          <w:b w:val="0"/>
          <w:bCs w:val="0"/>
          <w:sz w:val="32"/>
          <w:szCs w:val="32"/>
        </w:rPr>
        <w:t>公用经费</w:t>
      </w:r>
      <w:r>
        <w:rPr>
          <w:rFonts w:hint="eastAsia" w:ascii="Times New Roman" w:hAnsi="Times New Roman" w:eastAsia="仿宋_GB2312"/>
          <w:b w:val="0"/>
          <w:bCs w:val="0"/>
          <w:sz w:val="32"/>
          <w:szCs w:val="32"/>
          <w:lang w:val="en-US" w:eastAsia="zh-CN"/>
        </w:rPr>
        <w:t>206.26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12.48</w:t>
      </w:r>
      <w:r>
        <w:rPr>
          <w:rFonts w:hint="eastAsia" w:ascii="Times New Roman" w:hAnsi="Times New Roman" w:eastAsia="仿宋_GB2312"/>
          <w:sz w:val="32"/>
          <w:szCs w:val="32"/>
        </w:rPr>
        <w:t>%，主要包括</w:t>
      </w:r>
      <w:r>
        <w:rPr>
          <w:rFonts w:ascii="仿宋" w:hAnsi="仿宋" w:eastAsia="仿宋" w:cs="仿宋"/>
          <w:spacing w:val="-3"/>
          <w:sz w:val="32"/>
          <w:szCs w:val="32"/>
        </w:rPr>
        <w:t>办公费、印刷费、</w:t>
      </w:r>
      <w:r>
        <w:rPr>
          <w:rFonts w:ascii="仿宋" w:hAnsi="仿宋" w:eastAsia="仿宋" w:cs="仿宋"/>
          <w:sz w:val="32"/>
          <w:szCs w:val="32"/>
        </w:rPr>
        <w:t xml:space="preserve"> </w:t>
      </w:r>
      <w:r>
        <w:rPr>
          <w:rFonts w:ascii="仿宋" w:hAnsi="仿宋" w:eastAsia="仿宋" w:cs="仿宋"/>
          <w:spacing w:val="-8"/>
          <w:sz w:val="32"/>
          <w:szCs w:val="32"/>
        </w:rPr>
        <w:t>咨询费、水费、电费、邮电费、差旅费、维修（护）费、</w:t>
      </w:r>
      <w:r>
        <w:rPr>
          <w:rFonts w:ascii="仿宋" w:hAnsi="仿宋" w:eastAsia="仿宋" w:cs="仿宋"/>
          <w:spacing w:val="-1"/>
          <w:sz w:val="32"/>
          <w:szCs w:val="32"/>
        </w:rPr>
        <w:t>会议费、培训费、公务接待费、</w:t>
      </w:r>
      <w:r>
        <w:rPr>
          <w:rFonts w:hint="eastAsia" w:ascii="仿宋" w:hAnsi="仿宋" w:eastAsia="仿宋" w:cs="仿宋"/>
          <w:spacing w:val="-1"/>
          <w:sz w:val="32"/>
          <w:szCs w:val="32"/>
          <w:lang w:eastAsia="zh-CN"/>
        </w:rPr>
        <w:t>专用材料费</w:t>
      </w:r>
      <w:r>
        <w:rPr>
          <w:rFonts w:ascii="仿宋" w:hAnsi="仿宋" w:eastAsia="仿宋" w:cs="仿宋"/>
          <w:spacing w:val="-1"/>
          <w:sz w:val="32"/>
          <w:szCs w:val="32"/>
        </w:rPr>
        <w:t>、委托业务费、工会经费、福</w:t>
      </w:r>
      <w:r>
        <w:rPr>
          <w:rFonts w:ascii="仿宋" w:hAnsi="仿宋" w:eastAsia="仿宋" w:cs="仿宋"/>
          <w:spacing w:val="-3"/>
          <w:sz w:val="32"/>
          <w:szCs w:val="32"/>
        </w:rPr>
        <w:t>利费、公务用车运行维护费、</w:t>
      </w:r>
      <w:r>
        <w:rPr>
          <w:rFonts w:hint="eastAsia" w:ascii="仿宋" w:hAnsi="仿宋" w:eastAsia="仿宋" w:cs="仿宋"/>
          <w:spacing w:val="-3"/>
          <w:sz w:val="32"/>
          <w:szCs w:val="32"/>
          <w:lang w:eastAsia="zh-CN"/>
        </w:rPr>
        <w:t>其他交通费用、</w:t>
      </w:r>
      <w:r>
        <w:rPr>
          <w:rFonts w:ascii="仿宋" w:hAnsi="仿宋" w:eastAsia="仿宋" w:cs="仿宋"/>
          <w:spacing w:val="-3"/>
          <w:sz w:val="32"/>
          <w:szCs w:val="32"/>
        </w:rPr>
        <w:t>其他商品和服务支出</w:t>
      </w:r>
      <w:r>
        <w:rPr>
          <w:rFonts w:hint="eastAsia" w:ascii="仿宋" w:hAnsi="仿宋" w:eastAsia="仿宋" w:cs="仿宋"/>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8.45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56.33</w:t>
      </w:r>
      <w:r>
        <w:rPr>
          <w:rFonts w:hint="eastAsia" w:ascii="Times New Roman" w:hAnsi="Times New Roman" w:eastAsia="仿宋_GB2312"/>
          <w:sz w:val="32"/>
          <w:szCs w:val="32"/>
        </w:rPr>
        <w:t>%，决算数小于预算数的主要原因</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lang w:val="en-US" w:eastAsia="zh-CN"/>
        </w:rPr>
        <w:t>节省开支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0.24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节省开支</w:t>
      </w:r>
      <w:r>
        <w:rPr>
          <w:rFonts w:hint="eastAsia" w:ascii="Times New Roman" w:hAnsi="Times New Roman" w:eastAsia="仿宋_GB2312"/>
          <w:sz w:val="32"/>
          <w:szCs w:val="32"/>
        </w:rPr>
        <w:t>。其中：</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w:t>
      </w:r>
      <w:r>
        <w:rPr>
          <w:rFonts w:hint="eastAsia" w:ascii="仿宋" w:hAnsi="仿宋" w:eastAsia="仿宋" w:cs="仿宋"/>
          <w:sz w:val="32"/>
          <w:szCs w:val="32"/>
          <w:lang w:eastAsia="zh-CN"/>
        </w:rPr>
        <w:t>持平</w:t>
      </w:r>
      <w:r>
        <w:rPr>
          <w:rFonts w:hint="eastAsia" w:ascii="仿宋" w:hAnsi="仿宋" w:eastAsia="仿宋" w:cs="仿宋"/>
          <w:sz w:val="32"/>
          <w:szCs w:val="32"/>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节省开支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1.77</w:t>
      </w:r>
      <w:r>
        <w:rPr>
          <w:rFonts w:hint="eastAsia" w:ascii="Times New Roman" w:hAnsi="Times New Roman" w:eastAsia="仿宋_GB2312"/>
          <w:sz w:val="32"/>
          <w:szCs w:val="32"/>
        </w:rPr>
        <w:t>%,减少的主要原因</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lang w:val="en-US" w:eastAsia="zh-CN"/>
        </w:rPr>
        <w:t>节省开支</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w:t>
      </w:r>
      <w:r>
        <w:rPr>
          <w:rFonts w:hint="eastAsia" w:ascii="仿宋" w:hAnsi="仿宋" w:eastAsia="仿宋" w:cs="仿宋"/>
          <w:sz w:val="32"/>
          <w:szCs w:val="32"/>
          <w:lang w:eastAsia="zh-CN"/>
        </w:rPr>
        <w:t>持平</w:t>
      </w:r>
      <w:r>
        <w:rPr>
          <w:rFonts w:hint="eastAsia" w:ascii="仿宋" w:hAnsi="仿宋" w:eastAsia="仿宋" w:cs="仿宋"/>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节省开支</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0.07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2.13</w:t>
      </w:r>
      <w:r>
        <w:rPr>
          <w:rFonts w:hint="eastAsia" w:ascii="Times New Roman" w:hAnsi="Times New Roman" w:eastAsia="仿宋_GB2312"/>
          <w:sz w:val="32"/>
          <w:szCs w:val="32"/>
        </w:rPr>
        <w:t>%,增</w:t>
      </w:r>
      <w:r>
        <w:rPr>
          <w:rFonts w:hint="eastAsia" w:ascii="Times New Roman" w:hAnsi="Times New Roman" w:eastAsia="仿宋_GB2312"/>
          <w:sz w:val="32"/>
          <w:szCs w:val="32"/>
          <w:lang w:val="en-US" w:eastAsia="zh-CN"/>
        </w:rPr>
        <w:t>长</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车子老化维修费增长</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60.36</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39.64</w:t>
      </w:r>
      <w:r>
        <w:rPr>
          <w:rFonts w:hint="eastAsia" w:ascii="Times New Roman" w:hAnsi="Times New Roman" w:eastAsia="仿宋_GB2312"/>
          <w:sz w:val="32"/>
          <w:szCs w:val="32"/>
        </w:rPr>
        <w:t>%。其中：</w:t>
      </w:r>
    </w:p>
    <w:p>
      <w:pPr>
        <w:pStyle w:val="17"/>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5.1</w:t>
      </w:r>
      <w:r>
        <w:rPr>
          <w:rFonts w:hint="eastAsia" w:ascii="仿宋" w:hAnsi="仿宋" w:eastAsia="仿宋" w:cs="仿宋"/>
          <w:sz w:val="32"/>
          <w:szCs w:val="32"/>
        </w:rPr>
        <w:t>万元，</w:t>
      </w:r>
      <w:r>
        <w:rPr>
          <w:rFonts w:ascii="仿宋" w:hAnsi="仿宋" w:eastAsia="仿宋" w:cs="仿宋"/>
          <w:spacing w:val="-5"/>
          <w:sz w:val="32"/>
          <w:szCs w:val="32"/>
        </w:rPr>
        <w:t>全年共接待来访团组</w:t>
      </w:r>
      <w:r>
        <w:rPr>
          <w:rFonts w:hint="eastAsia" w:ascii="仿宋" w:hAnsi="仿宋" w:eastAsia="仿宋" w:cs="仿宋"/>
          <w:spacing w:val="-5"/>
          <w:sz w:val="32"/>
          <w:szCs w:val="32"/>
          <w:lang w:val="en-US" w:eastAsia="zh-CN"/>
        </w:rPr>
        <w:t>69</w:t>
      </w:r>
      <w:r>
        <w:rPr>
          <w:rFonts w:ascii="仿宋" w:hAnsi="仿宋" w:eastAsia="仿宋" w:cs="仿宋"/>
          <w:spacing w:val="-2"/>
          <w:sz w:val="32"/>
          <w:szCs w:val="32"/>
        </w:rPr>
        <w:t>个，来宾</w:t>
      </w:r>
      <w:r>
        <w:rPr>
          <w:rFonts w:ascii="仿宋" w:hAnsi="仿宋" w:eastAsia="仿宋" w:cs="仿宋"/>
          <w:spacing w:val="-66"/>
          <w:sz w:val="32"/>
          <w:szCs w:val="32"/>
        </w:rPr>
        <w:t xml:space="preserve"> </w:t>
      </w:r>
      <w:r>
        <w:rPr>
          <w:rFonts w:hint="eastAsia" w:ascii="仿宋" w:hAnsi="仿宋" w:eastAsia="仿宋" w:cs="仿宋"/>
          <w:spacing w:val="-66"/>
          <w:sz w:val="32"/>
          <w:szCs w:val="32"/>
          <w:lang w:val="en-US" w:eastAsia="zh-CN"/>
        </w:rPr>
        <w:t>630</w:t>
      </w:r>
      <w:r>
        <w:rPr>
          <w:rFonts w:ascii="仿宋" w:hAnsi="仿宋" w:eastAsia="仿宋" w:cs="仿宋"/>
          <w:spacing w:val="-2"/>
          <w:sz w:val="32"/>
          <w:szCs w:val="32"/>
        </w:rPr>
        <w:t>人次，主要是国内学习交流、上级检查考察、建设</w:t>
      </w:r>
      <w:r>
        <w:rPr>
          <w:rFonts w:ascii="仿宋" w:hAnsi="仿宋" w:eastAsia="仿宋" w:cs="仿宋"/>
          <w:spacing w:val="-3"/>
          <w:sz w:val="32"/>
          <w:szCs w:val="32"/>
        </w:rPr>
        <w:t>项目</w:t>
      </w:r>
      <w:r>
        <w:rPr>
          <w:rFonts w:ascii="仿宋" w:hAnsi="仿宋" w:eastAsia="仿宋" w:cs="仿宋"/>
          <w:spacing w:val="-10"/>
          <w:sz w:val="32"/>
          <w:szCs w:val="32"/>
        </w:rPr>
        <w:t>工作开展等</w:t>
      </w:r>
      <w:r>
        <w:rPr>
          <w:rFonts w:hint="eastAsia" w:ascii="仿宋" w:hAnsi="仿宋" w:eastAsia="仿宋" w:cs="仿宋"/>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3.35</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万元，更新公务用车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eastAsia="zh-CN"/>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3.35</w:t>
      </w:r>
      <w:r>
        <w:rPr>
          <w:rFonts w:hint="eastAsia" w:ascii="仿宋" w:hAnsi="仿宋" w:eastAsia="仿宋" w:cs="仿宋"/>
          <w:sz w:val="32"/>
          <w:szCs w:val="32"/>
        </w:rPr>
        <w:t>万元，主要是</w:t>
      </w:r>
      <w:r>
        <w:rPr>
          <w:rFonts w:hint="eastAsia" w:ascii="仿宋" w:hAnsi="仿宋" w:eastAsia="仿宋" w:cs="仿宋"/>
          <w:spacing w:val="-5"/>
          <w:sz w:val="32"/>
          <w:szCs w:val="32"/>
          <w:lang w:eastAsia="zh-CN"/>
        </w:rPr>
        <w:t>车辆</w:t>
      </w:r>
      <w:r>
        <w:rPr>
          <w:rFonts w:hint="eastAsia" w:ascii="仿宋" w:hAnsi="仿宋" w:eastAsia="仿宋" w:cs="仿宋"/>
          <w:spacing w:val="-5"/>
          <w:sz w:val="32"/>
          <w:szCs w:val="32"/>
          <w:lang w:val="en-US" w:eastAsia="zh-CN"/>
        </w:rPr>
        <w:t>维修</w:t>
      </w:r>
      <w:r>
        <w:rPr>
          <w:rFonts w:ascii="仿宋" w:hAnsi="仿宋" w:eastAsia="仿宋" w:cs="仿宋"/>
          <w:spacing w:val="-5"/>
          <w:sz w:val="32"/>
          <w:szCs w:val="32"/>
        </w:rPr>
        <w:t>与保险</w:t>
      </w:r>
      <w:r>
        <w:rPr>
          <w:rFonts w:hint="eastAsia" w:ascii="仿宋" w:hAnsi="仿宋" w:eastAsia="仿宋" w:cs="仿宋"/>
          <w:sz w:val="32"/>
          <w:szCs w:val="32"/>
        </w:rPr>
        <w:t>支出，截止202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年12月</w:t>
      </w:r>
      <w:r>
        <w:rPr>
          <w:rFonts w:hint="eastAsia" w:ascii="仿宋" w:hAnsi="仿宋" w:eastAsia="仿宋" w:cs="仿宋"/>
          <w:sz w:val="32"/>
          <w:szCs w:val="32"/>
          <w:lang w:val="en-US" w:eastAsia="zh-CN"/>
        </w:rPr>
        <w:t>31</w:t>
      </w:r>
      <w:r>
        <w:rPr>
          <w:rFonts w:hint="eastAsia" w:ascii="仿宋" w:hAnsi="仿宋" w:eastAsia="仿宋" w:cs="仿宋"/>
          <w:sz w:val="32"/>
          <w:szCs w:val="32"/>
        </w:rPr>
        <w:t>日，我单位开支财政拨款的公务用车保有量为</w:t>
      </w:r>
      <w:r>
        <w:rPr>
          <w:rFonts w:hint="eastAsia" w:ascii="仿宋" w:hAnsi="仿宋" w:eastAsia="仿宋" w:cs="仿宋"/>
          <w:sz w:val="32"/>
          <w:szCs w:val="32"/>
          <w:lang w:val="en-US" w:eastAsia="zh-CN"/>
        </w:rPr>
        <w:t>1</w:t>
      </w:r>
      <w:r>
        <w:rPr>
          <w:rFonts w:hint="eastAsia" w:ascii="仿宋" w:hAnsi="仿宋" w:eastAsia="仿宋" w:cs="仿宋"/>
          <w:sz w:val="32"/>
          <w:szCs w:val="32"/>
        </w:rPr>
        <w:t>辆。</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7"/>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39063.58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39063.58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39063.58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仿宋" w:hAnsi="仿宋" w:eastAsia="仿宋" w:cs="仿宋"/>
          <w:spacing w:val="4"/>
          <w:sz w:val="32"/>
          <w:szCs w:val="32"/>
        </w:rPr>
        <w:t>其他支出（类）其他政府性基金及对应专项债务收入安排的</w:t>
      </w:r>
      <w:r>
        <w:rPr>
          <w:rFonts w:hint="eastAsia" w:ascii="仿宋" w:hAnsi="仿宋" w:eastAsia="仿宋" w:cs="仿宋"/>
          <w:spacing w:val="-17"/>
          <w:sz w:val="32"/>
          <w:szCs w:val="32"/>
        </w:rPr>
        <w:t>支出（款）其他地方自行试点项目收益专项债券收入安排的支出（项）</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39063.58</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执行中进行预算调整，项目工程款调整为专项债券拨款。</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206.26</w:t>
      </w:r>
      <w:r>
        <w:rPr>
          <w:rFonts w:hint="eastAsia" w:ascii="仿宋" w:hAnsi="仿宋" w:eastAsia="仿宋" w:cs="仿宋"/>
          <w:sz w:val="32"/>
          <w:szCs w:val="32"/>
        </w:rPr>
        <w:t>万元，比上年决算数</w:t>
      </w:r>
      <w:r>
        <w:rPr>
          <w:rFonts w:hint="eastAsia" w:ascii="仿宋" w:hAnsi="仿宋" w:eastAsia="仿宋" w:cs="仿宋"/>
          <w:sz w:val="32"/>
          <w:szCs w:val="32"/>
          <w:lang w:val="en-US" w:eastAsia="zh-CN"/>
        </w:rPr>
        <w:t>298.26万元</w:t>
      </w:r>
      <w:r>
        <w:rPr>
          <w:rFonts w:hint="eastAsia" w:ascii="仿宋" w:hAnsi="仿宋" w:eastAsia="仿宋" w:cs="仿宋"/>
          <w:sz w:val="32"/>
          <w:szCs w:val="32"/>
        </w:rPr>
        <w:t>减少</w:t>
      </w:r>
      <w:r>
        <w:rPr>
          <w:rFonts w:hint="eastAsia" w:ascii="仿宋" w:hAnsi="仿宋" w:eastAsia="仿宋" w:cs="仿宋"/>
          <w:sz w:val="32"/>
          <w:szCs w:val="32"/>
          <w:lang w:val="en-US" w:eastAsia="zh-CN"/>
        </w:rPr>
        <w:t>92</w:t>
      </w:r>
      <w:r>
        <w:rPr>
          <w:rFonts w:hint="eastAsia" w:ascii="仿宋" w:hAnsi="仿宋" w:eastAsia="仿宋" w:cs="仿宋"/>
          <w:sz w:val="32"/>
          <w:szCs w:val="32"/>
        </w:rPr>
        <w:t>万元，降低</w:t>
      </w:r>
      <w:r>
        <w:rPr>
          <w:rFonts w:hint="eastAsia" w:ascii="仿宋" w:hAnsi="仿宋" w:eastAsia="仿宋" w:cs="仿宋"/>
          <w:sz w:val="32"/>
          <w:szCs w:val="32"/>
          <w:lang w:val="en-US" w:eastAsia="zh-CN"/>
        </w:rPr>
        <w:t>30.85</w:t>
      </w:r>
      <w:r>
        <w:rPr>
          <w:rFonts w:hint="eastAsia" w:ascii="仿宋" w:hAnsi="仿宋" w:eastAsia="仿宋" w:cs="仿宋"/>
          <w:sz w:val="32"/>
          <w:szCs w:val="32"/>
        </w:rPr>
        <w:t>%。主要原因是</w:t>
      </w:r>
      <w:r>
        <w:rPr>
          <w:rFonts w:hint="eastAsia" w:ascii="仿宋" w:hAnsi="仿宋" w:eastAsia="仿宋" w:cs="仿宋"/>
          <w:sz w:val="32"/>
          <w:szCs w:val="32"/>
          <w:lang w:eastAsia="zh-CN"/>
        </w:rPr>
        <w:t>：精简与压缩支出规模</w:t>
      </w:r>
      <w:r>
        <w:rPr>
          <w:rFonts w:hint="eastAsia" w:ascii="仿宋" w:hAnsi="仿宋" w:eastAsia="仿宋" w:cs="仿宋"/>
          <w:sz w:val="32"/>
          <w:szCs w:val="32"/>
          <w:lang w:val="en-US" w:eastAsia="zh-CN"/>
        </w:rPr>
        <w:t xml:space="preserve">节省开支。 </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spacing w:line="600" w:lineRule="exact"/>
        <w:ind w:firstLine="640" w:firstLineChars="200"/>
        <w:rPr>
          <w:rFonts w:hint="eastAsia" w:ascii="仿宋" w:hAnsi="仿宋" w:eastAsia="仿宋" w:cs="仿宋"/>
          <w:color w:val="000000"/>
          <w:kern w:val="0"/>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仿宋" w:hAnsi="仿宋" w:eastAsia="仿宋" w:cs="仿宋"/>
          <w:color w:val="000000"/>
          <w:kern w:val="0"/>
          <w:sz w:val="32"/>
          <w:szCs w:val="32"/>
        </w:rPr>
        <w:t>年本部门开支会议费</w:t>
      </w:r>
      <w:r>
        <w:rPr>
          <w:rFonts w:hint="eastAsia" w:ascii="仿宋" w:hAnsi="仿宋" w:eastAsia="仿宋" w:cs="仿宋"/>
          <w:color w:val="000000"/>
          <w:kern w:val="0"/>
          <w:sz w:val="32"/>
          <w:szCs w:val="32"/>
          <w:lang w:val="en-US" w:eastAsia="zh-CN"/>
        </w:rPr>
        <w:t>1.08</w:t>
      </w:r>
      <w:r>
        <w:rPr>
          <w:rFonts w:hint="eastAsia" w:ascii="仿宋" w:hAnsi="仿宋" w:eastAsia="仿宋" w:cs="仿宋"/>
          <w:color w:val="000000"/>
          <w:kern w:val="0"/>
          <w:sz w:val="32"/>
          <w:szCs w:val="32"/>
        </w:rPr>
        <w:t>万元，用于召开道县农村危房改造工作会议、本单位部门会议，人数</w:t>
      </w:r>
      <w:r>
        <w:rPr>
          <w:rFonts w:hint="eastAsia" w:ascii="仿宋" w:hAnsi="仿宋" w:eastAsia="仿宋" w:cs="仿宋"/>
          <w:color w:val="000000"/>
          <w:kern w:val="0"/>
          <w:sz w:val="32"/>
          <w:szCs w:val="32"/>
          <w:lang w:val="en-US" w:eastAsia="zh-CN"/>
        </w:rPr>
        <w:t>60</w:t>
      </w:r>
      <w:r>
        <w:rPr>
          <w:rFonts w:hint="eastAsia" w:ascii="仿宋" w:hAnsi="仿宋" w:eastAsia="仿宋" w:cs="仿宋"/>
          <w:color w:val="000000"/>
          <w:kern w:val="0"/>
          <w:sz w:val="32"/>
          <w:szCs w:val="32"/>
        </w:rPr>
        <w:t>人，内容为农村危房改造工作会议、本单位部门工作会议，主要是大力推进全县农村危房改造工作，为我县脱贫攻坚，全面奔小康打下坚实的基础</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全局优秀先进工作者及优秀党务工作者120人；</w:t>
      </w:r>
      <w:r>
        <w:rPr>
          <w:rFonts w:hint="eastAsia" w:ascii="仿宋" w:hAnsi="仿宋" w:eastAsia="仿宋" w:cs="仿宋"/>
          <w:color w:val="000000"/>
          <w:kern w:val="0"/>
          <w:sz w:val="32"/>
          <w:szCs w:val="32"/>
        </w:rPr>
        <w:t>开支培训费</w:t>
      </w:r>
      <w:r>
        <w:rPr>
          <w:rFonts w:hint="eastAsia" w:ascii="仿宋" w:hAnsi="仿宋" w:eastAsia="仿宋" w:cs="仿宋"/>
          <w:color w:val="000000"/>
          <w:kern w:val="0"/>
          <w:sz w:val="32"/>
          <w:szCs w:val="32"/>
          <w:lang w:val="en-US" w:eastAsia="zh-CN"/>
        </w:rPr>
        <w:t>5.72</w:t>
      </w:r>
      <w:r>
        <w:rPr>
          <w:rFonts w:hint="eastAsia" w:ascii="仿宋" w:hAnsi="仿宋" w:eastAsia="仿宋" w:cs="仿宋"/>
          <w:color w:val="000000"/>
          <w:kern w:val="0"/>
          <w:sz w:val="32"/>
          <w:szCs w:val="32"/>
        </w:rPr>
        <w:t>万元，用于开展房地产企业建筑安全生产等培训，人数</w:t>
      </w:r>
      <w:r>
        <w:rPr>
          <w:rFonts w:hint="eastAsia" w:ascii="仿宋" w:hAnsi="仿宋" w:eastAsia="仿宋" w:cs="仿宋"/>
          <w:color w:val="000000"/>
          <w:kern w:val="0"/>
          <w:sz w:val="32"/>
          <w:szCs w:val="32"/>
          <w:lang w:val="en-US" w:eastAsia="zh-CN"/>
        </w:rPr>
        <w:t>80</w:t>
      </w:r>
      <w:r>
        <w:rPr>
          <w:rFonts w:hint="eastAsia" w:ascii="仿宋" w:hAnsi="仿宋" w:eastAsia="仿宋" w:cs="仿宋"/>
          <w:color w:val="000000"/>
          <w:kern w:val="0"/>
          <w:sz w:val="32"/>
          <w:szCs w:val="32"/>
        </w:rPr>
        <w:t>人，内容为建筑质量安全生产培训，主要是为消除建筑质量安全生产事故等进行培训工作。</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1029.32</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23.18</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1000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6.14</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23.18</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2.25</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23.18</w:t>
      </w:r>
      <w:r>
        <w:rPr>
          <w:rFonts w:hint="eastAsia" w:ascii="仿宋" w:hAnsi="仿宋" w:eastAsia="仿宋" w:cs="仿宋"/>
          <w:sz w:val="32"/>
          <w:szCs w:val="32"/>
        </w:rPr>
        <w:t>万元，</w:t>
      </w:r>
      <w:r>
        <w:rPr>
          <w:rFonts w:hint="eastAsia" w:ascii="仿宋" w:hAnsi="仿宋" w:eastAsia="仿宋" w:cs="仿宋"/>
          <w:color w:val="auto"/>
          <w:sz w:val="32"/>
          <w:szCs w:val="32"/>
        </w:rPr>
        <w:t>占</w:t>
      </w:r>
      <w:r>
        <w:rPr>
          <w:rFonts w:hint="eastAsia" w:ascii="仿宋" w:hAnsi="仿宋" w:eastAsia="仿宋" w:cs="仿宋"/>
          <w:color w:val="auto"/>
          <w:sz w:val="32"/>
          <w:szCs w:val="32"/>
          <w:lang w:eastAsia="zh-CN"/>
        </w:rPr>
        <w:t>授予中小企业合同金额</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%。货物采购授予中小企业合同金额占货物支出金额的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%，工程采购授予中小企业合同金额占工程支出金额的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%，服务采购授予中小企业合同金额占服务支出金额的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val="en-US" w:eastAsia="zh-CN"/>
        </w:rPr>
        <w:t>本</w:t>
      </w:r>
      <w:r>
        <w:rPr>
          <w:rFonts w:hint="eastAsia" w:ascii="Times New Roman" w:hAnsi="Times New Roman" w:eastAsia="仿宋_GB2312"/>
          <w:color w:val="auto"/>
          <w:sz w:val="32"/>
          <w:szCs w:val="32"/>
          <w:lang w:eastAsia="zh-CN"/>
        </w:rPr>
        <w:t>部门</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辆、应急保障用车辆、执法执勤用车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（一）绩效管理工作开展情况：</w:t>
      </w:r>
      <w:r>
        <w:rPr>
          <w:rFonts w:hint="eastAsia" w:ascii="楷体" w:hAnsi="楷体" w:eastAsia="楷体" w:cs="楷体"/>
          <w:b w:val="0"/>
          <w:bCs w:val="0"/>
          <w:sz w:val="32"/>
          <w:szCs w:val="32"/>
          <w:lang w:val="en-US" w:eastAsia="zh-CN"/>
        </w:rPr>
        <w:t>本部门年初就按预算对整体部门情况做出了绩效报告，对当年预算项目相应做出了绩效报告，按预算绩效开展工作。</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本部门支出的绩效目标</w:t>
      </w:r>
      <w:r>
        <w:rPr>
          <w:rFonts w:hint="eastAsia" w:ascii="Times New Roman" w:hAnsi="Times New Roman" w:eastAsia="仿宋_GB2312"/>
          <w:sz w:val="32"/>
          <w:szCs w:val="32"/>
          <w:lang w:val="en-US" w:eastAsia="zh-CN"/>
        </w:rPr>
        <w:t>能完成预期的80%以上</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按年初预算绩效目标完成</w:t>
      </w:r>
      <w:r>
        <w:rPr>
          <w:rFonts w:hint="eastAsia" w:ascii="Times New Roman" w:hAnsi="Times New Roman" w:eastAsia="仿宋_GB2312"/>
          <w:sz w:val="32"/>
          <w:szCs w:val="32"/>
        </w:rPr>
        <w:t>。部门</w:t>
      </w:r>
      <w:r>
        <w:rPr>
          <w:rFonts w:hint="eastAsia" w:ascii="Times New Roman" w:hAnsi="Times New Roman" w:eastAsia="仿宋_GB2312"/>
          <w:sz w:val="32"/>
          <w:szCs w:val="32"/>
          <w:lang w:val="en-US" w:eastAsia="zh-CN"/>
        </w:rPr>
        <w:t>按本部门</w:t>
      </w:r>
      <w:r>
        <w:rPr>
          <w:rFonts w:hint="eastAsia" w:ascii="Times New Roman" w:hAnsi="Times New Roman" w:eastAsia="仿宋_GB2312"/>
          <w:sz w:val="32"/>
          <w:szCs w:val="32"/>
        </w:rPr>
        <w:t>职责、行业发展规划</w:t>
      </w:r>
      <w:r>
        <w:rPr>
          <w:rFonts w:hint="eastAsia" w:ascii="Times New Roman" w:hAnsi="Times New Roman" w:eastAsia="仿宋_GB2312"/>
          <w:sz w:val="32"/>
          <w:szCs w:val="32"/>
          <w:lang w:val="en-US" w:eastAsia="zh-CN"/>
        </w:rPr>
        <w:t>执行</w:t>
      </w:r>
      <w:r>
        <w:rPr>
          <w:rFonts w:hint="eastAsia" w:ascii="Times New Roman" w:hAnsi="Times New Roman" w:eastAsia="仿宋_GB2312"/>
          <w:sz w:val="32"/>
          <w:szCs w:val="32"/>
        </w:rPr>
        <w:t>，以预算资金管理为主线，</w:t>
      </w:r>
      <w:r>
        <w:rPr>
          <w:rFonts w:hint="eastAsia" w:ascii="Times New Roman" w:hAnsi="Times New Roman" w:eastAsia="仿宋_GB2312"/>
          <w:sz w:val="32"/>
          <w:szCs w:val="32"/>
          <w:lang w:val="en-US" w:eastAsia="zh-CN"/>
        </w:rPr>
        <w:t>按预算资金情况</w:t>
      </w:r>
      <w:r>
        <w:rPr>
          <w:rFonts w:hint="eastAsia" w:ascii="Times New Roman" w:hAnsi="Times New Roman" w:eastAsia="仿宋_GB2312"/>
          <w:sz w:val="32"/>
          <w:szCs w:val="32"/>
        </w:rPr>
        <w:t>开展业务，从运行成本、管理效率、履职效能、社会效应、可持续发展能力和服务对象满意度等方面</w:t>
      </w:r>
      <w:r>
        <w:rPr>
          <w:rFonts w:hint="eastAsia" w:ascii="Times New Roman" w:hAnsi="Times New Roman" w:eastAsia="仿宋_GB2312"/>
          <w:sz w:val="32"/>
          <w:szCs w:val="32"/>
          <w:lang w:val="en-US" w:eastAsia="zh-CN"/>
        </w:rPr>
        <w:t>秩序</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在资金使用情况、项目完成质量、对环境改善以及人民生活的幸福感都得到很大提高</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ind w:firstLine="600" w:firstLineChars="200"/>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预算绩效管理机制有待进一步完善</w:t>
      </w:r>
      <w:r>
        <w:rPr>
          <w:rFonts w:hint="eastAsia" w:ascii="仿宋" w:hAnsi="仿宋" w:eastAsia="仿宋"/>
          <w:sz w:val="30"/>
          <w:szCs w:val="30"/>
        </w:rPr>
        <w:t>，</w:t>
      </w:r>
      <w:r>
        <w:rPr>
          <w:rFonts w:ascii="仿宋" w:hAnsi="仿宋" w:eastAsia="仿宋"/>
          <w:sz w:val="30"/>
          <w:szCs w:val="30"/>
        </w:rPr>
        <w:t>需进一步结合工作实际完善资金管理文件办法等</w:t>
      </w:r>
      <w:r>
        <w:rPr>
          <w:rFonts w:hint="eastAsia" w:ascii="仿宋" w:hAnsi="仿宋" w:eastAsia="仿宋"/>
          <w:sz w:val="30"/>
          <w:szCs w:val="30"/>
        </w:rPr>
        <w:t>。</w:t>
      </w:r>
    </w:p>
    <w:p>
      <w:pPr>
        <w:ind w:firstLine="600" w:firstLineChars="200"/>
        <w:rPr>
          <w:rFonts w:hint="eastAsia" w:ascii="仿宋" w:hAnsi="仿宋" w:eastAsia="仿宋"/>
          <w:sz w:val="30"/>
          <w:szCs w:val="30"/>
        </w:rPr>
      </w:pPr>
      <w:r>
        <w:rPr>
          <w:rFonts w:hint="eastAsia" w:ascii="仿宋" w:hAnsi="仿宋" w:eastAsia="仿宋"/>
          <w:sz w:val="30"/>
          <w:szCs w:val="30"/>
        </w:rPr>
        <w:t>2、</w:t>
      </w:r>
      <w:r>
        <w:rPr>
          <w:rFonts w:ascii="仿宋" w:hAnsi="仿宋" w:eastAsia="仿宋"/>
          <w:sz w:val="30"/>
          <w:szCs w:val="30"/>
        </w:rPr>
        <w:t>绩效目标设定不够细化</w:t>
      </w:r>
      <w:r>
        <w:rPr>
          <w:rFonts w:hint="eastAsia" w:ascii="仿宋" w:hAnsi="仿宋" w:eastAsia="仿宋"/>
          <w:sz w:val="30"/>
          <w:szCs w:val="30"/>
        </w:rPr>
        <w:t>，</w:t>
      </w:r>
      <w:r>
        <w:rPr>
          <w:rFonts w:ascii="仿宋" w:hAnsi="仿宋" w:eastAsia="仿宋"/>
          <w:sz w:val="30"/>
          <w:szCs w:val="30"/>
        </w:rPr>
        <w:t>绩效目标的科学性、合理性以及量化可考核性有待进一步加强</w:t>
      </w:r>
      <w:r>
        <w:rPr>
          <w:rFonts w:hint="eastAsia" w:ascii="仿宋" w:hAnsi="仿宋" w:eastAsia="仿宋"/>
          <w:sz w:val="30"/>
          <w:szCs w:val="30"/>
        </w:rPr>
        <w:t>。</w:t>
      </w:r>
    </w:p>
    <w:p>
      <w:pPr>
        <w:ind w:firstLine="600" w:firstLineChars="200"/>
        <w:rPr>
          <w:rFonts w:hint="eastAsia" w:ascii="仿宋" w:hAnsi="仿宋" w:eastAsia="仿宋"/>
          <w:sz w:val="30"/>
          <w:szCs w:val="30"/>
        </w:rPr>
      </w:pPr>
      <w:r>
        <w:rPr>
          <w:rFonts w:hint="eastAsia" w:ascii="仿宋" w:hAnsi="仿宋" w:eastAsia="仿宋"/>
          <w:sz w:val="30"/>
          <w:szCs w:val="30"/>
        </w:rPr>
        <w:t>3、</w:t>
      </w:r>
      <w:r>
        <w:rPr>
          <w:rFonts w:ascii="仿宋" w:hAnsi="仿宋" w:eastAsia="仿宋"/>
          <w:sz w:val="30"/>
          <w:szCs w:val="30"/>
        </w:rPr>
        <w:t>内控制度执行有待进一步规范</w:t>
      </w:r>
      <w:r>
        <w:rPr>
          <w:rFonts w:hint="eastAsia" w:ascii="仿宋" w:hAnsi="仿宋" w:eastAsia="仿宋"/>
          <w:sz w:val="30"/>
          <w:szCs w:val="30"/>
        </w:rPr>
        <w:t>。</w:t>
      </w:r>
    </w:p>
    <w:p>
      <w:pPr>
        <w:pStyle w:val="9"/>
        <w:widowControl/>
        <w:spacing w:before="0" w:beforeAutospacing="0" w:after="0" w:afterAutospacing="0"/>
        <w:ind w:right="11" w:firstLine="640" w:firstLineChars="200"/>
        <w:rPr>
          <w:rFonts w:hint="eastAsia" w:ascii="仿宋" w:hAnsi="仿宋" w:eastAsia="仿宋"/>
          <w:b/>
          <w:color w:val="010101"/>
          <w:sz w:val="30"/>
          <w:szCs w:val="30"/>
        </w:rPr>
      </w:pPr>
      <w:r>
        <w:rPr>
          <w:rFonts w:hint="eastAsia" w:ascii="仿宋" w:hAnsi="仿宋" w:eastAsia="仿宋"/>
          <w:sz w:val="32"/>
          <w:szCs w:val="32"/>
        </w:rPr>
        <w:t>4、存在预算资金不够细，支出与预算不够专的问题。</w:t>
      </w:r>
    </w:p>
    <w:p>
      <w:pPr>
        <w:pStyle w:val="17"/>
        <w:jc w:val="center"/>
        <w:rPr>
          <w:sz w:val="72"/>
          <w:szCs w:val="72"/>
        </w:rPr>
      </w:pPr>
      <w:r>
        <w:rPr>
          <w:rFonts w:hint="eastAsia" w:ascii="仿宋" w:hAnsi="仿宋" w:eastAsia="仿宋" w:cs="仿宋"/>
          <w:sz w:val="32"/>
          <w:szCs w:val="32"/>
        </w:rPr>
        <w:t>5、资金到位比较滞后，甚至不到位，致使项目建设速度相对滞后</w:t>
      </w:r>
    </w:p>
    <w:p>
      <w:pPr>
        <w:pStyle w:val="17"/>
        <w:jc w:val="center"/>
        <w:rPr>
          <w:sz w:val="72"/>
          <w:szCs w:val="72"/>
        </w:rPr>
      </w:pPr>
    </w:p>
    <w:p>
      <w:pPr>
        <w:pStyle w:val="17"/>
        <w:jc w:val="both"/>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spacing w:before="168" w:line="296" w:lineRule="auto"/>
        <w:ind w:right="138" w:firstLine="853"/>
        <w:rPr>
          <w:rFonts w:ascii="仿宋" w:hAnsi="仿宋" w:eastAsia="仿宋" w:cs="仿宋"/>
          <w:sz w:val="32"/>
          <w:szCs w:val="32"/>
        </w:rPr>
      </w:pPr>
      <w:r>
        <w:rPr>
          <w:rFonts w:ascii="仿宋" w:hAnsi="仿宋" w:eastAsia="仿宋" w:cs="仿宋"/>
          <w:spacing w:val="1"/>
          <w:sz w:val="32"/>
          <w:szCs w:val="32"/>
        </w:rPr>
        <w:t>1</w:t>
      </w:r>
      <w:r>
        <w:rPr>
          <w:rFonts w:hint="eastAsia" w:ascii="仿宋" w:hAnsi="仿宋" w:eastAsia="仿宋" w:cs="仿宋"/>
          <w:spacing w:val="1"/>
          <w:sz w:val="32"/>
          <w:szCs w:val="32"/>
          <w:lang w:val="en-US" w:eastAsia="zh-CN"/>
        </w:rPr>
        <w:t>.</w:t>
      </w:r>
      <w:r>
        <w:rPr>
          <w:rFonts w:ascii="仿宋" w:hAnsi="仿宋" w:eastAsia="仿宋" w:cs="仿宋"/>
          <w:spacing w:val="1"/>
          <w:sz w:val="32"/>
          <w:szCs w:val="32"/>
        </w:rPr>
        <w:t>财政拨款收入：指单位本年度从同级财政部门取</w:t>
      </w:r>
      <w:r>
        <w:rPr>
          <w:rFonts w:ascii="仿宋" w:hAnsi="仿宋" w:eastAsia="仿宋" w:cs="仿宋"/>
          <w:sz w:val="32"/>
          <w:szCs w:val="32"/>
        </w:rPr>
        <w:t xml:space="preserve">得的各类财政 </w:t>
      </w:r>
      <w:r>
        <w:rPr>
          <w:rFonts w:ascii="仿宋" w:hAnsi="仿宋" w:eastAsia="仿宋" w:cs="仿宋"/>
          <w:spacing w:val="-15"/>
          <w:sz w:val="32"/>
          <w:szCs w:val="32"/>
        </w:rPr>
        <w:t>拨款。</w:t>
      </w:r>
    </w:p>
    <w:p>
      <w:pPr>
        <w:spacing w:before="256" w:line="338" w:lineRule="auto"/>
        <w:ind w:firstLine="837"/>
        <w:rPr>
          <w:rFonts w:ascii="仿宋" w:hAnsi="仿宋" w:eastAsia="仿宋" w:cs="仿宋"/>
          <w:sz w:val="32"/>
          <w:szCs w:val="32"/>
        </w:rPr>
      </w:pPr>
      <w:r>
        <w:rPr>
          <w:rFonts w:hint="eastAsia" w:ascii="仿宋" w:hAnsi="仿宋" w:eastAsia="仿宋" w:cs="仿宋"/>
          <w:spacing w:val="-5"/>
          <w:sz w:val="32"/>
          <w:szCs w:val="32"/>
          <w:lang w:val="en-US" w:eastAsia="zh-CN"/>
        </w:rPr>
        <w:t>2</w:t>
      </w:r>
      <w:r>
        <w:rPr>
          <w:rFonts w:ascii="仿宋" w:hAnsi="仿宋" w:eastAsia="仿宋" w:cs="仿宋"/>
          <w:spacing w:val="-5"/>
          <w:sz w:val="32"/>
          <w:szCs w:val="32"/>
        </w:rPr>
        <w:t>．机关运行经费：指行政单位（含参照公务员法管理的事业单位）</w:t>
      </w:r>
      <w:r>
        <w:rPr>
          <w:rFonts w:ascii="仿宋" w:hAnsi="仿宋" w:eastAsia="仿宋" w:cs="仿宋"/>
          <w:spacing w:val="10"/>
          <w:sz w:val="32"/>
          <w:szCs w:val="32"/>
        </w:rPr>
        <w:t xml:space="preserve"> </w:t>
      </w:r>
      <w:r>
        <w:rPr>
          <w:rFonts w:ascii="仿宋" w:hAnsi="仿宋" w:eastAsia="仿宋" w:cs="仿宋"/>
          <w:spacing w:val="2"/>
          <w:sz w:val="32"/>
          <w:szCs w:val="32"/>
        </w:rPr>
        <w:t>使用一般公共预算安排的基本支出中的公用经费支出，包括办公及印刷</w:t>
      </w:r>
      <w:r>
        <w:rPr>
          <w:rFonts w:ascii="仿宋" w:hAnsi="仿宋" w:eastAsia="仿宋" w:cs="仿宋"/>
          <w:spacing w:val="16"/>
          <w:sz w:val="32"/>
          <w:szCs w:val="32"/>
        </w:rPr>
        <w:t xml:space="preserve"> </w:t>
      </w:r>
      <w:r>
        <w:rPr>
          <w:rFonts w:ascii="仿宋" w:hAnsi="仿宋" w:eastAsia="仿宋" w:cs="仿宋"/>
          <w:spacing w:val="2"/>
          <w:sz w:val="32"/>
          <w:szCs w:val="32"/>
        </w:rPr>
        <w:t>费、邮电费、差旅费、会议费、福利费、日常维修费、专用材料及一般</w:t>
      </w:r>
      <w:r>
        <w:rPr>
          <w:rFonts w:ascii="仿宋" w:hAnsi="仿宋" w:eastAsia="仿宋" w:cs="仿宋"/>
          <w:spacing w:val="-4"/>
          <w:sz w:val="32"/>
          <w:szCs w:val="32"/>
        </w:rPr>
        <w:t>设备购置费、办公用房水电费、办公用房取暖费、办公用房物</w:t>
      </w:r>
      <w:r>
        <w:rPr>
          <w:rFonts w:ascii="仿宋" w:hAnsi="仿宋" w:eastAsia="仿宋" w:cs="仿宋"/>
          <w:spacing w:val="-5"/>
          <w:sz w:val="32"/>
          <w:szCs w:val="32"/>
        </w:rPr>
        <w:t>业管理费、</w:t>
      </w:r>
      <w:r>
        <w:rPr>
          <w:rFonts w:ascii="仿宋" w:hAnsi="仿宋" w:eastAsia="仿宋" w:cs="仿宋"/>
          <w:spacing w:val="-4"/>
          <w:sz w:val="32"/>
          <w:szCs w:val="32"/>
        </w:rPr>
        <w:t>公务用车运行维护费及其他费用。</w:t>
      </w:r>
    </w:p>
    <w:p>
      <w:pPr>
        <w:spacing w:before="258" w:line="350" w:lineRule="auto"/>
        <w:ind w:right="138" w:firstLine="828"/>
        <w:rPr>
          <w:rFonts w:ascii="仿宋" w:hAnsi="仿宋" w:eastAsia="仿宋" w:cs="仿宋"/>
          <w:spacing w:val="-16"/>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“三公</w:t>
      </w:r>
      <w:r>
        <w:rPr>
          <w:rFonts w:ascii="仿宋" w:hAnsi="仿宋" w:eastAsia="仿宋" w:cs="仿宋"/>
          <w:spacing w:val="-112"/>
          <w:sz w:val="32"/>
          <w:szCs w:val="32"/>
        </w:rPr>
        <w:t xml:space="preserve"> </w:t>
      </w:r>
      <w:r>
        <w:rPr>
          <w:rFonts w:ascii="仿宋" w:hAnsi="仿宋" w:eastAsia="仿宋" w:cs="仿宋"/>
          <w:sz w:val="32"/>
          <w:szCs w:val="32"/>
        </w:rPr>
        <w:t xml:space="preserve">”经费：指单位用一般公共预算财政拨款安排的因公出 </w:t>
      </w:r>
      <w:r>
        <w:rPr>
          <w:rFonts w:ascii="仿宋" w:hAnsi="仿宋" w:eastAsia="仿宋" w:cs="仿宋"/>
          <w:spacing w:val="2"/>
          <w:sz w:val="32"/>
          <w:szCs w:val="32"/>
        </w:rPr>
        <w:t>国（境）费、公务用车购置及运行维护费和公务接待费。其中，因公出</w:t>
      </w:r>
      <w:r>
        <w:rPr>
          <w:rFonts w:ascii="仿宋" w:hAnsi="仿宋" w:eastAsia="仿宋" w:cs="仿宋"/>
          <w:spacing w:val="15"/>
          <w:sz w:val="32"/>
          <w:szCs w:val="32"/>
        </w:rPr>
        <w:t xml:space="preserve"> </w:t>
      </w:r>
      <w:r>
        <w:rPr>
          <w:rFonts w:ascii="仿宋" w:hAnsi="仿宋" w:eastAsia="仿宋" w:cs="仿宋"/>
          <w:spacing w:val="2"/>
          <w:sz w:val="32"/>
          <w:szCs w:val="32"/>
        </w:rPr>
        <w:t>国（境）费反映单位公务出国（境）的国际旅费、国外城市间交通费、</w:t>
      </w:r>
      <w:r>
        <w:rPr>
          <w:rFonts w:ascii="仿宋" w:hAnsi="仿宋" w:eastAsia="仿宋" w:cs="仿宋"/>
          <w:spacing w:val="12"/>
          <w:sz w:val="32"/>
          <w:szCs w:val="32"/>
        </w:rPr>
        <w:t xml:space="preserve"> </w:t>
      </w:r>
      <w:r>
        <w:rPr>
          <w:rFonts w:ascii="仿宋" w:hAnsi="仿宋" w:eastAsia="仿宋" w:cs="仿宋"/>
          <w:spacing w:val="2"/>
          <w:sz w:val="32"/>
          <w:szCs w:val="32"/>
        </w:rPr>
        <w:t>住宿费、伙食费、培训费、公杂费等支出；公务用车购置及运行维护费</w:t>
      </w:r>
      <w:r>
        <w:rPr>
          <w:rFonts w:ascii="仿宋" w:hAnsi="仿宋" w:eastAsia="仿宋" w:cs="仿宋"/>
          <w:spacing w:val="15"/>
          <w:sz w:val="32"/>
          <w:szCs w:val="32"/>
        </w:rPr>
        <w:t xml:space="preserve"> </w:t>
      </w:r>
      <w:r>
        <w:rPr>
          <w:rFonts w:ascii="仿宋" w:hAnsi="仿宋" w:eastAsia="仿宋" w:cs="仿宋"/>
          <w:spacing w:val="2"/>
          <w:sz w:val="32"/>
          <w:szCs w:val="32"/>
        </w:rPr>
        <w:t>反映单位公务用车购置支出（含车辆购置税、牌照费）以及按规定保留</w:t>
      </w:r>
      <w:r>
        <w:rPr>
          <w:rFonts w:ascii="仿宋" w:hAnsi="仿宋" w:eastAsia="仿宋" w:cs="仿宋"/>
          <w:spacing w:val="15"/>
          <w:sz w:val="32"/>
          <w:szCs w:val="32"/>
        </w:rPr>
        <w:t xml:space="preserve"> </w:t>
      </w:r>
      <w:r>
        <w:rPr>
          <w:rFonts w:ascii="仿宋" w:hAnsi="仿宋" w:eastAsia="仿宋" w:cs="仿宋"/>
          <w:spacing w:val="2"/>
          <w:sz w:val="32"/>
          <w:szCs w:val="32"/>
        </w:rPr>
        <w:t>的公务用车燃料费、维修费、过路过桥费、保险费、安全奖励费用等支</w:t>
      </w:r>
      <w:r>
        <w:rPr>
          <w:rFonts w:ascii="仿宋" w:hAnsi="仿宋" w:eastAsia="仿宋" w:cs="仿宋"/>
          <w:spacing w:val="15"/>
          <w:sz w:val="32"/>
          <w:szCs w:val="32"/>
        </w:rPr>
        <w:t xml:space="preserve"> </w:t>
      </w:r>
      <w:r>
        <w:rPr>
          <w:rFonts w:ascii="仿宋" w:hAnsi="仿宋" w:eastAsia="仿宋" w:cs="仿宋"/>
          <w:spacing w:val="2"/>
          <w:sz w:val="32"/>
          <w:szCs w:val="32"/>
        </w:rPr>
        <w:t>出；公务接待费反映单位按规定开支的各类公务接待（含外宾接待）费</w:t>
      </w:r>
      <w:r>
        <w:rPr>
          <w:rFonts w:ascii="仿宋" w:hAnsi="仿宋" w:eastAsia="仿宋" w:cs="仿宋"/>
          <w:spacing w:val="15"/>
          <w:sz w:val="32"/>
          <w:szCs w:val="32"/>
        </w:rPr>
        <w:t xml:space="preserve"> </w:t>
      </w:r>
      <w:r>
        <w:rPr>
          <w:rFonts w:ascii="仿宋" w:hAnsi="仿宋" w:eastAsia="仿宋" w:cs="仿宋"/>
          <w:spacing w:val="-16"/>
          <w:sz w:val="32"/>
          <w:szCs w:val="32"/>
        </w:rPr>
        <w:t>用。</w:t>
      </w:r>
    </w:p>
    <w:p>
      <w:pPr>
        <w:spacing w:before="252" w:line="352" w:lineRule="auto"/>
        <w:ind w:firstLine="628" w:firstLineChars="200"/>
        <w:rPr>
          <w:rFonts w:ascii="仿宋" w:hAnsi="仿宋" w:eastAsia="仿宋" w:cs="仿宋"/>
          <w:sz w:val="32"/>
          <w:szCs w:val="32"/>
        </w:rPr>
      </w:pPr>
      <w:r>
        <w:rPr>
          <w:rFonts w:hint="eastAsia" w:ascii="仿宋" w:hAnsi="仿宋" w:eastAsia="仿宋" w:cs="仿宋"/>
          <w:spacing w:val="-3"/>
          <w:sz w:val="32"/>
          <w:szCs w:val="32"/>
          <w:lang w:val="en-US" w:eastAsia="zh-CN"/>
        </w:rPr>
        <w:t>4.</w:t>
      </w:r>
      <w:r>
        <w:rPr>
          <w:rFonts w:ascii="仿宋" w:hAnsi="仿宋" w:eastAsia="仿宋" w:cs="仿宋"/>
          <w:spacing w:val="-3"/>
          <w:sz w:val="32"/>
          <w:szCs w:val="32"/>
        </w:rPr>
        <w:t>年初结转和结余：指单位上年结转本年使用的基本支出结转</w:t>
      </w:r>
      <w:r>
        <w:rPr>
          <w:rFonts w:hint="eastAsia" w:ascii="仿宋" w:hAnsi="仿宋" w:eastAsia="仿宋" w:cs="仿宋"/>
          <w:spacing w:val="-3"/>
          <w:sz w:val="32"/>
          <w:szCs w:val="32"/>
          <w:lang w:eastAsia="zh-CN"/>
        </w:rPr>
        <w:t>、</w:t>
      </w:r>
      <w:r>
        <w:rPr>
          <w:rFonts w:ascii="仿宋" w:hAnsi="仿宋" w:eastAsia="仿宋" w:cs="仿宋"/>
          <w:spacing w:val="-5"/>
          <w:sz w:val="32"/>
          <w:szCs w:val="32"/>
        </w:rPr>
        <w:t>项目支出结转和结余和经营结余。</w:t>
      </w:r>
    </w:p>
    <w:p>
      <w:pPr>
        <w:spacing w:before="258" w:line="350" w:lineRule="auto"/>
        <w:ind w:right="138" w:firstLine="620" w:firstLineChars="200"/>
        <w:rPr>
          <w:rFonts w:hint="eastAsia" w:ascii="仿宋" w:hAnsi="仿宋" w:eastAsia="仿宋" w:cs="仿宋"/>
          <w:spacing w:val="-16"/>
          <w:sz w:val="32"/>
          <w:szCs w:val="32"/>
          <w:lang w:eastAsia="zh-CN"/>
        </w:rPr>
      </w:pPr>
      <w:r>
        <w:rPr>
          <w:rFonts w:hint="eastAsia" w:ascii="仿宋" w:hAnsi="仿宋" w:eastAsia="仿宋" w:cs="仿宋"/>
          <w:spacing w:val="-5"/>
          <w:sz w:val="32"/>
          <w:szCs w:val="32"/>
          <w:lang w:val="en-US" w:eastAsia="zh-CN"/>
        </w:rPr>
        <w:t>5.</w:t>
      </w:r>
      <w:r>
        <w:rPr>
          <w:rFonts w:ascii="仿宋" w:hAnsi="仿宋" w:eastAsia="仿宋" w:cs="仿宋"/>
          <w:spacing w:val="-5"/>
          <w:sz w:val="32"/>
          <w:szCs w:val="32"/>
        </w:rPr>
        <w:t>年末结转和结余资金：指本年度或以前年度预算安排、因客观</w:t>
      </w:r>
      <w:r>
        <w:rPr>
          <w:rFonts w:ascii="仿宋" w:hAnsi="仿宋" w:eastAsia="仿宋" w:cs="仿宋"/>
          <w:spacing w:val="2"/>
          <w:sz w:val="32"/>
          <w:szCs w:val="32"/>
        </w:rPr>
        <w:t>条件发生变化无法按原计划实施，需要延迟到以后年度按有关规定继续</w:t>
      </w:r>
      <w:r>
        <w:rPr>
          <w:rFonts w:ascii="仿宋" w:hAnsi="仿宋" w:eastAsia="仿宋" w:cs="仿宋"/>
          <w:spacing w:val="-10"/>
          <w:sz w:val="32"/>
          <w:szCs w:val="32"/>
        </w:rPr>
        <w:t>使用的资金</w:t>
      </w:r>
      <w:r>
        <w:rPr>
          <w:rFonts w:hint="eastAsia" w:ascii="仿宋" w:hAnsi="仿宋" w:eastAsia="仿宋" w:cs="仿宋"/>
          <w:spacing w:val="-16"/>
          <w:sz w:val="32"/>
          <w:szCs w:val="32"/>
          <w:lang w:eastAsia="zh-CN"/>
        </w:rPr>
        <w:t>。</w:t>
      </w:r>
    </w:p>
    <w:p>
      <w:pPr>
        <w:spacing w:before="258" w:line="350" w:lineRule="auto"/>
        <w:ind w:right="138" w:firstLine="620" w:firstLineChars="200"/>
        <w:rPr>
          <w:rFonts w:hint="eastAsia" w:ascii="仿宋" w:hAnsi="仿宋" w:eastAsia="仿宋" w:cs="仿宋"/>
          <w:spacing w:val="-16"/>
          <w:sz w:val="32"/>
          <w:szCs w:val="32"/>
          <w:lang w:eastAsia="zh-CN"/>
        </w:rPr>
        <w:sectPr>
          <w:footerReference r:id="rId3" w:type="default"/>
          <w:pgSz w:w="11906" w:h="16839"/>
          <w:pgMar w:top="1431" w:right="607" w:bottom="1168" w:left="1160" w:header="0" w:footer="990" w:gutter="0"/>
          <w:cols w:space="720" w:num="1"/>
        </w:sectPr>
      </w:pPr>
      <w:r>
        <w:rPr>
          <w:rFonts w:ascii="仿宋" w:hAnsi="仿宋" w:eastAsia="仿宋" w:cs="仿宋"/>
          <w:spacing w:val="-5"/>
          <w:sz w:val="32"/>
          <w:szCs w:val="32"/>
        </w:rPr>
        <w:t>6．基本支出：指为保障机构正常运转、完成日常工作任务而发生的支出，包括人员经费和公用经费</w:t>
      </w:r>
      <w:r>
        <w:rPr>
          <w:rFonts w:hint="eastAsia" w:ascii="仿宋" w:hAnsi="仿宋" w:eastAsia="仿宋" w:cs="仿宋"/>
          <w:spacing w:val="-5"/>
          <w:sz w:val="32"/>
          <w:szCs w:val="32"/>
          <w:lang w:eastAsia="zh-CN"/>
        </w:rPr>
        <w:t>。</w:t>
      </w:r>
    </w:p>
    <w:p>
      <w:pPr>
        <w:spacing w:before="49" w:line="296" w:lineRule="auto"/>
        <w:ind w:right="48"/>
        <w:rPr>
          <w:rFonts w:ascii="仿宋" w:hAnsi="仿宋" w:eastAsia="仿宋" w:cs="仿宋"/>
          <w:sz w:val="32"/>
          <w:szCs w:val="32"/>
        </w:rPr>
      </w:pPr>
    </w:p>
    <w:p>
      <w:pPr>
        <w:numPr>
          <w:ilvl w:val="0"/>
          <w:numId w:val="3"/>
        </w:numPr>
        <w:spacing w:before="251" w:line="296" w:lineRule="auto"/>
        <w:ind w:left="18" w:right="48" w:firstLine="834"/>
        <w:rPr>
          <w:rFonts w:ascii="仿宋" w:hAnsi="仿宋" w:eastAsia="仿宋" w:cs="仿宋"/>
          <w:spacing w:val="-16"/>
          <w:sz w:val="32"/>
          <w:szCs w:val="32"/>
        </w:rPr>
      </w:pPr>
      <w:r>
        <w:rPr>
          <w:rFonts w:ascii="仿宋" w:hAnsi="仿宋" w:eastAsia="仿宋" w:cs="仿宋"/>
          <w:spacing w:val="-5"/>
          <w:sz w:val="32"/>
          <w:szCs w:val="32"/>
        </w:rPr>
        <w:t>项目支出：指在为完成特定的工作任务和事业发展目标所发生</w:t>
      </w:r>
      <w:r>
        <w:rPr>
          <w:rFonts w:ascii="仿宋" w:hAnsi="仿宋" w:eastAsia="仿宋" w:cs="仿宋"/>
          <w:spacing w:val="-16"/>
          <w:sz w:val="32"/>
          <w:szCs w:val="32"/>
        </w:rPr>
        <w:t>的支出。</w:t>
      </w:r>
    </w:p>
    <w:p>
      <w:pPr>
        <w:spacing w:before="170" w:line="319" w:lineRule="auto"/>
        <w:ind w:right="138" w:firstLine="620" w:firstLineChars="200"/>
        <w:rPr>
          <w:rFonts w:ascii="仿宋" w:hAnsi="仿宋" w:eastAsia="仿宋" w:cs="仿宋"/>
          <w:spacing w:val="-16"/>
          <w:sz w:val="32"/>
          <w:szCs w:val="32"/>
        </w:rPr>
      </w:pPr>
      <w:r>
        <w:rPr>
          <w:rFonts w:hint="eastAsia" w:ascii="仿宋" w:hAnsi="仿宋" w:eastAsia="仿宋" w:cs="仿宋"/>
          <w:spacing w:val="-5"/>
          <w:sz w:val="32"/>
          <w:szCs w:val="32"/>
          <w:lang w:val="en-US" w:eastAsia="zh-CN"/>
        </w:rPr>
        <w:t>8.</w:t>
      </w:r>
      <w:r>
        <w:rPr>
          <w:rFonts w:ascii="仿宋" w:hAnsi="仿宋" w:eastAsia="仿宋" w:cs="仿宋"/>
          <w:spacing w:val="-5"/>
          <w:sz w:val="32"/>
          <w:szCs w:val="32"/>
        </w:rPr>
        <w:t>社会保障和就业支出（类）行政事业单位养老支出（款）机关</w:t>
      </w:r>
      <w:r>
        <w:rPr>
          <w:rFonts w:ascii="仿宋" w:hAnsi="仿宋" w:eastAsia="仿宋" w:cs="仿宋"/>
          <w:spacing w:val="1"/>
          <w:sz w:val="32"/>
          <w:szCs w:val="32"/>
        </w:rPr>
        <w:t>事业单位基本养老保险缴费支出（项</w:t>
      </w:r>
      <w:r>
        <w:rPr>
          <w:rFonts w:ascii="仿宋" w:hAnsi="仿宋" w:eastAsia="仿宋" w:cs="仿宋"/>
          <w:spacing w:val="24"/>
          <w:sz w:val="32"/>
          <w:szCs w:val="32"/>
        </w:rPr>
        <w:t>）</w:t>
      </w:r>
      <w:r>
        <w:rPr>
          <w:rFonts w:hint="eastAsia" w:ascii="仿宋" w:hAnsi="仿宋" w:eastAsia="仿宋" w:cs="仿宋"/>
          <w:spacing w:val="24"/>
          <w:sz w:val="32"/>
          <w:szCs w:val="32"/>
          <w:lang w:eastAsia="zh-CN"/>
        </w:rPr>
        <w:t>：</w:t>
      </w:r>
      <w:r>
        <w:rPr>
          <w:rFonts w:ascii="仿宋" w:hAnsi="仿宋" w:eastAsia="仿宋" w:cs="仿宋"/>
          <w:spacing w:val="1"/>
          <w:sz w:val="32"/>
          <w:szCs w:val="32"/>
        </w:rPr>
        <w:t>反映机关事业单位实施养老保</w:t>
      </w:r>
      <w:r>
        <w:rPr>
          <w:rFonts w:ascii="仿宋" w:hAnsi="仿宋" w:eastAsia="仿宋" w:cs="仿宋"/>
          <w:spacing w:val="-4"/>
          <w:sz w:val="32"/>
          <w:szCs w:val="32"/>
        </w:rPr>
        <w:t>险制度由单位缴纳的基本养老保险费支出。</w:t>
      </w:r>
    </w:p>
    <w:p>
      <w:pPr>
        <w:spacing w:before="255" w:line="331" w:lineRule="auto"/>
        <w:ind w:firstLine="532" w:firstLineChars="200"/>
        <w:rPr>
          <w:rFonts w:ascii="仿宋" w:hAnsi="仿宋" w:eastAsia="仿宋" w:cs="仿宋"/>
          <w:sz w:val="32"/>
          <w:szCs w:val="32"/>
        </w:rPr>
      </w:pPr>
      <w:r>
        <w:rPr>
          <w:rFonts w:ascii="仿宋" w:hAnsi="仿宋" w:eastAsia="仿宋" w:cs="仿宋"/>
          <w:spacing w:val="-27"/>
          <w:sz w:val="32"/>
          <w:szCs w:val="32"/>
        </w:rPr>
        <w:t>9．卫生健康支出（类）行政事业单位医疗（款）行政单位医疗（项</w:t>
      </w:r>
      <w:r>
        <w:rPr>
          <w:rFonts w:ascii="仿宋" w:hAnsi="仿宋" w:eastAsia="仿宋" w:cs="仿宋"/>
          <w:spacing w:val="-61"/>
          <w:sz w:val="32"/>
          <w:szCs w:val="32"/>
        </w:rPr>
        <w:t>）：</w:t>
      </w:r>
      <w:r>
        <w:rPr>
          <w:rFonts w:ascii="仿宋" w:hAnsi="仿宋" w:eastAsia="仿宋" w:cs="仿宋"/>
          <w:spacing w:val="1"/>
          <w:sz w:val="32"/>
          <w:szCs w:val="32"/>
        </w:rPr>
        <w:t xml:space="preserve"> </w:t>
      </w:r>
      <w:r>
        <w:rPr>
          <w:rFonts w:ascii="仿宋" w:hAnsi="仿宋" w:eastAsia="仿宋" w:cs="仿宋"/>
          <w:spacing w:val="-10"/>
          <w:sz w:val="32"/>
          <w:szCs w:val="32"/>
        </w:rPr>
        <w:t>反映财政部门安排的行政单位（包括实行公务员管理的事业单位，下同）</w:t>
      </w:r>
      <w:r>
        <w:rPr>
          <w:rFonts w:ascii="仿宋" w:hAnsi="仿宋" w:eastAsia="仿宋" w:cs="仿宋"/>
          <w:sz w:val="32"/>
          <w:szCs w:val="32"/>
        </w:rPr>
        <w:t xml:space="preserve"> 基本医疗保险缴费经费，未参加医疗保险的行政单位的公费医疗经费，</w:t>
      </w:r>
      <w:r>
        <w:rPr>
          <w:rFonts w:ascii="仿宋" w:hAnsi="仿宋" w:eastAsia="仿宋" w:cs="仿宋"/>
          <w:spacing w:val="-2"/>
          <w:sz w:val="32"/>
          <w:szCs w:val="32"/>
        </w:rPr>
        <w:t>按国家规定享受离休人员、红军老战士待遇人员的医疗</w:t>
      </w:r>
      <w:r>
        <w:rPr>
          <w:rFonts w:ascii="仿宋" w:hAnsi="仿宋" w:eastAsia="仿宋" w:cs="仿宋"/>
          <w:spacing w:val="-3"/>
          <w:sz w:val="32"/>
          <w:szCs w:val="32"/>
        </w:rPr>
        <w:t>经费。</w:t>
      </w:r>
    </w:p>
    <w:p>
      <w:pPr>
        <w:spacing w:before="257" w:line="319" w:lineRule="auto"/>
        <w:ind w:right="50" w:firstLine="612" w:firstLineChars="200"/>
        <w:rPr>
          <w:rFonts w:ascii="仿宋" w:hAnsi="仿宋" w:eastAsia="仿宋" w:cs="仿宋"/>
          <w:sz w:val="32"/>
          <w:szCs w:val="32"/>
        </w:rPr>
      </w:pPr>
      <w:r>
        <w:rPr>
          <w:rFonts w:hint="eastAsia" w:ascii="仿宋" w:hAnsi="仿宋" w:eastAsia="仿宋" w:cs="仿宋"/>
          <w:spacing w:val="-7"/>
          <w:sz w:val="32"/>
          <w:szCs w:val="32"/>
          <w:lang w:val="en-US" w:eastAsia="zh-CN"/>
        </w:rPr>
        <w:t>1</w:t>
      </w:r>
      <w:r>
        <w:rPr>
          <w:rFonts w:ascii="仿宋" w:hAnsi="仿宋" w:eastAsia="仿宋" w:cs="仿宋"/>
          <w:spacing w:val="-7"/>
          <w:sz w:val="32"/>
          <w:szCs w:val="32"/>
        </w:rPr>
        <w:t>0．城乡社区支出（类）城乡社区管理事务（款</w:t>
      </w:r>
      <w:r>
        <w:rPr>
          <w:rFonts w:ascii="仿宋" w:hAnsi="仿宋" w:eastAsia="仿宋" w:cs="仿宋"/>
          <w:spacing w:val="-8"/>
          <w:sz w:val="32"/>
          <w:szCs w:val="32"/>
        </w:rPr>
        <w:t>）行政运行（项</w:t>
      </w:r>
      <w:r>
        <w:rPr>
          <w:rFonts w:ascii="仿宋" w:hAnsi="仿宋" w:eastAsia="仿宋" w:cs="仿宋"/>
          <w:spacing w:val="-69"/>
          <w:sz w:val="32"/>
          <w:szCs w:val="32"/>
        </w:rPr>
        <w:t>）：</w:t>
      </w:r>
      <w:r>
        <w:rPr>
          <w:rFonts w:ascii="仿宋" w:hAnsi="仿宋" w:eastAsia="仿宋" w:cs="仿宋"/>
          <w:sz w:val="32"/>
          <w:szCs w:val="32"/>
        </w:rPr>
        <w:t xml:space="preserve"> </w:t>
      </w:r>
      <w:r>
        <w:rPr>
          <w:rFonts w:ascii="仿宋" w:hAnsi="仿宋" w:eastAsia="仿宋" w:cs="仿宋"/>
          <w:spacing w:val="8"/>
          <w:sz w:val="32"/>
          <w:szCs w:val="32"/>
        </w:rPr>
        <w:t>反映行政单位（包括实行公务员管理的事业</w:t>
      </w:r>
      <w:r>
        <w:rPr>
          <w:rFonts w:ascii="仿宋" w:hAnsi="仿宋" w:eastAsia="仿宋" w:cs="仿宋"/>
          <w:spacing w:val="7"/>
          <w:sz w:val="32"/>
          <w:szCs w:val="32"/>
        </w:rPr>
        <w:t>单位）未单独设置项级科</w:t>
      </w:r>
      <w:r>
        <w:rPr>
          <w:rFonts w:ascii="仿宋" w:hAnsi="仿宋" w:eastAsia="仿宋" w:cs="仿宋"/>
          <w:spacing w:val="-7"/>
          <w:sz w:val="32"/>
          <w:szCs w:val="32"/>
        </w:rPr>
        <w:t>目的其他项目支出。</w:t>
      </w:r>
    </w:p>
    <w:p>
      <w:pPr>
        <w:spacing w:before="253" w:line="319" w:lineRule="auto"/>
        <w:ind w:right="138" w:firstLine="624" w:firstLineChars="200"/>
        <w:rPr>
          <w:rFonts w:ascii="仿宋" w:hAnsi="仿宋" w:eastAsia="仿宋" w:cs="仿宋"/>
          <w:sz w:val="32"/>
          <w:szCs w:val="32"/>
        </w:rPr>
      </w:pPr>
      <w:r>
        <w:rPr>
          <w:rFonts w:hint="eastAsia" w:ascii="仿宋" w:hAnsi="仿宋" w:eastAsia="仿宋" w:cs="仿宋"/>
          <w:spacing w:val="-4"/>
          <w:sz w:val="32"/>
          <w:szCs w:val="32"/>
          <w:lang w:val="en-US" w:eastAsia="zh-CN"/>
        </w:rPr>
        <w:t>1</w:t>
      </w:r>
      <w:r>
        <w:rPr>
          <w:rFonts w:ascii="仿宋" w:hAnsi="仿宋" w:eastAsia="仿宋" w:cs="仿宋"/>
          <w:spacing w:val="-4"/>
          <w:sz w:val="32"/>
          <w:szCs w:val="32"/>
        </w:rPr>
        <w:t>1．城乡社区支出（类）城乡社区管理事务（款）一般行政管理事</w:t>
      </w:r>
      <w:r>
        <w:rPr>
          <w:rFonts w:ascii="仿宋" w:hAnsi="仿宋" w:eastAsia="仿宋" w:cs="仿宋"/>
          <w:spacing w:val="11"/>
          <w:sz w:val="32"/>
          <w:szCs w:val="32"/>
        </w:rPr>
        <w:t>务（项</w:t>
      </w:r>
      <w:r>
        <w:rPr>
          <w:rFonts w:ascii="仿宋" w:hAnsi="仿宋" w:eastAsia="仿宋" w:cs="仿宋"/>
          <w:sz w:val="32"/>
          <w:szCs w:val="32"/>
        </w:rPr>
        <w:t>）</w:t>
      </w:r>
      <w:r>
        <w:rPr>
          <w:rFonts w:ascii="仿宋" w:hAnsi="仿宋" w:eastAsia="仿宋" w:cs="仿宋"/>
          <w:spacing w:val="-87"/>
          <w:sz w:val="32"/>
          <w:szCs w:val="32"/>
        </w:rPr>
        <w:t xml:space="preserve"> </w:t>
      </w:r>
      <w:r>
        <w:rPr>
          <w:rFonts w:ascii="仿宋" w:hAnsi="仿宋" w:eastAsia="仿宋" w:cs="仿宋"/>
          <w:sz w:val="32"/>
          <w:szCs w:val="32"/>
        </w:rPr>
        <w:t>：</w:t>
      </w:r>
      <w:r>
        <w:rPr>
          <w:rFonts w:ascii="仿宋" w:hAnsi="仿宋" w:eastAsia="仿宋" w:cs="仿宋"/>
          <w:spacing w:val="11"/>
          <w:sz w:val="32"/>
          <w:szCs w:val="32"/>
        </w:rPr>
        <w:t>反映为行政单位（包括实行公务员管理的事业单位）提供</w:t>
      </w:r>
      <w:r>
        <w:rPr>
          <w:rFonts w:ascii="仿宋" w:hAnsi="仿宋" w:eastAsia="仿宋" w:cs="仿宋"/>
          <w:spacing w:val="-3"/>
          <w:sz w:val="32"/>
          <w:szCs w:val="32"/>
        </w:rPr>
        <w:t>后勤服务的各类后勤服务中心、医务室等附属事业单位的支出。</w:t>
      </w:r>
    </w:p>
    <w:p>
      <w:pPr>
        <w:spacing w:before="255" w:line="320" w:lineRule="auto"/>
        <w:ind w:right="138" w:firstLine="624" w:firstLineChars="200"/>
        <w:rPr>
          <w:rFonts w:ascii="仿宋" w:hAnsi="仿宋" w:eastAsia="仿宋" w:cs="仿宋"/>
          <w:sz w:val="32"/>
          <w:szCs w:val="32"/>
        </w:rPr>
      </w:pPr>
      <w:r>
        <w:rPr>
          <w:rFonts w:hint="eastAsia" w:ascii="仿宋" w:hAnsi="仿宋" w:eastAsia="仿宋" w:cs="仿宋"/>
          <w:spacing w:val="-4"/>
          <w:sz w:val="32"/>
          <w:szCs w:val="32"/>
          <w:lang w:val="en-US" w:eastAsia="zh-CN"/>
        </w:rPr>
        <w:t>1</w:t>
      </w:r>
      <w:r>
        <w:rPr>
          <w:rFonts w:ascii="仿宋" w:hAnsi="仿宋" w:eastAsia="仿宋" w:cs="仿宋"/>
          <w:spacing w:val="-4"/>
          <w:sz w:val="32"/>
          <w:szCs w:val="32"/>
        </w:rPr>
        <w:t>2．城乡社区支出（类）城乡社区公共设施（款）其他城乡社区公</w:t>
      </w:r>
      <w:r>
        <w:rPr>
          <w:rFonts w:ascii="仿宋" w:hAnsi="仿宋" w:eastAsia="仿宋" w:cs="仿宋"/>
          <w:spacing w:val="1"/>
          <w:sz w:val="32"/>
          <w:szCs w:val="32"/>
        </w:rPr>
        <w:t>共设施支出（项</w:t>
      </w:r>
      <w:r>
        <w:rPr>
          <w:rFonts w:ascii="仿宋" w:hAnsi="仿宋" w:eastAsia="仿宋" w:cs="仿宋"/>
          <w:spacing w:val="21"/>
          <w:sz w:val="32"/>
          <w:szCs w:val="32"/>
        </w:rPr>
        <w:t>）</w:t>
      </w:r>
      <w:r>
        <w:rPr>
          <w:rFonts w:hint="eastAsia" w:ascii="仿宋" w:hAnsi="仿宋" w:eastAsia="仿宋" w:cs="仿宋"/>
          <w:spacing w:val="21"/>
          <w:sz w:val="32"/>
          <w:szCs w:val="32"/>
          <w:lang w:eastAsia="zh-CN"/>
        </w:rPr>
        <w:t>：</w:t>
      </w:r>
      <w:r>
        <w:rPr>
          <w:rFonts w:ascii="仿宋" w:hAnsi="仿宋" w:eastAsia="仿宋" w:cs="仿宋"/>
          <w:spacing w:val="1"/>
          <w:sz w:val="32"/>
          <w:szCs w:val="32"/>
        </w:rPr>
        <w:t>反映除上述项目以外其他用于城乡社区公共设施方</w:t>
      </w:r>
      <w:r>
        <w:rPr>
          <w:rFonts w:ascii="仿宋" w:hAnsi="仿宋" w:eastAsia="仿宋" w:cs="仿宋"/>
          <w:spacing w:val="-14"/>
          <w:sz w:val="32"/>
          <w:szCs w:val="32"/>
        </w:rPr>
        <w:t>面的</w:t>
      </w:r>
      <w:r>
        <w:rPr>
          <w:rFonts w:ascii="仿宋" w:hAnsi="仿宋" w:eastAsia="仿宋" w:cs="仿宋"/>
          <w:spacing w:val="21"/>
          <w:sz w:val="32"/>
          <w:szCs w:val="32"/>
        </w:rPr>
        <w:t xml:space="preserve"> </w:t>
      </w:r>
      <w:r>
        <w:rPr>
          <w:rFonts w:ascii="仿宋" w:hAnsi="仿宋" w:eastAsia="仿宋" w:cs="仿宋"/>
          <w:spacing w:val="-14"/>
          <w:sz w:val="32"/>
          <w:szCs w:val="32"/>
        </w:rPr>
        <w:t>支出。</w:t>
      </w:r>
    </w:p>
    <w:p>
      <w:pPr>
        <w:widowControl w:val="0"/>
        <w:numPr>
          <w:ilvl w:val="0"/>
          <w:numId w:val="0"/>
        </w:numPr>
        <w:spacing w:line="240" w:lineRule="auto"/>
        <w:ind w:right="0" w:rightChars="0" w:firstLine="624" w:firstLineChars="200"/>
        <w:jc w:val="both"/>
        <w:rPr>
          <w:rFonts w:hint="eastAsia" w:ascii="仿宋" w:hAnsi="仿宋" w:eastAsia="仿宋" w:cs="仿宋"/>
          <w:spacing w:val="-16"/>
          <w:sz w:val="32"/>
          <w:szCs w:val="32"/>
          <w:lang w:val="en-US" w:eastAsia="zh-CN"/>
        </w:rPr>
        <w:sectPr>
          <w:footerReference r:id="rId4" w:type="default"/>
          <w:pgSz w:w="11906" w:h="16839"/>
          <w:pgMar w:top="1431" w:right="697" w:bottom="1169" w:left="1161" w:header="0" w:footer="990" w:gutter="0"/>
          <w:cols w:space="720" w:num="1"/>
        </w:sectPr>
      </w:pPr>
      <w:r>
        <w:rPr>
          <w:rFonts w:hint="eastAsia" w:ascii="仿宋" w:hAnsi="仿宋" w:eastAsia="仿宋" w:cs="仿宋"/>
          <w:spacing w:val="-4"/>
          <w:sz w:val="32"/>
          <w:szCs w:val="32"/>
          <w:lang w:val="en-US" w:eastAsia="zh-CN"/>
        </w:rPr>
        <w:t>1</w:t>
      </w:r>
      <w:r>
        <w:rPr>
          <w:rFonts w:ascii="仿宋" w:hAnsi="仿宋" w:eastAsia="仿宋" w:cs="仿宋"/>
          <w:spacing w:val="-4"/>
          <w:sz w:val="32"/>
          <w:szCs w:val="32"/>
        </w:rPr>
        <w:t>3．城乡社区支出（类）城乡社区环境卫生（款）城乡社区环境卫</w:t>
      </w:r>
      <w:r>
        <w:rPr>
          <w:rFonts w:ascii="仿宋" w:hAnsi="仿宋" w:eastAsia="仿宋" w:cs="仿宋"/>
          <w:spacing w:val="11"/>
          <w:sz w:val="32"/>
          <w:szCs w:val="32"/>
        </w:rPr>
        <w:t>生（项</w:t>
      </w:r>
      <w:r>
        <w:rPr>
          <w:rFonts w:ascii="仿宋" w:hAnsi="仿宋" w:eastAsia="仿宋" w:cs="仿宋"/>
          <w:spacing w:val="1"/>
          <w:sz w:val="32"/>
          <w:szCs w:val="32"/>
        </w:rPr>
        <w:t>）</w:t>
      </w:r>
      <w:r>
        <w:rPr>
          <w:rFonts w:ascii="仿宋" w:hAnsi="仿宋" w:eastAsia="仿宋" w:cs="仿宋"/>
          <w:spacing w:val="-86"/>
          <w:sz w:val="32"/>
          <w:szCs w:val="32"/>
        </w:rPr>
        <w:t xml:space="preserve"> </w:t>
      </w:r>
      <w:r>
        <w:rPr>
          <w:rFonts w:ascii="仿宋" w:hAnsi="仿宋" w:eastAsia="仿宋" w:cs="仿宋"/>
          <w:spacing w:val="1"/>
          <w:sz w:val="32"/>
          <w:szCs w:val="32"/>
        </w:rPr>
        <w:t>：</w:t>
      </w:r>
      <w:r>
        <w:rPr>
          <w:rFonts w:ascii="仿宋" w:hAnsi="仿宋" w:eastAsia="仿宋" w:cs="仿宋"/>
          <w:spacing w:val="11"/>
          <w:sz w:val="32"/>
          <w:szCs w:val="32"/>
        </w:rPr>
        <w:t>反映城乡社区道路清扫、垃圾清运与处理、公厕建设与维</w:t>
      </w:r>
      <w:r>
        <w:rPr>
          <w:rFonts w:ascii="仿宋" w:hAnsi="仿宋" w:eastAsia="仿宋" w:cs="仿宋"/>
          <w:spacing w:val="-5"/>
          <w:sz w:val="32"/>
          <w:szCs w:val="32"/>
        </w:rPr>
        <w:t>护、园林绿化等方面的支出</w:t>
      </w:r>
    </w:p>
    <w:p>
      <w:pPr>
        <w:rPr>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both"/>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7"/>
        <w:jc w:val="center"/>
        <w:rPr>
          <w:rFonts w:hint="eastAsia" w:ascii="方正小标宋_GBK" w:hAnsi="方正小标宋_GBK" w:eastAsia="方正小标宋_GBK" w:cs="方正小标宋_GBK"/>
          <w:sz w:val="70"/>
          <w:szCs w:val="70"/>
        </w:rPr>
      </w:pPr>
    </w:p>
    <w:p>
      <w:pPr>
        <w:pStyle w:val="17"/>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rFonts w:hint="default" w:eastAsiaTheme="minorEastAsia"/>
          <w:sz w:val="72"/>
          <w:szCs w:val="72"/>
          <w:lang w:val="en-US" w:eastAsia="zh-CN"/>
        </w:rPr>
      </w:pPr>
    </w:p>
    <w:p>
      <w:pPr>
        <w:rPr>
          <w:rFonts w:hint="default" w:eastAsiaTheme="minorEastAsia"/>
          <w:sz w:val="72"/>
          <w:szCs w:val="72"/>
          <w:lang w:val="en-US" w:eastAsia="zh-CN"/>
        </w:rPr>
      </w:pPr>
    </w:p>
    <w:p>
      <w:pPr>
        <w:rPr>
          <w:rFonts w:hint="default" w:eastAsiaTheme="minorEastAsia"/>
          <w:sz w:val="72"/>
          <w:szCs w:val="72"/>
          <w:lang w:val="en-US" w:eastAsia="zh-CN"/>
        </w:rPr>
      </w:pPr>
    </w:p>
    <w:p>
      <w:pPr>
        <w:rPr>
          <w:rFonts w:hint="default" w:eastAsiaTheme="minorEastAsia"/>
          <w:sz w:val="72"/>
          <w:szCs w:val="72"/>
          <w:lang w:val="en-US" w:eastAsia="zh-CN"/>
        </w:rPr>
      </w:pPr>
    </w:p>
    <w:p>
      <w:pPr>
        <w:rPr>
          <w:rFonts w:hint="default" w:eastAsiaTheme="minorEastAsia"/>
          <w:sz w:val="72"/>
          <w:szCs w:val="72"/>
          <w:lang w:val="en-US" w:eastAsia="zh-CN"/>
        </w:rPr>
      </w:pPr>
    </w:p>
    <w:p>
      <w:pPr>
        <w:spacing w:before="253" w:line="319" w:lineRule="auto"/>
        <w:ind w:right="138" w:firstLine="684" w:firstLineChars="200"/>
        <w:rPr>
          <w:rFonts w:ascii="仿宋" w:hAnsi="仿宋" w:eastAsia="仿宋" w:cs="仿宋"/>
          <w:spacing w:val="11"/>
          <w:sz w:val="32"/>
          <w:szCs w:val="32"/>
        </w:rPr>
      </w:pPr>
      <w:r>
        <w:rPr>
          <w:rFonts w:hint="eastAsia" w:ascii="仿宋" w:hAnsi="仿宋" w:eastAsia="仿宋" w:cs="仿宋"/>
          <w:spacing w:val="11"/>
          <w:sz w:val="32"/>
          <w:szCs w:val="32"/>
          <w:lang w:val="en-US" w:eastAsia="zh-CN"/>
        </w:rPr>
        <w:t>1.</w:t>
      </w:r>
      <w:r>
        <w:rPr>
          <w:rFonts w:hint="eastAsia" w:ascii="仿宋" w:hAnsi="仿宋" w:eastAsia="仿宋" w:cs="仿宋"/>
          <w:spacing w:val="11"/>
          <w:sz w:val="32"/>
          <w:szCs w:val="32"/>
        </w:rPr>
        <w:t>2023年度</w:t>
      </w:r>
      <w:r>
        <w:rPr>
          <w:rFonts w:hint="eastAsia" w:ascii="仿宋" w:hAnsi="仿宋" w:eastAsia="仿宋" w:cs="仿宋"/>
          <w:spacing w:val="11"/>
          <w:sz w:val="32"/>
          <w:szCs w:val="32"/>
          <w:lang w:val="en-US" w:eastAsia="zh-CN"/>
        </w:rPr>
        <w:t>道县住建局</w:t>
      </w:r>
      <w:r>
        <w:rPr>
          <w:rFonts w:hint="eastAsia" w:ascii="仿宋" w:hAnsi="仿宋" w:eastAsia="仿宋" w:cs="仿宋"/>
          <w:spacing w:val="11"/>
          <w:sz w:val="32"/>
          <w:szCs w:val="32"/>
        </w:rPr>
        <w:t>部门整体支出绩效评价报告</w:t>
      </w:r>
    </w:p>
    <w:p>
      <w:pPr>
        <w:rPr>
          <w:rFonts w:hint="default"/>
          <w:sz w:val="72"/>
          <w:szCs w:val="72"/>
          <w:lang w:val="en-US" w:eastAsia="zh-CN"/>
        </w:rPr>
      </w:pP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13"/>
      <w:rPr>
        <w:rFonts w:ascii="黑体" w:hAnsi="黑体" w:eastAsia="黑体" w:cs="黑体"/>
        <w:sz w:val="18"/>
        <w:szCs w:val="18"/>
      </w:rPr>
    </w:pPr>
    <w:r>
      <w:rPr>
        <w:rFonts w:ascii="黑体" w:hAnsi="黑体" w:eastAsia="黑体" w:cs="黑体"/>
        <w:spacing w:val="-5"/>
        <w:sz w:val="18"/>
        <w:szCs w:val="18"/>
      </w:rPr>
      <w:t>-</w:t>
    </w:r>
    <w:r>
      <w:rPr>
        <w:rFonts w:ascii="黑体" w:hAnsi="黑体" w:eastAsia="黑体" w:cs="黑体"/>
        <w:spacing w:val="16"/>
        <w:sz w:val="18"/>
        <w:szCs w:val="18"/>
      </w:rPr>
      <w:t xml:space="preserve"> </w:t>
    </w:r>
    <w:r>
      <w:rPr>
        <w:rFonts w:ascii="黑体" w:hAnsi="黑体" w:eastAsia="黑体" w:cs="黑体"/>
        <w:spacing w:val="-5"/>
        <w:sz w:val="18"/>
        <w:szCs w:val="18"/>
      </w:rPr>
      <w:t>19</w:t>
    </w:r>
    <w:r>
      <w:rPr>
        <w:rFonts w:ascii="黑体" w:hAnsi="黑体" w:eastAsia="黑体" w:cs="黑体"/>
        <w:spacing w:val="3"/>
        <w:sz w:val="18"/>
        <w:szCs w:val="18"/>
      </w:rPr>
      <w:t xml:space="preserve"> </w:t>
    </w:r>
    <w:r>
      <w:rPr>
        <w:rFonts w:ascii="黑体" w:hAnsi="黑体" w:eastAsia="黑体" w:cs="黑体"/>
        <w:spacing w:val="-5"/>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12"/>
      <w:rPr>
        <w:rFonts w:ascii="黑体" w:hAnsi="黑体" w:eastAsia="黑体" w:cs="黑体"/>
        <w:sz w:val="18"/>
        <w:szCs w:val="18"/>
      </w:rPr>
    </w:pPr>
    <w:r>
      <w:rPr>
        <w:rFonts w:ascii="黑体" w:hAnsi="黑体" w:eastAsia="黑体" w:cs="黑体"/>
        <w:spacing w:val="-3"/>
        <w:sz w:val="18"/>
        <w:szCs w:val="18"/>
      </w:rPr>
      <w:t>-</w:t>
    </w:r>
    <w:r>
      <w:rPr>
        <w:rFonts w:ascii="黑体" w:hAnsi="黑体" w:eastAsia="黑体" w:cs="黑体"/>
        <w:spacing w:val="7"/>
        <w:sz w:val="18"/>
        <w:szCs w:val="18"/>
      </w:rPr>
      <w:t xml:space="preserve"> </w:t>
    </w:r>
    <w:r>
      <w:rPr>
        <w:rFonts w:ascii="黑体" w:hAnsi="黑体" w:eastAsia="黑体" w:cs="黑体"/>
        <w:spacing w:val="-3"/>
        <w:sz w:val="18"/>
        <w:szCs w:val="18"/>
      </w:rPr>
      <w:t>20</w:t>
    </w:r>
    <w:r>
      <w:rPr>
        <w:rFonts w:ascii="黑体" w:hAnsi="黑体" w:eastAsia="黑体" w:cs="黑体"/>
        <w:spacing w:val="4"/>
        <w:sz w:val="18"/>
        <w:szCs w:val="18"/>
      </w:rPr>
      <w:t xml:space="preserve"> </w:t>
    </w:r>
    <w:r>
      <w:rPr>
        <w:rFonts w:ascii="黑体" w:hAnsi="黑体" w:eastAsia="黑体" w:cs="黑体"/>
        <w:spacing w:val="-3"/>
        <w:sz w:val="18"/>
        <w:szCs w:val="1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5FA92"/>
    <w:multiLevelType w:val="singleLevel"/>
    <w:tmpl w:val="BDB5FA92"/>
    <w:lvl w:ilvl="0" w:tentative="0">
      <w:start w:val="1"/>
      <w:numFmt w:val="decimal"/>
      <w:suff w:val="nothing"/>
      <w:lvlText w:val="%1、"/>
      <w:lvlJc w:val="left"/>
      <w:pPr>
        <w:ind w:left="3"/>
      </w:pPr>
    </w:lvl>
  </w:abstractNum>
  <w:abstractNum w:abstractNumId="1">
    <w:nsid w:val="DAC2B067"/>
    <w:multiLevelType w:val="singleLevel"/>
    <w:tmpl w:val="DAC2B067"/>
    <w:lvl w:ilvl="0" w:tentative="0">
      <w:start w:val="2"/>
      <w:numFmt w:val="chineseCounting"/>
      <w:suff w:val="nothing"/>
      <w:lvlText w:val="（%1）"/>
      <w:lvlJc w:val="left"/>
      <w:pPr>
        <w:ind w:left="-8"/>
      </w:pPr>
      <w:rPr>
        <w:rFonts w:hint="eastAsia"/>
      </w:rPr>
    </w:lvl>
  </w:abstractNum>
  <w:abstractNum w:abstractNumId="2">
    <w:nsid w:val="6A422045"/>
    <w:multiLevelType w:val="singleLevel"/>
    <w:tmpl w:val="6A422045"/>
    <w:lvl w:ilvl="0" w:tentative="0">
      <w:start w:val="7"/>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TkxZWFhMjMzZDY2NTJiNzAzZDNkMTJlN2NmY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05DE6"/>
    <w:rsid w:val="00E37D6C"/>
    <w:rsid w:val="00E55B68"/>
    <w:rsid w:val="00E561AE"/>
    <w:rsid w:val="00E67BE6"/>
    <w:rsid w:val="00E8683C"/>
    <w:rsid w:val="00EA2B72"/>
    <w:rsid w:val="00F74360"/>
    <w:rsid w:val="00FB462F"/>
    <w:rsid w:val="00FE16FA"/>
    <w:rsid w:val="00FE328A"/>
    <w:rsid w:val="00FE6269"/>
    <w:rsid w:val="00FF5CD6"/>
    <w:rsid w:val="03015719"/>
    <w:rsid w:val="04AA3A81"/>
    <w:rsid w:val="04B17539"/>
    <w:rsid w:val="054E2D94"/>
    <w:rsid w:val="069A035E"/>
    <w:rsid w:val="09116D9D"/>
    <w:rsid w:val="0B512FB6"/>
    <w:rsid w:val="0BA92DF2"/>
    <w:rsid w:val="0F1C1554"/>
    <w:rsid w:val="0F696086"/>
    <w:rsid w:val="113545E0"/>
    <w:rsid w:val="117B4A0C"/>
    <w:rsid w:val="12055BC1"/>
    <w:rsid w:val="13A06ED6"/>
    <w:rsid w:val="15E1002C"/>
    <w:rsid w:val="16094541"/>
    <w:rsid w:val="1AC217DA"/>
    <w:rsid w:val="1B8D1DE8"/>
    <w:rsid w:val="1D97DEFF"/>
    <w:rsid w:val="1DFF72E5"/>
    <w:rsid w:val="1EFC6F07"/>
    <w:rsid w:val="1F653889"/>
    <w:rsid w:val="1F6C52D8"/>
    <w:rsid w:val="1FA62CC3"/>
    <w:rsid w:val="20BC3712"/>
    <w:rsid w:val="20D5245C"/>
    <w:rsid w:val="210139F3"/>
    <w:rsid w:val="216B4237"/>
    <w:rsid w:val="22712E58"/>
    <w:rsid w:val="23E175FC"/>
    <w:rsid w:val="245F7E7F"/>
    <w:rsid w:val="267047E0"/>
    <w:rsid w:val="290F3EA7"/>
    <w:rsid w:val="2BDE48E2"/>
    <w:rsid w:val="2D24222B"/>
    <w:rsid w:val="2E2058C6"/>
    <w:rsid w:val="2FDF85B8"/>
    <w:rsid w:val="2FED4BA5"/>
    <w:rsid w:val="2FFFEE04"/>
    <w:rsid w:val="30722B71"/>
    <w:rsid w:val="30AB477C"/>
    <w:rsid w:val="330F3149"/>
    <w:rsid w:val="338F1F28"/>
    <w:rsid w:val="34D828F4"/>
    <w:rsid w:val="34DF85B0"/>
    <w:rsid w:val="35A324DC"/>
    <w:rsid w:val="367475D8"/>
    <w:rsid w:val="377E29CE"/>
    <w:rsid w:val="3B8F36BC"/>
    <w:rsid w:val="3B9C4E79"/>
    <w:rsid w:val="4069519E"/>
    <w:rsid w:val="40695EE7"/>
    <w:rsid w:val="414D67D0"/>
    <w:rsid w:val="43CE3662"/>
    <w:rsid w:val="44E241FF"/>
    <w:rsid w:val="45202906"/>
    <w:rsid w:val="45CD7101"/>
    <w:rsid w:val="491FF225"/>
    <w:rsid w:val="4A3C51B1"/>
    <w:rsid w:val="4BA679E2"/>
    <w:rsid w:val="4FFD214C"/>
    <w:rsid w:val="505D257E"/>
    <w:rsid w:val="53430A03"/>
    <w:rsid w:val="53FB37B2"/>
    <w:rsid w:val="54624E48"/>
    <w:rsid w:val="551377A0"/>
    <w:rsid w:val="55DA1E4F"/>
    <w:rsid w:val="57746D93"/>
    <w:rsid w:val="5777D4F5"/>
    <w:rsid w:val="58A27B1F"/>
    <w:rsid w:val="59DD8326"/>
    <w:rsid w:val="5AC02939"/>
    <w:rsid w:val="5B1213E7"/>
    <w:rsid w:val="5B57504B"/>
    <w:rsid w:val="5DEF592A"/>
    <w:rsid w:val="5DFD7096"/>
    <w:rsid w:val="5E0A24EC"/>
    <w:rsid w:val="5F983CF2"/>
    <w:rsid w:val="5FB10693"/>
    <w:rsid w:val="5FC6BB1E"/>
    <w:rsid w:val="5FF720F1"/>
    <w:rsid w:val="62D66FF6"/>
    <w:rsid w:val="65F74891"/>
    <w:rsid w:val="669E7FD2"/>
    <w:rsid w:val="67EE5B24"/>
    <w:rsid w:val="67FF5C0B"/>
    <w:rsid w:val="6A311785"/>
    <w:rsid w:val="6A800E78"/>
    <w:rsid w:val="6C291409"/>
    <w:rsid w:val="6D6E1766"/>
    <w:rsid w:val="6EFC0924"/>
    <w:rsid w:val="6FB74722"/>
    <w:rsid w:val="6FEF8B7E"/>
    <w:rsid w:val="70465D2B"/>
    <w:rsid w:val="70BB18DC"/>
    <w:rsid w:val="71A6591B"/>
    <w:rsid w:val="732C6B94"/>
    <w:rsid w:val="737D59BA"/>
    <w:rsid w:val="74A40EAA"/>
    <w:rsid w:val="74BE691D"/>
    <w:rsid w:val="75953460"/>
    <w:rsid w:val="75F57091"/>
    <w:rsid w:val="77C37683"/>
    <w:rsid w:val="79A03BF7"/>
    <w:rsid w:val="79FF515B"/>
    <w:rsid w:val="7E1C08C8"/>
    <w:rsid w:val="7E9E1962"/>
    <w:rsid w:val="7E9F11B4"/>
    <w:rsid w:val="7EF742CC"/>
    <w:rsid w:val="7F37EC1E"/>
    <w:rsid w:val="7F7DCD9D"/>
    <w:rsid w:val="7F970A6F"/>
    <w:rsid w:val="7FC1FFF3"/>
    <w:rsid w:val="7FC69637"/>
    <w:rsid w:val="7FDF8620"/>
    <w:rsid w:val="7FEA0FEC"/>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unhideWhenUsed/>
    <w:qFormat/>
    <w:uiPriority w:val="99"/>
    <w:pPr>
      <w:spacing w:before="100" w:beforeAutospacing="1" w:after="100" w:afterAutospacing="1"/>
      <w:jc w:val="left"/>
    </w:pPr>
    <w:rPr>
      <w:rFonts w:ascii="Calibri" w:hAnsi="Calibri"/>
      <w:kern w:val="0"/>
      <w:sz w:val="24"/>
      <w:szCs w:val="24"/>
    </w:rPr>
  </w:style>
  <w:style w:type="paragraph" w:styleId="10">
    <w:name w:val="Body Text First Indent"/>
    <w:basedOn w:val="2"/>
    <w:qFormat/>
    <w:uiPriority w:val="0"/>
    <w:pPr>
      <w:spacing w:line="360" w:lineRule="auto"/>
      <w:ind w:firstLine="420" w:firstLineChars="100"/>
    </w:pPr>
    <w:rPr>
      <w:rFonts w:eastAsia="华文仿宋"/>
      <w:sz w:val="30"/>
      <w:szCs w:val="21"/>
    </w:r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2"/>
    <w:link w:val="5"/>
    <w:semiHidden/>
    <w:qFormat/>
    <w:uiPriority w:val="99"/>
    <w:rPr>
      <w:sz w:val="18"/>
      <w:szCs w:val="18"/>
    </w:rPr>
  </w:style>
  <w:style w:type="character" w:customStyle="1" w:styleId="20">
    <w:name w:val="font01"/>
    <w:basedOn w:val="12"/>
    <w:qFormat/>
    <w:uiPriority w:val="0"/>
    <w:rPr>
      <w:rFonts w:hint="eastAsia" w:ascii="宋体" w:hAnsi="宋体" w:eastAsia="宋体" w:cs="宋体"/>
      <w:color w:val="000000"/>
      <w:sz w:val="22"/>
      <w:szCs w:val="22"/>
      <w:u w:val="none"/>
    </w:rPr>
  </w:style>
  <w:style w:type="character" w:customStyle="1" w:styleId="21">
    <w:name w:val="font21"/>
    <w:basedOn w:val="12"/>
    <w:qFormat/>
    <w:uiPriority w:val="0"/>
    <w:rPr>
      <w:rFonts w:hint="eastAsia" w:ascii="宋体" w:hAnsi="宋体" w:eastAsia="宋体" w:cs="宋体"/>
      <w:color w:val="000000"/>
      <w:sz w:val="24"/>
      <w:szCs w:val="24"/>
      <w:u w:val="none"/>
    </w:rPr>
  </w:style>
  <w:style w:type="character" w:customStyle="1" w:styleId="22">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8142</Words>
  <Characters>9507</Characters>
  <Lines>63</Lines>
  <Paragraphs>18</Paragraphs>
  <TotalTime>0</TotalTime>
  <ScaleCrop>false</ScaleCrop>
  <LinksUpToDate>false</LinksUpToDate>
  <CharactersWithSpaces>10553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2024-08-30T09:36:18Z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4914926CE358456FBD4AC6C6B64E56CD_13</vt:lpwstr>
  </property>
</Properties>
</file>