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</w:t>
      </w:r>
      <w:r>
        <w:rPr>
          <w:rFonts w:hint="eastAsia" w:ascii="楷体" w:hAnsi="楷体" w:eastAsia="楷体" w:cs="楷体"/>
          <w:sz w:val="36"/>
          <w:szCs w:val="36"/>
        </w:rPr>
        <w:t>23年</w:t>
      </w:r>
      <w:r>
        <w:rPr>
          <w:rFonts w:hint="eastAsia" w:ascii="楷体" w:hAnsi="楷体" w:eastAsia="楷体" w:cs="楷体"/>
          <w:b/>
          <w:sz w:val="36"/>
          <w:szCs w:val="36"/>
        </w:rPr>
        <w:t>道县老干部服务中心</w:t>
      </w:r>
      <w:r>
        <w:rPr>
          <w:rFonts w:hint="eastAsia" w:ascii="楷体" w:hAnsi="楷体" w:eastAsia="楷体" w:cs="楷体"/>
          <w:sz w:val="36"/>
          <w:szCs w:val="36"/>
        </w:rPr>
        <w:t>整体支出绩效评价报告</w:t>
      </w:r>
    </w:p>
    <w:p>
      <w:pPr>
        <w:pStyle w:val="14"/>
        <w:spacing w:line="660" w:lineRule="exact"/>
        <w:ind w:firstLine="753" w:firstLineChars="250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一、主要工作职责</w:t>
      </w:r>
      <w:bookmarkStart w:id="0" w:name="_GoBack"/>
      <w:bookmarkEnd w:id="0"/>
    </w:p>
    <w:p>
      <w:pPr>
        <w:pStyle w:val="14"/>
        <w:spacing w:line="660" w:lineRule="exact"/>
        <w:ind w:firstLine="480" w:firstLineChars="15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根据道办发[2020]18号文件精神，县老干部服务中心贯彻落实中央、省、市、县关于老干部服务工作的方针政策和部署要求，在履行职责过程中坚持和加强党对老干部服务工作的集中统一领导，主要职责是：</w:t>
      </w:r>
    </w:p>
    <w:p>
      <w:pPr>
        <w:pStyle w:val="14"/>
        <w:spacing w:line="660" w:lineRule="exact"/>
        <w:ind w:firstLine="320" w:firstLineChars="10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1、负责全县老干部政治待遇和生活待遇的落实</w:t>
      </w:r>
    </w:p>
    <w:p>
      <w:pPr>
        <w:pStyle w:val="14"/>
        <w:spacing w:line="660" w:lineRule="exact"/>
        <w:ind w:firstLine="320" w:firstLineChars="10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2、负责管理老干部活动中心（场所），组织引导老干部参加省市县的重大文体活动，做好协调和服务工作，开发老干部智力资源，引导老干部用掌握的知识和技能为社会服务。</w:t>
      </w:r>
    </w:p>
    <w:p>
      <w:pPr>
        <w:pStyle w:val="14"/>
        <w:spacing w:line="660" w:lineRule="exact"/>
        <w:ind w:firstLine="320" w:firstLineChars="10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3、负责老干部工作宣传，负责全县老干部信息库建设和统计工作。</w:t>
      </w:r>
    </w:p>
    <w:p>
      <w:pPr>
        <w:pStyle w:val="14"/>
        <w:spacing w:line="660" w:lineRule="exact"/>
        <w:ind w:firstLine="320" w:firstLineChars="10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4、做好老干部党建工作，开展老干部政治思想、教育和管理工作。</w:t>
      </w:r>
    </w:p>
    <w:p>
      <w:pPr>
        <w:pStyle w:val="14"/>
        <w:spacing w:line="660" w:lineRule="exact"/>
        <w:ind w:firstLine="480" w:firstLineChars="15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5、按照有关规定，做好来县老干部的接待服务工作。</w:t>
      </w:r>
    </w:p>
    <w:p>
      <w:pPr>
        <w:pStyle w:val="14"/>
        <w:spacing w:line="660" w:lineRule="exact"/>
        <w:ind w:firstLine="480" w:firstLineChars="15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6、承担县老干部工作领导小组办公室的日常工作。</w:t>
      </w:r>
    </w:p>
    <w:p>
      <w:pPr>
        <w:pStyle w:val="14"/>
        <w:spacing w:line="660" w:lineRule="exact"/>
        <w:ind w:firstLine="480" w:firstLineChars="15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7、协助做好县关心下一代工作委员会的日常工作。</w:t>
      </w:r>
    </w:p>
    <w:p>
      <w:pPr>
        <w:pStyle w:val="14"/>
        <w:spacing w:line="660" w:lineRule="exact"/>
        <w:ind w:firstLine="480" w:firstLineChars="15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8、协助做好涉老组织日常活动的开展。</w:t>
      </w:r>
    </w:p>
    <w:p>
      <w:pPr>
        <w:pStyle w:val="14"/>
        <w:spacing w:line="660" w:lineRule="exact"/>
        <w:ind w:firstLine="480" w:firstLineChars="15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9、承办县委和县委组织部交办的其他事项。</w:t>
      </w:r>
    </w:p>
    <w:p>
      <w:pPr>
        <w:pStyle w:val="14"/>
        <w:spacing w:line="660" w:lineRule="exact"/>
        <w:ind w:firstLine="480" w:firstLineChars="15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(一）、机构设置、</w:t>
      </w:r>
    </w:p>
    <w:p>
      <w:pPr>
        <w:pStyle w:val="14"/>
        <w:spacing w:line="660" w:lineRule="exact"/>
        <w:ind w:firstLine="64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1、县老干服务中心设办公室（关心下一代工作委员会办公室）。</w:t>
      </w:r>
    </w:p>
    <w:p>
      <w:pPr>
        <w:pStyle w:val="14"/>
        <w:spacing w:line="660" w:lineRule="exact"/>
        <w:ind w:firstLine="630" w:firstLineChars="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2、人员编制：老干部服务中心公益一类事业编，全额事业拨款单位。编制人数9人。</w:t>
      </w:r>
    </w:p>
    <w:p>
      <w:pPr>
        <w:snapToGrid w:val="0"/>
        <w:spacing w:line="52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3．人员情况，老干部服务中心现实有人数7人。</w:t>
      </w:r>
    </w:p>
    <w:p>
      <w:pPr>
        <w:ind w:left="901" w:right="11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b/>
          <w:color w:val="010101"/>
          <w:kern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sz w:val="32"/>
          <w:szCs w:val="32"/>
        </w:rPr>
        <w:t>一般公共预算支出情况</w:t>
      </w:r>
    </w:p>
    <w:p>
      <w:pPr>
        <w:pStyle w:val="14"/>
        <w:spacing w:line="660" w:lineRule="exact"/>
        <w:ind w:firstLine="630" w:firstLineChars="0"/>
        <w:rPr>
          <w:rFonts w:hint="eastAsia" w:ascii="楷体" w:hAnsi="楷体" w:eastAsia="楷体" w:cs="楷体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Cs w:val="32"/>
        </w:rPr>
        <w:t>2023年收入决算数154.3万元；其中：</w:t>
      </w:r>
      <w:r>
        <w:rPr>
          <w:rFonts w:hint="eastAsia" w:ascii="楷体" w:hAnsi="楷体" w:eastAsia="楷体" w:cs="楷体"/>
          <w:szCs w:val="32"/>
          <w:shd w:val="clear" w:color="auto" w:fill="FFFFFF"/>
        </w:rPr>
        <w:t>财政拨款154.3万元</w:t>
      </w:r>
      <w:r>
        <w:rPr>
          <w:rFonts w:hint="eastAsia" w:ascii="楷体" w:hAnsi="楷体" w:eastAsia="楷体" w:cs="楷体"/>
          <w:szCs w:val="32"/>
        </w:rPr>
        <w:t>。支出决算：2023年支出决算数154.3万元；其中：</w:t>
      </w:r>
      <w:r>
        <w:rPr>
          <w:rFonts w:hint="eastAsia" w:ascii="楷体" w:hAnsi="楷体" w:eastAsia="楷体" w:cs="楷体"/>
          <w:szCs w:val="32"/>
          <w:shd w:val="clear" w:color="auto" w:fill="FFFFFF"/>
        </w:rPr>
        <w:t>基本支出75.1</w:t>
      </w:r>
      <w:r>
        <w:rPr>
          <w:rFonts w:hint="eastAsia" w:ascii="楷体" w:hAnsi="楷体" w:eastAsia="楷体" w:cs="楷体"/>
          <w:szCs w:val="32"/>
        </w:rPr>
        <w:t>万元，项目支出79.2万元。</w:t>
      </w:r>
    </w:p>
    <w:p>
      <w:pPr>
        <w:ind w:left="-901" w:right="11" w:firstLine="1280" w:firstLineChars="400"/>
        <w:rPr>
          <w:rFonts w:hint="eastAsia" w:ascii="楷体" w:hAnsi="楷体" w:eastAsia="楷体" w:cs="楷体"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 xml:space="preserve">（一）、基本支出情况   </w:t>
      </w:r>
    </w:p>
    <w:p>
      <w:pPr>
        <w:ind w:right="11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>用于为保障正常运转、完成日常工作任务而发生的支出，包括人员经费和公用经费。</w:t>
      </w:r>
    </w:p>
    <w:p>
      <w:pPr>
        <w:ind w:right="11" w:firstLine="640" w:firstLineChars="200"/>
        <w:rPr>
          <w:rFonts w:hint="eastAsia" w:ascii="楷体" w:hAnsi="楷体" w:eastAsia="楷体" w:cs="楷体"/>
          <w:kern w:val="1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2023年一般公共预算财政拨款基本支出75.1万元，具体使用情况如下:</w:t>
      </w:r>
      <w:r>
        <w:rPr>
          <w:rFonts w:hint="eastAsia" w:ascii="楷体" w:hAnsi="楷体" w:eastAsia="楷体" w:cs="楷体"/>
          <w:kern w:val="1"/>
          <w:sz w:val="32"/>
          <w:szCs w:val="32"/>
        </w:rPr>
        <w:t>工资福利支出75.1万元，包括基本工资25.88万元，津贴补贴11.91万元，奖金、绩效工资16.64万元，社会保障缴费12.28万元，商品和服务支出8.4万元，包括办公费1.4万元，印刷费0.4万元，水费0.73万元，电费1.03万元，邮电费0.73万元，差旅费0.35万元，公务接待费1.2万元，工会经费1.34万元，其他商品和服务支出1.22万元；</w:t>
      </w:r>
    </w:p>
    <w:p>
      <w:pPr>
        <w:ind w:right="11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（二）项目支出情况</w:t>
      </w:r>
    </w:p>
    <w:p>
      <w:pPr>
        <w:ind w:right="11" w:firstLine="640" w:firstLineChars="200"/>
        <w:rPr>
          <w:rFonts w:hint="eastAsia" w:ascii="楷体" w:hAnsi="楷体" w:eastAsia="楷体" w:cs="楷体"/>
          <w:kern w:val="1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一般公共预算财政拨款项目支出79.2万元，具体使用情况如下:</w:t>
      </w:r>
      <w:r>
        <w:rPr>
          <w:rFonts w:hint="eastAsia" w:ascii="楷体" w:hAnsi="楷体" w:eastAsia="楷体" w:cs="楷体"/>
          <w:kern w:val="1"/>
          <w:sz w:val="32"/>
          <w:szCs w:val="32"/>
        </w:rPr>
        <w:t xml:space="preserve"> 其他商品和服务支出20.67万元，包括办公费0万元，印刷费4.98万元，水费0.46万元，电费0.96万元，邮电费0万元，差旅费0万元，维（护）修费0万元，会议费1.86万元，培训费0万元，公务接待费0万元，租赁费0万元，劳务费0万元，福利费5.48万元，其他商品和服务支出3.03元；其他交通费3.9万元、对个人和家庭的补助支出58.53万元，包括医疗费补助25.55万元，生活补助21.96万元，其他对个人和家庭的补助11.02万元。</w:t>
      </w:r>
    </w:p>
    <w:p>
      <w:pPr>
        <w:ind w:firstLine="321" w:firstLineChars="1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（三）、“三公”经费开支：</w:t>
      </w:r>
    </w:p>
    <w:p>
      <w:pPr>
        <w:ind w:left="141" w:leftChars="67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2023年、出国出境 0 万元“三公”经费支出1.2万元，“三公‘经费严格经费标准，其中：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shd w:val="clear" w:color="auto" w:fill="FFFFFF"/>
        </w:rPr>
        <w:t>公务接待费1.2万元，</w:t>
      </w:r>
      <w:r>
        <w:rPr>
          <w:rFonts w:hint="eastAsia" w:ascii="楷体" w:hAnsi="楷体" w:eastAsia="楷体" w:cs="楷体"/>
          <w:sz w:val="32"/>
          <w:szCs w:val="32"/>
        </w:rPr>
        <w:t>与2022年持平，“三公”经费，落实厉行节约的各项规定。</w:t>
      </w:r>
    </w:p>
    <w:p>
      <w:pPr>
        <w:pStyle w:val="5"/>
        <w:widowControl/>
        <w:ind w:right="11" w:firstLine="643" w:firstLineChars="200"/>
        <w:rPr>
          <w:rFonts w:hint="eastAsia" w:ascii="楷体" w:hAnsi="楷体" w:eastAsia="楷体" w:cs="楷体"/>
          <w:b/>
          <w:bCs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10101"/>
          <w:sz w:val="32"/>
          <w:szCs w:val="32"/>
        </w:rPr>
        <w:t>三、政府性基金预算支出情况</w:t>
      </w:r>
    </w:p>
    <w:p>
      <w:pPr>
        <w:ind w:left="901" w:right="11"/>
        <w:rPr>
          <w:rFonts w:hint="eastAsia" w:ascii="楷体" w:hAnsi="楷体" w:eastAsia="楷体" w:cs="楷体"/>
          <w:b/>
          <w:bCs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>道县老干部服务中心2023年无政府性基金预算。</w:t>
      </w:r>
    </w:p>
    <w:p>
      <w:pPr>
        <w:ind w:right="11" w:firstLine="643" w:firstLineChars="200"/>
        <w:rPr>
          <w:rFonts w:hint="eastAsia" w:ascii="楷体" w:hAnsi="楷体" w:eastAsia="楷体" w:cs="楷体"/>
          <w:b/>
          <w:bCs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10101"/>
          <w:sz w:val="32"/>
          <w:szCs w:val="32"/>
        </w:rPr>
        <w:t>四、国有资本经营预算支出情况</w:t>
      </w:r>
    </w:p>
    <w:p>
      <w:pPr>
        <w:ind w:left="901" w:right="11"/>
        <w:rPr>
          <w:rFonts w:hint="eastAsia" w:ascii="楷体" w:hAnsi="楷体" w:eastAsia="楷体" w:cs="楷体"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>道县老干部服务中心2023年无国有资本经营预算支出。</w:t>
      </w:r>
    </w:p>
    <w:p>
      <w:pPr>
        <w:ind w:right="11" w:firstLine="643" w:firstLineChars="200"/>
        <w:rPr>
          <w:rFonts w:hint="eastAsia" w:ascii="楷体" w:hAnsi="楷体" w:eastAsia="楷体" w:cs="楷体"/>
          <w:b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10101"/>
          <w:sz w:val="32"/>
          <w:szCs w:val="32"/>
        </w:rPr>
        <w:t>五</w:t>
      </w:r>
      <w:r>
        <w:rPr>
          <w:rFonts w:hint="eastAsia" w:ascii="楷体" w:hAnsi="楷体" w:eastAsia="楷体" w:cs="楷体"/>
          <w:bCs/>
          <w:color w:val="010101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color w:val="010101"/>
          <w:sz w:val="32"/>
          <w:szCs w:val="32"/>
        </w:rPr>
        <w:t>社会保险基金预算支出情况</w:t>
      </w:r>
    </w:p>
    <w:p>
      <w:pPr>
        <w:ind w:left="901" w:right="11"/>
        <w:rPr>
          <w:rFonts w:hint="eastAsia" w:ascii="楷体" w:hAnsi="楷体" w:eastAsia="楷体" w:cs="楷体"/>
          <w:bCs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Cs/>
          <w:color w:val="010101"/>
          <w:sz w:val="32"/>
          <w:szCs w:val="32"/>
        </w:rPr>
        <w:t>道县</w:t>
      </w:r>
      <w:r>
        <w:rPr>
          <w:rFonts w:hint="eastAsia" w:ascii="楷体" w:hAnsi="楷体" w:eastAsia="楷体" w:cs="楷体"/>
          <w:color w:val="010101"/>
          <w:sz w:val="32"/>
          <w:szCs w:val="32"/>
        </w:rPr>
        <w:t>老干部服务中心</w:t>
      </w:r>
      <w:r>
        <w:rPr>
          <w:rFonts w:hint="eastAsia" w:ascii="楷体" w:hAnsi="楷体" w:eastAsia="楷体" w:cs="楷体"/>
          <w:bCs/>
          <w:color w:val="010101"/>
          <w:sz w:val="32"/>
          <w:szCs w:val="32"/>
        </w:rPr>
        <w:t>2023年无社会保险基金预算支出。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六、部门整体支出绩效情况</w:t>
      </w:r>
    </w:p>
    <w:p>
      <w:pPr>
        <w:pStyle w:val="14"/>
        <w:spacing w:line="660" w:lineRule="exact"/>
        <w:ind w:firstLine="320" w:firstLineChars="10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kern w:val="0"/>
          <w:szCs w:val="32"/>
        </w:rPr>
        <w:t>1.</w:t>
      </w:r>
      <w:r>
        <w:rPr>
          <w:rFonts w:hint="eastAsia" w:ascii="楷体" w:hAnsi="楷体" w:eastAsia="楷体" w:cs="楷体"/>
          <w:b/>
          <w:color w:val="010101"/>
          <w:kern w:val="0"/>
          <w:szCs w:val="32"/>
        </w:rPr>
        <w:t xml:space="preserve"> </w:t>
      </w:r>
      <w:r>
        <w:rPr>
          <w:rFonts w:hint="eastAsia" w:ascii="楷体" w:hAnsi="楷体" w:eastAsia="楷体" w:cs="楷体"/>
          <w:kern w:val="0"/>
          <w:szCs w:val="32"/>
        </w:rPr>
        <w:t>首先落实好老干部的两项待遇，及各协老组织的工作开展，按照要求组织老干部学习有关文件，组织离退休老干部开展老有所为、有益身心健康的各项活动</w:t>
      </w:r>
      <w:r>
        <w:rPr>
          <w:rFonts w:hint="eastAsia" w:ascii="楷体" w:hAnsi="楷体" w:eastAsia="楷体" w:cs="楷体"/>
          <w:color w:val="333333"/>
          <w:kern w:val="0"/>
          <w:szCs w:val="32"/>
          <w:shd w:val="clear" w:color="auto" w:fill="FFFFFF"/>
        </w:rPr>
        <w:t>。</w:t>
      </w:r>
    </w:p>
    <w:p>
      <w:pPr>
        <w:ind w:firstLine="320" w:firstLineChars="1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shd w:val="clear" w:color="auto" w:fill="FFFFFF"/>
        </w:rPr>
        <w:t>2、</w:t>
      </w:r>
      <w:r>
        <w:rPr>
          <w:rFonts w:hint="eastAsia" w:ascii="楷体" w:hAnsi="楷体" w:eastAsia="楷体" w:cs="楷体"/>
          <w:kern w:val="0"/>
          <w:sz w:val="32"/>
          <w:szCs w:val="32"/>
        </w:rPr>
        <w:t>落实离休干部4人统筹外项目，11人建国初参加工作部分退休干部的生活补贴及医药费的发放。</w:t>
      </w:r>
    </w:p>
    <w:p>
      <w:pPr>
        <w:ind w:firstLine="320" w:firstLineChars="1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3、.组织59人的离休副处级以上干部的健康体检及日常活动的开展，看望走访生病住院的老干部27人次，落实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shd w:val="clear" w:color="auto" w:fill="FFFFFF"/>
        </w:rPr>
        <w:t>生活待遇3人次。</w:t>
      </w:r>
    </w:p>
    <w:p>
      <w:pPr>
        <w:ind w:firstLine="320" w:firstLineChars="1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楷体" w:hAnsi="楷体" w:eastAsia="楷体" w:cs="楷体"/>
          <w:kern w:val="0"/>
          <w:sz w:val="32"/>
          <w:szCs w:val="32"/>
        </w:rPr>
        <w:t>走访离休干部配偶及困难遗霜的44人。</w:t>
      </w:r>
    </w:p>
    <w:p>
      <w:pPr>
        <w:ind w:firstLine="320" w:firstLineChars="1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5、认真贯彻执行中办发3号文件精神的落实并征订党报刊及老年人杂志69份。协助关工委、门协、老年大学、老科协、书协开展各项有益的身心健康活动。</w:t>
      </w:r>
    </w:p>
    <w:p>
      <w:pPr>
        <w:pStyle w:val="5"/>
        <w:widowControl/>
        <w:ind w:right="11" w:firstLine="643" w:firstLineChars="200"/>
        <w:rPr>
          <w:rFonts w:hint="eastAsia" w:ascii="楷体" w:hAnsi="楷体" w:eastAsia="楷体" w:cs="楷体"/>
          <w:b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/>
          <w:color w:val="010101"/>
          <w:sz w:val="32"/>
          <w:szCs w:val="32"/>
        </w:rPr>
        <w:t>七、存在的问题及原因分析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" w:hAnsi="楷体" w:eastAsia="楷体" w:cs="楷体"/>
          <w:color w:val="010101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kern w:val="0"/>
          <w:sz w:val="32"/>
          <w:szCs w:val="32"/>
        </w:rPr>
        <w:t>1、离休干部的统筹外经费、建国初参加工作的部分退休老干部生活补助、医药费补助经费未能及时拔付到位，在下一步的工作中、引起</w:t>
      </w:r>
      <w:r>
        <w:rPr>
          <w:rFonts w:hint="eastAsia" w:ascii="楷体" w:hAnsi="楷体" w:eastAsia="楷体" w:cs="楷体"/>
          <w:sz w:val="32"/>
          <w:szCs w:val="32"/>
        </w:rPr>
        <w:t>重视，</w:t>
      </w:r>
      <w:r>
        <w:rPr>
          <w:rFonts w:hint="eastAsia" w:ascii="楷体" w:hAnsi="楷体" w:eastAsia="楷体" w:cs="楷体"/>
          <w:color w:val="010101"/>
          <w:kern w:val="0"/>
          <w:sz w:val="32"/>
          <w:szCs w:val="32"/>
        </w:rPr>
        <w:t>建立完善的服务机制。</w:t>
      </w:r>
    </w:p>
    <w:p>
      <w:pPr>
        <w:pStyle w:val="5"/>
        <w:widowControl/>
        <w:spacing w:line="420" w:lineRule="atLeas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、从支出结构来看，基本支出保证了工作的正常运转，办公经费支出合理安排，按年初设定的目标任务积极完成各项工作，指导建议无对性的支出。</w:t>
      </w:r>
    </w:p>
    <w:p>
      <w:pPr>
        <w:pStyle w:val="5"/>
        <w:widowControl/>
        <w:spacing w:line="420" w:lineRule="atLeas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坚持厉行节约，把有限的经费用在刀刃上，进一步完善财务管理制度，坚持财务开支公开透明，接受监督，经得起上级各项审计检查，这些措施，较好地保证了财务开支和资金使用的合法合规、安全有效，制度执行比较到位，提高了资金使用效益。</w:t>
      </w:r>
    </w:p>
    <w:p>
      <w:pPr>
        <w:pStyle w:val="5"/>
        <w:widowControl/>
        <w:spacing w:line="420" w:lineRule="atLeas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因部门整体支出的资金安排和使用上具有不可预见性，在科学设置预算绩效指标上还需进一步加强。由于行政经费少，年初编制的预算不够精确，编制范围不太全面，预算执行情况还有待进一步加强。</w:t>
      </w:r>
    </w:p>
    <w:p>
      <w:pPr>
        <w:pStyle w:val="5"/>
        <w:widowControl/>
        <w:ind w:right="11" w:firstLine="640" w:firstLineChars="200"/>
        <w:rPr>
          <w:rFonts w:hint="eastAsia"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八、</w:t>
      </w: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下一步改进措施</w:t>
      </w:r>
    </w:p>
    <w:p>
      <w:pPr>
        <w:pStyle w:val="5"/>
        <w:widowControl/>
        <w:ind w:right="11" w:firstLine="640" w:firstLineChars="200"/>
        <w:rPr>
          <w:rFonts w:hint="eastAsia"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（1）</w:t>
      </w:r>
      <w:r>
        <w:rPr>
          <w:rFonts w:hint="eastAsia" w:ascii="楷体" w:hAnsi="楷体" w:eastAsia="楷体" w:cs="楷体"/>
          <w:bCs/>
          <w:color w:val="010101"/>
          <w:sz w:val="32"/>
          <w:szCs w:val="32"/>
        </w:rPr>
        <w:t>加强领导，改善服务，同时请政府加大对老干工作重视力度，规范项目管理，对日常工作督导。加强队伍建设，抓好绩效评价管理部门的队伍建设和业务指导，培养部门的绩效管理队伍，建立绩效评价的长期机制。进一步明确工作职责，工作内容，成立有效的工作机制，保障项目的顺利推进。</w:t>
      </w:r>
    </w:p>
    <w:p>
      <w:pPr>
        <w:pStyle w:val="5"/>
        <w:widowControl/>
        <w:ind w:right="11" w:firstLine="640" w:firstLineChars="200"/>
        <w:rPr>
          <w:rFonts w:hint="eastAsia" w:ascii="楷体" w:hAnsi="楷体" w:eastAsia="楷体" w:cs="楷体"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Cs/>
          <w:color w:val="010101"/>
          <w:sz w:val="32"/>
          <w:szCs w:val="32"/>
        </w:rPr>
        <w:t>（2）明确职责，加强项目管理。一是应针对每一个项目制定工作目标，科学编制和</w:t>
      </w:r>
      <w:r>
        <w:rPr>
          <w:rFonts w:hint="eastAsia" w:ascii="楷体" w:hAnsi="楷体" w:eastAsia="楷体" w:cs="楷体"/>
          <w:color w:val="010101"/>
          <w:sz w:val="32"/>
          <w:szCs w:val="32"/>
        </w:rPr>
        <w:t>细化预算，做到预算有目标，执行有细则，控制各项经费支出，提高资金的使用效益；</w:t>
      </w:r>
    </w:p>
    <w:p>
      <w:pPr>
        <w:pStyle w:val="5"/>
        <w:widowControl/>
        <w:ind w:right="11" w:firstLine="640" w:firstLineChars="200"/>
        <w:rPr>
          <w:rFonts w:hint="eastAsia" w:ascii="楷体" w:hAnsi="楷体" w:eastAsia="楷体" w:cs="楷体"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>（3）财务部门应加强与各部门的沟通，了解具体的事项，合理安排资金支付，提高财务核算的准确性，提高业务能力水平。</w:t>
      </w:r>
    </w:p>
    <w:p>
      <w:pPr>
        <w:jc w:val="center"/>
        <w:rPr>
          <w:rFonts w:hint="eastAsia" w:ascii="楷体" w:hAnsi="楷体" w:eastAsia="楷体" w:cs="楷体"/>
          <w:color w:val="000000"/>
          <w:kern w:val="0"/>
          <w:sz w:val="70"/>
          <w:szCs w:val="70"/>
        </w:rPr>
      </w:pPr>
    </w:p>
    <w:p>
      <w:pPr>
        <w:tabs>
          <w:tab w:val="left" w:pos="5400"/>
        </w:tabs>
        <w:ind w:firstLine="5760" w:firstLineChars="1800"/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A3ZWI4YzY0N2VkOTNlZWMxMGZlMzY2NjM0NTU2MTYifQ=="/>
  </w:docVars>
  <w:rsids>
    <w:rsidRoot w:val="00E023F5"/>
    <w:rsid w:val="000045AB"/>
    <w:rsid w:val="00012009"/>
    <w:rsid w:val="00021A06"/>
    <w:rsid w:val="000262EE"/>
    <w:rsid w:val="00037B95"/>
    <w:rsid w:val="00043D7C"/>
    <w:rsid w:val="000569A3"/>
    <w:rsid w:val="00070963"/>
    <w:rsid w:val="00075C56"/>
    <w:rsid w:val="00083BEF"/>
    <w:rsid w:val="000875FF"/>
    <w:rsid w:val="000B26AB"/>
    <w:rsid w:val="000C1A7F"/>
    <w:rsid w:val="000C31F3"/>
    <w:rsid w:val="000E5CAC"/>
    <w:rsid w:val="00126645"/>
    <w:rsid w:val="00133CD8"/>
    <w:rsid w:val="00151FB2"/>
    <w:rsid w:val="001570CF"/>
    <w:rsid w:val="0017128D"/>
    <w:rsid w:val="00177B49"/>
    <w:rsid w:val="00190BD8"/>
    <w:rsid w:val="00190C66"/>
    <w:rsid w:val="001A3130"/>
    <w:rsid w:val="001B3A4C"/>
    <w:rsid w:val="001D0F9A"/>
    <w:rsid w:val="001D59E7"/>
    <w:rsid w:val="001D7311"/>
    <w:rsid w:val="001F0D43"/>
    <w:rsid w:val="001F5EAD"/>
    <w:rsid w:val="002028F6"/>
    <w:rsid w:val="00211071"/>
    <w:rsid w:val="00226AFA"/>
    <w:rsid w:val="00273308"/>
    <w:rsid w:val="00294B38"/>
    <w:rsid w:val="00295127"/>
    <w:rsid w:val="002A087C"/>
    <w:rsid w:val="002A0CA6"/>
    <w:rsid w:val="002A28DA"/>
    <w:rsid w:val="002D3397"/>
    <w:rsid w:val="002E7522"/>
    <w:rsid w:val="003040E6"/>
    <w:rsid w:val="0032490C"/>
    <w:rsid w:val="0033125E"/>
    <w:rsid w:val="00345506"/>
    <w:rsid w:val="00352E6F"/>
    <w:rsid w:val="00357643"/>
    <w:rsid w:val="00357C84"/>
    <w:rsid w:val="00376EEE"/>
    <w:rsid w:val="00382571"/>
    <w:rsid w:val="00384968"/>
    <w:rsid w:val="00410E55"/>
    <w:rsid w:val="004314DE"/>
    <w:rsid w:val="00444D2E"/>
    <w:rsid w:val="00452A67"/>
    <w:rsid w:val="004557A8"/>
    <w:rsid w:val="004605C3"/>
    <w:rsid w:val="00460887"/>
    <w:rsid w:val="004610C9"/>
    <w:rsid w:val="00472984"/>
    <w:rsid w:val="00491393"/>
    <w:rsid w:val="00495902"/>
    <w:rsid w:val="004A139B"/>
    <w:rsid w:val="004D040B"/>
    <w:rsid w:val="004E2255"/>
    <w:rsid w:val="004E5DCC"/>
    <w:rsid w:val="004F08FB"/>
    <w:rsid w:val="004F23CF"/>
    <w:rsid w:val="004F30CB"/>
    <w:rsid w:val="004F398E"/>
    <w:rsid w:val="00512A62"/>
    <w:rsid w:val="00512EA6"/>
    <w:rsid w:val="00512ED2"/>
    <w:rsid w:val="00513D7D"/>
    <w:rsid w:val="005322BD"/>
    <w:rsid w:val="00541B5C"/>
    <w:rsid w:val="00542EE1"/>
    <w:rsid w:val="00543976"/>
    <w:rsid w:val="00550C17"/>
    <w:rsid w:val="00556F66"/>
    <w:rsid w:val="005576D0"/>
    <w:rsid w:val="005674A8"/>
    <w:rsid w:val="00570BE5"/>
    <w:rsid w:val="00573601"/>
    <w:rsid w:val="00590451"/>
    <w:rsid w:val="005A30F2"/>
    <w:rsid w:val="005A6B2A"/>
    <w:rsid w:val="005B2827"/>
    <w:rsid w:val="005B7C07"/>
    <w:rsid w:val="005D4ABD"/>
    <w:rsid w:val="005E623A"/>
    <w:rsid w:val="005F2C9A"/>
    <w:rsid w:val="006117C5"/>
    <w:rsid w:val="0061398C"/>
    <w:rsid w:val="0061728F"/>
    <w:rsid w:val="0064029B"/>
    <w:rsid w:val="0067295B"/>
    <w:rsid w:val="00672D6A"/>
    <w:rsid w:val="00690A73"/>
    <w:rsid w:val="006A27EE"/>
    <w:rsid w:val="006A2DDD"/>
    <w:rsid w:val="006B0624"/>
    <w:rsid w:val="006B5F29"/>
    <w:rsid w:val="006C6504"/>
    <w:rsid w:val="007033AF"/>
    <w:rsid w:val="00705771"/>
    <w:rsid w:val="0073431B"/>
    <w:rsid w:val="0073587F"/>
    <w:rsid w:val="0074189F"/>
    <w:rsid w:val="00742D05"/>
    <w:rsid w:val="00756F36"/>
    <w:rsid w:val="00762D52"/>
    <w:rsid w:val="00767239"/>
    <w:rsid w:val="00771523"/>
    <w:rsid w:val="0078011C"/>
    <w:rsid w:val="00783181"/>
    <w:rsid w:val="00795739"/>
    <w:rsid w:val="00796F2A"/>
    <w:rsid w:val="007B4F86"/>
    <w:rsid w:val="007E54D3"/>
    <w:rsid w:val="008024EF"/>
    <w:rsid w:val="00826260"/>
    <w:rsid w:val="00827278"/>
    <w:rsid w:val="00831915"/>
    <w:rsid w:val="00832611"/>
    <w:rsid w:val="00836368"/>
    <w:rsid w:val="008539EA"/>
    <w:rsid w:val="00862DDE"/>
    <w:rsid w:val="00877BA1"/>
    <w:rsid w:val="00880872"/>
    <w:rsid w:val="00885D3F"/>
    <w:rsid w:val="00886125"/>
    <w:rsid w:val="008B3AE8"/>
    <w:rsid w:val="008C200B"/>
    <w:rsid w:val="008D1C97"/>
    <w:rsid w:val="008E7AAB"/>
    <w:rsid w:val="008F7F60"/>
    <w:rsid w:val="0093445D"/>
    <w:rsid w:val="00936329"/>
    <w:rsid w:val="009373B7"/>
    <w:rsid w:val="0095242F"/>
    <w:rsid w:val="009629D2"/>
    <w:rsid w:val="00966AE4"/>
    <w:rsid w:val="00985089"/>
    <w:rsid w:val="00995264"/>
    <w:rsid w:val="009A3353"/>
    <w:rsid w:val="009A3DAD"/>
    <w:rsid w:val="009B30BB"/>
    <w:rsid w:val="009C0D9C"/>
    <w:rsid w:val="009C5D5F"/>
    <w:rsid w:val="009D06DE"/>
    <w:rsid w:val="009E2238"/>
    <w:rsid w:val="009F5A4A"/>
    <w:rsid w:val="00A00F15"/>
    <w:rsid w:val="00A3696A"/>
    <w:rsid w:val="00A50065"/>
    <w:rsid w:val="00A76448"/>
    <w:rsid w:val="00A76CC8"/>
    <w:rsid w:val="00AC3C46"/>
    <w:rsid w:val="00AD523F"/>
    <w:rsid w:val="00AD7932"/>
    <w:rsid w:val="00AE68C9"/>
    <w:rsid w:val="00AF0491"/>
    <w:rsid w:val="00AF277F"/>
    <w:rsid w:val="00AF4F2F"/>
    <w:rsid w:val="00B026D3"/>
    <w:rsid w:val="00B11456"/>
    <w:rsid w:val="00B15D90"/>
    <w:rsid w:val="00B30C5E"/>
    <w:rsid w:val="00B43326"/>
    <w:rsid w:val="00B4351F"/>
    <w:rsid w:val="00B67D77"/>
    <w:rsid w:val="00B74A87"/>
    <w:rsid w:val="00B80C9E"/>
    <w:rsid w:val="00BA0B27"/>
    <w:rsid w:val="00BA7489"/>
    <w:rsid w:val="00BA7526"/>
    <w:rsid w:val="00BB200A"/>
    <w:rsid w:val="00BD14C6"/>
    <w:rsid w:val="00BD18FD"/>
    <w:rsid w:val="00BD48A7"/>
    <w:rsid w:val="00BF03AB"/>
    <w:rsid w:val="00C02596"/>
    <w:rsid w:val="00C23063"/>
    <w:rsid w:val="00C25252"/>
    <w:rsid w:val="00C27FBC"/>
    <w:rsid w:val="00C42CF6"/>
    <w:rsid w:val="00C50686"/>
    <w:rsid w:val="00C61583"/>
    <w:rsid w:val="00C90D75"/>
    <w:rsid w:val="00CA1776"/>
    <w:rsid w:val="00CA6873"/>
    <w:rsid w:val="00CB1217"/>
    <w:rsid w:val="00CC5380"/>
    <w:rsid w:val="00CD0C0F"/>
    <w:rsid w:val="00CD2CEB"/>
    <w:rsid w:val="00CE0BD6"/>
    <w:rsid w:val="00CE4A2A"/>
    <w:rsid w:val="00D02D1A"/>
    <w:rsid w:val="00D04F64"/>
    <w:rsid w:val="00D116AF"/>
    <w:rsid w:val="00D1790A"/>
    <w:rsid w:val="00D214AF"/>
    <w:rsid w:val="00D21CBF"/>
    <w:rsid w:val="00D33CE5"/>
    <w:rsid w:val="00D40B43"/>
    <w:rsid w:val="00D766C7"/>
    <w:rsid w:val="00D86633"/>
    <w:rsid w:val="00D86A8B"/>
    <w:rsid w:val="00D90AB0"/>
    <w:rsid w:val="00D955E2"/>
    <w:rsid w:val="00DB3F6B"/>
    <w:rsid w:val="00DC11F5"/>
    <w:rsid w:val="00DC3742"/>
    <w:rsid w:val="00DE1612"/>
    <w:rsid w:val="00DE6E57"/>
    <w:rsid w:val="00DF3849"/>
    <w:rsid w:val="00DF468F"/>
    <w:rsid w:val="00E01888"/>
    <w:rsid w:val="00E023F5"/>
    <w:rsid w:val="00E0485C"/>
    <w:rsid w:val="00E2173E"/>
    <w:rsid w:val="00E25B2E"/>
    <w:rsid w:val="00E26FD7"/>
    <w:rsid w:val="00E430DA"/>
    <w:rsid w:val="00E60187"/>
    <w:rsid w:val="00E641CA"/>
    <w:rsid w:val="00E727E7"/>
    <w:rsid w:val="00E81228"/>
    <w:rsid w:val="00E96CA1"/>
    <w:rsid w:val="00EA1F7D"/>
    <w:rsid w:val="00EB335F"/>
    <w:rsid w:val="00EC1832"/>
    <w:rsid w:val="00EC77A3"/>
    <w:rsid w:val="00ED5F8D"/>
    <w:rsid w:val="00EF058A"/>
    <w:rsid w:val="00EF321C"/>
    <w:rsid w:val="00EF399E"/>
    <w:rsid w:val="00EF4EE0"/>
    <w:rsid w:val="00EF4F27"/>
    <w:rsid w:val="00F16E04"/>
    <w:rsid w:val="00F2172B"/>
    <w:rsid w:val="00F579C4"/>
    <w:rsid w:val="00F63E63"/>
    <w:rsid w:val="00F72104"/>
    <w:rsid w:val="00F871A2"/>
    <w:rsid w:val="00F94903"/>
    <w:rsid w:val="00FA757C"/>
    <w:rsid w:val="00FB1323"/>
    <w:rsid w:val="00FB1873"/>
    <w:rsid w:val="00FB32FB"/>
    <w:rsid w:val="00FB7FD3"/>
    <w:rsid w:val="00FC0071"/>
    <w:rsid w:val="00FC7D19"/>
    <w:rsid w:val="00FD604D"/>
    <w:rsid w:val="00FE1E3D"/>
    <w:rsid w:val="10AC1F24"/>
    <w:rsid w:val="13D73943"/>
    <w:rsid w:val="16D66773"/>
    <w:rsid w:val="3E8A0BD2"/>
    <w:rsid w:val="6013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4">
    <w:name w:val="样式1"/>
    <w:basedOn w:val="1"/>
    <w:qFormat/>
    <w:uiPriority w:val="0"/>
    <w:pPr>
      <w:spacing w:line="6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06D5EC-1DD5-4E49-887D-AA5CC1122C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338</Words>
  <Characters>1928</Characters>
  <Lines>16</Lines>
  <Paragraphs>4</Paragraphs>
  <TotalTime>74</TotalTime>
  <ScaleCrop>false</ScaleCrop>
  <LinksUpToDate>false</LinksUpToDate>
  <CharactersWithSpaces>2262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Administrator</cp:lastModifiedBy>
  <cp:lastPrinted>2024-05-09T03:15:43Z</cp:lastPrinted>
  <dcterms:modified xsi:type="dcterms:W3CDTF">2024-05-09T03:17:51Z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BDF6925718BD4D9C88714F619C42F9CC</vt:lpwstr>
  </property>
</Properties>
</file>