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方正小标宋_GBK" w:cs="Times New Roman"/>
          <w:kern w:val="2"/>
          <w:sz w:val="48"/>
          <w:szCs w:val="48"/>
        </w:rPr>
      </w:pPr>
      <w:r>
        <w:rPr>
          <w:rFonts w:hint="default" w:ascii="Calibri" w:hAnsi="Calibri" w:eastAsia="方正小标宋_GBK" w:cs="Calibri"/>
          <w:kern w:val="2"/>
          <w:sz w:val="48"/>
          <w:szCs w:val="48"/>
          <w:lang w:val="en-US" w:eastAsia="zh-CN" w:bidi="ar"/>
        </w:rPr>
        <w:t>2023</w:t>
      </w:r>
      <w:r>
        <w:rPr>
          <w:rFonts w:hint="default" w:ascii="方正小标宋_GBK" w:hAnsi="方正小标宋_GBK" w:eastAsia="方正小标宋_GBK" w:cs="方正小标宋_GBK"/>
          <w:kern w:val="2"/>
          <w:sz w:val="48"/>
          <w:szCs w:val="48"/>
          <w:lang w:val="en-US" w:eastAsia="zh-CN" w:bidi="ar"/>
        </w:rPr>
        <w:t>年道县白芒铺镇人民政府部门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40"/>
          <w:szCs w:val="40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kern w:val="2"/>
          <w:sz w:val="48"/>
          <w:szCs w:val="48"/>
          <w:lang w:val="en-US" w:eastAsia="zh-CN" w:bidi="ar"/>
        </w:rPr>
        <w:t>整体支出绩效评价报告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1"/>
        <w:jc w:val="both"/>
        <w:rPr>
          <w:rFonts w:hint="eastAsia" w:ascii="宋体" w:hAnsi="宋体" w:eastAsia="宋体" w:cs="Times New Roman"/>
          <w:b/>
          <w:bCs w:val="0"/>
          <w:kern w:val="2"/>
          <w:sz w:val="40"/>
          <w:szCs w:val="40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1" w:firstLine="803" w:firstLineChars="200"/>
        <w:jc w:val="both"/>
        <w:rPr>
          <w:rFonts w:hint="eastAsia" w:ascii="宋体" w:hAnsi="宋体" w:eastAsia="宋体" w:cs="Times New Roman"/>
          <w:b/>
          <w:bCs w:val="0"/>
          <w:kern w:val="2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kern w:val="2"/>
          <w:sz w:val="40"/>
          <w:szCs w:val="40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>部门概况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42" w:right="11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（一）部门基本情况：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1" w:firstLine="480" w:firstLineChars="15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1．主要职能。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（1）执行本级人民代表大会的决议和上级国家行政机关的决定和命令，发布决定和命令。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（2）执行本行政区域内的经济和社会发展计划，加强公共设施的建设和管理，发展各项服务事业。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（3）依法管理本级财政、执行本级预算。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（4）为农民提供有效的科技、教育、文化、信息、卫生、体育、医疗、人才开发、劳动就业、安全生产等方面的服务。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（6）开展社会主义民主与法制教育，加强社会治安综合治理，调解民事纠纷，维护社会秩序。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（7）推行乡村振兴，推进新农村建设与美丽乡村建设。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（8）负责民政工作，发展社会福利事业，做好社会保障工作，办理兵役事项。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（9）承办上级人民政府交办的其他事项。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1" w:firstLine="480" w:firstLineChars="15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2．机构情况，包括当年变动情况及原因。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道县白芒铺镇人民政府单位内设机构包括：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1" w:firstLine="480" w:firstLineChars="15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3．人员情况，包括当年变动情况及原因。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00" w:firstLineChars="25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2023年行政编制60人。现实有在编人数60人，配有小车一辆。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1" w:firstLine="480" w:firstLineChars="15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（二）部门整体支出规模、使用方向和主要内容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2023年本部门收到财政拨款774.86万元；其中：一般公共服务支出494.73万元，社会保障和就业支出71.38万元，卫生健康类支出32.38万元，交通运输支出153.39万元，灾害防治及应急管理支出22.98万元。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901" w:right="11" w:firstLine="0"/>
        <w:jc w:val="both"/>
        <w:rPr>
          <w:rFonts w:hint="eastAsia" w:ascii="宋体" w:hAnsi="宋体" w:eastAsia="宋体" w:cs="Times New Roman"/>
          <w:b/>
          <w:bCs w:val="0"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>一般公共预算支出情况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用于保障我单位正常运转、完成日常工作任务而发生的支出，包括人员经费和公用经费。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2023年一般公共预算拨款支出774.86万元，</w:t>
      </w: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具体安排情况如下：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000FF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、工资福利支出：699.98万元。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2、一般商品和服务支出：39.13万元。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3、对个人和家庭的补助支出：35.75万元。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11" w:firstLine="602" w:firstLineChars="200"/>
        <w:jc w:val="left"/>
        <w:rPr>
          <w:rFonts w:hint="eastAsia" w:ascii="宋体" w:hAnsi="宋体" w:eastAsia="宋体" w:cs="Times New Roman"/>
          <w:b/>
          <w:bCs/>
          <w:color w:val="010101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10101"/>
          <w:kern w:val="0"/>
          <w:sz w:val="30"/>
          <w:szCs w:val="30"/>
          <w:lang w:val="en-US" w:eastAsia="zh-CN" w:bidi="ar"/>
        </w:rPr>
        <w:t>三、政府性基金预算支出情况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901" w:right="11"/>
        <w:jc w:val="both"/>
        <w:rPr>
          <w:rFonts w:hint="eastAsia" w:ascii="仿宋" w:hAnsi="仿宋" w:eastAsia="仿宋" w:cs="仿宋"/>
          <w:b/>
          <w:bCs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道县白芒铺镇人民政府2023年无政府性基金预算。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1" w:firstLine="602" w:firstLineChars="200"/>
        <w:jc w:val="both"/>
        <w:rPr>
          <w:rFonts w:hint="eastAsia" w:ascii="宋体" w:hAnsi="宋体" w:eastAsia="宋体" w:cs="Times New Roman"/>
          <w:b/>
          <w:bCs/>
          <w:color w:val="010101"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10101"/>
          <w:kern w:val="2"/>
          <w:sz w:val="30"/>
          <w:szCs w:val="30"/>
          <w:lang w:val="en-US" w:eastAsia="zh-CN" w:bidi="ar"/>
        </w:rPr>
        <w:t>四、国有资本经营预算支出情况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901" w:right="11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道县白芒铺镇人民政府2023年无国有资本经营预算支出。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1" w:firstLine="602" w:firstLineChars="200"/>
        <w:jc w:val="both"/>
        <w:rPr>
          <w:rFonts w:hint="eastAsia" w:ascii="宋体" w:hAnsi="宋体" w:eastAsia="宋体" w:cs="Times New Roman"/>
          <w:b/>
          <w:bCs w:val="0"/>
          <w:color w:val="010101"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10101"/>
          <w:kern w:val="2"/>
          <w:sz w:val="30"/>
          <w:szCs w:val="30"/>
          <w:lang w:val="en-US" w:eastAsia="zh-CN" w:bidi="ar"/>
        </w:rPr>
        <w:t>五</w:t>
      </w:r>
      <w:r>
        <w:rPr>
          <w:rFonts w:hint="eastAsia" w:ascii="宋体" w:hAnsi="宋体" w:eastAsia="宋体" w:cs="宋体"/>
          <w:bCs/>
          <w:color w:val="010101"/>
          <w:kern w:val="2"/>
          <w:sz w:val="30"/>
          <w:szCs w:val="30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 w:val="0"/>
          <w:color w:val="010101"/>
          <w:kern w:val="2"/>
          <w:sz w:val="30"/>
          <w:szCs w:val="30"/>
          <w:lang w:val="en-US" w:eastAsia="zh-CN" w:bidi="ar"/>
        </w:rPr>
        <w:t>社会保险基金预算支出情况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901" w:right="11"/>
        <w:jc w:val="both"/>
        <w:rPr>
          <w:rFonts w:hint="eastAsia" w:ascii="仿宋" w:hAnsi="仿宋" w:eastAsia="仿宋" w:cs="仿宋"/>
          <w:bCs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color w:val="010101"/>
          <w:kern w:val="2"/>
          <w:sz w:val="32"/>
          <w:szCs w:val="32"/>
          <w:lang w:val="en-US" w:eastAsia="zh-CN" w:bidi="ar"/>
        </w:rPr>
        <w:t>道县白芒铺镇人民政府2023年无社会保险基金预算支出。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1" w:firstLine="602" w:firstLineChars="200"/>
        <w:jc w:val="both"/>
        <w:rPr>
          <w:rFonts w:hint="eastAsia" w:ascii="宋体" w:hAnsi="宋体" w:eastAsia="宋体" w:cs="Times New Roman"/>
          <w:b/>
          <w:bCs w:val="0"/>
          <w:color w:val="010101"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10101"/>
          <w:kern w:val="2"/>
          <w:sz w:val="30"/>
          <w:szCs w:val="30"/>
          <w:lang w:val="en-US" w:eastAsia="zh-CN" w:bidi="ar"/>
        </w:rPr>
        <w:t>六、部门整体支出绩效情况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1、确保了干部职工工资正常发放和机关的正常运转，有利于保障各项工作正常开展和社会稳定。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2、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善统筹，扎实推进“创文创卫”工作。切实强化对“创文创卫”工作的组织领导，层层压实责任，加强督查，加大投入，创建氛围逐渐浓厚，创建阵地日趋完善，创建活动深入开展。扎实开展十星文明户、道德模范、文明家庭评选活动，极大地发动广大群众参与八城联创的积极性和主动性。创文创卫工作水平进一步提升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3、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保稳定，扎实做好综治信访维稳工作。深入开展平安创建活动，扎实推进信访维稳集中攻坚年活动，认真开展网上信访工作，抓实信访积案的化解。全面落实综合治理各项措施，不断健全各项制度，深入开展矛盾纠纷的排查化解，建立健全社会治安联防机制，深入开展扫黑除恶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宋体" w:hAnsi="宋体" w:eastAsia="宋体" w:cs="Times New Roman"/>
          <w:color w:val="010101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10101"/>
          <w:kern w:val="2"/>
          <w:sz w:val="32"/>
          <w:szCs w:val="32"/>
          <w:lang w:val="en-US" w:eastAsia="zh-CN" w:bidi="ar"/>
        </w:rPr>
        <w:t>4、安全生产形势持续平稳。调整安全生产网格化实名制包保人员，开展以“消除事故隐患，筑牢安全防线”为主题的“安全活动月”活动。加强重点行业和领域的安全专项整治和隐患排查治理工作，围绕烟花爆竹、危化品和工商贸企业等开展多次专项检查，发现隐患后，立即督促整改到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七、部门整体支出管理情况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根据《会计法》、《预算法》、《行政单位会计制度》等法律和财政部及省财政厅有关财务规章的规定，镇政府先后制订了《财务管理制度》、《白芒铺镇政府事处公务接待管理办法》、《白芒铺镇政府事处会议费管理办法》、《白芒铺镇政府事处差旅费管理办法》等制度，制度明确了经费审批权限及程序，经费预算、核算管理、资产购置与处置、财务监督等，针对“三公”经费建立公用经费标准定额体系，开展公用经费使用监督和绩效评估，领导重视，干部参与，制度建立完善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八、存在的主要问题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960" w:firstLineChars="3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1、少数支出缺少清单及附件。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960" w:firstLineChars="300"/>
        <w:jc w:val="both"/>
        <w:rPr>
          <w:rFonts w:hint="eastAsia" w:ascii="宋体" w:hAnsi="宋体" w:eastAsia="宋体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2、公务接待虽有发票、菜单，但有少数没有附公函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964" w:firstLineChars="300"/>
        <w:jc w:val="both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下一步改进措施和有关建议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00" w:firstLineChars="25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（一）落实管理制度，进一步加强接待管理。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（二）加强会计机构队伍建设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按照《中华人民共和国会计法》要求建立会计机关，配备齐会计人员，做到不相容岗位分设，加强会计监督。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（三）各项专项资金纳入专项资金专户核算，工程项目按规定进行招投标。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1260" w:leftChars="0" w:right="0"/>
        <w:jc w:val="both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十、绩效自评结果拟应用和公开情况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强化评价结果运用。积极探索建立与预算编制相结合，及时做好资金使用的公开和监管，使评价结果得到有效运用。已公开。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 w:val="0"/>
        <w:suppressLineNumbers w:val="0"/>
        <w:spacing w:line="600" w:lineRule="exact"/>
        <w:ind w:left="0" w:firstLine="640" w:firstLineChars="200"/>
        <w:jc w:val="left"/>
        <w:rPr>
          <w:rFonts w:hint="default" w:ascii="Times New Roman" w:hAnsi="Times New Roman" w:eastAsia="仿宋_GB2312" w:cs="黑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黑体"/>
          <w:color w:val="000000"/>
          <w:kern w:val="0"/>
          <w:sz w:val="32"/>
          <w:szCs w:val="32"/>
        </w:rPr>
        <w:t xml:space="preserve"> </w:t>
      </w:r>
    </w:p>
    <w:p>
      <w:pPr>
        <w:pStyle w:val="5"/>
        <w:widowControl/>
        <w:jc w:val="center"/>
        <w:rPr>
          <w:rFonts w:hint="eastAsia" w:ascii="黑体" w:hAnsi="Calibri" w:eastAsia="黑体" w:cs="黑体"/>
          <w:color w:val="000000"/>
          <w:kern w:val="0"/>
          <w:sz w:val="72"/>
          <w:szCs w:val="72"/>
        </w:rPr>
      </w:pPr>
      <w:r>
        <w:rPr>
          <w:rFonts w:hint="eastAsia" w:ascii="黑体" w:hAnsi="Calibri" w:eastAsia="黑体" w:cs="黑体"/>
          <w:color w:val="000000"/>
          <w:kern w:val="0"/>
          <w:sz w:val="72"/>
          <w:szCs w:val="72"/>
        </w:rPr>
        <w:t xml:space="preserve"> </w:t>
      </w:r>
    </w:p>
    <w:p>
      <w:pPr>
        <w:pStyle w:val="5"/>
        <w:widowControl/>
        <w:jc w:val="center"/>
        <w:rPr>
          <w:rFonts w:hint="eastAsia" w:ascii="黑体" w:hAnsi="Calibri" w:eastAsia="黑体" w:cs="黑体"/>
          <w:color w:val="000000"/>
          <w:kern w:val="0"/>
          <w:sz w:val="72"/>
          <w:szCs w:val="72"/>
        </w:rPr>
      </w:pPr>
      <w:r>
        <w:rPr>
          <w:rFonts w:hint="eastAsia" w:ascii="黑体" w:hAnsi="Calibri" w:eastAsia="黑体" w:cs="黑体"/>
          <w:color w:val="000000"/>
          <w:kern w:val="0"/>
          <w:sz w:val="72"/>
          <w:szCs w:val="72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黑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AB4C4"/>
    <w:multiLevelType w:val="multilevel"/>
    <w:tmpl w:val="DAFAB4C4"/>
    <w:lvl w:ilvl="0" w:tentative="0">
      <w:start w:val="9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4ED4CF3B"/>
    <w:multiLevelType w:val="multilevel"/>
    <w:tmpl w:val="4ED4CF3B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2IxOGRjMmZjNjJmYjE3OTI0MGViNjQ4ZTAxM2YifQ=="/>
  </w:docVars>
  <w:rsids>
    <w:rsidRoot w:val="6E4814BF"/>
    <w:rsid w:val="6E48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Default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Calibri" w:eastAsia="黑体" w:cs="黑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2024-08-29T09:08:00Z</dcterms:created>
  <dc:creator>@～@</dc:creator>
  <cp:lastModifiedBy>@～@</cp:lastModifiedBy>
  <dcterms:modified xsi:type="dcterms:W3CDTF">2024-08-29T09:12:41Z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233FB792627D4BE0B075F0024746F972_11</vt:lpwstr>
  </property>
</Properties>
</file>