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rgbClr val="FFFFFF"/>
                        </a:solidFill>
                        <a:ln w="6350">
                          <a:noFill/>
                        </a:ln>
                        <a:effectLst/>
                      </wps:spPr>
                      <wps:txbx>
                        <w:txbxContent>
                          <w:p>
                            <w:pPr>
                              <w:rPr>
                                <w:rFonts w:ascii="楷体" w:hAnsi="楷体" w:eastAsia="楷体" w:cs="楷体"/>
                                <w:sz w:val="30"/>
                                <w:szCs w:val="30"/>
                              </w:rPr>
                            </w:pPr>
                            <w:r>
                              <w:rPr>
                                <w:rFonts w:hint="eastAsia" w:ascii="楷体" w:hAnsi="楷体" w:eastAsia="楷体" w:cs="楷体"/>
                                <w:sz w:val="30"/>
                                <w:szCs w:val="30"/>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cvAm&#10;UNYAAAAKAQAADwAAAAAAAAABACAAAAAiAAAAZHJzL2Rvd25yZXYueG1sUEsBAhQAFAAAAAgAh07i&#10;QBc6bCZdAgAAqAQAAA4AAAAAAAAAAQAgAAAAJQEAAGRycy9lMm9Eb2MueG1sUEsFBgAAAAAGAAYA&#10;WQEAAPQFAAAAAA==&#10;">
                <v:fill on="t" focussize="0,0"/>
                <v:stroke on="f" weight="0.5pt"/>
                <v:imagedata o:title=""/>
                <o:lock v:ext="edit" aspectratio="f"/>
                <v:textbox>
                  <w:txbxContent>
                    <w:p>
                      <w:pPr>
                        <w:rPr>
                          <w:rFonts w:ascii="楷体" w:hAnsi="楷体" w:eastAsia="楷体" w:cs="楷体"/>
                          <w:sz w:val="30"/>
                          <w:szCs w:val="30"/>
                        </w:rPr>
                      </w:pPr>
                      <w:r>
                        <w:rPr>
                          <w:rFonts w:hint="eastAsia" w:ascii="楷体" w:hAnsi="楷体" w:eastAsia="楷体" w:cs="楷体"/>
                          <w:sz w:val="30"/>
                          <w:szCs w:val="30"/>
                        </w:rPr>
                        <w:t>附件1：</w:t>
                      </w:r>
                    </w:p>
                  </w:txbxContent>
                </v:textbox>
              </v:shape>
            </w:pict>
          </mc:Fallback>
        </mc:AlternateContent>
      </w: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2023年度</w:t>
      </w:r>
    </w:p>
    <w:p>
      <w:pPr>
        <w:pStyle w:val="14"/>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道县路灯</w:t>
      </w:r>
      <w:r>
        <w:rPr>
          <w:rFonts w:hint="eastAsia" w:ascii="方正小标宋_GBK" w:hAnsi="方正小标宋_GBK" w:eastAsia="方正小标宋_GBK" w:cs="方正小标宋_GBK"/>
          <w:sz w:val="72"/>
          <w:szCs w:val="72"/>
          <w:lang w:eastAsia="zh-CN"/>
        </w:rPr>
        <w:t>管理</w:t>
      </w:r>
      <w:r>
        <w:rPr>
          <w:rFonts w:hint="eastAsia" w:ascii="方正小标宋_GBK" w:hAnsi="方正小标宋_GBK" w:eastAsia="方正小标宋_GBK" w:cs="方正小标宋_GBK"/>
          <w:sz w:val="72"/>
          <w:szCs w:val="72"/>
        </w:rPr>
        <w:t>所部门决算</w:t>
      </w:r>
    </w:p>
    <w:p>
      <w:pPr>
        <w:pStyle w:val="14"/>
        <w:jc w:val="center"/>
        <w:rPr>
          <w:rFonts w:ascii="方正小标宋_GBK" w:hAnsi="方正小标宋_GBK" w:eastAsia="方正小标宋_GBK" w:cs="方正小标宋_GBK"/>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500" w:lineRule="exact"/>
        <w:jc w:val="both"/>
        <w:rPr>
          <w:b/>
          <w:sz w:val="36"/>
          <w:szCs w:val="28"/>
        </w:rPr>
      </w:pPr>
    </w:p>
    <w:p>
      <w:pPr>
        <w:pStyle w:val="14"/>
        <w:spacing w:line="500" w:lineRule="exact"/>
        <w:jc w:val="center"/>
        <w:rPr>
          <w:b/>
          <w:sz w:val="36"/>
          <w:szCs w:val="28"/>
        </w:rPr>
      </w:pPr>
      <w:r>
        <w:rPr>
          <w:rFonts w:hint="eastAsia"/>
          <w:b/>
          <w:sz w:val="36"/>
          <w:szCs w:val="28"/>
        </w:rPr>
        <w:t>目录</w:t>
      </w:r>
    </w:p>
    <w:p>
      <w:pPr>
        <w:pStyle w:val="14"/>
        <w:spacing w:line="500" w:lineRule="exact"/>
        <w:rPr>
          <w:rFonts w:hAnsi="黑体"/>
          <w:bCs/>
          <w:sz w:val="28"/>
          <w:szCs w:val="28"/>
        </w:rPr>
      </w:pPr>
      <w:r>
        <w:rPr>
          <w:rFonts w:hint="eastAsia" w:hAnsi="黑体"/>
          <w:bCs/>
          <w:sz w:val="28"/>
          <w:szCs w:val="28"/>
        </w:rPr>
        <w:t>第一</w:t>
      </w:r>
      <w:r>
        <w:rPr>
          <w:rFonts w:hint="eastAsia" w:hAnsi="黑体"/>
          <w:bCs/>
          <w:sz w:val="28"/>
          <w:szCs w:val="28"/>
          <w:lang w:eastAsia="zh-CN"/>
        </w:rPr>
        <w:t>部分</w:t>
      </w:r>
      <w:r>
        <w:rPr>
          <w:rFonts w:hint="eastAsia" w:hAnsi="黑体"/>
          <w:bCs/>
          <w:sz w:val="28"/>
          <w:szCs w:val="28"/>
          <w:lang w:val="en-US" w:eastAsia="zh-CN"/>
        </w:rPr>
        <w:t xml:space="preserve"> </w:t>
      </w:r>
      <w:r>
        <w:rPr>
          <w:rFonts w:hint="eastAsia" w:hAnsi="黑体"/>
          <w:bCs/>
          <w:sz w:val="28"/>
          <w:szCs w:val="28"/>
          <w:lang w:eastAsia="zh-CN"/>
        </w:rPr>
        <w:t>道县路灯管理所</w:t>
      </w:r>
      <w:r>
        <w:rPr>
          <w:rFonts w:hint="eastAsia" w:hAnsi="黑体"/>
          <w:bCs/>
          <w:sz w:val="28"/>
          <w:szCs w:val="28"/>
        </w:rPr>
        <w:t>部门概况</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4"/>
        <w:spacing w:line="500" w:lineRule="exact"/>
        <w:rPr>
          <w:rFonts w:hAnsi="黑体"/>
          <w:bCs/>
          <w:sz w:val="28"/>
          <w:szCs w:val="28"/>
        </w:rPr>
      </w:pPr>
      <w:r>
        <w:rPr>
          <w:rFonts w:hint="eastAsia" w:hAnsi="黑体"/>
          <w:bCs/>
          <w:sz w:val="28"/>
          <w:szCs w:val="28"/>
        </w:rPr>
        <w:t>第二部分</w:t>
      </w:r>
      <w:r>
        <w:rPr>
          <w:rFonts w:hint="eastAsia" w:hAnsi="黑体"/>
          <w:bCs/>
          <w:sz w:val="28"/>
          <w:szCs w:val="28"/>
          <w:lang w:val="en-US" w:eastAsia="zh-CN"/>
        </w:rPr>
        <w:t xml:space="preserve"> </w:t>
      </w:r>
      <w:r>
        <w:rPr>
          <w:rFonts w:hint="eastAsia" w:hAnsi="黑体"/>
          <w:bCs/>
          <w:sz w:val="28"/>
          <w:szCs w:val="28"/>
        </w:rPr>
        <w:t>部门决算表</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4"/>
        <w:spacing w:line="500" w:lineRule="exact"/>
        <w:rPr>
          <w:rFonts w:hAnsi="黑体"/>
          <w:bCs/>
          <w:sz w:val="28"/>
          <w:szCs w:val="28"/>
        </w:rPr>
      </w:pPr>
      <w:r>
        <w:rPr>
          <w:rFonts w:hint="eastAsia" w:hAnsi="黑体"/>
          <w:bCs/>
          <w:sz w:val="28"/>
          <w:szCs w:val="28"/>
        </w:rPr>
        <w:t>第三部分</w:t>
      </w:r>
      <w:r>
        <w:rPr>
          <w:rFonts w:hint="eastAsia" w:hAnsi="黑体"/>
          <w:bCs/>
          <w:sz w:val="28"/>
          <w:szCs w:val="28"/>
          <w:lang w:val="en-US" w:eastAsia="zh-CN"/>
        </w:rPr>
        <w:t xml:space="preserve"> </w:t>
      </w:r>
      <w:r>
        <w:rPr>
          <w:rFonts w:hint="eastAsia" w:hAnsi="黑体"/>
          <w:bCs/>
          <w:sz w:val="28"/>
          <w:szCs w:val="28"/>
        </w:rPr>
        <w:t>部门决算情况说明</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4"/>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ascii="Times New Roman" w:hAnsi="Times New Roman" w:eastAsia="仿宋_GB2312" w:cs="Times New Roman"/>
          <w:sz w:val="28"/>
          <w:szCs w:val="28"/>
        </w:rPr>
        <w:t>2023</w:t>
      </w:r>
      <w:r>
        <w:rPr>
          <w:rFonts w:hint="eastAsia" w:ascii="仿宋_GB2312" w:hAnsi="仿宋_GB2312" w:eastAsia="仿宋_GB2312" w:cs="仿宋_GB2312"/>
          <w:sz w:val="28"/>
          <w:szCs w:val="28"/>
        </w:rPr>
        <w:t>年度预算绩效情况的说明</w:t>
      </w:r>
    </w:p>
    <w:p>
      <w:pPr>
        <w:pStyle w:val="14"/>
        <w:spacing w:line="500" w:lineRule="exact"/>
        <w:rPr>
          <w:rFonts w:hAnsi="黑体"/>
          <w:bCs/>
          <w:sz w:val="28"/>
          <w:szCs w:val="28"/>
        </w:rPr>
      </w:pPr>
      <w:r>
        <w:rPr>
          <w:rFonts w:hint="eastAsia" w:hAnsi="黑体"/>
          <w:bCs/>
          <w:sz w:val="28"/>
          <w:szCs w:val="28"/>
        </w:rPr>
        <w:t>第四部分</w:t>
      </w:r>
      <w:r>
        <w:rPr>
          <w:rFonts w:hint="eastAsia" w:hAnsi="黑体"/>
          <w:bCs/>
          <w:sz w:val="28"/>
          <w:szCs w:val="28"/>
          <w:lang w:val="en-US" w:eastAsia="zh-CN"/>
        </w:rPr>
        <w:t xml:space="preserve"> </w:t>
      </w:r>
      <w:r>
        <w:rPr>
          <w:rFonts w:hint="eastAsia" w:hAnsi="黑体"/>
          <w:bCs/>
          <w:sz w:val="28"/>
          <w:szCs w:val="28"/>
        </w:rPr>
        <w:t>名词解释</w:t>
      </w:r>
    </w:p>
    <w:p>
      <w:pPr>
        <w:pStyle w:val="14"/>
        <w:spacing w:line="500" w:lineRule="exact"/>
        <w:rPr>
          <w:rFonts w:hAnsi="黑体"/>
          <w:bCs/>
          <w:sz w:val="28"/>
          <w:szCs w:val="28"/>
        </w:rPr>
      </w:pPr>
      <w:r>
        <w:rPr>
          <w:rFonts w:hint="eastAsia" w:hAnsi="黑体"/>
          <w:bCs/>
          <w:sz w:val="28"/>
          <w:szCs w:val="28"/>
        </w:rPr>
        <w:t>第五部分</w:t>
      </w:r>
      <w:r>
        <w:rPr>
          <w:rFonts w:hint="eastAsia" w:hAnsi="黑体"/>
          <w:bCs/>
          <w:sz w:val="28"/>
          <w:szCs w:val="28"/>
          <w:lang w:val="en-US" w:eastAsia="zh-CN"/>
        </w:rPr>
        <w:t xml:space="preserve"> </w:t>
      </w:r>
      <w:r>
        <w:rPr>
          <w:rFonts w:hint="eastAsia" w:hAnsi="黑体"/>
          <w:bCs/>
          <w:sz w:val="28"/>
          <w:szCs w:val="28"/>
        </w:rPr>
        <w:t>附件</w:t>
      </w: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 xml:space="preserve">第一部分 </w:t>
      </w: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道县路灯所部门（单位）概况</w:t>
      </w: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5"/>
        <w:numPr>
          <w:ilvl w:val="0"/>
          <w:numId w:val="1"/>
        </w:numPr>
        <w:ind w:firstLineChars="0"/>
        <w:jc w:val="left"/>
        <w:rPr>
          <w:rFonts w:ascii="黑体" w:hAnsi="黑体" w:eastAsia="黑体" w:cs="黑体"/>
          <w:sz w:val="32"/>
          <w:szCs w:val="32"/>
        </w:rPr>
      </w:pPr>
      <w:r>
        <w:rPr>
          <w:rFonts w:hint="eastAsia" w:ascii="黑体" w:hAnsi="黑体" w:eastAsia="黑体" w:cs="黑体"/>
          <w:sz w:val="32"/>
          <w:szCs w:val="32"/>
        </w:rPr>
        <w:t>部门职责</w:t>
      </w:r>
    </w:p>
    <w:p>
      <w:pPr>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 xml:space="preserve">（一）根据道政办发[2002]36号文件规定,本单位主要工作职责是:负责城市路灯亮化,承担道路照明设施的管理、维护工作,保障路灯设施完好率,按质、按量完成路灯维修养护任务,确保全县主干道亮化率。 </w:t>
      </w:r>
    </w:p>
    <w:p>
      <w:pPr>
        <w:ind w:firstLine="640" w:firstLineChars="200"/>
        <w:jc w:val="left"/>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（二）单位现有在职干部职工14人，退休7人；内设办公室、财务室、生产组等部门。</w:t>
      </w:r>
    </w:p>
    <w:p>
      <w:pPr>
        <w:widowControl/>
        <w:spacing w:line="600" w:lineRule="exact"/>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widowControl/>
        <w:spacing w:line="600" w:lineRule="exact"/>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（一）内设机构设置。本单位没有内设机构。</w:t>
      </w:r>
    </w:p>
    <w:p>
      <w:pPr>
        <w:widowControl/>
        <w:spacing w:line="600" w:lineRule="exact"/>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（二）决算单位构成。道县路灯管理所</w:t>
      </w:r>
      <w:r>
        <w:rPr>
          <w:rFonts w:ascii="Times New Roman" w:hAnsi="Times New Roman" w:eastAsia="仿宋_GB2312" w:cs="仿宋_GB2312"/>
          <w:bCs/>
          <w:kern w:val="0"/>
          <w:sz w:val="32"/>
          <w:szCs w:val="32"/>
        </w:rPr>
        <w:t>20</w:t>
      </w:r>
      <w:r>
        <w:rPr>
          <w:rFonts w:hint="eastAsia" w:ascii="Times New Roman" w:hAnsi="Times New Roman" w:eastAsia="仿宋_GB2312" w:cs="仿宋_GB2312"/>
          <w:bCs/>
          <w:kern w:val="0"/>
          <w:sz w:val="32"/>
          <w:szCs w:val="32"/>
        </w:rPr>
        <w:t>23年部门决算没有下设单位，只包括本单位。</w:t>
      </w:r>
    </w:p>
    <w:p>
      <w:pPr>
        <w:pStyle w:val="14"/>
        <w:jc w:val="center"/>
        <w:rPr>
          <w:rFonts w:ascii="方正小标宋_GBK" w:hAnsi="方正小标宋_GBK" w:eastAsia="方正小标宋_GBK" w:cs="方正小标宋_GBK"/>
          <w:sz w:val="84"/>
          <w:szCs w:val="84"/>
        </w:rPr>
      </w:pPr>
    </w:p>
    <w:p>
      <w:pPr>
        <w:pStyle w:val="14"/>
        <w:jc w:val="center"/>
        <w:rPr>
          <w:rFonts w:ascii="方正小标宋_GBK" w:hAnsi="方正小标宋_GBK" w:eastAsia="方正小标宋_GBK" w:cs="方正小标宋_GBK"/>
          <w:sz w:val="84"/>
          <w:szCs w:val="84"/>
        </w:rPr>
      </w:pPr>
    </w:p>
    <w:p>
      <w:pPr>
        <w:pStyle w:val="14"/>
        <w:jc w:val="center"/>
        <w:rPr>
          <w:rFonts w:ascii="方正小标宋_GBK" w:hAnsi="方正小标宋_GBK" w:eastAsia="方正小标宋_GBK" w:cs="方正小标宋_GBK"/>
          <w:sz w:val="84"/>
          <w:szCs w:val="84"/>
        </w:rPr>
      </w:pPr>
    </w:p>
    <w:p>
      <w:pPr>
        <w:pStyle w:val="14"/>
        <w:jc w:val="center"/>
        <w:rPr>
          <w:rFonts w:ascii="方正小标宋_GBK" w:hAnsi="方正小标宋_GBK" w:eastAsia="方正小标宋_GBK" w:cs="方正小标宋_GBK"/>
          <w:sz w:val="84"/>
          <w:szCs w:val="84"/>
        </w:rPr>
      </w:pPr>
    </w:p>
    <w:p>
      <w:pPr>
        <w:pStyle w:val="14"/>
        <w:jc w:val="center"/>
        <w:rPr>
          <w:rFonts w:ascii="方正小标宋_GBK" w:hAnsi="方正小标宋_GBK" w:eastAsia="方正小标宋_GBK" w:cs="方正小标宋_GBK"/>
          <w:sz w:val="84"/>
          <w:szCs w:val="84"/>
        </w:rPr>
      </w:pPr>
    </w:p>
    <w:p>
      <w:pPr>
        <w:pStyle w:val="14"/>
        <w:jc w:val="center"/>
        <w:rPr>
          <w:rFonts w:ascii="方正小标宋_GBK" w:hAnsi="方正小标宋_GBK" w:eastAsia="方正小标宋_GBK" w:cs="方正小标宋_GBK"/>
          <w:sz w:val="84"/>
          <w:szCs w:val="84"/>
        </w:rPr>
      </w:pPr>
    </w:p>
    <w:p>
      <w:pPr>
        <w:pStyle w:val="14"/>
        <w:jc w:val="center"/>
        <w:rPr>
          <w:rFonts w:ascii="方正小标宋_GBK" w:hAnsi="方正小标宋_GBK" w:eastAsia="方正小标宋_GBK" w:cs="方正小标宋_GBK"/>
          <w:sz w:val="84"/>
          <w:szCs w:val="84"/>
        </w:rPr>
      </w:pPr>
    </w:p>
    <w:p>
      <w:pPr>
        <w:pStyle w:val="14"/>
        <w:jc w:val="center"/>
        <w:rPr>
          <w:rFonts w:ascii="方正小标宋_GBK" w:hAnsi="方正小标宋_GBK" w:eastAsia="方正小标宋_GBK" w:cs="方正小标宋_GBK"/>
          <w:sz w:val="84"/>
          <w:szCs w:val="84"/>
        </w:rPr>
      </w:pPr>
    </w:p>
    <w:p>
      <w:pPr>
        <w:pStyle w:val="14"/>
        <w:jc w:val="center"/>
        <w:rPr>
          <w:rFonts w:ascii="方正小标宋_GBK" w:hAnsi="方正小标宋_GBK" w:eastAsia="方正小标宋_GBK" w:cs="方正小标宋_GBK"/>
          <w:sz w:val="84"/>
          <w:szCs w:val="84"/>
        </w:rPr>
      </w:pPr>
    </w:p>
    <w:p>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4"/>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autofit"/>
        <w:tblCellMar>
          <w:top w:w="0" w:type="dxa"/>
          <w:left w:w="0" w:type="dxa"/>
          <w:bottom w:w="0" w:type="dxa"/>
          <w:right w:w="0" w:type="dxa"/>
        </w:tblCellMar>
      </w:tblPr>
      <w:tblGrid>
        <w:gridCol w:w="479"/>
        <w:gridCol w:w="415"/>
        <w:gridCol w:w="4487"/>
        <w:gridCol w:w="1887"/>
        <w:gridCol w:w="1440"/>
        <w:gridCol w:w="1658"/>
        <w:gridCol w:w="1137"/>
        <w:gridCol w:w="953"/>
        <w:gridCol w:w="1908"/>
        <w:gridCol w:w="1064"/>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4896" w:type="dxa"/>
              <w:tblInd w:w="0" w:type="dxa"/>
              <w:tblLayout w:type="autofit"/>
              <w:tblCellMar>
                <w:top w:w="0" w:type="dxa"/>
                <w:left w:w="108" w:type="dxa"/>
                <w:bottom w:w="0" w:type="dxa"/>
                <w:right w:w="108" w:type="dxa"/>
              </w:tblCellMar>
            </w:tblPr>
            <w:tblGrid>
              <w:gridCol w:w="4442"/>
              <w:gridCol w:w="603"/>
              <w:gridCol w:w="1399"/>
              <w:gridCol w:w="5033"/>
              <w:gridCol w:w="1165"/>
              <w:gridCol w:w="456"/>
              <w:gridCol w:w="456"/>
              <w:gridCol w:w="1844"/>
            </w:tblGrid>
            <w:tr>
              <w:tblPrEx>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pPr>
                    <w:jc w:val="left"/>
                    <w:rPr>
                      <w:rFonts w:ascii="黑体" w:hAnsi="宋体" w:eastAsia="黑体" w:cs="黑体"/>
                      <w:color w:val="000000"/>
                      <w:sz w:val="24"/>
                      <w:szCs w:val="24"/>
                    </w:rPr>
                  </w:pPr>
                </w:p>
              </w:tc>
              <w:tc>
                <w:tcPr>
                  <w:tcW w:w="590" w:type="dxa"/>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1438" w:type="dxa"/>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5193" w:type="dxa"/>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1196" w:type="dxa"/>
                  <w:gridSpan w:val="2"/>
                  <w:tcBorders>
                    <w:top w:val="nil"/>
                    <w:left w:val="nil"/>
                    <w:bottom w:val="nil"/>
                    <w:right w:val="nil"/>
                  </w:tcBorders>
                  <w:shd w:val="clear" w:color="auto" w:fill="auto"/>
                  <w:noWrap/>
                  <w:vAlign w:val="center"/>
                </w:tcPr>
                <w:p>
                  <w:pPr>
                    <w:jc w:val="right"/>
                    <w:rPr>
                      <w:rFonts w:ascii="宋体" w:hAnsi="宋体" w:eastAsia="宋体" w:cs="宋体"/>
                      <w:color w:val="000000"/>
                      <w:sz w:val="24"/>
                      <w:szCs w:val="24"/>
                    </w:rPr>
                  </w:pPr>
                </w:p>
              </w:tc>
              <w:tc>
                <w:tcPr>
                  <w:tcW w:w="1897" w:type="dxa"/>
                  <w:gridSpan w:val="2"/>
                  <w:tcBorders>
                    <w:top w:val="nil"/>
                    <w:left w:val="nil"/>
                    <w:bottom w:val="nil"/>
                    <w:right w:val="nil"/>
                  </w:tcBorders>
                  <w:shd w:val="clear" w:color="auto" w:fill="auto"/>
                  <w:noWrap/>
                  <w:vAlign w:val="center"/>
                </w:tcPr>
                <w:p>
                  <w:pPr>
                    <w:jc w:val="right"/>
                    <w:rPr>
                      <w:rFonts w:ascii="黑体" w:hAnsi="宋体" w:eastAsia="黑体" w:cs="黑体"/>
                      <w:color w:val="000000"/>
                      <w:sz w:val="24"/>
                      <w:szCs w:val="24"/>
                    </w:rPr>
                  </w:pPr>
                </w:p>
              </w:tc>
            </w:tr>
            <w:tr>
              <w:tblPrEx>
                <w:tblCellMar>
                  <w:top w:w="0" w:type="dxa"/>
                  <w:left w:w="108" w:type="dxa"/>
                  <w:bottom w:w="0" w:type="dxa"/>
                  <w:right w:w="108" w:type="dxa"/>
                </w:tblCellMar>
              </w:tblPrEx>
              <w:trPr>
                <w:trHeight w:val="609" w:hRule="atLeast"/>
              </w:trPr>
              <w:tc>
                <w:tcPr>
                  <w:tcW w:w="0" w:type="auto"/>
                  <w:gridSpan w:val="8"/>
                  <w:tcBorders>
                    <w:top w:val="nil"/>
                    <w:left w:val="nil"/>
                    <w:bottom w:val="nil"/>
                    <w:right w:val="nil"/>
                  </w:tcBorders>
                  <w:shd w:val="clear" w:color="auto" w:fill="auto"/>
                  <w:noWrap/>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4" w:hRule="atLeast"/>
              </w:trPr>
              <w:tc>
                <w:tcPr>
                  <w:tcW w:w="0" w:type="auto"/>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pPr>
                    <w:jc w:val="right"/>
                    <w:rPr>
                      <w:rFonts w:ascii="宋体" w:hAnsi="宋体" w:eastAsia="宋体" w:cs="宋体"/>
                      <w:color w:val="000000"/>
                      <w:sz w:val="24"/>
                      <w:szCs w:val="24"/>
                    </w:rPr>
                  </w:pPr>
                </w:p>
              </w:tc>
              <w:tc>
                <w:tcPr>
                  <w:tcW w:w="0" w:type="auto"/>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1448" w:type="dxa"/>
                <w:trHeight w:val="44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收入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支出</w:t>
                  </w:r>
                </w:p>
              </w:tc>
            </w:tr>
            <w:tr>
              <w:tblPrEx>
                <w:tblCellMar>
                  <w:top w:w="0" w:type="dxa"/>
                  <w:left w:w="108" w:type="dxa"/>
                  <w:bottom w:w="0" w:type="dxa"/>
                  <w:right w:w="108" w:type="dxa"/>
                </w:tblCellMar>
              </w:tblPrEx>
              <w:trPr>
                <w:gridAfter w:val="1"/>
                <w:wAfter w:w="14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决算数</w:t>
                  </w:r>
                </w:p>
              </w:tc>
            </w:tr>
            <w:tr>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r>
            <w:tr>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745.88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17.33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12.29</w:t>
                  </w:r>
                </w:p>
              </w:tc>
            </w:tr>
            <w:tr>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rPr>
                  </w:pPr>
                  <w:r>
                    <w:rPr>
                      <w:rFonts w:hint="eastAsia" w:ascii="宋体" w:hAnsi="宋体" w:eastAsia="宋体" w:cs="宋体"/>
                      <w:color w:val="000000"/>
                      <w:sz w:val="22"/>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rPr>
                  </w:pPr>
                  <w:r>
                    <w:rPr>
                      <w:rFonts w:hint="eastAsia" w:ascii="宋体" w:hAnsi="宋体" w:eastAsia="宋体" w:cs="宋体"/>
                      <w:color w:val="000000"/>
                      <w:sz w:val="22"/>
                    </w:rPr>
                    <w:t>6.68</w:t>
                  </w:r>
                </w:p>
              </w:tc>
            </w:tr>
            <w:tr>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744.24</w:t>
                  </w:r>
                </w:p>
              </w:tc>
            </w:tr>
            <w:tr>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763.21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r>
                    <w:rPr>
                      <w:rFonts w:hint="eastAsia" w:ascii="宋体" w:hAnsi="宋体" w:eastAsia="宋体" w:cs="宋体"/>
                      <w:color w:val="000000"/>
                      <w:sz w:val="22"/>
                    </w:rPr>
                    <w:t>763.21</w:t>
                  </w:r>
                </w:p>
              </w:tc>
            </w:tr>
            <w:tr>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gridAfter w:val="1"/>
                <w:wAfter w:w="1448" w:type="dxa"/>
                <w:trHeight w:val="6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gridAfter w:val="1"/>
                <w:wAfter w:w="1448" w:type="dxa"/>
                <w:trHeight w:val="44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763.21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763.21</w:t>
                  </w:r>
                </w:p>
              </w:tc>
            </w:tr>
            <w:tr>
              <w:tblPrEx>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注：1.本表反映部门本年度的总收支和年末结转结余情况。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1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0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5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410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3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1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10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5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567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83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39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1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10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92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03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57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4101"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83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5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4101"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3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1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92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5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567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83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3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61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10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92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567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763.21　</w:t>
            </w:r>
          </w:p>
        </w:tc>
        <w:tc>
          <w:tcPr>
            <w:tcW w:w="13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763.21　</w:t>
            </w:r>
          </w:p>
        </w:tc>
        <w:tc>
          <w:tcPr>
            <w:tcW w:w="1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r>
              <w:t>2120899</w:t>
            </w:r>
          </w:p>
        </w:tc>
        <w:tc>
          <w:tcPr>
            <w:tcW w:w="41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其他国有土地使用权出让收入安排的支出</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color w:val="000000"/>
                <w:kern w:val="0"/>
                <w:sz w:val="22"/>
              </w:rPr>
              <w:t>17.33</w:t>
            </w:r>
            <w:r>
              <w:rPr>
                <w:rFonts w:hint="eastAsia"/>
              </w:rPr>
              <w:t>　</w:t>
            </w:r>
          </w:p>
        </w:tc>
        <w:tc>
          <w:tcPr>
            <w:tcW w:w="13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color w:val="000000"/>
                <w:kern w:val="0"/>
                <w:sz w:val="22"/>
              </w:rPr>
              <w:t>17.33</w:t>
            </w:r>
            <w:r>
              <w:rPr>
                <w:rFonts w:hint="eastAsia"/>
              </w:rPr>
              <w:t>　</w:t>
            </w:r>
          </w:p>
        </w:tc>
        <w:tc>
          <w:tcPr>
            <w:tcW w:w="1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r>
              <w:t>2120399</w:t>
            </w:r>
          </w:p>
        </w:tc>
        <w:tc>
          <w:tcPr>
            <w:tcW w:w="41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其他城乡社区公共设施支出</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6,00.81</w:t>
            </w:r>
          </w:p>
        </w:tc>
        <w:tc>
          <w:tcPr>
            <w:tcW w:w="13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6,00.81</w:t>
            </w:r>
          </w:p>
        </w:tc>
        <w:tc>
          <w:tcPr>
            <w:tcW w:w="1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r>
              <w:t>2120199</w:t>
            </w:r>
          </w:p>
        </w:tc>
        <w:tc>
          <w:tcPr>
            <w:tcW w:w="41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其他城乡社区管理事务支出</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color w:val="000000"/>
                <w:kern w:val="0"/>
                <w:sz w:val="22"/>
              </w:rPr>
              <w:t>1,26.10</w:t>
            </w:r>
            <w:r>
              <w:rPr>
                <w:rFonts w:hint="eastAsia"/>
              </w:rPr>
              <w:t>　</w:t>
            </w:r>
          </w:p>
        </w:tc>
        <w:tc>
          <w:tcPr>
            <w:tcW w:w="13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color w:val="000000"/>
                <w:kern w:val="0"/>
                <w:sz w:val="22"/>
              </w:rPr>
              <w:t>1,26.10</w:t>
            </w:r>
            <w:r>
              <w:rPr>
                <w:rFonts w:hint="eastAsia"/>
              </w:rPr>
              <w:t>　</w:t>
            </w:r>
          </w:p>
        </w:tc>
        <w:tc>
          <w:tcPr>
            <w:tcW w:w="1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r>
              <w:t>2101199</w:t>
            </w:r>
          </w:p>
        </w:tc>
        <w:tc>
          <w:tcPr>
            <w:tcW w:w="41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其他行政事业单位医疗支出</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color w:val="000000"/>
                <w:kern w:val="0"/>
                <w:sz w:val="22"/>
              </w:rPr>
              <w:t>6.68</w:t>
            </w:r>
            <w:r>
              <w:rPr>
                <w:rFonts w:hint="eastAsia"/>
              </w:rPr>
              <w:t>　</w:t>
            </w:r>
          </w:p>
        </w:tc>
        <w:tc>
          <w:tcPr>
            <w:tcW w:w="13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color w:val="000000"/>
                <w:kern w:val="0"/>
                <w:sz w:val="22"/>
              </w:rPr>
              <w:t>6.68</w:t>
            </w:r>
            <w:r>
              <w:rPr>
                <w:rFonts w:hint="eastAsia"/>
              </w:rPr>
              <w:t>　</w:t>
            </w:r>
          </w:p>
        </w:tc>
        <w:tc>
          <w:tcPr>
            <w:tcW w:w="1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r>
              <w:t>2080505</w:t>
            </w:r>
          </w:p>
        </w:tc>
        <w:tc>
          <w:tcPr>
            <w:tcW w:w="41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机关事业单位基本养老保险缴费支出</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color w:val="000000"/>
                <w:kern w:val="0"/>
                <w:sz w:val="22"/>
              </w:rPr>
              <w:t>12.29</w:t>
            </w:r>
            <w:r>
              <w:rPr>
                <w:rFonts w:hint="eastAsia"/>
              </w:rPr>
              <w:t>　</w:t>
            </w:r>
          </w:p>
        </w:tc>
        <w:tc>
          <w:tcPr>
            <w:tcW w:w="13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color w:val="000000"/>
                <w:kern w:val="0"/>
                <w:sz w:val="22"/>
              </w:rPr>
              <w:t>12.29</w:t>
            </w:r>
            <w:r>
              <w:rPr>
                <w:rFonts w:hint="eastAsia"/>
              </w:rPr>
              <w:t>　</w:t>
            </w:r>
          </w:p>
        </w:tc>
        <w:tc>
          <w:tcPr>
            <w:tcW w:w="1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41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8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1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0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9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9"/>
        <w:tblW w:w="15608" w:type="dxa"/>
        <w:tblInd w:w="93" w:type="dxa"/>
        <w:tblLayout w:type="fixed"/>
        <w:tblCellMar>
          <w:top w:w="0" w:type="dxa"/>
          <w:left w:w="108" w:type="dxa"/>
          <w:bottom w:w="0" w:type="dxa"/>
          <w:right w:w="108" w:type="dxa"/>
        </w:tblCellMar>
      </w:tblPr>
      <w:tblGrid>
        <w:gridCol w:w="1236"/>
        <w:gridCol w:w="263"/>
        <w:gridCol w:w="4297"/>
        <w:gridCol w:w="1732"/>
        <w:gridCol w:w="1276"/>
        <w:gridCol w:w="1276"/>
        <w:gridCol w:w="1701"/>
        <w:gridCol w:w="1417"/>
        <w:gridCol w:w="2410"/>
      </w:tblGrid>
      <w:tr>
        <w:tblPrEx>
          <w:tblCellMar>
            <w:top w:w="0" w:type="dxa"/>
            <w:left w:w="108" w:type="dxa"/>
            <w:bottom w:w="0" w:type="dxa"/>
            <w:right w:w="108" w:type="dxa"/>
          </w:tblCellMar>
        </w:tblPrEx>
        <w:trPr>
          <w:trHeight w:val="807" w:hRule="atLeast"/>
        </w:trPr>
        <w:tc>
          <w:tcPr>
            <w:tcW w:w="15608"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0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579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3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29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72"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29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579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3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579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763.21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145.07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618.14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w:t>
            </w:r>
            <w:r>
              <w:t>2120899</w:t>
            </w:r>
          </w:p>
        </w:tc>
        <w:tc>
          <w:tcPr>
            <w:tcW w:w="4297"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其他国有土地使用权出让收入安排的支出</w:t>
            </w:r>
          </w:p>
        </w:tc>
        <w:tc>
          <w:tcPr>
            <w:tcW w:w="17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ascii="宋体" w:hAnsi="宋体" w:eastAsia="宋体" w:cs="宋体"/>
                <w:color w:val="000000"/>
                <w:kern w:val="0"/>
                <w:sz w:val="22"/>
              </w:rPr>
              <w:t>17.33</w:t>
            </w:r>
            <w:r>
              <w:rPr>
                <w:rFonts w:hint="eastAsia"/>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ascii="宋体" w:hAnsi="宋体" w:eastAsia="宋体" w:cs="宋体"/>
                <w:color w:val="000000"/>
                <w:kern w:val="0"/>
                <w:sz w:val="22"/>
              </w:rPr>
              <w:t>17.33</w:t>
            </w:r>
            <w:r>
              <w:rPr>
                <w:rFonts w:hint="eastAsia"/>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w:t>
            </w:r>
            <w:r>
              <w:t>2120399</w:t>
            </w:r>
          </w:p>
        </w:tc>
        <w:tc>
          <w:tcPr>
            <w:tcW w:w="4297"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其他城乡社区公共设施支出</w:t>
            </w:r>
          </w:p>
        </w:tc>
        <w:tc>
          <w:tcPr>
            <w:tcW w:w="17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6,00.81</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6,00.81</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w:t>
            </w:r>
            <w:r>
              <w:t>2120199</w:t>
            </w:r>
          </w:p>
        </w:tc>
        <w:tc>
          <w:tcPr>
            <w:tcW w:w="4297"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其他城乡社区管理事务支出</w:t>
            </w:r>
          </w:p>
        </w:tc>
        <w:tc>
          <w:tcPr>
            <w:tcW w:w="17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ascii="宋体" w:hAnsi="宋体" w:eastAsia="宋体" w:cs="宋体"/>
                <w:color w:val="000000"/>
                <w:kern w:val="0"/>
                <w:sz w:val="22"/>
              </w:rPr>
              <w:t>1,26.10</w:t>
            </w:r>
            <w:r>
              <w:rPr>
                <w:rFonts w:hint="eastAsia"/>
              </w:rPr>
              <w:t>　</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ascii="宋体" w:hAnsi="宋体" w:eastAsia="宋体" w:cs="宋体"/>
                <w:color w:val="000000"/>
                <w:kern w:val="0"/>
                <w:sz w:val="22"/>
              </w:rPr>
              <w:t>1,26.10</w:t>
            </w:r>
            <w:r>
              <w:rPr>
                <w:rFonts w:hint="eastAsia"/>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w:t>
            </w:r>
            <w:r>
              <w:t>2101199</w:t>
            </w:r>
          </w:p>
        </w:tc>
        <w:tc>
          <w:tcPr>
            <w:tcW w:w="4297"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其他行政事业单位医疗支出</w:t>
            </w:r>
          </w:p>
        </w:tc>
        <w:tc>
          <w:tcPr>
            <w:tcW w:w="17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ascii="宋体" w:hAnsi="宋体" w:eastAsia="宋体" w:cs="宋体"/>
                <w:color w:val="000000"/>
                <w:kern w:val="0"/>
                <w:sz w:val="22"/>
              </w:rPr>
              <w:t>6.68</w:t>
            </w:r>
            <w:r>
              <w:rPr>
                <w:rFonts w:hint="eastAsia"/>
              </w:rPr>
              <w:t>　</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ascii="宋体" w:hAnsi="宋体" w:eastAsia="宋体" w:cs="宋体"/>
                <w:color w:val="000000"/>
                <w:kern w:val="0"/>
                <w:sz w:val="22"/>
              </w:rPr>
              <w:t>6.68</w:t>
            </w:r>
            <w:r>
              <w:rPr>
                <w:rFonts w:hint="eastAsia"/>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w:t>
            </w:r>
            <w:r>
              <w:t>2080505</w:t>
            </w:r>
          </w:p>
        </w:tc>
        <w:tc>
          <w:tcPr>
            <w:tcW w:w="4297" w:type="dxa"/>
            <w:tcBorders>
              <w:top w:val="nil"/>
              <w:left w:val="nil"/>
              <w:bottom w:val="single" w:color="auto" w:sz="4" w:space="0"/>
              <w:right w:val="single" w:color="auto" w:sz="4" w:space="0"/>
            </w:tcBorders>
            <w:shd w:val="clear" w:color="000000" w:fill="FFFFFF"/>
            <w:noWrap/>
            <w:vAlign w:val="center"/>
          </w:tcPr>
          <w:p>
            <w:pPr>
              <w:rPr>
                <w:rFonts w:ascii="宋体" w:hAnsi="宋体" w:eastAsia="宋体" w:cs="宋体"/>
                <w:sz w:val="24"/>
                <w:szCs w:val="24"/>
              </w:rPr>
            </w:pPr>
            <w:r>
              <w:rPr>
                <w:rFonts w:hint="eastAsia"/>
              </w:rPr>
              <w:t>　机关事业单位基本养老保险缴费支出</w:t>
            </w:r>
          </w:p>
        </w:tc>
        <w:tc>
          <w:tcPr>
            <w:tcW w:w="173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ascii="宋体" w:hAnsi="宋体" w:eastAsia="宋体" w:cs="宋体"/>
                <w:color w:val="000000"/>
                <w:kern w:val="0"/>
                <w:sz w:val="22"/>
              </w:rPr>
              <w:t>12.29</w:t>
            </w:r>
            <w:r>
              <w:rPr>
                <w:rFonts w:hint="eastAsia"/>
              </w:rPr>
              <w:t>　</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sz w:val="24"/>
                <w:szCs w:val="24"/>
              </w:rPr>
            </w:pPr>
            <w:r>
              <w:rPr>
                <w:rFonts w:hint="eastAsia" w:ascii="宋体" w:hAnsi="宋体" w:eastAsia="宋体" w:cs="宋体"/>
                <w:color w:val="000000"/>
                <w:kern w:val="0"/>
                <w:sz w:val="22"/>
              </w:rPr>
              <w:t>12.29</w:t>
            </w:r>
            <w:r>
              <w:rPr>
                <w:rFonts w:hint="eastAsia"/>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4297"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73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08"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745.88</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17.33</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12.29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12.29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rPr>
            </w:pPr>
            <w:r>
              <w:rPr>
                <w:rFonts w:hint="eastAsia" w:ascii="宋体" w:hAnsi="宋体" w:eastAsia="宋体" w:cs="宋体"/>
                <w:color w:val="00000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6.68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6.68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sz w:val="20"/>
                <w:szCs w:val="20"/>
              </w:rPr>
            </w:pPr>
            <w:r>
              <w:rPr>
                <w:rFonts w:hint="eastAsia" w:ascii="宋体" w:hAnsi="宋体" w:eastAsia="宋体" w:cs="宋体"/>
                <w:color w:val="000000"/>
                <w:sz w:val="20"/>
                <w:szCs w:val="20"/>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744.24</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726.91</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17.33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4"/>
                <w:szCs w:val="24"/>
              </w:rPr>
              <w:t>763.21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4"/>
                <w:szCs w:val="24"/>
              </w:rPr>
              <w:t>763.21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745.88</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17.33</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4"/>
                <w:szCs w:val="24"/>
              </w:rPr>
              <w:t>763.21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4"/>
                <w:szCs w:val="24"/>
              </w:rPr>
              <w:t>763.21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745.88</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17.33</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4307"/>
        <w:gridCol w:w="2835"/>
        <w:gridCol w:w="2976"/>
        <w:gridCol w:w="2901"/>
      </w:tblGrid>
      <w:tr>
        <w:tblPrEx>
          <w:tblCellMar>
            <w:top w:w="0" w:type="dxa"/>
            <w:left w:w="108" w:type="dxa"/>
            <w:bottom w:w="0" w:type="dxa"/>
            <w:right w:w="108" w:type="dxa"/>
          </w:tblCellMar>
        </w:tblPrEx>
        <w:trPr>
          <w:trHeight w:val="405" w:hRule="atLeast"/>
          <w:jc w:val="center"/>
        </w:trPr>
        <w:tc>
          <w:tcPr>
            <w:tcW w:w="550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871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3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9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901"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30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0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430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90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50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9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50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745.88</w:t>
            </w:r>
          </w:p>
        </w:tc>
        <w:tc>
          <w:tcPr>
            <w:tcW w:w="29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rPr>
              <w:t>145.07</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color w:val="000000"/>
                <w:kern w:val="0"/>
                <w:sz w:val="22"/>
              </w:rPr>
              <w:t>6,00.81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w:t>
            </w:r>
            <w:r>
              <w:t>2120399</w:t>
            </w:r>
          </w:p>
        </w:tc>
        <w:tc>
          <w:tcPr>
            <w:tcW w:w="430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其他城乡社区公共设施支出</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6,00.81</w:t>
            </w:r>
          </w:p>
        </w:tc>
        <w:tc>
          <w:tcPr>
            <w:tcW w:w="29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宋体" w:hAnsi="宋体" w:eastAsia="宋体" w:cs="宋体"/>
                <w:color w:val="000000"/>
                <w:kern w:val="0"/>
                <w:sz w:val="22"/>
              </w:rPr>
              <w:t>6,00.81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w:t>
            </w:r>
            <w:r>
              <w:t>2120199</w:t>
            </w:r>
          </w:p>
        </w:tc>
        <w:tc>
          <w:tcPr>
            <w:tcW w:w="430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其他城乡社区管理事务支出</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color w:val="000000"/>
                <w:kern w:val="0"/>
                <w:sz w:val="22"/>
              </w:rPr>
              <w:t>1,26.10</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color w:val="000000"/>
                <w:kern w:val="0"/>
                <w:sz w:val="22"/>
              </w:rPr>
              <w:t>1,26.10</w:t>
            </w:r>
          </w:p>
        </w:tc>
        <w:tc>
          <w:tcPr>
            <w:tcW w:w="2901"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w:t>
            </w:r>
            <w:r>
              <w:t>2101199</w:t>
            </w:r>
          </w:p>
        </w:tc>
        <w:tc>
          <w:tcPr>
            <w:tcW w:w="430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其他行政事业单位医疗支出</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color w:val="000000"/>
                <w:kern w:val="0"/>
                <w:sz w:val="22"/>
              </w:rPr>
              <w:t>6.68</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color w:val="000000"/>
                <w:kern w:val="0"/>
                <w:sz w:val="22"/>
              </w:rPr>
              <w:t>6.68</w:t>
            </w:r>
          </w:p>
        </w:tc>
        <w:tc>
          <w:tcPr>
            <w:tcW w:w="2901"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w:t>
            </w:r>
            <w:r>
              <w:t>2080505</w:t>
            </w:r>
          </w:p>
        </w:tc>
        <w:tc>
          <w:tcPr>
            <w:tcW w:w="430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r>
              <w:rPr>
                <w:rFonts w:hint="eastAsia"/>
              </w:rPr>
              <w:t>　机关事业单位基本养老保险缴费支出</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color w:val="000000"/>
                <w:kern w:val="0"/>
                <w:sz w:val="22"/>
              </w:rPr>
              <w:t>12.29</w:t>
            </w:r>
          </w:p>
        </w:tc>
        <w:tc>
          <w:tcPr>
            <w:tcW w:w="297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color w:val="000000"/>
                <w:kern w:val="0"/>
                <w:sz w:val="22"/>
              </w:rPr>
              <w:t>12.29</w:t>
            </w:r>
          </w:p>
        </w:tc>
        <w:tc>
          <w:tcPr>
            <w:tcW w:w="2901"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宋体"/>
                <w:sz w:val="24"/>
                <w:szCs w:val="24"/>
              </w:rPr>
            </w:pPr>
          </w:p>
        </w:tc>
        <w:tc>
          <w:tcPr>
            <w:tcW w:w="4307"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4"/>
                <w:szCs w:val="24"/>
              </w:rPr>
            </w:pPr>
          </w:p>
        </w:tc>
        <w:tc>
          <w:tcPr>
            <w:tcW w:w="2835"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901"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835"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976"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901"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autofit"/>
        <w:tblCellMar>
          <w:top w:w="0" w:type="dxa"/>
          <w:left w:w="108" w:type="dxa"/>
          <w:bottom w:w="0" w:type="dxa"/>
          <w:right w:w="108" w:type="dxa"/>
        </w:tblCellMar>
      </w:tblPr>
      <w:tblGrid>
        <w:gridCol w:w="923"/>
        <w:gridCol w:w="216"/>
        <w:gridCol w:w="216"/>
        <w:gridCol w:w="2645"/>
        <w:gridCol w:w="1346"/>
        <w:gridCol w:w="787"/>
        <w:gridCol w:w="1040"/>
        <w:gridCol w:w="1166"/>
        <w:gridCol w:w="371"/>
        <w:gridCol w:w="502"/>
        <w:gridCol w:w="216"/>
        <w:gridCol w:w="925"/>
        <w:gridCol w:w="480"/>
        <w:gridCol w:w="353"/>
        <w:gridCol w:w="2004"/>
        <w:gridCol w:w="1334"/>
        <w:gridCol w:w="862"/>
        <w:gridCol w:w="228"/>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87" w:hRule="atLeast"/>
        </w:trPr>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07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0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7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0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3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127.06</w:t>
            </w:r>
          </w:p>
        </w:tc>
        <w:tc>
          <w:tcPr>
            <w:tcW w:w="7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18</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0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3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58.00</w:t>
            </w:r>
          </w:p>
        </w:tc>
        <w:tc>
          <w:tcPr>
            <w:tcW w:w="7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2.98</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0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3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24.14</w:t>
            </w:r>
          </w:p>
        </w:tc>
        <w:tc>
          <w:tcPr>
            <w:tcW w:w="7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0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3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25.95</w:t>
            </w:r>
          </w:p>
        </w:tc>
        <w:tc>
          <w:tcPr>
            <w:tcW w:w="7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0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3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p>
        </w:tc>
        <w:tc>
          <w:tcPr>
            <w:tcW w:w="7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0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3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p>
        </w:tc>
        <w:tc>
          <w:tcPr>
            <w:tcW w:w="7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0.25</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0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3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12.29</w:t>
            </w:r>
          </w:p>
        </w:tc>
        <w:tc>
          <w:tcPr>
            <w:tcW w:w="7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0.90</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0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3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p>
        </w:tc>
        <w:tc>
          <w:tcPr>
            <w:tcW w:w="7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0.31</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0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3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6.68</w:t>
            </w:r>
          </w:p>
        </w:tc>
        <w:tc>
          <w:tcPr>
            <w:tcW w:w="7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0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3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0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3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p>
        </w:tc>
        <w:tc>
          <w:tcPr>
            <w:tcW w:w="7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0.47</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0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0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0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0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0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0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1.28</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358"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0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402" w:hRule="atLeast"/>
        </w:trPr>
        <w:tc>
          <w:tcPr>
            <w:tcW w:w="923" w:type="dxa"/>
            <w:tcBorders>
              <w:top w:val="nil"/>
              <w:left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077" w:type="dxa"/>
            <w:gridSpan w:val="3"/>
            <w:tcBorders>
              <w:top w:val="nil"/>
              <w:left w:val="nil"/>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346" w:type="dxa"/>
            <w:tcBorders>
              <w:top w:val="nil"/>
              <w:left w:val="nil"/>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06" w:type="dxa"/>
            <w:gridSpan w:val="2"/>
            <w:tcBorders>
              <w:top w:val="nil"/>
              <w:left w:val="nil"/>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73" w:type="dxa"/>
            <w:gridSpan w:val="2"/>
            <w:tcBorders>
              <w:top w:val="nil"/>
              <w:left w:val="nil"/>
              <w:right w:val="single" w:color="auto" w:sz="4" w:space="0"/>
            </w:tcBorders>
            <w:shd w:val="clear" w:color="auto" w:fill="auto"/>
            <w:noWrap/>
            <w:vAlign w:val="center"/>
          </w:tcPr>
          <w:p>
            <w:pPr>
              <w:widowControl/>
              <w:jc w:val="left"/>
              <w:rPr>
                <w:rFonts w:ascii="宋体" w:hAnsi="宋体" w:eastAsia="宋体" w:cs="宋体"/>
                <w:color w:val="000000"/>
                <w:kern w:val="0"/>
                <w:szCs w:val="20"/>
              </w:rPr>
            </w:pPr>
          </w:p>
        </w:tc>
        <w:tc>
          <w:tcPr>
            <w:tcW w:w="1141" w:type="dxa"/>
            <w:gridSpan w:val="2"/>
            <w:tcBorders>
              <w:top w:val="nil"/>
              <w:left w:val="nil"/>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71" w:type="dxa"/>
            <w:gridSpan w:val="4"/>
            <w:tcBorders>
              <w:top w:val="nil"/>
              <w:left w:val="nil"/>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90" w:type="dxa"/>
            <w:gridSpan w:val="2"/>
            <w:tcBorders>
              <w:top w:val="nil"/>
              <w:left w:val="nil"/>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63"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0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0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1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0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5.00</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1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0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1.15</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39909</w:t>
            </w:r>
          </w:p>
        </w:tc>
        <w:tc>
          <w:tcPr>
            <w:tcW w:w="41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ascii="宋体" w:hAnsi="宋体" w:eastAsia="宋体" w:cs="宋体"/>
                <w:color w:val="000000"/>
                <w:kern w:val="0"/>
                <w:szCs w:val="20"/>
              </w:rPr>
            </w:pPr>
          </w:p>
          <w:tbl>
            <w:tblPr>
              <w:tblStyle w:val="9"/>
              <w:tblW w:w="3946" w:type="dxa"/>
              <w:tblInd w:w="0" w:type="dxa"/>
              <w:tblLayout w:type="autofit"/>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r>
            <w:tr>
              <w:tblPrEx>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r>
          </w:tbl>
          <w:p>
            <w:pPr>
              <w:widowControl/>
              <w:jc w:val="left"/>
              <w:rPr>
                <w:rFonts w:ascii="宋体" w:hAnsi="宋体" w:eastAsia="宋体" w:cs="宋体"/>
                <w:color w:val="000000"/>
                <w:kern w:val="0"/>
                <w:szCs w:val="20"/>
              </w:rPr>
            </w:pPr>
          </w:p>
          <w:tbl>
            <w:tblPr>
              <w:tblStyle w:val="9"/>
              <w:tblW w:w="3946" w:type="dxa"/>
              <w:tblInd w:w="0" w:type="dxa"/>
              <w:tblLayout w:type="autofit"/>
              <w:tblCellMar>
                <w:top w:w="0" w:type="dxa"/>
                <w:left w:w="108" w:type="dxa"/>
                <w:bottom w:w="0" w:type="dxa"/>
                <w:right w:w="108" w:type="dxa"/>
              </w:tblCellMar>
            </w:tblPr>
            <w:tblGrid>
              <w:gridCol w:w="3946"/>
            </w:tblGrid>
            <w:tr>
              <w:tblPrEx>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r>
            <w:tr>
              <w:tblPrEx>
                <w:tblCellMar>
                  <w:top w:w="0" w:type="dxa"/>
                  <w:left w:w="108" w:type="dxa"/>
                  <w:bottom w:w="0" w:type="dxa"/>
                  <w:right w:w="108" w:type="dxa"/>
                </w:tblCellMar>
              </w:tblPrEx>
              <w:trPr>
                <w:trHeight w:val="2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r>
          </w:tbl>
          <w:p>
            <w:pPr>
              <w:widowControl/>
              <w:jc w:val="left"/>
              <w:rPr>
                <w:rFonts w:ascii="宋体" w:hAnsi="宋体" w:eastAsia="宋体" w:cs="宋体"/>
                <w:color w:val="000000"/>
                <w:kern w:val="0"/>
                <w:szCs w:val="20"/>
              </w:rPr>
            </w:pP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0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4.00</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39910</w:t>
            </w:r>
          </w:p>
        </w:tc>
        <w:tc>
          <w:tcPr>
            <w:tcW w:w="41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0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1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0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92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077"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73"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1.65</w:t>
            </w:r>
          </w:p>
          <w:p>
            <w:pPr>
              <w:pStyle w:val="2"/>
            </w:pPr>
          </w:p>
        </w:tc>
        <w:tc>
          <w:tcPr>
            <w:tcW w:w="11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7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0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34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127.06</w:t>
            </w:r>
          </w:p>
        </w:tc>
        <w:tc>
          <w:tcPr>
            <w:tcW w:w="9178"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CellMar>
            <w:top w:w="0" w:type="dxa"/>
            <w:left w:w="108" w:type="dxa"/>
            <w:bottom w:w="0" w:type="dxa"/>
            <w:right w:w="108" w:type="dxa"/>
          </w:tblCellMar>
        </w:tblPrEx>
        <w:trPr>
          <w:gridAfter w:val="1"/>
          <w:wAfter w:w="228" w:type="dxa"/>
          <w:trHeight w:val="690" w:hRule="atLeast"/>
        </w:trPr>
        <w:tc>
          <w:tcPr>
            <w:tcW w:w="15386" w:type="dxa"/>
            <w:gridSpan w:val="17"/>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CellMar>
            <w:top w:w="0" w:type="dxa"/>
            <w:left w:w="108" w:type="dxa"/>
            <w:bottom w:w="0" w:type="dxa"/>
            <w:right w:w="108" w:type="dxa"/>
          </w:tblCellMar>
        </w:tblPrEx>
        <w:trPr>
          <w:gridAfter w:val="1"/>
          <w:wAfter w:w="228" w:type="dxa"/>
          <w:trHeight w:val="345" w:hRule="atLeast"/>
        </w:trPr>
        <w:tc>
          <w:tcPr>
            <w:tcW w:w="923"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432" w:type="dxa"/>
            <w:gridSpan w:val="2"/>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3991" w:type="dxa"/>
            <w:gridSpan w:val="2"/>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1827"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166"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37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23" w:type="dxa"/>
            <w:gridSpan w:val="4"/>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357"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96"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108" w:type="dxa"/>
            <w:bottom w:w="0" w:type="dxa"/>
            <w:right w:w="108" w:type="dxa"/>
          </w:tblCellMar>
        </w:tblPrEx>
        <w:trPr>
          <w:gridAfter w:val="1"/>
          <w:wAfter w:w="228" w:type="dxa"/>
          <w:trHeight w:val="690" w:hRule="atLeast"/>
        </w:trPr>
        <w:tc>
          <w:tcPr>
            <w:tcW w:w="923" w:type="dxa"/>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32" w:type="dxa"/>
            <w:gridSpan w:val="2"/>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3991" w:type="dxa"/>
            <w:gridSpan w:val="2"/>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1827"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166"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37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23" w:type="dxa"/>
            <w:gridSpan w:val="4"/>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357" w:type="dxa"/>
            <w:gridSpan w:val="2"/>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2196" w:type="dxa"/>
            <w:gridSpan w:val="2"/>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228" w:type="dxa"/>
          <w:trHeight w:val="459" w:hRule="atLeast"/>
        </w:trPr>
        <w:tc>
          <w:tcPr>
            <w:tcW w:w="5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8"/>
                <w:rFonts w:hint="default"/>
              </w:rPr>
              <w:t>目</w:t>
            </w:r>
          </w:p>
        </w:tc>
        <w:tc>
          <w:tcPr>
            <w:tcW w:w="18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年初结转和结余</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本年收入</w:t>
            </w:r>
          </w:p>
        </w:tc>
        <w:tc>
          <w:tcPr>
            <w:tcW w:w="48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c>
          <w:tcPr>
            <w:tcW w:w="21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年末结转和结余</w:t>
            </w:r>
          </w:p>
        </w:tc>
      </w:tr>
      <w:tr>
        <w:tblPrEx>
          <w:tblCellMar>
            <w:top w:w="0" w:type="dxa"/>
            <w:left w:w="108" w:type="dxa"/>
            <w:bottom w:w="0" w:type="dxa"/>
            <w:right w:w="108" w:type="dxa"/>
          </w:tblCellMar>
        </w:tblPrEx>
        <w:trPr>
          <w:gridAfter w:val="1"/>
          <w:wAfter w:w="228" w:type="dxa"/>
          <w:trHeight w:val="609" w:hRule="atLeast"/>
        </w:trPr>
        <w:tc>
          <w:tcPr>
            <w:tcW w:w="11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42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18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0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小计</w:t>
            </w:r>
          </w:p>
        </w:tc>
        <w:tc>
          <w:tcPr>
            <w:tcW w:w="17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2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c>
          <w:tcPr>
            <w:tcW w:w="2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28" w:type="dxa"/>
          <w:trHeight w:val="409" w:hRule="atLeast"/>
        </w:trPr>
        <w:tc>
          <w:tcPr>
            <w:tcW w:w="11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2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8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0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7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28" w:type="dxa"/>
          <w:trHeight w:val="509" w:hRule="atLeast"/>
        </w:trPr>
        <w:tc>
          <w:tcPr>
            <w:tcW w:w="11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2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8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0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7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28" w:type="dxa"/>
          <w:trHeight w:val="509" w:hRule="atLeast"/>
        </w:trPr>
        <w:tc>
          <w:tcPr>
            <w:tcW w:w="5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r>
      <w:tr>
        <w:tblPrEx>
          <w:tblCellMar>
            <w:top w:w="0" w:type="dxa"/>
            <w:left w:w="108" w:type="dxa"/>
            <w:bottom w:w="0" w:type="dxa"/>
            <w:right w:w="108" w:type="dxa"/>
          </w:tblCellMar>
        </w:tblPrEx>
        <w:trPr>
          <w:gridAfter w:val="1"/>
          <w:wAfter w:w="228" w:type="dxa"/>
          <w:trHeight w:val="509" w:hRule="atLeast"/>
        </w:trPr>
        <w:tc>
          <w:tcPr>
            <w:tcW w:w="53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28" w:type="dxa"/>
          <w:trHeight w:val="456" w:hRule="atLeast"/>
        </w:trPr>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4"/>
                <w:szCs w:val="24"/>
              </w:rPr>
            </w:pPr>
            <w:r>
              <w:rPr>
                <w:rFonts w:hint="eastAsia"/>
              </w:rPr>
              <w:t>　</w:t>
            </w:r>
            <w:r>
              <w:t>2120899</w:t>
            </w:r>
          </w:p>
        </w:tc>
        <w:tc>
          <w:tcPr>
            <w:tcW w:w="4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 w:val="24"/>
                <w:szCs w:val="24"/>
              </w:rPr>
            </w:pPr>
            <w:r>
              <w:rPr>
                <w:rFonts w:hint="eastAsia"/>
              </w:rPr>
              <w:t>　其他国有土地使用权出让收入安排的支出</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17.33</w:t>
            </w:r>
          </w:p>
        </w:tc>
        <w:tc>
          <w:tcPr>
            <w:tcW w:w="1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17.33</w:t>
            </w: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17.33</w:t>
            </w: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28" w:type="dxa"/>
          <w:trHeight w:val="509" w:hRule="atLeast"/>
        </w:trPr>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28" w:type="dxa"/>
          <w:trHeight w:val="509" w:hRule="atLeast"/>
        </w:trPr>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28" w:type="dxa"/>
          <w:trHeight w:val="509" w:hRule="atLeast"/>
        </w:trPr>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28" w:type="dxa"/>
          <w:trHeight w:val="509" w:hRule="atLeast"/>
        </w:trPr>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28" w:type="dxa"/>
          <w:trHeight w:val="509" w:hRule="atLeast"/>
        </w:trPr>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0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17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2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gridAfter w:val="1"/>
          <w:wAfter w:w="228" w:type="dxa"/>
          <w:trHeight w:val="725" w:hRule="atLeast"/>
        </w:trPr>
        <w:tc>
          <w:tcPr>
            <w:tcW w:w="15386" w:type="dxa"/>
            <w:gridSpan w:val="17"/>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注：本表反映部门本年度政府性基金预算财政拨款收入、支出及结转和结余情况。</w:t>
            </w: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说明：我单位没有政府性基金收入，也没有使用政府性基金安排的支出，故本表无数据。（当表格数据为空时，应有此说明）</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tbl>
      <w:tblPr>
        <w:tblStyle w:val="9"/>
        <w:tblW w:w="15120" w:type="dxa"/>
        <w:tblInd w:w="93" w:type="dxa"/>
        <w:tblLayout w:type="autofit"/>
        <w:tblCellMar>
          <w:top w:w="0" w:type="dxa"/>
          <w:left w:w="108" w:type="dxa"/>
          <w:bottom w:w="0" w:type="dxa"/>
          <w:right w:w="108" w:type="dxa"/>
        </w:tblCellMar>
      </w:tblPr>
      <w:tblGrid>
        <w:gridCol w:w="1326"/>
        <w:gridCol w:w="701"/>
        <w:gridCol w:w="2292"/>
        <w:gridCol w:w="3315"/>
        <w:gridCol w:w="3315"/>
        <w:gridCol w:w="4171"/>
      </w:tblGrid>
      <w:tr>
        <w:tblPrEx>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tblPrEx>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701"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701"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2292" w:type="dxa"/>
            <w:tcBorders>
              <w:top w:val="nil"/>
              <w:left w:val="nil"/>
              <w:bottom w:val="nil"/>
              <w:right w:val="nil"/>
            </w:tcBorders>
            <w:shd w:val="clear" w:color="auto" w:fill="FFFFFF"/>
            <w:vAlign w:val="center"/>
          </w:tcPr>
          <w:p>
            <w:pPr>
              <w:jc w:val="cente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3315"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项 </w:t>
            </w:r>
            <w:r>
              <w:rPr>
                <w:rStyle w:val="19"/>
                <w:rFonts w:hint="default"/>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本年支出</w:t>
            </w:r>
          </w:p>
        </w:tc>
      </w:tr>
      <w:tr>
        <w:tblPrEx>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项目支出</w:t>
            </w:r>
          </w:p>
        </w:tc>
      </w:tr>
      <w:tr>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r>
      <w:tr>
        <w:tblPrEx>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w:t>
            </w:r>
          </w:p>
          <w:p>
            <w:pPr>
              <w:widowControl/>
              <w:jc w:val="left"/>
              <w:textAlignment w:val="center"/>
              <w:rPr>
                <w:rFonts w:ascii="宋体" w:hAnsi="宋体" w:eastAsia="宋体" w:cs="宋体"/>
                <w:color w:val="000000"/>
                <w:kern w:val="0"/>
                <w:sz w:val="24"/>
                <w:szCs w:val="24"/>
              </w:rPr>
            </w:pPr>
          </w:p>
          <w:p>
            <w:pPr>
              <w:widowControl/>
              <w:jc w:val="left"/>
              <w:textAlignment w:val="center"/>
              <w:rPr>
                <w:rFonts w:ascii="宋体" w:hAnsi="宋体" w:eastAsia="宋体" w:cs="宋体"/>
                <w:color w:val="000000"/>
                <w:kern w:val="0"/>
                <w:sz w:val="24"/>
                <w:szCs w:val="24"/>
              </w:rPr>
            </w:pPr>
            <w:r>
              <w:rPr>
                <w:rFonts w:hint="eastAsia" w:ascii="楷体" w:hAnsi="楷体" w:eastAsia="楷体" w:cs="楷体"/>
                <w:b/>
                <w:bCs/>
                <w:kern w:val="0"/>
                <w:sz w:val="24"/>
                <w:szCs w:val="24"/>
              </w:rPr>
              <w:t>说明：我单位没有使用国有资本经营预算安排的支出，故本表无数据。（当表格数据为空时，应有此说明）</w:t>
            </w:r>
          </w:p>
        </w:tc>
      </w:tr>
    </w:tbl>
    <w:p>
      <w:pPr>
        <w:widowControl/>
        <w:jc w:val="center"/>
        <w:rPr>
          <w:rFonts w:ascii="Times New Roman" w:hAnsi="Times New Roman" w:eastAsia="方正小标宋_GBK" w:cs="Times New Roman"/>
          <w:color w:val="000000"/>
          <w:kern w:val="0"/>
          <w:sz w:val="36"/>
          <w:szCs w:val="36"/>
        </w:rPr>
      </w:pPr>
    </w:p>
    <w:tbl>
      <w:tblPr>
        <w:tblStyle w:val="9"/>
        <w:tblW w:w="15140" w:type="dxa"/>
        <w:tblInd w:w="93" w:type="dxa"/>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widowControl/>
              <w:jc w:val="center"/>
              <w:textAlignment w:val="center"/>
              <w:rPr>
                <w:rFonts w:ascii="华文中宋" w:hAnsi="华文中宋" w:eastAsia="华文中宋" w:cs="华文中宋"/>
                <w:color w:val="000000"/>
                <w:kern w:val="0"/>
                <w:sz w:val="32"/>
                <w:szCs w:val="32"/>
              </w:rPr>
            </w:pPr>
          </w:p>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tblPrEx>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1261" w:type="dxa"/>
            <w:tcBorders>
              <w:top w:val="nil"/>
              <w:left w:val="nil"/>
              <w:bottom w:val="nil"/>
              <w:right w:val="nil"/>
            </w:tcBorders>
            <w:shd w:val="clear" w:color="auto" w:fill="FFFFFF"/>
            <w:vAlign w:val="center"/>
          </w:tcPr>
          <w:p>
            <w:pPr>
              <w:rPr>
                <w:rFonts w:ascii="宋体" w:hAnsi="宋体" w:eastAsia="宋体" w:cs="宋体"/>
                <w:color w:val="000000"/>
                <w:sz w:val="20"/>
                <w:szCs w:val="20"/>
              </w:rPr>
            </w:pPr>
          </w:p>
        </w:tc>
        <w:tc>
          <w:tcPr>
            <w:tcW w:w="0" w:type="auto"/>
            <w:tcBorders>
              <w:top w:val="nil"/>
              <w:left w:val="nil"/>
              <w:bottom w:val="nil"/>
              <w:right w:val="nil"/>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6.3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4.00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4.00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2.3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5.28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4.00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4.00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1.28</w:t>
            </w:r>
          </w:p>
        </w:tc>
      </w:tr>
      <w:tr>
        <w:tblPrEx>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rPr>
          <w:sz w:val="72"/>
          <w:szCs w:val="72"/>
        </w:rPr>
        <w:sectPr>
          <w:pgSz w:w="16838" w:h="11906" w:orient="landscape"/>
          <w:pgMar w:top="720" w:right="720" w:bottom="720" w:left="720" w:header="851" w:footer="992" w:gutter="0"/>
          <w:cols w:space="425" w:num="1"/>
          <w:docGrid w:type="lines" w:linePitch="312" w:charSpace="0"/>
        </w:sectPr>
      </w:pPr>
    </w:p>
    <w:p>
      <w:pPr>
        <w:pStyle w:val="14"/>
        <w:rPr>
          <w:rFonts w:ascii="方正小标宋_GBK" w:hAnsi="方正小标宋_GBK" w:eastAsia="方正小标宋_GBK" w:cs="方正小标宋_GBK"/>
          <w:sz w:val="72"/>
          <w:szCs w:val="72"/>
        </w:rPr>
      </w:pPr>
    </w:p>
    <w:p>
      <w:pPr>
        <w:pStyle w:val="14"/>
        <w:jc w:val="center"/>
        <w:rPr>
          <w:rFonts w:ascii="方正小标宋_GBK" w:hAnsi="方正小标宋_GBK" w:eastAsia="方正小标宋_GBK" w:cs="方正小标宋_GBK"/>
          <w:sz w:val="72"/>
          <w:szCs w:val="72"/>
        </w:rPr>
      </w:pPr>
    </w:p>
    <w:p>
      <w:pPr>
        <w:pStyle w:val="14"/>
        <w:jc w:val="center"/>
        <w:rPr>
          <w:rFonts w:ascii="方正小标宋_GBK" w:hAnsi="方正小标宋_GBK" w:eastAsia="方正小标宋_GBK" w:cs="方正小标宋_GBK"/>
          <w:sz w:val="72"/>
          <w:szCs w:val="72"/>
        </w:rPr>
      </w:pPr>
    </w:p>
    <w:p>
      <w:pPr>
        <w:pStyle w:val="14"/>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4"/>
        <w:jc w:val="center"/>
        <w:rPr>
          <w:rFonts w:ascii="方正小标宋_GBK" w:hAnsi="方正小标宋_GBK" w:eastAsia="方正小标宋_GBK" w:cs="方正小标宋_GBK"/>
          <w:sz w:val="70"/>
          <w:szCs w:val="70"/>
        </w:rPr>
      </w:pPr>
    </w:p>
    <w:p>
      <w:pPr>
        <w:pStyle w:val="14"/>
        <w:jc w:val="center"/>
        <w:rPr>
          <w:rFonts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2023年度部门决算情况说明</w:t>
      </w:r>
    </w:p>
    <w:p>
      <w:pPr>
        <w:widowControl/>
        <w:jc w:val="left"/>
        <w:rPr>
          <w:rFonts w:asciiTheme="minorEastAsia" w:hAnsiTheme="minorEastAsia"/>
          <w:sz w:val="32"/>
          <w:szCs w:val="32"/>
        </w:rPr>
      </w:pPr>
      <w:r>
        <w:rPr>
          <w:rFonts w:hint="eastAsia" w:ascii="方正小标宋_GBK" w:hAnsi="方正小标宋_GBK" w:eastAsia="方正小标宋_GBK" w:cs="方正小标宋_GBK"/>
          <w:sz w:val="70"/>
          <w:szCs w:val="70"/>
        </w:rPr>
        <w:br w:type="page"/>
      </w:r>
    </w:p>
    <w:p>
      <w:pPr>
        <w:pStyle w:val="14"/>
        <w:spacing w:line="600" w:lineRule="exact"/>
        <w:ind w:firstLine="640" w:firstLineChars="200"/>
        <w:rPr>
          <w:rFonts w:hAnsi="黑体"/>
          <w:bCs/>
          <w:sz w:val="32"/>
          <w:szCs w:val="32"/>
        </w:rPr>
      </w:pPr>
      <w:r>
        <w:rPr>
          <w:rFonts w:hint="eastAsia" w:hAnsi="黑体"/>
          <w:bCs/>
          <w:sz w:val="32"/>
          <w:szCs w:val="32"/>
        </w:rPr>
        <w:t>一、收入支出决算总体情况说明</w:t>
      </w:r>
    </w:p>
    <w:p>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2023年度收、支总计763.21万元。与上年相比，增加88.35万元，增长13.09%，主要是因为路灯电增加与路灯维修经费增加。</w:t>
      </w:r>
    </w:p>
    <w:p>
      <w:pPr>
        <w:pStyle w:val="14"/>
        <w:spacing w:line="600" w:lineRule="exact"/>
        <w:ind w:firstLine="640" w:firstLineChars="200"/>
        <w:rPr>
          <w:rFonts w:hAnsi="黑体"/>
          <w:bCs/>
          <w:sz w:val="32"/>
          <w:szCs w:val="32"/>
        </w:rPr>
      </w:pPr>
      <w:r>
        <w:rPr>
          <w:rFonts w:hint="eastAsia" w:hAnsi="黑体"/>
          <w:bCs/>
          <w:sz w:val="32"/>
          <w:szCs w:val="32"/>
        </w:rPr>
        <w:t>二、收入决算情况说明</w:t>
      </w:r>
    </w:p>
    <w:p>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2023年度收入合计763.21万元，其中：财政拨款收入763.21万元，占100%；上级补助收入0万元，占0%；事业收入0万元，占0%；经营收入0万元，占0%；附属单位上缴收入0万元，占0%；其他收入0万元，占0%。</w:t>
      </w:r>
    </w:p>
    <w:p>
      <w:pPr>
        <w:pStyle w:val="14"/>
        <w:spacing w:line="600" w:lineRule="exact"/>
        <w:ind w:firstLine="640" w:firstLineChars="200"/>
        <w:rPr>
          <w:rFonts w:hAnsi="黑体"/>
          <w:bCs/>
          <w:sz w:val="32"/>
          <w:szCs w:val="32"/>
        </w:rPr>
      </w:pPr>
      <w:r>
        <w:rPr>
          <w:rFonts w:hint="eastAsia" w:hAnsi="黑体"/>
          <w:bCs/>
          <w:sz w:val="32"/>
          <w:szCs w:val="32"/>
        </w:rPr>
        <w:t>三、支出决算情况说明</w:t>
      </w:r>
    </w:p>
    <w:p>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2023年度支出合计763.21万元，其中：基本支出145.07万元，占19%；项目支出618.14万元，占81%；上缴上级支出0万元，占0%；经营支出0万元，占0%；对附属单位补助支出0万元，占0%。</w:t>
      </w:r>
    </w:p>
    <w:p>
      <w:pPr>
        <w:pStyle w:val="14"/>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pPr>
        <w:pStyle w:val="14"/>
        <w:spacing w:line="600" w:lineRule="exact"/>
        <w:rPr>
          <w:rFonts w:ascii="Times New Roman" w:hAnsi="Times New Roman" w:eastAsia="仿宋_GB2312"/>
          <w:sz w:val="32"/>
          <w:szCs w:val="32"/>
        </w:rPr>
      </w:pPr>
      <w:r>
        <w:rPr>
          <w:rFonts w:hint="eastAsia" w:ascii="Times New Roman" w:hAnsi="Times New Roman" w:eastAsia="仿宋_GB2312"/>
          <w:sz w:val="32"/>
          <w:szCs w:val="32"/>
        </w:rPr>
        <w:t xml:space="preserve">    2023年度财政拨款收、支总计763.21万元，与上年相比，增加88.35万元，增长13.09%，主要是因为路灯电增加与路灯维修经费增加。</w:t>
      </w:r>
    </w:p>
    <w:p>
      <w:pPr>
        <w:pStyle w:val="14"/>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（一）一般公共预算财政拨款支出决算总体情况</w:t>
      </w:r>
    </w:p>
    <w:p>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2023年度财政拨款支出745.88万元，占本年支出合计的97.73%，与上年相比，财政拨款支出增加71.02万元，增长10.52%，主要是因为路灯电费与路灯维修费用增加。</w:t>
      </w:r>
    </w:p>
    <w:p>
      <w:pPr>
        <w:pStyle w:val="14"/>
        <w:spacing w:line="600"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（二）一般公共预算财政拨款支出决算结构情况</w:t>
      </w:r>
    </w:p>
    <w:p>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2023年度财政拨款支出745.88万元，主要用于以下方面：社会保障和就业支出12.29万元，占1.65%；生健康支出6.68万元，占0.89%；城乡社区支出726.91万元，占94.46%。</w:t>
      </w:r>
    </w:p>
    <w:p>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（三）一般公共预算财政拨款支出决算具体情况</w:t>
      </w:r>
    </w:p>
    <w:p>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2023年度财政拨款支出年初预算数为664.55万元，支出决算数为745.88万元，完成年初预算的112.24%，其中：</w:t>
      </w:r>
    </w:p>
    <w:p>
      <w:pPr>
        <w:pStyle w:val="14"/>
        <w:spacing w:line="600" w:lineRule="exact"/>
        <w:ind w:firstLine="640" w:firstLineChars="200"/>
        <w:rPr>
          <w:rFonts w:ascii="Times New Roman" w:hAnsi="Times New Roman" w:eastAsia="仿宋_GB2312"/>
          <w:sz w:val="32"/>
          <w:szCs w:val="32"/>
        </w:rPr>
      </w:pPr>
      <w:r>
        <w:rPr>
          <w:rFonts w:hint="eastAsia" w:ascii="楷体" w:hAnsi="楷体" w:eastAsia="楷体" w:cs="楷体"/>
          <w:bCs/>
          <w:sz w:val="32"/>
          <w:szCs w:val="32"/>
        </w:rPr>
        <w:t>1</w:t>
      </w:r>
      <w:r>
        <w:rPr>
          <w:rFonts w:hint="eastAsia" w:ascii="Times New Roman" w:hAnsi="Times New Roman" w:eastAsia="仿宋_GB2312"/>
          <w:sz w:val="32"/>
          <w:szCs w:val="32"/>
        </w:rPr>
        <w:t>、社会保障和就业支出（类）行政事业单位养老支出（款）机关事业单位基本养老保险缴费支出（项）</w:t>
      </w:r>
      <w:r>
        <w:rPr>
          <w:rFonts w:ascii="Times New Roman" w:hAnsi="Times New Roman" w:eastAsia="仿宋_GB2312"/>
          <w:sz w:val="32"/>
          <w:szCs w:val="32"/>
        </w:rPr>
        <w:t xml:space="preserve"> </w:t>
      </w:r>
    </w:p>
    <w:p>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年初预算为108.34万元，支出决算为12.29万元，完成年初预算的11.34%，决算数小于年初预算数的主要原因是预算项目调整。</w:t>
      </w:r>
    </w:p>
    <w:p>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2、卫生健康支出（类）行政事业单位医疗（款）行政单位医疗（项）</w:t>
      </w:r>
      <w:r>
        <w:rPr>
          <w:rFonts w:ascii="Times New Roman" w:hAnsi="Times New Roman" w:eastAsia="仿宋_GB2312"/>
          <w:sz w:val="32"/>
          <w:szCs w:val="32"/>
        </w:rPr>
        <w:t xml:space="preserve"> </w:t>
      </w:r>
    </w:p>
    <w:p>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年初预算为0万元，支出决算为6.68万元，超出年初预算的100%。决算数大于年初预算数的主要原因是</w:t>
      </w:r>
      <w:r>
        <w:rPr>
          <w:rFonts w:hint="eastAsia" w:ascii="Times New Roman" w:hAnsi="Times New Roman" w:eastAsia="仿宋_GB2312"/>
        </w:rPr>
        <w:t>预算项目调整</w:t>
      </w:r>
      <w:r>
        <w:rPr>
          <w:rFonts w:hint="eastAsia" w:ascii="Times New Roman" w:hAnsi="Times New Roman" w:eastAsia="仿宋_GB2312"/>
          <w:sz w:val="32"/>
          <w:szCs w:val="32"/>
        </w:rPr>
        <w:t>。</w:t>
      </w:r>
    </w:p>
    <w:p>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3、城乡社区支出（类）城乡社区公共设施（款）其他城乡社区公共设施支出（项）</w:t>
      </w:r>
      <w:r>
        <w:rPr>
          <w:rFonts w:ascii="Times New Roman" w:hAnsi="Times New Roman" w:eastAsia="仿宋_GB2312"/>
          <w:sz w:val="32"/>
          <w:szCs w:val="32"/>
        </w:rPr>
        <w:t xml:space="preserve"> </w:t>
      </w:r>
    </w:p>
    <w:p>
      <w:pPr>
        <w:pStyle w:val="20"/>
        <w:spacing w:before="0" w:beforeAutospacing="0" w:after="2" w:afterAutospacing="0"/>
        <w:ind w:firstLine="641"/>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年初预算为556.21万元，支出决算为600.81万元，完成年初预算的108.02%。决算数大于年初预算数的主要原因是：亮灯的路段增加，路灯电费增加。</w:t>
      </w:r>
    </w:p>
    <w:p>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4、城乡社区支出（类）城乡社区管理事务（款）其他城乡社区管理事务支出（项）</w:t>
      </w:r>
      <w:r>
        <w:rPr>
          <w:rFonts w:ascii="Times New Roman" w:hAnsi="Times New Roman" w:eastAsia="仿宋_GB2312"/>
          <w:sz w:val="32"/>
          <w:szCs w:val="32"/>
        </w:rPr>
        <w:t xml:space="preserve"> </w:t>
      </w:r>
    </w:p>
    <w:p>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年初预算为0万元，支出决算为126.10万元，超年初预算100%。决算数大于年初预算数的主要原因是年初预算时将此项目误作机关事业单位基本养老保险缴费支出。</w:t>
      </w:r>
    </w:p>
    <w:p>
      <w:pPr>
        <w:pStyle w:val="14"/>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2023年度财政拨款基本支出145.07万元，其中：</w:t>
      </w:r>
    </w:p>
    <w:p>
      <w:pPr>
        <w:pStyle w:val="14"/>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rPr>
        <w:t>127.07万元，占基本支出的87.59%,主要包括基本工资、津贴补贴、奖金、养老保险、医疗保险。</w:t>
      </w:r>
    </w:p>
    <w:p>
      <w:pPr>
        <w:pStyle w:val="14"/>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rPr>
        <w:t>18万元，占基本支出的12.41%，主要包括办公费、水费、电费、邮电费、差旅费、工会经费、福利费、公务接待费、公务用车运行维护费等</w:t>
      </w:r>
    </w:p>
    <w:p>
      <w:pPr>
        <w:pStyle w:val="14"/>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七、财政拨款三公经费支出决算情况说明</w:t>
      </w:r>
    </w:p>
    <w:p>
      <w:pPr>
        <w:pStyle w:val="14"/>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2万元，支出决算为5.28万元，完成预算的264%，决算数大于预算数的主要原因是公务接待没有作年初预算，单位的维修任务多，生产用车量增超预算；与上年相比增加0.18万元，增长3.53%,增长的主要原因是生产用车油料费增加。其中：</w:t>
      </w:r>
    </w:p>
    <w:p>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因公出国（境）费支出预算为0万元，支出决算为0万元，完成预算的0%，与上年相比减少（增加）0万元，减少（增长）0%。</w:t>
      </w:r>
    </w:p>
    <w:p>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公务接待费支出预算为0万元，支出决算为1.28万元，超完成预算的100%，决算数大于预算数的主要原因是年初没用作公务接待的年初预算，与上年相比减少0.02万元，减少1.54%。</w:t>
      </w:r>
    </w:p>
    <w:p>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公务用车购置费支出预算为0万元，支出决算为0万元，完成预算的0%，与上年相比减少（增加）0万元，减少（增长）0%。</w:t>
      </w:r>
    </w:p>
    <w:p>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2万元，支出决算为4万元，完成预算的200%，决算数大于预算数的主要原因是单位的维修任务多，生产用车量增超预算，与上年相比增加0.2万元，增长5.26%,增长的主要原因是油价上涨。</w:t>
      </w:r>
    </w:p>
    <w:p>
      <w:pPr>
        <w:pStyle w:val="14"/>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2023年度“三公”经费财政拨款支出决算中，公务接待费支出决算1.28万元，占24.24%,因公出国（境）费支出决算0万元，占0%,公务用车购置费及运行维护费支出决算4万元，占75.76%。其中：</w:t>
      </w:r>
    </w:p>
    <w:p>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1、因公出国（境）费支出决算为0万元，全年安排因公出国（境）团组0个，累计0人次。</w:t>
      </w:r>
    </w:p>
    <w:p>
      <w:pPr>
        <w:pStyle w:val="14"/>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2、公务接待费支出决算为1.28万元，全年共接待来访团组13个、来宾83人次，主要是兄弟县市业务业务交流活动发生的接待支出。</w:t>
      </w:r>
    </w:p>
    <w:p>
      <w:pPr>
        <w:spacing w:line="600" w:lineRule="exact"/>
        <w:ind w:firstLine="800" w:firstLineChars="250"/>
        <w:rPr>
          <w:rFonts w:ascii="楷体" w:hAnsi="楷体" w:eastAsia="楷体" w:cs="楷体"/>
          <w:b/>
          <w:bCs/>
          <w:i/>
          <w:kern w:val="0"/>
          <w:sz w:val="32"/>
          <w:szCs w:val="32"/>
        </w:rPr>
      </w:pPr>
      <w:r>
        <w:rPr>
          <w:rFonts w:hint="eastAsia" w:ascii="Times New Roman" w:hAnsi="Times New Roman" w:eastAsia="仿宋_GB2312"/>
          <w:sz w:val="32"/>
          <w:szCs w:val="32"/>
        </w:rPr>
        <w:t>3、公务用车购置费及运行维护费支出决算为0万元，其中：公务用车购置费0万元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公务用车运行维护费4万元，主要是高空作业车等生产用车发生的支出，截止2023年12月31日，我单位开支财政拨款的公务用车（生产用车）保有量为4辆。</w:t>
      </w:r>
    </w:p>
    <w:p>
      <w:pPr>
        <w:pStyle w:val="14"/>
        <w:spacing w:line="600" w:lineRule="exact"/>
        <w:ind w:firstLine="640" w:firstLineChars="200"/>
        <w:rPr>
          <w:rFonts w:hAnsi="黑体"/>
          <w:bCs/>
          <w:sz w:val="32"/>
          <w:szCs w:val="32"/>
        </w:rPr>
      </w:pPr>
      <w:r>
        <w:rPr>
          <w:rFonts w:hint="eastAsia" w:hAnsi="黑体"/>
          <w:bCs/>
          <w:sz w:val="32"/>
          <w:szCs w:val="32"/>
        </w:rPr>
        <w:t>八、政府性基金预算收入支出决算情况</w:t>
      </w:r>
    </w:p>
    <w:p>
      <w:pPr>
        <w:pStyle w:val="14"/>
        <w:spacing w:line="600" w:lineRule="exact"/>
        <w:rPr>
          <w:rFonts w:hint="eastAsia" w:ascii="Times New Roman" w:hAnsi="Times New Roman" w:eastAsia="仿宋_GB2312"/>
          <w:sz w:val="32"/>
          <w:szCs w:val="32"/>
        </w:rPr>
      </w:pPr>
      <w:r>
        <w:rPr>
          <w:rFonts w:hint="eastAsia" w:ascii="Times New Roman" w:hAnsi="Times New Roman" w:eastAsia="仿宋_GB2312"/>
          <w:sz w:val="32"/>
          <w:szCs w:val="32"/>
        </w:rPr>
        <w:t xml:space="preserve">     2023年度政府性基金预算财政拨款收入50.16万元；年初结转和结余0万元；支出17.33元，其中基本支出0万元，项目支出17.33万元；年末结转和结余0万元。具体情况如下：</w:t>
      </w:r>
    </w:p>
    <w:p>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1、城乡社区支出（类）国有土地使用权出让收入安排的支出（款）其他国有土地使用权出让收入安排的支出（项）</w:t>
      </w:r>
      <w:r>
        <w:rPr>
          <w:rFonts w:ascii="Times New Roman" w:hAnsi="Times New Roman" w:eastAsia="仿宋_GB2312"/>
          <w:sz w:val="32"/>
          <w:szCs w:val="32"/>
        </w:rPr>
        <w:t xml:space="preserve"> </w:t>
      </w:r>
    </w:p>
    <w:p>
      <w:pPr>
        <w:pStyle w:val="20"/>
        <w:spacing w:before="0" w:beforeAutospacing="0" w:after="2" w:afterAutospacing="0"/>
        <w:ind w:firstLine="641"/>
        <w:rPr>
          <w:color w:val="000000"/>
          <w:sz w:val="32"/>
          <w:szCs w:val="32"/>
        </w:rPr>
      </w:pPr>
      <w:r>
        <w:rPr>
          <w:rFonts w:hint="eastAsia" w:ascii="Times New Roman" w:hAnsi="Times New Roman" w:eastAsia="仿宋_GB2312"/>
          <w:sz w:val="32"/>
          <w:szCs w:val="32"/>
        </w:rPr>
        <w:t>年初预算为44.59万元，支出决算为17.33万元，</w:t>
      </w:r>
      <w:r>
        <w:rPr>
          <w:rFonts w:hint="eastAsia" w:ascii="Times New Roman" w:hAnsi="Times New Roman" w:eastAsia="仿宋_GB2312" w:cs="黑体"/>
          <w:color w:val="000000"/>
          <w:sz w:val="32"/>
          <w:szCs w:val="32"/>
        </w:rPr>
        <w:t>完成年初预算的38.87%。决算数小于年初预算数的主要原因是拨款出支时项目调</w:t>
      </w:r>
      <w:r>
        <w:rPr>
          <w:rFonts w:hint="eastAsia"/>
          <w:color w:val="000000"/>
          <w:sz w:val="32"/>
          <w:szCs w:val="32"/>
        </w:rPr>
        <w:t>整。</w:t>
      </w:r>
    </w:p>
    <w:p>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2、城乡社区支出（类）国有土地使用权出让收入安排的支出（款）</w:t>
      </w:r>
      <w:r>
        <w:rPr>
          <w:rFonts w:ascii="Times New Roman" w:hAnsi="Times New Roman" w:eastAsia="仿宋_GB2312"/>
          <w:sz w:val="32"/>
          <w:szCs w:val="32"/>
        </w:rPr>
        <w:t>征地和拆迁补偿支出</w:t>
      </w:r>
      <w:r>
        <w:rPr>
          <w:rFonts w:hint="eastAsia" w:ascii="Times New Roman" w:hAnsi="Times New Roman" w:eastAsia="仿宋_GB2312"/>
          <w:sz w:val="32"/>
          <w:szCs w:val="32"/>
        </w:rPr>
        <w:t>（项）</w:t>
      </w:r>
      <w:r>
        <w:rPr>
          <w:rFonts w:ascii="Times New Roman" w:hAnsi="Times New Roman" w:eastAsia="仿宋_GB2312"/>
          <w:sz w:val="32"/>
          <w:szCs w:val="32"/>
        </w:rPr>
        <w:t xml:space="preserve"> </w:t>
      </w:r>
    </w:p>
    <w:p>
      <w:pPr>
        <w:pStyle w:val="20"/>
        <w:spacing w:before="0" w:beforeAutospacing="0" w:after="2" w:afterAutospacing="0"/>
        <w:ind w:firstLine="641"/>
        <w:rPr>
          <w:color w:val="000000"/>
          <w:sz w:val="32"/>
          <w:szCs w:val="32"/>
        </w:rPr>
      </w:pPr>
      <w:r>
        <w:rPr>
          <w:rFonts w:hint="eastAsia" w:ascii="Times New Roman" w:hAnsi="Times New Roman" w:eastAsia="仿宋_GB2312"/>
          <w:sz w:val="32"/>
          <w:szCs w:val="32"/>
        </w:rPr>
        <w:t>年初预算为5.57万元，支出决算为0万元，</w:t>
      </w:r>
      <w:r>
        <w:rPr>
          <w:rFonts w:hint="eastAsia" w:ascii="Times New Roman" w:hAnsi="Times New Roman" w:eastAsia="仿宋_GB2312" w:cs="黑体"/>
          <w:color w:val="000000"/>
          <w:sz w:val="32"/>
          <w:szCs w:val="32"/>
        </w:rPr>
        <w:t>完成年初预算的0%。决算数小于年初预算数的主要原因是拨款出支时项目调</w:t>
      </w:r>
      <w:r>
        <w:rPr>
          <w:rFonts w:hint="eastAsia"/>
          <w:color w:val="000000"/>
          <w:sz w:val="32"/>
          <w:szCs w:val="32"/>
        </w:rPr>
        <w:t>整。</w:t>
      </w:r>
    </w:p>
    <w:p>
      <w:pPr>
        <w:pStyle w:val="14"/>
        <w:spacing w:line="600" w:lineRule="exact"/>
        <w:ind w:firstLine="640" w:firstLineChars="200"/>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pPr>
        <w:pStyle w:val="14"/>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本部门2023年度机关运行经费支出18万元，比年初预算数增加4万元，增长28.57%。主要原因是单位的生产用车预算费用较低及没有公务接待费用预算。</w:t>
      </w:r>
    </w:p>
    <w:p>
      <w:pPr>
        <w:pStyle w:val="14"/>
        <w:spacing w:line="600" w:lineRule="exact"/>
        <w:ind w:firstLine="640" w:firstLineChars="200"/>
        <w:rPr>
          <w:rFonts w:hAnsi="黑体"/>
          <w:bCs/>
          <w:sz w:val="32"/>
          <w:szCs w:val="32"/>
        </w:rPr>
      </w:pPr>
      <w:r>
        <w:rPr>
          <w:rFonts w:hint="eastAsia" w:hAnsi="黑体"/>
          <w:bCs/>
          <w:sz w:val="32"/>
          <w:szCs w:val="32"/>
        </w:rPr>
        <w:t>十、一般性支出情况说明</w:t>
      </w:r>
    </w:p>
    <w:p>
      <w:pPr>
        <w:pStyle w:val="14"/>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2023年本部门开支会议费0万元，用于召开……会议，人数0人，内容为……；开支培训费0万元，用于开展……培训，人数0人，内容为……；举办……等节庆、晚会、论坛、赛事活动，开支0万元。</w:t>
      </w:r>
    </w:p>
    <w:p>
      <w:pPr>
        <w:pStyle w:val="14"/>
        <w:spacing w:line="600" w:lineRule="exact"/>
        <w:ind w:firstLine="640" w:firstLineChars="200"/>
        <w:rPr>
          <w:rFonts w:hAnsi="黑体"/>
          <w:bCs/>
          <w:sz w:val="32"/>
          <w:szCs w:val="32"/>
        </w:rPr>
      </w:pPr>
      <w:r>
        <w:rPr>
          <w:rFonts w:hint="eastAsia" w:hAnsi="黑体"/>
          <w:bCs/>
          <w:sz w:val="32"/>
          <w:szCs w:val="32"/>
        </w:rPr>
        <w:t>十一、关于政府采购支出说明</w:t>
      </w:r>
    </w:p>
    <w:p>
      <w:pPr>
        <w:pStyle w:val="14"/>
        <w:spacing w:line="580" w:lineRule="exact"/>
        <w:ind w:firstLine="640" w:firstLineChars="200"/>
        <w:rPr>
          <w:rFonts w:hint="eastAsia" w:ascii="楷体" w:hAnsi="楷体" w:eastAsia="楷体" w:cs="楷体"/>
          <w:b/>
          <w:bCs/>
          <w:i/>
          <w:color w:val="auto"/>
          <w:sz w:val="32"/>
          <w:szCs w:val="32"/>
        </w:rPr>
      </w:pPr>
      <w:r>
        <w:rPr>
          <w:rFonts w:hint="eastAsia" w:ascii="Times New Roman" w:hAnsi="Times New Roman" w:eastAsia="仿宋_GB2312"/>
          <w:sz w:val="32"/>
          <w:szCs w:val="32"/>
        </w:rPr>
        <w:t>本部门2023年度政府采购支出总额0万元，其中：政府采购货物支出0万元、政府采购工程支出0万元、政府采购服务支出0万元。授予中小企业合同金额0万元，占政府采购支出总额的0%，其中：授予小微企业合同金额0万元，</w:t>
      </w:r>
      <w:r>
        <w:rPr>
          <w:rFonts w:hint="eastAsia" w:ascii="Times New Roman" w:hAnsi="Times New Roman" w:eastAsia="仿宋_GB2312"/>
          <w:color w:val="auto"/>
          <w:sz w:val="32"/>
          <w:szCs w:val="32"/>
        </w:rPr>
        <w:t>占授予中小企业合同金额的0%。货物采购授予中小企业合同金额占货物支出金额的0%，工程采购授予中小企业合同金额占工程支出金额的0%，服务采购授予中小企业合同金额占服务支出金额的0%。</w:t>
      </w:r>
    </w:p>
    <w:p>
      <w:pPr>
        <w:pStyle w:val="14"/>
        <w:spacing w:line="580" w:lineRule="exact"/>
        <w:ind w:firstLine="640" w:firstLineChars="200"/>
        <w:rPr>
          <w:rFonts w:hAnsi="黑体"/>
          <w:bCs/>
          <w:color w:val="auto"/>
          <w:sz w:val="32"/>
          <w:szCs w:val="32"/>
        </w:rPr>
      </w:pPr>
      <w:r>
        <w:rPr>
          <w:rFonts w:hint="eastAsia" w:hAnsi="黑体"/>
          <w:bCs/>
          <w:color w:val="auto"/>
          <w:sz w:val="32"/>
          <w:szCs w:val="32"/>
        </w:rPr>
        <w:t>十二、关于国有资产占用情况说明</w:t>
      </w:r>
    </w:p>
    <w:p>
      <w:pPr>
        <w:pStyle w:val="14"/>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2023年12月31日，部门（单位）共有车辆0辆，其中，副部（省）级及以上领导用车0辆、主要负责人用车0辆、机要通信用车0辆、应急保障用车0辆、执法执勤用车0辆、特种专业技术用车0辆、离退休干部服务用车0辆、其他用车4辆，其他用车主要是是路灯维修工具车等特种车辆；单位价值100万元以上设备（不含车辆）0台（套）。</w:t>
      </w:r>
    </w:p>
    <w:p>
      <w:pPr>
        <w:pStyle w:val="14"/>
        <w:spacing w:line="580" w:lineRule="exact"/>
        <w:ind w:firstLine="640" w:firstLineChars="200"/>
        <w:rPr>
          <w:rFonts w:hAnsi="黑体"/>
          <w:bCs/>
          <w:color w:val="auto"/>
          <w:sz w:val="32"/>
          <w:szCs w:val="32"/>
        </w:rPr>
      </w:pPr>
      <w:r>
        <w:rPr>
          <w:rFonts w:hint="eastAsia" w:hAnsi="黑体"/>
          <w:bCs/>
          <w:color w:val="auto"/>
          <w:sz w:val="32"/>
          <w:szCs w:val="32"/>
        </w:rPr>
        <w:t>十三、关于</w:t>
      </w:r>
      <w:r>
        <w:rPr>
          <w:rFonts w:hint="eastAsia" w:ascii="Times New Roman" w:hAnsi="Times New Roman" w:eastAsia="仿宋_GB2312"/>
          <w:color w:val="auto"/>
          <w:sz w:val="32"/>
          <w:szCs w:val="32"/>
        </w:rPr>
        <w:t>2023</w:t>
      </w:r>
      <w:r>
        <w:rPr>
          <w:rFonts w:hint="eastAsia" w:hAnsi="黑体"/>
          <w:bCs/>
          <w:color w:val="auto"/>
          <w:sz w:val="32"/>
          <w:szCs w:val="32"/>
        </w:rPr>
        <w:t>年度预算绩效情况的说明</w:t>
      </w:r>
    </w:p>
    <w:p>
      <w:pPr>
        <w:pStyle w:val="14"/>
        <w:numPr>
          <w:ilvl w:val="0"/>
          <w:numId w:val="2"/>
        </w:numPr>
        <w:spacing w:line="580" w:lineRule="exac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绩效管理工作开展情况</w:t>
      </w:r>
    </w:p>
    <w:p>
      <w:pPr>
        <w:pStyle w:val="14"/>
        <w:spacing w:line="580" w:lineRule="exact"/>
        <w:ind w:left="643"/>
        <w:rPr>
          <w:rFonts w:ascii="Times New Roman" w:hAnsi="Times New Roman" w:eastAsia="仿宋_GB2312"/>
          <w:color w:val="auto"/>
          <w:sz w:val="32"/>
          <w:szCs w:val="32"/>
        </w:rPr>
      </w:pPr>
      <w:r>
        <w:rPr>
          <w:rFonts w:hint="eastAsia" w:ascii="Times New Roman" w:hAnsi="Times New Roman" w:eastAsia="仿宋_GB2312"/>
          <w:color w:val="auto"/>
          <w:sz w:val="32"/>
          <w:szCs w:val="32"/>
        </w:rPr>
        <w:t>2023年度我单位对全年的收入支出进行了仔细分析研究，对部门整体支出进行绩效自评；并运用自评结果指导24年的财务工作与业务工作。</w:t>
      </w:r>
    </w:p>
    <w:p>
      <w:pPr>
        <w:pStyle w:val="14"/>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（二）部门（单位）整体支出绩效情况</w:t>
      </w:r>
    </w:p>
    <w:p>
      <w:pPr>
        <w:pStyle w:val="8"/>
        <w:shd w:val="clear" w:color="auto" w:fill="FFFFFF"/>
        <w:spacing w:before="0" w:beforeAutospacing="0" w:after="0" w:afterAutospacing="0" w:line="285" w:lineRule="atLeast"/>
        <w:ind w:firstLine="48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pacing w:val="1"/>
          <w:kern w:val="2"/>
          <w:sz w:val="32"/>
          <w:szCs w:val="32"/>
        </w:rPr>
        <w:t>2023年我所</w:t>
      </w:r>
      <w:r>
        <w:rPr>
          <w:rFonts w:hint="eastAsia" w:ascii="仿宋_GB2312" w:hAnsi="仿宋_GB2312" w:eastAsia="仿宋_GB2312" w:cs="仿宋_GB2312"/>
          <w:kern w:val="2"/>
          <w:sz w:val="32"/>
          <w:szCs w:val="32"/>
        </w:rPr>
        <w:t>在县委、县政府的正确领导和上级业务部门的大力支持下，紧紧围绕全年工作目标，以</w:t>
      </w:r>
      <w:r>
        <w:rPr>
          <w:rFonts w:hint="eastAsia" w:ascii="仿宋_GB2312" w:hAnsi="仿宋_GB2312" w:eastAsia="仿宋_GB2312" w:cs="仿宋_GB2312"/>
          <w:sz w:val="32"/>
          <w:szCs w:val="32"/>
        </w:rPr>
        <w:t>路灯维护管理、路灯建设工作为中心，始终践行方便群众的服务理念，不断追求更高的效率、更优的服务质量及更快捷的运行机制，圆满地完成了上级交办各项工作任务，确保了城区路灯正常亮化，为全县人民</w:t>
      </w:r>
      <w:r>
        <w:rPr>
          <w:rFonts w:hint="eastAsia" w:ascii="仿宋_GB2312" w:hAnsi="仿宋_GB2312" w:eastAsia="仿宋_GB2312" w:cs="仿宋_GB2312"/>
          <w:sz w:val="32"/>
          <w:szCs w:val="32"/>
          <w:shd w:val="clear" w:color="auto" w:fill="FFFFFF"/>
        </w:rPr>
        <w:t>出行带来方便。</w:t>
      </w:r>
    </w:p>
    <w:p>
      <w:pPr>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路灯维护管理工作。我所精心组织、科学规划、分片管理、建立主要领导负总责，分管领导具体抓，各班组人员具体落实到位的管理模式，做到层层负责层层落实，为确保路灯照明设施维护管理工作的有序推进，全所人员顶烈日、冒酷暑、迎风雨、加班加点，按时完成路灯维护管理工作。为了便于路灯故障的及时发现和尽快修复，制订便民服务卡，发放到市民手中，对市民提出的问题及时回复处理，提高了对市民的服务和沟通。全年，共检修路灯4200余盏，更换各类维修材料5000余件，切实做到小故障及时处理不过夜，大故障尽快修复确保路灯亮化率达到97%以上。</w:t>
      </w:r>
    </w:p>
    <w:p>
      <w:pPr>
        <w:pStyle w:val="8"/>
        <w:shd w:val="clear" w:color="auto" w:fill="FFFFFF"/>
        <w:spacing w:before="0" w:beforeAutospacing="0" w:after="0" w:afterAutospacing="0" w:line="285" w:lineRule="atLeast"/>
        <w:ind w:firstLine="944" w:firstLineChars="295"/>
        <w:rPr>
          <w:rFonts w:hint="eastAsia"/>
          <w:b/>
          <w:bCs/>
          <w:color w:val="000000"/>
          <w:sz w:val="32"/>
          <w:szCs w:val="32"/>
          <w:shd w:val="clear" w:color="auto" w:fill="FFFFFF"/>
        </w:rPr>
      </w:pPr>
      <w:r>
        <w:rPr>
          <w:rFonts w:hint="eastAsia" w:ascii="仿宋_GB2312" w:hAnsi="仿宋_GB2312" w:eastAsia="仿宋_GB2312" w:cs="仿宋_GB2312"/>
          <w:sz w:val="32"/>
          <w:szCs w:val="32"/>
        </w:rPr>
        <w:t>2.路灯建设与维修。我所全年主要检修路灯4200余盏:背街小巷路灯安装600余盘、营阳大道路灯接管720盏、高低压变压器计量装置建设、完成城区喜庆灯笼维修、清洗工作、完成潇水路、湘源大道、高速路口、月岩路线路维修工作、西关桥至敦颐广场线条灯建设，安装线条灯500条、修复濂溪河两岸射灯150余个、点光源150余个;更换照树灯300盏、西洲公园庭院灯重建3盏、完成金都广场、绍基广场维修项目路灯安装。</w:t>
      </w:r>
    </w:p>
    <w:p>
      <w:pPr>
        <w:pStyle w:val="14"/>
        <w:spacing w:line="58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（三）存在的问题及原因分析</w:t>
      </w:r>
    </w:p>
    <w:p>
      <w:pPr>
        <w:pStyle w:val="14"/>
        <w:ind w:firstLine="640" w:firstLineChars="200"/>
        <w:jc w:val="both"/>
        <w:rPr>
          <w:sz w:val="72"/>
          <w:szCs w:val="72"/>
        </w:rPr>
      </w:pPr>
      <w:r>
        <w:rPr>
          <w:rFonts w:hint="eastAsia" w:ascii="仿宋_GB2312" w:hAnsi="仿宋_GB2312" w:eastAsia="仿宋_GB2312" w:cs="仿宋_GB2312"/>
          <w:sz w:val="32"/>
          <w:szCs w:val="32"/>
        </w:rPr>
        <w:t>主要存在单位的运行经费较少，资金使用预算难以用面保障，运行经费的缺口较大，</w:t>
      </w:r>
      <w:r>
        <w:rPr>
          <w:rFonts w:hint="eastAsia" w:ascii="仿宋_GB2312" w:hAnsi="仿宋_GB2312" w:eastAsia="仿宋_GB2312" w:cs="仿宋_GB2312"/>
          <w:sz w:val="32"/>
          <w:szCs w:val="32"/>
          <w:shd w:val="clear" w:color="auto" w:fill="FFFFFF"/>
        </w:rPr>
        <w:t>相关管理制度还有待进一步完善。</w:t>
      </w:r>
    </w:p>
    <w:p>
      <w:pPr>
        <w:pStyle w:val="14"/>
        <w:rPr>
          <w:rFonts w:ascii="方正小标宋_GBK" w:hAnsi="方正小标宋_GBK" w:eastAsia="方正小标宋_GBK" w:cs="方正小标宋_GBK"/>
          <w:sz w:val="72"/>
          <w:szCs w:val="72"/>
        </w:rPr>
      </w:pPr>
    </w:p>
    <w:p>
      <w:pPr>
        <w:pStyle w:val="14"/>
        <w:rPr>
          <w:rFonts w:ascii="方正小标宋_GBK" w:hAnsi="方正小标宋_GBK" w:eastAsia="方正小标宋_GBK" w:cs="方正小标宋_GBK"/>
          <w:sz w:val="72"/>
          <w:szCs w:val="72"/>
        </w:rPr>
      </w:pPr>
    </w:p>
    <w:p>
      <w:pPr>
        <w:pStyle w:val="14"/>
        <w:rPr>
          <w:rFonts w:ascii="方正小标宋_GBK" w:hAnsi="方正小标宋_GBK" w:eastAsia="方正小标宋_GBK" w:cs="方正小标宋_GBK"/>
          <w:sz w:val="72"/>
          <w:szCs w:val="72"/>
        </w:rPr>
      </w:pPr>
    </w:p>
    <w:p>
      <w:pPr>
        <w:pStyle w:val="14"/>
        <w:rPr>
          <w:rFonts w:ascii="方正小标宋_GBK" w:hAnsi="方正小标宋_GBK" w:eastAsia="方正小标宋_GBK" w:cs="方正小标宋_GBK"/>
          <w:sz w:val="72"/>
          <w:szCs w:val="72"/>
        </w:rPr>
      </w:pPr>
    </w:p>
    <w:p>
      <w:pPr>
        <w:pStyle w:val="14"/>
        <w:rPr>
          <w:rFonts w:ascii="方正小标宋_GBK" w:hAnsi="方正小标宋_GBK" w:eastAsia="方正小标宋_GBK" w:cs="方正小标宋_GBK"/>
          <w:sz w:val="72"/>
          <w:szCs w:val="72"/>
        </w:rPr>
      </w:pPr>
    </w:p>
    <w:p>
      <w:pPr>
        <w:pStyle w:val="14"/>
        <w:rPr>
          <w:rFonts w:ascii="方正小标宋_GBK" w:hAnsi="方正小标宋_GBK" w:eastAsia="方正小标宋_GBK" w:cs="方正小标宋_GBK"/>
          <w:sz w:val="72"/>
          <w:szCs w:val="72"/>
        </w:rPr>
      </w:pPr>
    </w:p>
    <w:p>
      <w:pPr>
        <w:pStyle w:val="14"/>
        <w:rPr>
          <w:rFonts w:ascii="方正小标宋_GBK" w:hAnsi="方正小标宋_GBK" w:eastAsia="方正小标宋_GBK" w:cs="方正小标宋_GBK"/>
          <w:sz w:val="72"/>
          <w:szCs w:val="72"/>
        </w:rPr>
      </w:pPr>
    </w:p>
    <w:p>
      <w:pPr>
        <w:pStyle w:val="14"/>
        <w:rPr>
          <w:rFonts w:ascii="方正小标宋_GBK" w:hAnsi="方正小标宋_GBK" w:eastAsia="方正小标宋_GBK" w:cs="方正小标宋_GBK"/>
          <w:sz w:val="72"/>
          <w:szCs w:val="72"/>
        </w:rPr>
      </w:pPr>
    </w:p>
    <w:p>
      <w:pPr>
        <w:pStyle w:val="14"/>
        <w:rPr>
          <w:rFonts w:ascii="方正小标宋_GBK" w:hAnsi="方正小标宋_GBK" w:eastAsia="方正小标宋_GBK" w:cs="方正小标宋_GBK"/>
          <w:sz w:val="72"/>
          <w:szCs w:val="72"/>
        </w:rPr>
      </w:pPr>
    </w:p>
    <w:p>
      <w:pPr>
        <w:pStyle w:val="14"/>
        <w:rPr>
          <w:rFonts w:ascii="方正小标宋_GBK" w:hAnsi="方正小标宋_GBK" w:eastAsia="方正小标宋_GBK" w:cs="方正小标宋_GBK"/>
          <w:sz w:val="72"/>
          <w:szCs w:val="72"/>
        </w:rPr>
      </w:pPr>
    </w:p>
    <w:p>
      <w:pPr>
        <w:pStyle w:val="14"/>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ascii="方正小标宋_GBK" w:hAnsi="方正小标宋_GBK" w:eastAsia="方正小标宋_GBK" w:cs="方正小标宋_GBK"/>
          <w:color w:val="000000"/>
          <w:kern w:val="0"/>
          <w:sz w:val="70"/>
          <w:szCs w:val="70"/>
        </w:rPr>
      </w:pPr>
    </w:p>
    <w:p>
      <w:pPr>
        <w:jc w:val="center"/>
        <w:rPr>
          <w:rFonts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财政拨款收入：指财政当年拨付的资金。包括一般公共预算财政拨款和政府性基金财政拨款。</w:t>
      </w:r>
      <w:r>
        <w:rPr>
          <w:rFonts w:ascii="仿宋_GB2312" w:hAnsi="仿宋_GB2312" w:eastAsia="仿宋_GB2312" w:cs="仿宋_GB2312"/>
          <w:kern w:val="0"/>
          <w:sz w:val="32"/>
          <w:szCs w:val="32"/>
        </w:rPr>
        <w:t xml:space="preserve"> </w:t>
      </w:r>
    </w:p>
    <w:p>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上级补助收入：指事业单位从主管部门和上级单位取得的非财政补助收入。</w:t>
      </w:r>
      <w:r>
        <w:rPr>
          <w:rFonts w:ascii="仿宋_GB2312" w:hAnsi="仿宋_GB2312" w:eastAsia="仿宋_GB2312" w:cs="仿宋_GB2312"/>
          <w:kern w:val="0"/>
          <w:sz w:val="32"/>
          <w:szCs w:val="32"/>
        </w:rPr>
        <w:t xml:space="preserve"> </w:t>
      </w:r>
    </w:p>
    <w:p>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事业收入：指事业单位开展专业业务活动及辅助活动所取得的收入。</w:t>
      </w:r>
      <w:r>
        <w:rPr>
          <w:rFonts w:ascii="仿宋_GB2312" w:hAnsi="仿宋_GB2312" w:eastAsia="仿宋_GB2312" w:cs="仿宋_GB2312"/>
          <w:kern w:val="0"/>
          <w:sz w:val="32"/>
          <w:szCs w:val="32"/>
        </w:rPr>
        <w:t xml:space="preserve"> </w:t>
      </w:r>
    </w:p>
    <w:p>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经营收入：指事业单位在专业业务活动及其辅助活动之外开展非独立核算经营活动取得的收入。</w:t>
      </w:r>
      <w:r>
        <w:rPr>
          <w:rFonts w:ascii="仿宋_GB2312" w:hAnsi="仿宋_GB2312" w:eastAsia="仿宋_GB2312" w:cs="仿宋_GB2312"/>
          <w:kern w:val="0"/>
          <w:sz w:val="32"/>
          <w:szCs w:val="32"/>
        </w:rPr>
        <w:t xml:space="preserve"> </w:t>
      </w:r>
    </w:p>
    <w:p>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附属单位上缴收入：指事业单位附属独立核算单位按照有关规定上缴的收入。</w:t>
      </w:r>
      <w:r>
        <w:rPr>
          <w:rFonts w:ascii="仿宋_GB2312" w:hAnsi="仿宋_GB2312" w:eastAsia="仿宋_GB2312" w:cs="仿宋_GB2312"/>
          <w:kern w:val="0"/>
          <w:sz w:val="32"/>
          <w:szCs w:val="32"/>
        </w:rPr>
        <w:t xml:space="preserve"> </w:t>
      </w:r>
    </w:p>
    <w:p>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其他收入：指除上述“财政拨款收入”、“事业收入”、“经营收入”等以外的收入。</w:t>
      </w:r>
      <w:r>
        <w:rPr>
          <w:rFonts w:ascii="仿宋_GB2312" w:hAnsi="仿宋_GB2312" w:eastAsia="仿宋_GB2312" w:cs="仿宋_GB2312"/>
          <w:kern w:val="0"/>
          <w:sz w:val="32"/>
          <w:szCs w:val="32"/>
        </w:rPr>
        <w:t xml:space="preserve"> </w:t>
      </w:r>
    </w:p>
    <w:p>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hAnsi="仿宋_GB2312" w:eastAsia="仿宋_GB2312" w:cs="仿宋_GB2312"/>
          <w:kern w:val="0"/>
          <w:sz w:val="32"/>
          <w:szCs w:val="32"/>
        </w:rPr>
        <w:t xml:space="preserve"> </w:t>
      </w:r>
    </w:p>
    <w:p>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年初结转和结余：指以前年度尚未完成、结转到本年按有关规定继续使用的资金。</w:t>
      </w:r>
      <w:r>
        <w:rPr>
          <w:rFonts w:ascii="仿宋_GB2312" w:hAnsi="仿宋_GB2312" w:eastAsia="仿宋_GB2312" w:cs="仿宋_GB2312"/>
          <w:kern w:val="0"/>
          <w:sz w:val="32"/>
          <w:szCs w:val="32"/>
        </w:rPr>
        <w:t xml:space="preserve"> </w:t>
      </w:r>
    </w:p>
    <w:p>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结余分配：指事业事位按规定从非财政补助结余中分配的事业基金和职工福利基金等。</w:t>
      </w:r>
      <w:r>
        <w:rPr>
          <w:rFonts w:ascii="仿宋_GB2312" w:hAnsi="仿宋_GB2312" w:eastAsia="仿宋_GB2312" w:cs="仿宋_GB2312"/>
          <w:kern w:val="0"/>
          <w:sz w:val="32"/>
          <w:szCs w:val="32"/>
        </w:rPr>
        <w:t xml:space="preserve"> </w:t>
      </w:r>
    </w:p>
    <w:p>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年末结转和结余：指本年度或以前年度预算安排、因客观条件发生变化无法按原计划实施，需要延迟到以后年度按有关规定继续使用的资金。</w:t>
      </w:r>
      <w:r>
        <w:rPr>
          <w:rFonts w:ascii="仿宋_GB2312" w:hAnsi="仿宋_GB2312" w:eastAsia="仿宋_GB2312" w:cs="仿宋_GB2312"/>
          <w:kern w:val="0"/>
          <w:sz w:val="32"/>
          <w:szCs w:val="32"/>
        </w:rPr>
        <w:t xml:space="preserve"> </w:t>
      </w:r>
    </w:p>
    <w:p>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基本支出：指为保障机构正常运转、完成日常工作任务而发生的人员支出和公用支出。</w:t>
      </w:r>
      <w:r>
        <w:rPr>
          <w:rFonts w:ascii="仿宋_GB2312" w:hAnsi="仿宋_GB2312" w:eastAsia="仿宋_GB2312" w:cs="仿宋_GB2312"/>
          <w:kern w:val="0"/>
          <w:sz w:val="32"/>
          <w:szCs w:val="32"/>
        </w:rPr>
        <w:t xml:space="preserve"> </w:t>
      </w:r>
    </w:p>
    <w:p>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项目支出：指在基本支出之外为完成特定行政任务和事业发展目标所发生的支出。</w:t>
      </w:r>
      <w:r>
        <w:rPr>
          <w:rFonts w:ascii="仿宋_GB2312" w:hAnsi="仿宋_GB2312" w:eastAsia="仿宋_GB2312" w:cs="仿宋_GB2312"/>
          <w:kern w:val="0"/>
          <w:sz w:val="32"/>
          <w:szCs w:val="32"/>
        </w:rPr>
        <w:t xml:space="preserve"> </w:t>
      </w:r>
    </w:p>
    <w:p>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经营支出：指事业单位在专业业务活动及其辅助活动之外开展非独立核算经营活动所发生的支出。</w:t>
      </w:r>
      <w:r>
        <w:rPr>
          <w:rFonts w:ascii="仿宋_GB2312" w:hAnsi="仿宋_GB2312" w:eastAsia="仿宋_GB2312" w:cs="仿宋_GB2312"/>
          <w:kern w:val="0"/>
          <w:sz w:val="32"/>
          <w:szCs w:val="32"/>
        </w:rPr>
        <w:t xml:space="preserve"> </w:t>
      </w:r>
    </w:p>
    <w:p>
      <w:pPr>
        <w:spacing w:after="2" w:line="336" w:lineRule="atLeast"/>
        <w:ind w:firstLine="643"/>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ascii="仿宋_GB2312" w:hAnsi="仿宋_GB2312" w:eastAsia="仿宋_GB2312" w:cs="仿宋_GB2312"/>
          <w:kern w:val="0"/>
          <w:sz w:val="32"/>
          <w:szCs w:val="32"/>
        </w:rPr>
        <w:t xml:space="preserve"> </w:t>
      </w:r>
    </w:p>
    <w:p>
      <w:pPr>
        <w:spacing w:after="2" w:line="336" w:lineRule="atLeast"/>
        <w:ind w:firstLine="643"/>
        <w:rPr>
          <w:rFonts w:ascii="Calibri" w:hAnsi="Calibri"/>
          <w:color w:val="000000"/>
          <w:szCs w:val="21"/>
        </w:rPr>
      </w:pPr>
      <w:r>
        <w:rPr>
          <w:rFonts w:hint="eastAsia" w:ascii="仿宋_GB2312" w:hAnsi="仿宋_GB2312" w:eastAsia="仿宋_GB2312" w:cs="仿宋_GB2312"/>
          <w:kern w:val="0"/>
          <w:sz w:val="32"/>
          <w:szCs w:val="32"/>
        </w:rPr>
        <w:t>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ascii="Calibri" w:hAnsi="Calibri"/>
          <w:color w:val="000000"/>
          <w:szCs w:val="21"/>
        </w:rPr>
        <w:t xml:space="preserve"> </w:t>
      </w: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第五部分</w:t>
      </w:r>
    </w:p>
    <w:p>
      <w:pPr>
        <w:pStyle w:val="14"/>
        <w:jc w:val="center"/>
        <w:rPr>
          <w:sz w:val="72"/>
          <w:szCs w:val="72"/>
        </w:rPr>
      </w:pPr>
      <w:r>
        <w:rPr>
          <w:rFonts w:hint="eastAsia" w:ascii="方正小标宋_GBK" w:hAnsi="方正小标宋_GBK" w:eastAsia="方正小标宋_GBK" w:cs="方正小标宋_GBK"/>
          <w:sz w:val="70"/>
          <w:szCs w:val="70"/>
        </w:rPr>
        <w:t>附件</w:t>
      </w:r>
    </w:p>
    <w:p>
      <w:pPr>
        <w:rPr>
          <w:rFonts w:hint="default" w:eastAsiaTheme="minorEastAsia"/>
          <w:sz w:val="72"/>
          <w:szCs w:val="72"/>
          <w:lang w:val="en-US" w:eastAsia="zh-CN"/>
        </w:rPr>
      </w:pPr>
      <w:r>
        <w:rPr>
          <w:sz w:val="72"/>
          <w:szCs w:val="72"/>
        </w:rPr>
        <w:br w:type="page"/>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2023年道县路灯管理所绩效自评报告</w:t>
      </w:r>
      <w:bookmarkStart w:id="3" w:name="_GoBack"/>
      <w:bookmarkEnd w:id="3"/>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74471CA"/>
    <w:multiLevelType w:val="multilevel"/>
    <w:tmpl w:val="674471CA"/>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YTkxZWFhMjMzZDY2NTJiNzAzZDNkMTJlN2NmYjMifQ=="/>
  </w:docVars>
  <w:rsids>
    <w:rsidRoot w:val="004506F9"/>
    <w:rsid w:val="00017417"/>
    <w:rsid w:val="0002229B"/>
    <w:rsid w:val="000273BD"/>
    <w:rsid w:val="00040CBC"/>
    <w:rsid w:val="000415B7"/>
    <w:rsid w:val="00041E3F"/>
    <w:rsid w:val="0004333A"/>
    <w:rsid w:val="00053892"/>
    <w:rsid w:val="00055160"/>
    <w:rsid w:val="00055DAA"/>
    <w:rsid w:val="00057D20"/>
    <w:rsid w:val="00061F7B"/>
    <w:rsid w:val="000658A3"/>
    <w:rsid w:val="00070D35"/>
    <w:rsid w:val="00074155"/>
    <w:rsid w:val="000A3F69"/>
    <w:rsid w:val="000D5244"/>
    <w:rsid w:val="000D7C94"/>
    <w:rsid w:val="00103957"/>
    <w:rsid w:val="00125683"/>
    <w:rsid w:val="00137D02"/>
    <w:rsid w:val="00152C6D"/>
    <w:rsid w:val="00162D39"/>
    <w:rsid w:val="001678BD"/>
    <w:rsid w:val="00182373"/>
    <w:rsid w:val="001A67DB"/>
    <w:rsid w:val="001C3C29"/>
    <w:rsid w:val="001D51E5"/>
    <w:rsid w:val="001D62C4"/>
    <w:rsid w:val="001E080D"/>
    <w:rsid w:val="001E53D0"/>
    <w:rsid w:val="001F0C3B"/>
    <w:rsid w:val="00202C82"/>
    <w:rsid w:val="00214427"/>
    <w:rsid w:val="00226CB7"/>
    <w:rsid w:val="00230480"/>
    <w:rsid w:val="00264552"/>
    <w:rsid w:val="00264EF9"/>
    <w:rsid w:val="00265724"/>
    <w:rsid w:val="0027426B"/>
    <w:rsid w:val="002768A9"/>
    <w:rsid w:val="002E0A30"/>
    <w:rsid w:val="003130C4"/>
    <w:rsid w:val="00316C4B"/>
    <w:rsid w:val="0032036B"/>
    <w:rsid w:val="0032192B"/>
    <w:rsid w:val="003479BD"/>
    <w:rsid w:val="00361983"/>
    <w:rsid w:val="003636FB"/>
    <w:rsid w:val="0037020B"/>
    <w:rsid w:val="0037197D"/>
    <w:rsid w:val="003768D5"/>
    <w:rsid w:val="00382732"/>
    <w:rsid w:val="003926B9"/>
    <w:rsid w:val="00395ECE"/>
    <w:rsid w:val="003C47E6"/>
    <w:rsid w:val="003C4FC2"/>
    <w:rsid w:val="003E7B77"/>
    <w:rsid w:val="0041594E"/>
    <w:rsid w:val="00416E61"/>
    <w:rsid w:val="00417F4A"/>
    <w:rsid w:val="0042790C"/>
    <w:rsid w:val="004506F9"/>
    <w:rsid w:val="004717A2"/>
    <w:rsid w:val="00473DF3"/>
    <w:rsid w:val="00487911"/>
    <w:rsid w:val="00491741"/>
    <w:rsid w:val="004A04B5"/>
    <w:rsid w:val="004A56F0"/>
    <w:rsid w:val="004B0CEE"/>
    <w:rsid w:val="004C6795"/>
    <w:rsid w:val="00500E5F"/>
    <w:rsid w:val="005122EF"/>
    <w:rsid w:val="0051441A"/>
    <w:rsid w:val="00517C33"/>
    <w:rsid w:val="00517D5F"/>
    <w:rsid w:val="00523644"/>
    <w:rsid w:val="0054069E"/>
    <w:rsid w:val="00544866"/>
    <w:rsid w:val="00544B74"/>
    <w:rsid w:val="005767CC"/>
    <w:rsid w:val="00590D9F"/>
    <w:rsid w:val="00595D26"/>
    <w:rsid w:val="00596D42"/>
    <w:rsid w:val="005A74E6"/>
    <w:rsid w:val="005B404E"/>
    <w:rsid w:val="005C3748"/>
    <w:rsid w:val="005D4D55"/>
    <w:rsid w:val="005E2CFB"/>
    <w:rsid w:val="005F2103"/>
    <w:rsid w:val="005F3D1C"/>
    <w:rsid w:val="005F6C97"/>
    <w:rsid w:val="0062378F"/>
    <w:rsid w:val="00641842"/>
    <w:rsid w:val="00651ED8"/>
    <w:rsid w:val="00651EEC"/>
    <w:rsid w:val="00686673"/>
    <w:rsid w:val="00691E8C"/>
    <w:rsid w:val="006A22C4"/>
    <w:rsid w:val="006A351B"/>
    <w:rsid w:val="006A37C6"/>
    <w:rsid w:val="006B0422"/>
    <w:rsid w:val="006C1B53"/>
    <w:rsid w:val="006C2086"/>
    <w:rsid w:val="006D7730"/>
    <w:rsid w:val="006E5284"/>
    <w:rsid w:val="006F3EB5"/>
    <w:rsid w:val="00702E34"/>
    <w:rsid w:val="00704395"/>
    <w:rsid w:val="00710FE7"/>
    <w:rsid w:val="00717621"/>
    <w:rsid w:val="00720FF1"/>
    <w:rsid w:val="00723968"/>
    <w:rsid w:val="00727A53"/>
    <w:rsid w:val="00787B42"/>
    <w:rsid w:val="007C1C70"/>
    <w:rsid w:val="007C4539"/>
    <w:rsid w:val="007F3657"/>
    <w:rsid w:val="007F56C7"/>
    <w:rsid w:val="00812ED5"/>
    <w:rsid w:val="008277D9"/>
    <w:rsid w:val="0084478C"/>
    <w:rsid w:val="00847FFE"/>
    <w:rsid w:val="00854A5F"/>
    <w:rsid w:val="0086638C"/>
    <w:rsid w:val="0088138B"/>
    <w:rsid w:val="00890BC2"/>
    <w:rsid w:val="008A3E8D"/>
    <w:rsid w:val="009237C4"/>
    <w:rsid w:val="00944C48"/>
    <w:rsid w:val="00950252"/>
    <w:rsid w:val="00964F36"/>
    <w:rsid w:val="00967F5D"/>
    <w:rsid w:val="009A0F95"/>
    <w:rsid w:val="009B3ADF"/>
    <w:rsid w:val="009C3B52"/>
    <w:rsid w:val="009E6817"/>
    <w:rsid w:val="009E6E9A"/>
    <w:rsid w:val="00A01D2B"/>
    <w:rsid w:val="00A06FC3"/>
    <w:rsid w:val="00A102D5"/>
    <w:rsid w:val="00A20B8A"/>
    <w:rsid w:val="00A42218"/>
    <w:rsid w:val="00A70249"/>
    <w:rsid w:val="00A70B02"/>
    <w:rsid w:val="00A71D9F"/>
    <w:rsid w:val="00A92E9F"/>
    <w:rsid w:val="00AB18FF"/>
    <w:rsid w:val="00AC6DCA"/>
    <w:rsid w:val="00AD1091"/>
    <w:rsid w:val="00AD557F"/>
    <w:rsid w:val="00B07213"/>
    <w:rsid w:val="00B145E6"/>
    <w:rsid w:val="00B160F8"/>
    <w:rsid w:val="00B33BEA"/>
    <w:rsid w:val="00B47238"/>
    <w:rsid w:val="00B57C9F"/>
    <w:rsid w:val="00B60AA9"/>
    <w:rsid w:val="00B63572"/>
    <w:rsid w:val="00B845B3"/>
    <w:rsid w:val="00B85D8B"/>
    <w:rsid w:val="00BB4A40"/>
    <w:rsid w:val="00BD6C3E"/>
    <w:rsid w:val="00BE3674"/>
    <w:rsid w:val="00BE58E6"/>
    <w:rsid w:val="00BF7CC8"/>
    <w:rsid w:val="00C10681"/>
    <w:rsid w:val="00C17C8C"/>
    <w:rsid w:val="00C3049A"/>
    <w:rsid w:val="00C31B1E"/>
    <w:rsid w:val="00C50613"/>
    <w:rsid w:val="00C56D0B"/>
    <w:rsid w:val="00C77645"/>
    <w:rsid w:val="00CE04C3"/>
    <w:rsid w:val="00CE76A0"/>
    <w:rsid w:val="00D148C6"/>
    <w:rsid w:val="00D1699B"/>
    <w:rsid w:val="00D16BE0"/>
    <w:rsid w:val="00D17A8A"/>
    <w:rsid w:val="00D415BA"/>
    <w:rsid w:val="00D56637"/>
    <w:rsid w:val="00D63780"/>
    <w:rsid w:val="00D644EE"/>
    <w:rsid w:val="00DB477F"/>
    <w:rsid w:val="00DD06FF"/>
    <w:rsid w:val="00DD2634"/>
    <w:rsid w:val="00DD5FE9"/>
    <w:rsid w:val="00DE6CAE"/>
    <w:rsid w:val="00E00C7A"/>
    <w:rsid w:val="00E33AFE"/>
    <w:rsid w:val="00E37D6C"/>
    <w:rsid w:val="00E55B68"/>
    <w:rsid w:val="00E561AE"/>
    <w:rsid w:val="00E67BE6"/>
    <w:rsid w:val="00E74510"/>
    <w:rsid w:val="00E8683C"/>
    <w:rsid w:val="00EA2B72"/>
    <w:rsid w:val="00EA52D4"/>
    <w:rsid w:val="00ED53E5"/>
    <w:rsid w:val="00EE52A0"/>
    <w:rsid w:val="00F425D7"/>
    <w:rsid w:val="00F74360"/>
    <w:rsid w:val="00F91492"/>
    <w:rsid w:val="00FB462F"/>
    <w:rsid w:val="00FB508C"/>
    <w:rsid w:val="00FE16FA"/>
    <w:rsid w:val="00FE328A"/>
    <w:rsid w:val="00FE6269"/>
    <w:rsid w:val="00FF5CD6"/>
    <w:rsid w:val="1D97DEFF"/>
    <w:rsid w:val="1DFF72E5"/>
    <w:rsid w:val="1EFC6F07"/>
    <w:rsid w:val="2A1E3418"/>
    <w:rsid w:val="2FDF85B8"/>
    <w:rsid w:val="2FFFEE04"/>
    <w:rsid w:val="34DF85B0"/>
    <w:rsid w:val="3B8F36BC"/>
    <w:rsid w:val="48303EE2"/>
    <w:rsid w:val="491FF225"/>
    <w:rsid w:val="4FFD214C"/>
    <w:rsid w:val="5777D4F5"/>
    <w:rsid w:val="59DD8326"/>
    <w:rsid w:val="5DEF592A"/>
    <w:rsid w:val="5FC6BB1E"/>
    <w:rsid w:val="5FF720F1"/>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0"/>
    <w:rPr>
      <w:b/>
      <w:bCs/>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5"/>
    <w:semiHidden/>
    <w:qFormat/>
    <w:uiPriority w:val="99"/>
    <w:rPr>
      <w:sz w:val="18"/>
      <w:szCs w:val="18"/>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2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宋体" w:hAnsi="宋体" w:eastAsia="宋体" w:cs="宋体"/>
      <w:color w:val="000000"/>
      <w:sz w:val="24"/>
      <w:szCs w:val="24"/>
      <w:u w:val="none"/>
    </w:rPr>
  </w:style>
  <w:style w:type="paragraph" w:customStyle="1" w:styleId="20">
    <w:name w:val="18"/>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peoplefilling"/>
    <w:basedOn w:val="10"/>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1889</Words>
  <Characters>10772</Characters>
  <Lines>89</Lines>
  <Paragraphs>25</Paragraphs>
  <TotalTime>0</TotalTime>
  <ScaleCrop>false</ScaleCrop>
  <LinksUpToDate>false</LinksUpToDate>
  <CharactersWithSpaces>12636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2024-08-30T09:32:31Z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58067A853C0349F9BCD55AA8AF4BB521_13</vt:lpwstr>
  </property>
</Properties>
</file>