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bookmarkStart w:id="5" w:name="_GoBack"/>
      <w:bookmarkEnd w:id="5"/>
      <w:r>
        <w:rPr>
          <w:sz w:val="56"/>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0" y="0"/>
                          <a:ext cx="1523365" cy="517525"/>
                        </a:xfrm>
                        <a:prstGeom prst="rect">
                          <a:avLst/>
                        </a:prstGeom>
                        <a:solidFill>
                          <a:srgbClr val="FFFFFF"/>
                        </a:solidFill>
                        <a:ln w="6350">
                          <a:noFill/>
                        </a:ln>
                      </wps:spPr>
                      <wps:txbx>
                        <w:txbxContent>
                          <w:p>
                            <w:pPr>
                              <w:rPr>
                                <w:rFonts w:ascii="楷体" w:hAnsi="楷体" w:eastAsia="楷体" w:cs="楷体"/>
                                <w:sz w:val="30"/>
                                <w:szCs w:val="30"/>
                              </w:rPr>
                            </w:pPr>
                            <w:r>
                              <w:rPr>
                                <w:rFonts w:hint="eastAsia" w:ascii="楷体" w:hAnsi="楷体" w:eastAsia="楷体" w:cs="楷体"/>
                                <w:sz w:val="30"/>
                                <w:szCs w:val="30"/>
                              </w:rPr>
                              <w:t>附件1：</w:t>
                            </w:r>
                          </w:p>
                        </w:txbxContent>
                      </wps:txbx>
                      <wps:bodyPr upright="1"/>
                    </wps:wsp>
                  </a:graphicData>
                </a:graphic>
              </wp:anchor>
            </w:drawing>
          </mc:Choice>
          <mc:Fallback>
            <w:pict>
              <v:shape id="_x0000_s1026" o:spid="_x0000_s1026" o:spt="202" type="#_x0000_t202" style="position:absolute;left:0pt;margin-left:-18.6pt;margin-top:-23.4pt;height:40.75pt;width:119.95pt;z-index:251658240;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LwJlDWAAAACgEA&#10;AA8AAAAAAAAAAQAgAAAAIgAAAGRycy9kb3ducmV2LnhtbFBLAQIUABQAAAAIAIdO4kBacUwuqgEA&#10;ADIDAAAOAAAAAAAAAAEAIAAAACUBAABkcnMvZTJvRG9jLnhtbFBLBQYAAAAABgAGAFkBAABBBQAA&#10;AAA=&#10;">
                <v:fill on="t" focussize="0,0"/>
                <v:stroke on="f" weight="0.5pt"/>
                <v:imagedata o:title=""/>
                <o:lock v:ext="edit" aspectratio="f"/>
                <v:textbox>
                  <w:txbxContent>
                    <w:p>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图书馆部门部门决算</w:t>
      </w:r>
    </w:p>
    <w:p>
      <w:pPr>
        <w:pStyle w:val="16"/>
        <w:jc w:val="center"/>
        <w:rPr>
          <w:rFonts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center"/>
        <w:rPr>
          <w:b/>
          <w:sz w:val="36"/>
          <w:szCs w:val="28"/>
        </w:rPr>
      </w:pPr>
      <w:r>
        <w:rPr>
          <w:rFonts w:hint="eastAsia"/>
          <w:b/>
          <w:sz w:val="36"/>
          <w:szCs w:val="28"/>
        </w:rPr>
        <w:t>目录</w:t>
      </w:r>
    </w:p>
    <w:p>
      <w:pPr>
        <w:pStyle w:val="16"/>
        <w:spacing w:line="500" w:lineRule="exact"/>
        <w:rPr>
          <w:rFonts w:hAnsi="黑体"/>
          <w:bCs/>
          <w:sz w:val="28"/>
          <w:szCs w:val="28"/>
        </w:rPr>
      </w:pPr>
      <w:r>
        <w:rPr>
          <w:rFonts w:hint="eastAsia" w:hAnsi="黑体"/>
          <w:bCs/>
          <w:sz w:val="28"/>
          <w:szCs w:val="28"/>
        </w:rPr>
        <w:t>第一部分图书馆部门概况</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Ansi="黑体"/>
          <w:bCs/>
          <w:sz w:val="28"/>
          <w:szCs w:val="28"/>
        </w:rPr>
      </w:pPr>
      <w:r>
        <w:rPr>
          <w:rFonts w:hint="eastAsia" w:hAnsi="黑体"/>
          <w:bCs/>
          <w:sz w:val="28"/>
          <w:szCs w:val="28"/>
        </w:rPr>
        <w:t>第二部分部门决算表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Ansi="黑体"/>
          <w:bCs/>
          <w:sz w:val="28"/>
          <w:szCs w:val="28"/>
        </w:rPr>
      </w:pPr>
      <w:r>
        <w:rPr>
          <w:rFonts w:hint="eastAsia" w:hAnsi="黑体"/>
          <w:bCs/>
          <w:sz w:val="28"/>
          <w:szCs w:val="28"/>
        </w:rPr>
        <w:t>第三部分部门决算情况说明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6"/>
        <w:spacing w:line="500" w:lineRule="exact"/>
        <w:rPr>
          <w:rFonts w:hAnsi="黑体"/>
          <w:bCs/>
          <w:sz w:val="28"/>
          <w:szCs w:val="28"/>
        </w:rPr>
      </w:pPr>
      <w:r>
        <w:rPr>
          <w:rFonts w:hint="eastAsia" w:hAnsi="黑体"/>
          <w:bCs/>
          <w:sz w:val="28"/>
          <w:szCs w:val="28"/>
        </w:rPr>
        <w:t>第四部分名词解释</w:t>
      </w:r>
    </w:p>
    <w:p>
      <w:pPr>
        <w:pStyle w:val="16"/>
        <w:spacing w:line="500" w:lineRule="exact"/>
        <w:rPr>
          <w:rFonts w:hAnsi="黑体"/>
          <w:bCs/>
          <w:sz w:val="28"/>
          <w:szCs w:val="28"/>
        </w:rPr>
      </w:pPr>
      <w:r>
        <w:rPr>
          <w:rFonts w:hint="eastAsia" w:hAnsi="黑体"/>
          <w:bCs/>
          <w:sz w:val="28"/>
          <w:szCs w:val="28"/>
        </w:rPr>
        <w:t>第五部分附件</w:t>
      </w:r>
    </w:p>
    <w:p>
      <w:pPr>
        <w:pStyle w:val="16"/>
        <w:spacing w:line="500" w:lineRule="exact"/>
        <w:rPr>
          <w:rFonts w:hAnsi="黑体"/>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图书馆部门概况</w:t>
      </w:r>
    </w:p>
    <w:p>
      <w:pPr>
        <w:jc w:val="center"/>
        <w:rPr>
          <w:rFonts w:ascii="方正小标宋_GBK" w:hAnsi="方正小标宋_GBK" w:eastAsia="方正小标宋_GBK" w:cs="方正小标宋_GBK"/>
          <w:sz w:val="72"/>
          <w:szCs w:val="72"/>
        </w:rPr>
      </w:pPr>
    </w:p>
    <w:p>
      <w:pPr>
        <w:jc w:val="center"/>
        <w:rPr>
          <w:rFonts w:ascii="方正小标宋_GBK" w:hAnsi="方正小标宋_GBK" w:eastAsia="方正小标宋_GBK" w:cs="方正小标宋_GBK"/>
          <w:sz w:val="72"/>
          <w:szCs w:val="72"/>
        </w:rPr>
      </w:pPr>
    </w:p>
    <w:p>
      <w:pPr>
        <w:jc w:val="center"/>
        <w:rPr>
          <w:sz w:val="72"/>
          <w:szCs w:val="72"/>
        </w:rPr>
      </w:pPr>
    </w:p>
    <w:p>
      <w:pPr>
        <w:pStyle w:val="2"/>
      </w:pPr>
    </w:p>
    <w:p>
      <w:pPr>
        <w:pStyle w:val="3"/>
        <w:ind w:firstLine="480"/>
      </w:pPr>
    </w:p>
    <w:p>
      <w:pPr>
        <w:pStyle w:val="17"/>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pStyle w:val="17"/>
        <w:spacing w:line="570" w:lineRule="atLeast"/>
        <w:ind w:left="720" w:firstLine="0" w:firstLineChars="0"/>
        <w:rPr>
          <w:rFonts w:ascii="仿宋_GB2312" w:hAnsi="仿宋_GB2312" w:eastAsia="仿宋_GB2312" w:cs="仿宋_GB2312"/>
          <w:color w:val="000000"/>
          <w:sz w:val="32"/>
          <w:szCs w:val="32"/>
          <w:shd w:val="clear" w:color="auto" w:fill="FFFFFF"/>
        </w:rPr>
      </w:pPr>
      <w:bookmarkStart w:id="0" w:name="AGENCY_NAME_TITLE3"/>
      <w:r>
        <w:rPr>
          <w:rFonts w:hint="eastAsia" w:ascii="仿宋_GB2312" w:hAnsi="仿宋_GB2312" w:eastAsia="仿宋_GB2312" w:cs="仿宋_GB2312"/>
          <w:color w:val="000000"/>
          <w:sz w:val="32"/>
          <w:szCs w:val="32"/>
          <w:shd w:val="clear" w:color="auto" w:fill="FFFFFF"/>
        </w:rPr>
        <w:t>道县图书馆</w:t>
      </w:r>
      <w:bookmarkEnd w:id="0"/>
      <w:r>
        <w:rPr>
          <w:rFonts w:hint="eastAsia" w:ascii="仿宋_GB2312" w:hAnsi="仿宋_GB2312" w:eastAsia="仿宋_GB2312" w:cs="仿宋_GB2312"/>
          <w:color w:val="000000"/>
          <w:sz w:val="32"/>
          <w:szCs w:val="32"/>
          <w:shd w:val="clear" w:color="auto" w:fill="FFFFFF"/>
        </w:rPr>
        <w:t>的主要职责是：</w:t>
      </w:r>
    </w:p>
    <w:p>
      <w:pPr>
        <w:spacing w:line="570" w:lineRule="atLeast"/>
        <w:ind w:firstLine="640" w:firstLineChars="200"/>
        <w:rPr>
          <w:rFonts w:ascii="仿宋_GB2312" w:hAnsi="仿宋_GB2312" w:eastAsia="仿宋_GB2312" w:cs="仿宋_GB2312"/>
          <w:color w:val="000000"/>
          <w:sz w:val="32"/>
          <w:szCs w:val="32"/>
          <w:shd w:val="clear" w:color="auto" w:fill="FFFFFF"/>
        </w:rPr>
      </w:pPr>
      <w:bookmarkStart w:id="1" w:name="FUNCRESP"/>
      <w:r>
        <w:rPr>
          <w:rFonts w:hint="eastAsia" w:ascii="仿宋_GB2312" w:hAnsi="仿宋_GB2312" w:eastAsia="仿宋_GB2312" w:cs="仿宋_GB2312"/>
          <w:color w:val="000000"/>
          <w:sz w:val="32"/>
          <w:szCs w:val="32"/>
          <w:shd w:val="clear" w:color="auto" w:fill="FFFFFF"/>
        </w:rPr>
        <w:t>1、保存借阅资料，促进社会经济文化发展。</w:t>
      </w:r>
    </w:p>
    <w:p>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2、采编与储藏，图书资料借阅。</w:t>
      </w:r>
    </w:p>
    <w:p>
      <w:pPr>
        <w:spacing w:line="570" w:lineRule="atLeas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3、知识培训与社会教育。</w:t>
      </w:r>
      <w:bookmarkEnd w:id="1"/>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仿宋_GB2312" w:hAnsi="仿宋_GB2312" w:eastAsia="仿宋_GB2312" w:cs="仿宋_GB2312"/>
          <w:color w:val="000000"/>
          <w:sz w:val="32"/>
          <w:szCs w:val="32"/>
          <w:shd w:val="clear" w:color="auto" w:fill="FFFFFF"/>
        </w:rPr>
        <w:t>图书馆</w:t>
      </w:r>
      <w:r>
        <w:rPr>
          <w:rFonts w:hint="eastAsia" w:ascii="Times New Roman" w:hAnsi="Times New Roman" w:eastAsia="仿宋_GB2312" w:cs="仿宋_GB2312"/>
          <w:bCs/>
          <w:kern w:val="0"/>
          <w:sz w:val="32"/>
          <w:szCs w:val="32"/>
        </w:rPr>
        <w:t>内设机构包括：办公室、财务室、业务辅导与参考咨询室、外借室、阅览室、少儿借阅室、电子阅览室、多媒体室、盲文阅览室等。</w:t>
      </w:r>
    </w:p>
    <w:p>
      <w:pPr>
        <w:widowControl/>
        <w:spacing w:line="600" w:lineRule="exac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仿宋_GB2312" w:hAnsi="仿宋_GB2312" w:eastAsia="仿宋_GB2312" w:cs="仿宋_GB2312"/>
          <w:color w:val="000000"/>
          <w:sz w:val="32"/>
          <w:szCs w:val="32"/>
          <w:shd w:val="clear" w:color="auto" w:fill="FFFFFF"/>
        </w:rPr>
        <w:t>图书馆</w:t>
      </w:r>
      <w:r>
        <w:rPr>
          <w:rFonts w:hint="eastAsia" w:ascii="Times New Roman" w:hAnsi="Times New Roman" w:eastAsia="仿宋_GB2312" w:cs="仿宋_GB2312"/>
          <w:bCs/>
          <w:kern w:val="0"/>
          <w:sz w:val="32"/>
          <w:szCs w:val="32"/>
        </w:rPr>
        <w:t>2023年部门决算汇总公开单位构成包括：</w:t>
      </w:r>
      <w:r>
        <w:rPr>
          <w:rFonts w:hint="eastAsia" w:ascii="仿宋_GB2312" w:hAnsi="仿宋_GB2312" w:eastAsia="仿宋_GB2312" w:cs="仿宋_GB2312"/>
          <w:color w:val="000000"/>
          <w:sz w:val="32"/>
          <w:szCs w:val="32"/>
          <w:shd w:val="clear" w:color="auto" w:fill="FFFFFF"/>
        </w:rPr>
        <w:t>图书馆</w:t>
      </w:r>
      <w:r>
        <w:rPr>
          <w:rFonts w:hint="eastAsia" w:ascii="Times New Roman" w:hAnsi="Times New Roman" w:eastAsia="仿宋_GB2312" w:cs="仿宋_GB2312"/>
          <w:bCs/>
          <w:kern w:val="0"/>
          <w:sz w:val="32"/>
          <w:szCs w:val="32"/>
        </w:rPr>
        <w:t>本级。</w:t>
      </w:r>
    </w:p>
    <w:p>
      <w:pPr>
        <w:ind w:firstLine="560" w:firstLineChars="200"/>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ascii="方正小标宋_GBK" w:hAnsi="方正小标宋_GBK" w:eastAsia="方正小标宋_GBK" w:cs="方正小标宋_GBK"/>
          <w:sz w:val="84"/>
          <w:szCs w:val="84"/>
        </w:rPr>
      </w:pPr>
    </w:p>
    <w:p>
      <w:pPr>
        <w:pStyle w:val="16"/>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82"/>
        <w:gridCol w:w="368"/>
        <w:gridCol w:w="5679"/>
        <w:gridCol w:w="1492"/>
        <w:gridCol w:w="1480"/>
        <w:gridCol w:w="992"/>
        <w:gridCol w:w="940"/>
        <w:gridCol w:w="895"/>
        <w:gridCol w:w="855"/>
        <w:gridCol w:w="2245"/>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0" w:type="dxa"/>
              <w:tblLayout w:type="fixed"/>
              <w:tblCellMar>
                <w:top w:w="0" w:type="dxa"/>
                <w:left w:w="108" w:type="dxa"/>
                <w:bottom w:w="0" w:type="dxa"/>
                <w:right w:w="108" w:type="dxa"/>
              </w:tblCellMar>
            </w:tblPr>
            <w:tblGrid>
              <w:gridCol w:w="4168"/>
              <w:gridCol w:w="615"/>
              <w:gridCol w:w="1321"/>
              <w:gridCol w:w="4715"/>
              <w:gridCol w:w="1983"/>
              <w:gridCol w:w="216"/>
              <w:gridCol w:w="904"/>
              <w:gridCol w:w="1476"/>
            </w:tblGrid>
            <w:tr>
              <w:tblPrEx>
                <w:tblLayout w:type="fixed"/>
                <w:tblCellMar>
                  <w:top w:w="0" w:type="dxa"/>
                  <w:left w:w="108" w:type="dxa"/>
                  <w:bottom w:w="0" w:type="dxa"/>
                  <w:right w:w="108" w:type="dxa"/>
                </w:tblCellMar>
              </w:tblPrEx>
              <w:trPr>
                <w:trHeight w:val="304" w:hRule="atLeast"/>
              </w:trPr>
              <w:tc>
                <w:tcPr>
                  <w:tcW w:w="4168"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615"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321"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4715"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199"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2380" w:type="dxa"/>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Layout w:type="fixed"/>
                <w:tblCellMar>
                  <w:top w:w="0" w:type="dxa"/>
                  <w:left w:w="108" w:type="dxa"/>
                  <w:bottom w:w="0" w:type="dxa"/>
                  <w:right w:w="108" w:type="dxa"/>
                </w:tblCellMar>
              </w:tblPrEx>
              <w:trPr>
                <w:trHeight w:val="304" w:hRule="atLeast"/>
              </w:trPr>
              <w:tc>
                <w:tcPr>
                  <w:tcW w:w="4168"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61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2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71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199"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8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304" w:hRule="atLeast"/>
              </w:trPr>
              <w:tc>
                <w:tcPr>
                  <w:tcW w:w="4168"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1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1321"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4715" w:type="dxa"/>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199" w:type="dxa"/>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2380"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76" w:type="dxa"/>
                <w:trHeight w:val="448" w:hRule="atLeast"/>
              </w:trPr>
              <w:tc>
                <w:tcPr>
                  <w:tcW w:w="61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Layout w:type="fixed"/>
                <w:tblCellMar>
                  <w:top w:w="0" w:type="dxa"/>
                  <w:left w:w="108" w:type="dxa"/>
                  <w:bottom w:w="0" w:type="dxa"/>
                  <w:right w:w="108" w:type="dxa"/>
                </w:tblCellMar>
              </w:tblPrEx>
              <w:trPr>
                <w:gridAfter w:val="1"/>
                <w:wAfter w:w="1476" w:type="dxa"/>
                <w:trHeight w:val="62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kern w:val="0"/>
                      <w:sz w:val="24"/>
                      <w:szCs w:val="24"/>
                    </w:rPr>
                    <w:t>266.45</w:t>
                  </w: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七、文化旅游体育与传媒支出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248.04</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12.6</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2"/>
                    </w:rPr>
                    <w:t>九、卫生健康支出</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color w:val="000000"/>
                      <w:sz w:val="22"/>
                    </w:rPr>
                  </w:pPr>
                  <w:r>
                    <w:rPr>
                      <w:rFonts w:hint="eastAsia" w:ascii="宋体" w:hAnsi="宋体" w:eastAsia="宋体" w:cs="宋体"/>
                      <w:color w:val="000000"/>
                      <w:sz w:val="22"/>
                    </w:rPr>
                    <w:t>5.81</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kern w:val="0"/>
                      <w:sz w:val="24"/>
                      <w:szCs w:val="24"/>
                    </w:rPr>
                    <w:t>266.45</w:t>
                  </w: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kern w:val="0"/>
                      <w:sz w:val="24"/>
                      <w:szCs w:val="24"/>
                    </w:rPr>
                    <w:t>266.45</w:t>
                  </w: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62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Layout w:type="fixed"/>
                <w:tblCellMar>
                  <w:top w:w="0" w:type="dxa"/>
                  <w:left w:w="108" w:type="dxa"/>
                  <w:bottom w:w="0" w:type="dxa"/>
                  <w:right w:w="108" w:type="dxa"/>
                </w:tblCellMar>
              </w:tblPrEx>
              <w:trPr>
                <w:gridAfter w:val="1"/>
                <w:wAfter w:w="1476" w:type="dxa"/>
                <w:trHeight w:val="448" w:hRule="atLeast"/>
              </w:trPr>
              <w:tc>
                <w:tcPr>
                  <w:tcW w:w="4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kern w:val="0"/>
                      <w:sz w:val="24"/>
                      <w:szCs w:val="24"/>
                    </w:rPr>
                    <w:t>266.45</w:t>
                  </w:r>
                </w:p>
              </w:tc>
              <w:tc>
                <w:tcPr>
                  <w:tcW w:w="47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1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color w:val="000000"/>
                      <w:sz w:val="22"/>
                    </w:rPr>
                  </w:pPr>
                  <w:r>
                    <w:rPr>
                      <w:rFonts w:hint="eastAsia" w:ascii="宋体" w:hAnsi="宋体" w:eastAsia="宋体" w:cs="宋体"/>
                      <w:color w:val="000000"/>
                      <w:kern w:val="0"/>
                      <w:sz w:val="24"/>
                      <w:szCs w:val="24"/>
                    </w:rPr>
                    <w:t>266.45</w:t>
                  </w:r>
                </w:p>
              </w:tc>
            </w:tr>
            <w:tr>
              <w:tblPrEx>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48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6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85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56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2"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9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652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9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85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85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56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85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56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5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65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92"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9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85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2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652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266.45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266.45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2101102</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事业单位医疗</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5.81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5.81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2070104</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图书馆</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101.04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101.04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2080505</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机关事业单位基本养老保险缴费支出</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12.6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12.6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2070199</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2"/>
              </w:rPr>
            </w:pPr>
            <w:r>
              <w:rPr>
                <w:rFonts w:hint="eastAsia"/>
                <w:color w:val="000000"/>
                <w:sz w:val="22"/>
              </w:rPr>
              <w:t>其他文化和旅游支出</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147.00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147.00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5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56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4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9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202"/>
        <w:gridCol w:w="1231"/>
        <w:gridCol w:w="1991"/>
        <w:gridCol w:w="1991"/>
        <w:gridCol w:w="1991"/>
        <w:gridCol w:w="1991"/>
        <w:gridCol w:w="2744"/>
      </w:tblGrid>
      <w:tr>
        <w:tblPrEx>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95"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0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3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595" w:hRule="atLeast"/>
        </w:trPr>
        <w:tc>
          <w:tcPr>
            <w:tcW w:w="3701"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266.45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119.45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147.00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2101102</w:t>
            </w:r>
          </w:p>
        </w:tc>
        <w:tc>
          <w:tcPr>
            <w:tcW w:w="220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事业单位医疗</w:t>
            </w:r>
          </w:p>
        </w:tc>
        <w:tc>
          <w:tcPr>
            <w:tcW w:w="12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5.81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5.81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2070104</w:t>
            </w:r>
          </w:p>
        </w:tc>
        <w:tc>
          <w:tcPr>
            <w:tcW w:w="220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图书馆</w:t>
            </w:r>
          </w:p>
        </w:tc>
        <w:tc>
          <w:tcPr>
            <w:tcW w:w="12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101.04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101.04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2080505</w:t>
            </w:r>
          </w:p>
        </w:tc>
        <w:tc>
          <w:tcPr>
            <w:tcW w:w="220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机关事业单位基本养老保险缴费支出</w:t>
            </w:r>
          </w:p>
        </w:tc>
        <w:tc>
          <w:tcPr>
            <w:tcW w:w="12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12.6　</w:t>
            </w:r>
          </w:p>
        </w:tc>
        <w:tc>
          <w:tcPr>
            <w:tcW w:w="199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12.6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2070199</w:t>
            </w:r>
          </w:p>
        </w:tc>
        <w:tc>
          <w:tcPr>
            <w:tcW w:w="2202"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color w:val="000000"/>
                <w:sz w:val="22"/>
              </w:rPr>
            </w:pPr>
            <w:r>
              <w:rPr>
                <w:rFonts w:hint="eastAsia"/>
                <w:color w:val="000000"/>
                <w:sz w:val="22"/>
              </w:rPr>
              <w:t>其他文化和旅游支出</w:t>
            </w:r>
          </w:p>
        </w:tc>
        <w:tc>
          <w:tcPr>
            <w:tcW w:w="123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rPr>
              <w:t>147.00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rPr>
              <w:t>147.00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20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2" w:name="RANGE!A1:I22"/>
            <w:bookmarkEnd w:id="2"/>
            <w:bookmarkStart w:id="3"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248.04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248.04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5.81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ascii="宋体" w:hAnsi="宋体" w:eastAsia="宋体" w:cs="宋体"/>
                <w:kern w:val="0"/>
                <w:sz w:val="22"/>
              </w:rPr>
              <w:t>266.45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266.45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119.45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147.00</w:t>
            </w: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2101102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5.81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5.81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2070104</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图书馆</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101.04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101.04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12.6　</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12.6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2070199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2"/>
              </w:rPr>
            </w:pPr>
            <w:r>
              <w:rPr>
                <w:rFonts w:hint="eastAsia"/>
                <w:color w:val="000000"/>
                <w:sz w:val="22"/>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sz w:val="24"/>
                <w:szCs w:val="24"/>
              </w:rPr>
            </w:pPr>
            <w:r>
              <w:rPr>
                <w:rFonts w:hint="eastAsia"/>
              </w:rPr>
              <w:t>147.00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rPr>
            </w:pPr>
            <w:r>
              <w:rPr>
                <w:rFonts w:hint="eastAsia"/>
              </w:rPr>
              <w:t>147.00</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br w:type="page"/>
      </w:r>
    </w:p>
    <w:tbl>
      <w:tblPr>
        <w:tblStyle w:val="9"/>
        <w:tblW w:w="15614" w:type="dxa"/>
        <w:tblInd w:w="0" w:type="dxa"/>
        <w:tblLayout w:type="fixed"/>
        <w:tblCellMar>
          <w:top w:w="0" w:type="dxa"/>
          <w:left w:w="108" w:type="dxa"/>
          <w:bottom w:w="0" w:type="dxa"/>
          <w:right w:w="108" w:type="dxa"/>
        </w:tblCellMar>
      </w:tblPr>
      <w:tblGrid>
        <w:gridCol w:w="948"/>
        <w:gridCol w:w="239"/>
        <w:gridCol w:w="216"/>
        <w:gridCol w:w="1118"/>
        <w:gridCol w:w="1927"/>
        <w:gridCol w:w="216"/>
        <w:gridCol w:w="936"/>
        <w:gridCol w:w="813"/>
        <w:gridCol w:w="303"/>
        <w:gridCol w:w="1878"/>
        <w:gridCol w:w="216"/>
        <w:gridCol w:w="500"/>
        <w:gridCol w:w="1150"/>
        <w:gridCol w:w="442"/>
        <w:gridCol w:w="2210"/>
        <w:gridCol w:w="1489"/>
        <w:gridCol w:w="740"/>
        <w:gridCol w:w="273"/>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4" w:name="RANGE!A1:I34"/>
            <w:r>
              <w:rPr>
                <w:rFonts w:hint="eastAsia" w:ascii="华文中宋" w:hAnsi="华文中宋" w:eastAsia="华文中宋" w:cs="宋体"/>
                <w:color w:val="000000"/>
                <w:kern w:val="0"/>
                <w:szCs w:val="32"/>
              </w:rPr>
              <w:t>一般公共预算财政拨款基本支出决算明细表</w:t>
            </w:r>
            <w:bookmarkEnd w:id="4"/>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109.45</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43.24</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3.46</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17.60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7.46</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22.75</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12.60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0.50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5.81</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1.25</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1.02</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0.61</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2.30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0.87</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bl>
            <w:tblPr>
              <w:tblStyle w:val="9"/>
              <w:tblW w:w="3946" w:type="dxa"/>
              <w:tblInd w:w="0" w:type="dxa"/>
              <w:tblLayout w:type="fixed"/>
              <w:tblCellMar>
                <w:top w:w="0" w:type="dxa"/>
                <w:left w:w="108" w:type="dxa"/>
                <w:bottom w:w="0" w:type="dxa"/>
                <w:right w:w="108" w:type="dxa"/>
              </w:tblCellMar>
            </w:tblPr>
            <w:tblGrid>
              <w:gridCol w:w="3946"/>
            </w:tblGrid>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403"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52"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　</w:t>
            </w:r>
          </w:p>
        </w:tc>
        <w:tc>
          <w:tcPr>
            <w:tcW w:w="81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1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color w:val="000000"/>
                <w:sz w:val="22"/>
              </w:rPr>
              <w:t>0.00</w:t>
            </w:r>
          </w:p>
        </w:tc>
        <w:tc>
          <w:tcPr>
            <w:tcW w:w="11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4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5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color w:val="000000"/>
                <w:sz w:val="22"/>
              </w:rPr>
              <w:t>109.45</w:t>
            </w:r>
          </w:p>
        </w:tc>
        <w:tc>
          <w:tcPr>
            <w:tcW w:w="9001" w:type="dxa"/>
            <w:gridSpan w:val="9"/>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公用经费合计</w:t>
            </w:r>
          </w:p>
        </w:tc>
        <w:tc>
          <w:tcPr>
            <w:tcW w:w="101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10.00</w:t>
            </w:r>
          </w:p>
        </w:tc>
      </w:tr>
      <w:tr>
        <w:tblPrEx>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Layout w:type="fixed"/>
          <w:tblCellMar>
            <w:top w:w="0" w:type="dxa"/>
            <w:left w:w="108" w:type="dxa"/>
            <w:bottom w:w="0" w:type="dxa"/>
            <w:right w:w="108" w:type="dxa"/>
          </w:tblCellMar>
        </w:tblPrEx>
        <w:trPr>
          <w:gridAfter w:val="1"/>
          <w:wAfter w:w="273" w:type="dxa"/>
          <w:trHeight w:val="690" w:hRule="atLeast"/>
        </w:trPr>
        <w:tc>
          <w:tcPr>
            <w:tcW w:w="15341"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Layout w:type="fixed"/>
          <w:tblCellMar>
            <w:top w:w="0" w:type="dxa"/>
            <w:left w:w="108" w:type="dxa"/>
            <w:bottom w:w="0" w:type="dxa"/>
            <w:right w:w="108" w:type="dxa"/>
          </w:tblCellMar>
        </w:tblPrEx>
        <w:trPr>
          <w:gridAfter w:val="1"/>
          <w:wAfter w:w="273" w:type="dxa"/>
          <w:trHeight w:val="345" w:hRule="atLeast"/>
        </w:trPr>
        <w:tc>
          <w:tcPr>
            <w:tcW w:w="948"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34"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4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4"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1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Layout w:type="fixed"/>
          <w:tblCellMar>
            <w:top w:w="0" w:type="dxa"/>
            <w:left w:w="108" w:type="dxa"/>
            <w:bottom w:w="0" w:type="dxa"/>
            <w:right w:w="108" w:type="dxa"/>
          </w:tblCellMar>
        </w:tblPrEx>
        <w:trPr>
          <w:gridAfter w:val="1"/>
          <w:wAfter w:w="273" w:type="dxa"/>
          <w:trHeight w:val="690" w:hRule="atLeast"/>
        </w:trPr>
        <w:tc>
          <w:tcPr>
            <w:tcW w:w="948"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39"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334"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143"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5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4"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092" w:type="dxa"/>
            <w:gridSpan w:val="3"/>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1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229"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273" w:type="dxa"/>
          <w:trHeight w:val="45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20"/>
                <w:rFonts w:hint="default"/>
              </w:rPr>
              <w:t>目</w:t>
            </w:r>
          </w:p>
        </w:tc>
        <w:tc>
          <w:tcPr>
            <w:tcW w:w="2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20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63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Layout w:type="fixed"/>
          <w:tblCellMar>
            <w:top w:w="0" w:type="dxa"/>
            <w:left w:w="108" w:type="dxa"/>
            <w:bottom w:w="0" w:type="dxa"/>
            <w:right w:w="108" w:type="dxa"/>
          </w:tblCellMar>
        </w:tblPrEx>
        <w:trPr>
          <w:gridAfter w:val="1"/>
          <w:wAfter w:w="273" w:type="dxa"/>
          <w:trHeight w:val="609" w:hRule="atLeast"/>
        </w:trPr>
        <w:tc>
          <w:tcPr>
            <w:tcW w:w="11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13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2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20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409" w:hRule="atLeast"/>
        </w:trPr>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Layout w:type="fixed"/>
          <w:tblCellMar>
            <w:top w:w="0" w:type="dxa"/>
            <w:left w:w="108" w:type="dxa"/>
            <w:bottom w:w="0" w:type="dxa"/>
            <w:right w:w="108" w:type="dxa"/>
          </w:tblCellMar>
        </w:tblPrEx>
        <w:trPr>
          <w:gridAfter w:val="1"/>
          <w:wAfter w:w="273"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gridAfter w:val="1"/>
          <w:wAfter w:w="273" w:type="dxa"/>
          <w:trHeight w:val="509" w:hRule="atLeast"/>
        </w:trPr>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PrEx>
        <w:trPr>
          <w:gridAfter w:val="1"/>
          <w:wAfter w:w="273" w:type="dxa"/>
          <w:trHeight w:val="725" w:hRule="atLeast"/>
        </w:trPr>
        <w:tc>
          <w:tcPr>
            <w:tcW w:w="15341"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fixed"/>
        <w:tblCellMar>
          <w:top w:w="0" w:type="dxa"/>
          <w:left w:w="108" w:type="dxa"/>
          <w:bottom w:w="0" w:type="dxa"/>
          <w:right w:w="108" w:type="dxa"/>
        </w:tblCellMar>
      </w:tblPr>
      <w:tblGrid>
        <w:gridCol w:w="1326"/>
        <w:gridCol w:w="701"/>
        <w:gridCol w:w="2292"/>
        <w:gridCol w:w="3315"/>
        <w:gridCol w:w="3315"/>
        <w:gridCol w:w="4171"/>
      </w:tblGrid>
      <w:tr>
        <w:tblPrEx>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4171"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21"/>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w:t>
            </w:r>
          </w:p>
        </w:tc>
      </w:tr>
    </w:tbl>
    <w:p>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70" w:type="dxa"/>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0.61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0.61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0.61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0.61</w:t>
            </w:r>
          </w:p>
        </w:tc>
      </w:tr>
      <w:tr>
        <w:tblPrEx>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ascii="方正小标宋_GBK" w:hAnsi="方正小标宋_GBK" w:eastAsia="方正小标宋_GBK" w:cs="方正小标宋_GBK"/>
          <w:sz w:val="70"/>
          <w:szCs w:val="70"/>
        </w:rPr>
      </w:pPr>
    </w:p>
    <w:p>
      <w:pPr>
        <w:pStyle w:val="16"/>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pPr>
        <w:widowControl/>
        <w:jc w:val="left"/>
        <w:rPr>
          <w:rFonts w:asciiTheme="minorEastAsia" w:hAnsiTheme="minorEastAsia"/>
          <w:sz w:val="32"/>
          <w:szCs w:val="32"/>
        </w:rPr>
      </w:pPr>
      <w:r>
        <w:br w:type="page"/>
      </w:r>
    </w:p>
    <w:p>
      <w:pPr>
        <w:pStyle w:val="16"/>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2023年度收、支总计266.45元。与上年相比，增加75.61万元，增长39.62%，主要是因为增加了项目收支。</w:t>
      </w:r>
    </w:p>
    <w:p>
      <w:pPr>
        <w:pStyle w:val="16"/>
        <w:spacing w:line="600" w:lineRule="exact"/>
        <w:ind w:firstLine="640" w:firstLineChars="200"/>
        <w:rPr>
          <w:rFonts w:hAnsi="黑体"/>
          <w:bCs/>
          <w:sz w:val="32"/>
          <w:szCs w:val="32"/>
        </w:rPr>
      </w:pPr>
      <w:r>
        <w:rPr>
          <w:rFonts w:hint="eastAsia" w:hAnsi="黑体"/>
          <w:bCs/>
          <w:sz w:val="32"/>
          <w:szCs w:val="32"/>
        </w:rPr>
        <w:t>二、收入决算情况说明</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2023年度收入合计266.45万元，其中：财政拨款收入266.45万元，占100%；上级补助收入0万元，占0%；事业收入0万元，占0%；经营收入0万元，占0%；附属单位上缴收入0万元，占0%；其他收入0万元，占0%。</w:t>
      </w:r>
    </w:p>
    <w:p>
      <w:pPr>
        <w:pStyle w:val="16"/>
        <w:spacing w:line="600" w:lineRule="exact"/>
        <w:ind w:firstLine="640" w:firstLineChars="200"/>
        <w:rPr>
          <w:rFonts w:hAnsi="黑体"/>
          <w:bCs/>
          <w:sz w:val="32"/>
          <w:szCs w:val="32"/>
        </w:rPr>
      </w:pPr>
      <w:r>
        <w:rPr>
          <w:rFonts w:hint="eastAsia" w:hAnsi="黑体"/>
          <w:bCs/>
          <w:sz w:val="32"/>
          <w:szCs w:val="32"/>
        </w:rPr>
        <w:t>三、支出决算情况说明</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2023年度支出合计266.45万元，其中：基本支出119.45万元，占44.83%；项目支出147万元，占55.17%；上缴上级支出0万元，占0%；经营支出0万元，占0%；对附属单位补助支出0万元，占0%。</w:t>
      </w:r>
    </w:p>
    <w:p>
      <w:pPr>
        <w:pStyle w:val="16"/>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2023年度财政拨款收、支总计266.45万元，与上年相比，增加75.61万元,增长39.62%，主要是因为增加了项目收支。</w:t>
      </w:r>
    </w:p>
    <w:p>
      <w:pPr>
        <w:pStyle w:val="16"/>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6"/>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（一）一般公共预算财政拨款支出决算总体情况</w:t>
      </w:r>
    </w:p>
    <w:p>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2023年度财政拨款支出266.45万元，占本年支出合计的100%，与上年相比，财政拨款支出增加75.61万元,增长39.62%，主要是因为增加了项目收支。</w:t>
      </w:r>
    </w:p>
    <w:p>
      <w:pPr>
        <w:pStyle w:val="16"/>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（二）一般公共预算财政拨款支出决算结构情况</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2023年度财政拨款支出266.45万元，主要用于以下方面：文化旅游体育与传媒（类）支出248.04万元，占93.09%；社会保障和就业（类）支出12.6万元，占4.73%;卫生健康（类）支出5.81万元，占2.18%</w:t>
      </w:r>
    </w:p>
    <w:p>
      <w:pPr>
        <w:pStyle w:val="16"/>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（三）一般公共预算财政拨款支出决算具体情况</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2023年度财政拨款支出年初预算数为266.45万元，支出决算数为266.45万元，完成年初预算的100%，其中：</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1、文化旅游体育与传媒（类）文化和旅游（款）图书馆（项）。</w:t>
      </w:r>
    </w:p>
    <w:p>
      <w:pPr>
        <w:pStyle w:val="16"/>
        <w:spacing w:line="600" w:lineRule="exact"/>
        <w:ind w:firstLine="800" w:firstLineChars="250"/>
        <w:rPr>
          <w:rFonts w:hint="eastAsia" w:ascii="Times New Roman" w:hAnsi="Times New Roman" w:eastAsia="仿宋_GB2312"/>
          <w:sz w:val="32"/>
          <w:szCs w:val="32"/>
        </w:rPr>
      </w:pPr>
      <w:r>
        <w:rPr>
          <w:rFonts w:hint="eastAsia" w:ascii="Times New Roman" w:hAnsi="Times New Roman" w:eastAsia="仿宋_GB2312"/>
          <w:sz w:val="32"/>
          <w:szCs w:val="32"/>
        </w:rPr>
        <w:t>年初预算为102.84万元，支出决算为101.04万元，完成年初预算的72.29%，决算数小于年初预算数的主要原因是：减少了项目支出。</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2、文化旅游体育与传媒（类）文化和旅游（款）其他文化和旅游支出（项）。</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年初预算为36.4万元，支出决算为147万元，完成年初预算的403.85%，决算数大于年初预算数的主要原因是：项目增多。</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3、社会保障和就业（类）行政事业单位养老（款）机关事业单位基本养老保险缴费（项）。</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年初预算为10.69万元，支出决算为12.6万元，完成年初预算的117.87%，决算数大于年初预算数的主要原因是：年初测算数据偏小。</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4、卫生健康（类）行政事业单位医疗（款）事业单位医疗（项）。</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年初预算为5.81万元，支出决算为5.81万元，完成年初预算的100%，决算数与年初预算数持平。</w:t>
      </w:r>
    </w:p>
    <w:p>
      <w:pPr>
        <w:pStyle w:val="16"/>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2023年度财政拨款基本支出119.45万元，其中：</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109.45万元，占基本支出的91.63%,主要包括基本工资、津贴补贴、奖金、伙食补助费等。</w:t>
      </w:r>
    </w:p>
    <w:p>
      <w:pPr>
        <w:pStyle w:val="16"/>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10万元，占基本支出的8.37%，主要包括办公费、印刷费、咨询费、手续费等。</w:t>
      </w:r>
    </w:p>
    <w:p>
      <w:pPr>
        <w:pStyle w:val="16"/>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r>
        <w:rPr>
          <w:rFonts w:hint="eastAsia" w:ascii="楷体" w:hAnsi="楷体" w:eastAsia="楷体" w:cs="楷体"/>
          <w:b/>
          <w:bCs/>
          <w:i/>
          <w:color w:val="auto"/>
          <w:sz w:val="32"/>
          <w:szCs w:val="32"/>
        </w:rPr>
        <w:t>（注意：三公经费情况说明，往年为一般公共预算财政拨款口径，今年为财政拨款口径）</w:t>
      </w:r>
    </w:p>
    <w:p>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“三公”经费财政拨款支出预算为0.5万元，支出决算为0.61万元，完成预算的122%，决算数大于预算数的主要原因是业务量增加，与上年相比增加0.11万元，增长18.03%,增长的主要原因是业务量增加。其中：</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因公出国（境）费支出预算为0万元，支出决算为0万元，完成预算的0%，决算数与预算数持平，与上年相持平。</w:t>
      </w:r>
    </w:p>
    <w:p>
      <w:pPr>
        <w:pStyle w:val="16"/>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公务接待费支出预算为0.5万元，支出决算为0.61万元，完成预算的122%，决算数大于预算数的主要原因是业务量增加，与上年相比增加0.11万元，增长18.03%,增长的主要原因是业务量增加。</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公务用车购置费支出预算为0万元，支出决算为0万元，完成预算的0%，决算数与预算数持平，与上年相持平。</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公务用车运行维护费支出预算为0万元，支出决算为0万元，完成预算的0%，决算数与预算数持平，与上年相持平。</w:t>
      </w:r>
    </w:p>
    <w:p>
      <w:pPr>
        <w:pStyle w:val="16"/>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2023年度“三公”经费财政拨款支出决算中，公务接待费支出决算0.61万元，占100%,因公出国（境）费支出决算0万元，占0%,公务用车购置费及运行维护费支出决算0万元，占0%。其中：</w:t>
      </w:r>
    </w:p>
    <w:p>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1、因公出国（境）费支出决算为0万元，全年安排因公出国（境）团组0个，累计0人次</w:t>
      </w:r>
      <w:r>
        <w:rPr>
          <w:rFonts w:hint="eastAsia" w:ascii="楷体" w:hAnsi="楷体" w:eastAsia="楷体" w:cs="楷体"/>
          <w:b/>
          <w:bCs/>
          <w:i/>
          <w:color w:val="auto"/>
          <w:sz w:val="32"/>
          <w:szCs w:val="32"/>
        </w:rPr>
        <w:t>。</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2、公务接待费支出决算为0.61万元，全年共接待来访团组10个、来宾55人次，主要是免费开放交流活动发生的接待支出。</w:t>
      </w:r>
    </w:p>
    <w:p>
      <w:pPr>
        <w:pStyle w:val="16"/>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3、公务用车购置费及运行维护费支出决算为0万元，其中：公务用车购置费0万元，0（单位本级或某二级机构）更新公务用车0辆</w:t>
      </w:r>
      <w:r>
        <w:rPr>
          <w:rFonts w:hint="eastAsia" w:ascii="Times New Roman" w:hAnsi="Times New Roman" w:eastAsia="仿宋_GB2312"/>
          <w:color w:val="000000" w:themeColor="text1"/>
          <w:sz w:val="32"/>
          <w:szCs w:val="32"/>
        </w:rPr>
        <w:t>。</w:t>
      </w:r>
      <w:r>
        <w:rPr>
          <w:rFonts w:hint="eastAsia" w:ascii="Times New Roman" w:hAnsi="Times New Roman" w:eastAsia="仿宋_GB2312"/>
          <w:sz w:val="32"/>
          <w:szCs w:val="32"/>
        </w:rPr>
        <w:t>公务用车运行维护费0万元，截止2023年12月31日，我单位开支财政拨款的公务用车保有量为0辆。</w:t>
      </w:r>
      <w:r>
        <w:rPr>
          <w:rFonts w:hint="eastAsia" w:ascii="楷体" w:hAnsi="楷体" w:eastAsia="楷体" w:cs="楷体"/>
          <w:b/>
          <w:bCs/>
          <w:i/>
          <w:sz w:val="32"/>
          <w:szCs w:val="32"/>
        </w:rPr>
        <w:t>（三公经费支出口径应在专业名词解释中予以说明）</w:t>
      </w:r>
    </w:p>
    <w:p>
      <w:pPr>
        <w:pStyle w:val="16"/>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6"/>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2023年度政府性基金预算财政拨款收入0万元；年初结转和结余0万元；支出0万元，其中基本支出0万元，项目支出0万元；年末结转和结余0万元。</w:t>
      </w:r>
    </w:p>
    <w:p>
      <w:pPr>
        <w:pStyle w:val="16"/>
        <w:spacing w:line="600" w:lineRule="exact"/>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本部门2023年度机关运行经费支出10万元</w:t>
      </w:r>
      <w:r>
        <w:rPr>
          <w:rFonts w:hint="eastAsia" w:ascii="楷体" w:hAnsi="楷体" w:eastAsia="楷体" w:cs="楷体"/>
          <w:b/>
          <w:bCs/>
          <w:i/>
          <w:color w:val="auto"/>
          <w:sz w:val="32"/>
          <w:szCs w:val="32"/>
        </w:rPr>
        <w:t>（与部门决算中行政单位和参照公务员法管理事业单位财政拨款基本支出中公用经费之和一致）</w:t>
      </w:r>
      <w:r>
        <w:rPr>
          <w:rFonts w:hint="eastAsia" w:ascii="Times New Roman" w:hAnsi="Times New Roman" w:eastAsia="仿宋_GB2312"/>
          <w:sz w:val="32"/>
          <w:szCs w:val="32"/>
        </w:rPr>
        <w:t>，与年初预算数持平。</w:t>
      </w:r>
    </w:p>
    <w:p>
      <w:pPr>
        <w:pStyle w:val="16"/>
        <w:spacing w:line="600" w:lineRule="exact"/>
        <w:ind w:firstLine="640" w:firstLineChars="200"/>
        <w:rPr>
          <w:rFonts w:hAnsi="黑体"/>
          <w:bCs/>
          <w:sz w:val="32"/>
          <w:szCs w:val="32"/>
        </w:rPr>
      </w:pPr>
      <w:r>
        <w:rPr>
          <w:rFonts w:hint="eastAsia" w:hAnsi="黑体"/>
          <w:bCs/>
          <w:sz w:val="32"/>
          <w:szCs w:val="32"/>
        </w:rPr>
        <w:t>十、一般性支出情况说明</w:t>
      </w:r>
    </w:p>
    <w:p>
      <w:pPr>
        <w:pStyle w:val="16"/>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2023年本部门开支会议费0万元，用于召开……会议，人数0人，内容为……；开支培训费0万元，用于开展……培训，人数0人，内容为……；举办……等节庆、晚会、论坛、赛事活动，开支0万元，主要是……。</w:t>
      </w:r>
      <w:r>
        <w:rPr>
          <w:rFonts w:hint="eastAsia" w:ascii="楷体" w:hAnsi="楷体" w:eastAsia="楷体" w:cs="楷体"/>
          <w:b/>
          <w:bCs/>
          <w:i/>
          <w:color w:val="auto"/>
          <w:sz w:val="32"/>
          <w:szCs w:val="32"/>
        </w:rPr>
        <w:t>（注：三类会议、培训活动，节庆、晚会、论坛、赛事等活动，请分项列明活动计划及经费预算情况）</w:t>
      </w:r>
    </w:p>
    <w:p>
      <w:pPr>
        <w:pStyle w:val="16"/>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6"/>
        <w:spacing w:line="58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150万元，其中：政府采购货物支出0万元、政府采购工程支出0万元、政府采购服务支出0万元。授予中小企业合同金额150万元，占政府采购支出总额的100%，其中：授予小微企业合同金额150万元，</w:t>
      </w:r>
      <w:r>
        <w:rPr>
          <w:rFonts w:hint="eastAsia" w:ascii="Times New Roman" w:hAnsi="Times New Roman" w:eastAsia="仿宋_GB2312"/>
          <w:color w:val="auto"/>
          <w:sz w:val="32"/>
          <w:szCs w:val="32"/>
        </w:rPr>
        <w:t>占授予中小企业合同金额的100%。货物采购授予中小企业合同金额占货物支出金额的</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w:t>
      </w:r>
      <w:r>
        <w:rPr>
          <w:rFonts w:hint="eastAsia" w:ascii="楷体" w:hAnsi="楷体" w:eastAsia="楷体" w:cs="楷体"/>
          <w:b/>
          <w:bCs/>
          <w:i/>
          <w:color w:val="auto"/>
          <w:sz w:val="32"/>
          <w:szCs w:val="32"/>
        </w:rPr>
        <w:t>（政府采购金额的计算口径为：本部门纳入2023年度部门预算范围的各项政府采购支出金额之和，不包括涉密采购项目的支出金额）</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pPr>
        <w:pStyle w:val="16"/>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截至2023年12月31日，部门（单位）共有车辆2辆，其中，副部（省）级及以上领导用车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辆、主要负责人用车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辆、机要通信用车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辆、离退休干部服务用车</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辆、其他用车2辆，其他用车主要是送戏下乡；单位价值100万元以上设备（不含车辆）</w:t>
      </w:r>
      <w:r>
        <w:rPr>
          <w:rFonts w:hint="eastAsia" w:ascii="Times New Roman" w:hAnsi="Times New Roman" w:eastAsia="仿宋_GB2312"/>
          <w:sz w:val="32"/>
          <w:szCs w:val="32"/>
        </w:rPr>
        <w:t>0</w:t>
      </w:r>
      <w:r>
        <w:rPr>
          <w:rFonts w:hint="eastAsia" w:ascii="Times New Roman" w:hAnsi="Times New Roman" w:eastAsia="仿宋_GB2312"/>
          <w:color w:val="auto"/>
          <w:sz w:val="32"/>
          <w:szCs w:val="32"/>
        </w:rPr>
        <w:t>台（套）。</w:t>
      </w:r>
    </w:p>
    <w:p>
      <w:pPr>
        <w:pStyle w:val="16"/>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（一）绩效管理工作开展情况</w:t>
      </w:r>
    </w:p>
    <w:p>
      <w:pPr>
        <w:pStyle w:val="16"/>
        <w:spacing w:line="580" w:lineRule="exact"/>
        <w:ind w:firstLine="640" w:firstLineChars="200"/>
        <w:rPr>
          <w:rFonts w:ascii="楷体" w:hAnsi="楷体" w:eastAsia="楷体" w:cs="楷体"/>
          <w:b/>
          <w:bCs/>
          <w:sz w:val="32"/>
          <w:szCs w:val="32"/>
        </w:rPr>
      </w:pPr>
    </w:p>
    <w:p>
      <w:pPr>
        <w:pStyle w:val="16"/>
        <w:spacing w:line="580" w:lineRule="exact"/>
        <w:ind w:firstLine="640" w:firstLineChars="200"/>
        <w:rPr>
          <w:rFonts w:ascii="楷体" w:hAnsi="楷体" w:eastAsia="楷体" w:cs="楷体"/>
          <w:b/>
          <w:bCs/>
          <w:sz w:val="32"/>
          <w:szCs w:val="32"/>
        </w:rPr>
      </w:pP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2023年为了提高本馆工作人员的工作效率和服务水平，为更好地发挥图书馆在公共文化服务体系建设中的作用，本着一切为读者服务的宗旨，围绕优化服务、拓展图书馆教育和信息的功能，从读者服务、业务管理、读书活动、提高人员素质入手等各项工作任务。2023年度主要做了下面几点：</w:t>
      </w:r>
    </w:p>
    <w:p>
      <w:pPr>
        <w:spacing w:line="540" w:lineRule="exact"/>
        <w:ind w:firstLine="640"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一）基础业务建设情况</w:t>
      </w:r>
    </w:p>
    <w:p>
      <w:pPr>
        <w:spacing w:line="540" w:lineRule="exact"/>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1、免费开放情况。节假日不休，每周免费开放时间达56小时以上。截至2023年10月28日，共接待读者80.88万人次，全年新办读者证430个，图书流通49.1万册次,举办各类阅读推广活动28次。</w:t>
      </w:r>
    </w:p>
    <w:p>
      <w:pPr>
        <w:spacing w:line="540" w:lineRule="exact"/>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2、基础设施建设。为读者提供安全舒适的阅读环境和更优质的服务，吸引更多读者走进图书馆、爱上图书馆。3月县图书馆南馆经鉴定为C级危房，属于限制使用级别。5月本馆办公楼屋顶钢结构搭建10余年的雨棚翻新，厕所改造及新增残疾人无障碍厕所。</w:t>
      </w:r>
    </w:p>
    <w:p>
      <w:pPr>
        <w:ind w:firstLine="480" w:firstLineChars="15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3、图书流动服务情况。充分利用馆藏图书资源和数字资源，送图书服务进乡村、进校园、进军营、进社区、进景区活动，为各类读者提供最优质的上门送读服务深受欢迎。尤其是利用节假日，到景区开展了红色文化、地方文献展，让游客更加全面深入地了解道县这座历史文化名城，以推动道县文旅深度融合，实现文旅资源共享、合作共赢。全年流动服务达50次，服务受益群众达20万余人。</w:t>
      </w:r>
    </w:p>
    <w:p>
      <w:pPr>
        <w:spacing w:line="540" w:lineRule="exact"/>
        <w:ind w:firstLine="640" w:firstLineChars="200"/>
        <w:jc w:val="left"/>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4、馆藏资源建设。截至目前，道县图书馆共有纸质图书馆62.44万余册，采购新书900册，北京枫林公益基金会为我馆捐赠图书2万册。订购报纸22种，期刊130种，已全部上架供读者借阅。数字资源：新增资源1 TB，资源总量达到7 TB.并且可以通过移动数字阅读平台进行移动阅读。</w:t>
      </w:r>
    </w:p>
    <w:p>
      <w:pPr>
        <w:spacing w:line="540" w:lineRule="exact"/>
        <w:ind w:firstLine="640" w:firstLineChars="20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5.扩大网络宣传。在道县图书馆网站的基础上，今年又推出了道县图书馆微信公众平台，增加了对外宣传推介的名片。让群众能够了解图书馆的动态及馆藏情况，开创了图书馆信息宣传工作的新局面。</w:t>
      </w:r>
    </w:p>
    <w:p>
      <w:pPr>
        <w:spacing w:line="540" w:lineRule="exact"/>
        <w:ind w:firstLine="640"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二）各类文化活动开展情况</w:t>
      </w:r>
    </w:p>
    <w:p>
      <w:pPr>
        <w:ind w:firstLine="480" w:firstLineChars="150"/>
        <w:rPr>
          <w:rFonts w:ascii="Times New Roman" w:hAnsi="Times New Roman" w:eastAsia="仿宋_GB2312" w:cs="黑体"/>
          <w:color w:val="000000"/>
          <w:kern w:val="0"/>
          <w:sz w:val="32"/>
          <w:szCs w:val="32"/>
        </w:rPr>
      </w:pPr>
      <w:r>
        <w:rPr>
          <w:rFonts w:hint="eastAsia" w:ascii="Times New Roman" w:hAnsi="Times New Roman" w:eastAsia="仿宋_GB2312" w:cs="黑体"/>
          <w:color w:val="000000"/>
          <w:kern w:val="0"/>
          <w:sz w:val="32"/>
          <w:szCs w:val="32"/>
        </w:rPr>
        <w:t>为更好发挥图书馆的作用，提升影响力，不断满足广大读者丰富的精神文化需求，道县图书馆立足实际，全面周到地为读者提供各类丰富多彩的文化活动15场，服务受益群众达10万余人。一是组织全县各图书分馆管理员开展“两法”专题集中培训活动、“图书馆服务宣传周”、“读者座谈会”、老年人电脑基础知识培训班、全县少儿征文、公益性讲座等活动9场。二是在庆祝建党100周年系列活动中，开展“清扫陈树湘烈士纪念园 缅怀革命先烈”活动、“4.23世界读书日”暨庆祝建党100周年“学党史、颂党恩、猜谜语”线上猜谜活动、“24小时自助图书馆 邀你共庆党的百年华诞”活动。。三积极组织全县少年儿童参加“童心向党 童阅湖南”第40届湖南省主题少儿读书活动、绘画、开展了红色主题图书展等6场，在活动中获得省级个人奖2名。先进的服务手段，多样的服务内容，进一步丰富广大读者文化生活。</w:t>
      </w:r>
    </w:p>
    <w:p>
      <w:pPr>
        <w:pStyle w:val="16"/>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pStyle w:val="8"/>
        <w:widowControl/>
        <w:spacing w:beforeAutospacing="0" w:afterAutospacing="0" w:line="33" w:lineRule="atLeast"/>
        <w:ind w:firstLine="42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一是专项资金拨付不及时，资金使用与专项工作运行时间不对口，凸显出账目不规范。</w:t>
      </w:r>
    </w:p>
    <w:p>
      <w:pPr>
        <w:pStyle w:val="8"/>
        <w:widowControl/>
        <w:spacing w:beforeAutospacing="0" w:afterAutospacing="0" w:line="33" w:lineRule="atLeast"/>
        <w:ind w:firstLine="420"/>
        <w:jc w:val="both"/>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二是财政预算安排单项工作经费不足，难于足额保障开展专项工作。</w:t>
      </w:r>
    </w:p>
    <w:p>
      <w:pPr>
        <w:pStyle w:val="16"/>
        <w:jc w:val="center"/>
        <w:rPr>
          <w:rFonts w:ascii="Times New Roman" w:hAnsi="Times New Roman" w:eastAsia="仿宋_GB2312"/>
          <w:sz w:val="32"/>
          <w:szCs w:val="32"/>
        </w:rPr>
      </w:pPr>
    </w:p>
    <w:p>
      <w:pPr>
        <w:pStyle w:val="16"/>
        <w:jc w:val="center"/>
        <w:rPr>
          <w:sz w:val="72"/>
          <w:szCs w:val="72"/>
        </w:rPr>
      </w:pPr>
    </w:p>
    <w:p>
      <w:pPr>
        <w:pStyle w:val="16"/>
        <w:jc w:val="both"/>
        <w:rPr>
          <w:rFonts w:ascii="方正小标宋_GBK" w:hAnsi="方正小标宋_GBK" w:eastAsia="方正小标宋_GBK" w:cs="方正小标宋_GBK"/>
          <w:sz w:val="72"/>
          <w:szCs w:val="72"/>
        </w:rPr>
      </w:pPr>
    </w:p>
    <w:p>
      <w:pPr>
        <w:pStyle w:val="16"/>
        <w:jc w:val="both"/>
        <w:rPr>
          <w:rFonts w:ascii="方正小标宋_GBK" w:hAnsi="方正小标宋_GBK" w:eastAsia="方正小标宋_GBK" w:cs="方正小标宋_GBK"/>
          <w:sz w:val="72"/>
          <w:szCs w:val="72"/>
        </w:rPr>
      </w:pPr>
    </w:p>
    <w:p>
      <w:pPr>
        <w:pStyle w:val="16"/>
        <w:jc w:val="both"/>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br w:type="page"/>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1．财政拨款收入：指单位本年度从同级财政部门取得的各类财政拨款。</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2．上级补助收入：指事业单位从主管部门和上级单位取得的非财政补助收入。</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5．对附属单位补助支出：指事业单位用财政拨款收入之外的收入对附属单位补助发生的支出。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6．经营支出：指事业单位在专业业务活动及其辅助活动之外开展非独立核算经营活动发生的支出。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7．事业收入：指事业单位开展专业业务活动及其辅助活动取得的收入，事业单位收到的财政专户实际核拨的教育收费等资金在此反映。</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8．经营收入：指事业单位在专业业务活动及其辅助活动之外开展非独立核算经营活动取得的收入。</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9．附属单位上缴收入：指事业单位附属独立核算单位按照有关规定上缴的收入。</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10．其他收入：指单位取得的除上述“财政拨款收入”、“事业收入”、“经营收入”等以外的各项收入。</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11．使用非财政拨款结余：指事业单位使用非财政拨款结余（原事业基金）弥补当年收支差额的数额。</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12．年初结转和结余：指单位上年结转本年使用的基本支出结转、项目支出结转和结余和经营结余。</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13．结余分配：指事业单位按规定对非财政拨款结余资金提取的专用基金、缴纳的所得税和转入非财政拨款结余等。</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14．年末结转和结余资金：指本年度或以前年度预算安排、因客观条件发生变化无法按原计划实施，需要延迟到以后年度按有关规定继续使用的资金。</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15．基本支出：指为保障机构正常运转、完成日常工作任务而发生的支出，包括人员经费和公用经费。</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16．项目支出：指在为完成特定的工作任务和事业发展目标所发生的支出。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17．上缴上级支出：指事业单位按照财政部门和主管部门的规定上缴上级单位的支出。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18．文化旅游体育与传媒支出（类）文化和旅游（款）行政运行（项）：反映行政单位（包括实行公务员管理的事业单位）的基本支出。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19．文化旅游体育与传媒支出（类）文化和旅游（款）图书馆（项）：反映图书馆的支出。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20．社会保障和就业支出（类）行政事业单位养老支出（款）机关事业单位基本养老保险缴费支出（项）：反映机关事业单位实施养老保险制度由单位缴纳的基本养老保险费支出。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21．社会保障和就业支出（类）行政事业单位养老支出（款）机关事业单位职业年金缴费支出（项）：反映机关事业单位实施养老保险制度由单位实际缴纳的职业年金支出。</w:t>
      </w:r>
    </w:p>
    <w:p>
      <w:pPr>
        <w:tabs>
          <w:tab w:val="left" w:pos="360"/>
        </w:tabs>
        <w:spacing w:line="360" w:lineRule="auto"/>
        <w:ind w:left="420" w:leftChars="200" w:firstLine="358" w:firstLineChars="112"/>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22．卫生健康支出（类）行政事业单位医疗（款）事业单位医疗（项）：反映财政部门安排的事业单位基本医疗保险缴费经费，未参 加医疗保险的事业单位的公费医疗经费，按国家规定享受离休 人员待遇的医疗经费。</w:t>
      </w: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rPr>
          <w:sz w:val="72"/>
          <w:szCs w:val="72"/>
        </w:rPr>
      </w:pPr>
      <w:r>
        <w:br w:type="page"/>
      </w: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p>
    <w:p>
      <w:pPr>
        <w:pStyle w:val="16"/>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6"/>
        <w:jc w:val="center"/>
        <w:rPr>
          <w:rFonts w:ascii="方正小标宋_GBK" w:hAnsi="方正小标宋_GBK" w:eastAsia="方正小标宋_GBK" w:cs="方正小标宋_GBK"/>
          <w:sz w:val="70"/>
          <w:szCs w:val="70"/>
        </w:rPr>
      </w:pPr>
    </w:p>
    <w:p>
      <w:pPr>
        <w:pStyle w:val="16"/>
        <w:jc w:val="center"/>
        <w:rPr>
          <w:sz w:val="72"/>
          <w:szCs w:val="72"/>
        </w:rPr>
      </w:pPr>
      <w:r>
        <w:rPr>
          <w:rFonts w:hint="eastAsia" w:ascii="方正小标宋_GBK" w:hAnsi="方正小标宋_GBK" w:eastAsia="方正小标宋_GBK" w:cs="方正小标宋_GBK"/>
          <w:sz w:val="70"/>
          <w:szCs w:val="70"/>
        </w:rPr>
        <w:t>附件</w:t>
      </w:r>
    </w:p>
    <w:p>
      <w:pPr>
        <w:rPr>
          <w:sz w:val="72"/>
          <w:szCs w:val="72"/>
        </w:rPr>
      </w:pPr>
      <w:r>
        <w:br w:type="page"/>
      </w:r>
    </w:p>
    <w:p>
      <w:pPr>
        <w:pStyle w:val="16"/>
        <w:spacing w:line="600" w:lineRule="exact"/>
        <w:ind w:firstLine="640" w:firstLineChars="200"/>
        <w:rPr>
          <w:rFonts w:ascii="Times New Roman" w:hAnsi="Times New Roman" w:eastAsia="仿宋_GB2312"/>
          <w:sz w:val="32"/>
          <w:szCs w:val="32"/>
        </w:rPr>
      </w:pPr>
      <w:r>
        <w:rPr>
          <w:rFonts w:hint="eastAsia" w:ascii="楷体" w:hAnsi="楷体" w:eastAsia="楷体" w:cs="楷体"/>
          <w:b/>
          <w:bCs/>
          <w:sz w:val="32"/>
          <w:szCs w:val="32"/>
        </w:rPr>
        <w:t>一、</w:t>
      </w:r>
      <w:r>
        <w:rPr>
          <w:rFonts w:hint="eastAsia" w:ascii="Times New Roman" w:hAnsi="Times New Roman" w:eastAsia="仿宋_GB2312"/>
          <w:sz w:val="32"/>
          <w:szCs w:val="32"/>
        </w:rPr>
        <w:t>2023年度部门(单位)整体支出绩效自评报告。</w:t>
      </w:r>
    </w:p>
    <w:p>
      <w:pPr>
        <w:pStyle w:val="16"/>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w:t>
      </w:r>
    </w:p>
    <w:p>
      <w:pPr>
        <w:pStyle w:val="16"/>
        <w:spacing w:line="600" w:lineRule="exact"/>
        <w:ind w:firstLine="640" w:firstLineChars="200"/>
        <w:rPr>
          <w:rFonts w:ascii="Times New Roman" w:hAnsi="Times New Roman" w:eastAsia="仿宋_GB2312"/>
          <w:sz w:val="32"/>
          <w:szCs w:val="32"/>
        </w:rPr>
      </w:pP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63EF8"/>
    <w:multiLevelType w:val="multilevel"/>
    <w:tmpl w:val="44B63EF8"/>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A4"/>
    <w:rsid w:val="00084CA9"/>
    <w:rsid w:val="000D10DF"/>
    <w:rsid w:val="000E15A7"/>
    <w:rsid w:val="00136232"/>
    <w:rsid w:val="00145FAC"/>
    <w:rsid w:val="00146B1E"/>
    <w:rsid w:val="00193185"/>
    <w:rsid w:val="001D66A8"/>
    <w:rsid w:val="002623E2"/>
    <w:rsid w:val="002B2BBF"/>
    <w:rsid w:val="002B6D99"/>
    <w:rsid w:val="003802DF"/>
    <w:rsid w:val="003912C3"/>
    <w:rsid w:val="003A65A4"/>
    <w:rsid w:val="00412DEF"/>
    <w:rsid w:val="0042658B"/>
    <w:rsid w:val="00446DF8"/>
    <w:rsid w:val="004F2AE8"/>
    <w:rsid w:val="0055345A"/>
    <w:rsid w:val="00585B3D"/>
    <w:rsid w:val="005F1E15"/>
    <w:rsid w:val="00605786"/>
    <w:rsid w:val="00672115"/>
    <w:rsid w:val="006778EA"/>
    <w:rsid w:val="00773ECD"/>
    <w:rsid w:val="0079142E"/>
    <w:rsid w:val="00810916"/>
    <w:rsid w:val="008A5C84"/>
    <w:rsid w:val="008E592A"/>
    <w:rsid w:val="008F30DE"/>
    <w:rsid w:val="00900E53"/>
    <w:rsid w:val="00900E7D"/>
    <w:rsid w:val="00A02CD6"/>
    <w:rsid w:val="00A26D94"/>
    <w:rsid w:val="00A93CC3"/>
    <w:rsid w:val="00B417E4"/>
    <w:rsid w:val="00B65EA7"/>
    <w:rsid w:val="00BD05BE"/>
    <w:rsid w:val="00C363BE"/>
    <w:rsid w:val="00CB3EE6"/>
    <w:rsid w:val="00CF6393"/>
    <w:rsid w:val="00D962E3"/>
    <w:rsid w:val="00E2441B"/>
    <w:rsid w:val="00E979B9"/>
    <w:rsid w:val="00EA6976"/>
    <w:rsid w:val="00F0751F"/>
    <w:rsid w:val="00F43849"/>
    <w:rsid w:val="00F905AC"/>
    <w:rsid w:val="485A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0">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style>
  <w:style w:type="paragraph" w:customStyle="1" w:styleId="12">
    <w:name w:val="Footer"/>
    <w:basedOn w:val="1"/>
    <w:link w:val="15"/>
    <w:unhideWhenUsed/>
    <w:qFormat/>
    <w:uiPriority w:val="99"/>
    <w:pPr>
      <w:tabs>
        <w:tab w:val="center" w:pos="4153"/>
        <w:tab w:val="right" w:pos="8306"/>
      </w:tabs>
      <w:snapToGrid w:val="0"/>
      <w:jc w:val="left"/>
    </w:pPr>
    <w:rPr>
      <w:sz w:val="18"/>
      <w:szCs w:val="18"/>
    </w:rPr>
  </w:style>
  <w:style w:type="paragraph" w:customStyle="1" w:styleId="1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页眉 Char"/>
    <w:basedOn w:val="11"/>
    <w:link w:val="13"/>
    <w:qFormat/>
    <w:uiPriority w:val="99"/>
    <w:rPr>
      <w:sz w:val="18"/>
      <w:szCs w:val="18"/>
    </w:rPr>
  </w:style>
  <w:style w:type="character" w:customStyle="1" w:styleId="15">
    <w:name w:val="页脚 Char"/>
    <w:basedOn w:val="11"/>
    <w:link w:val="12"/>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sz w:val="18"/>
      <w:szCs w:val="18"/>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21"/>
    <w:basedOn w:val="11"/>
    <w:qFormat/>
    <w:uiPriority w:val="0"/>
    <w:rPr>
      <w:rFonts w:hint="eastAsia" w:ascii="宋体" w:hAnsi="宋体" w:eastAsia="宋体" w:cs="宋体"/>
      <w:color w:val="000000"/>
      <w:sz w:val="24"/>
      <w:szCs w:val="24"/>
      <w:u w:val="none"/>
    </w:rPr>
  </w:style>
  <w:style w:type="character" w:customStyle="1" w:styleId="21">
    <w:name w:val="font11"/>
    <w:basedOn w:val="11"/>
    <w:qFormat/>
    <w:uiPriority w:val="0"/>
    <w:rPr>
      <w:rFonts w:hint="eastAsia" w:ascii="宋体" w:hAnsi="宋体" w:eastAsia="宋体" w:cs="宋体"/>
      <w:color w:val="000000"/>
      <w:sz w:val="24"/>
      <w:szCs w:val="24"/>
      <w:u w:val="none"/>
    </w:rPr>
  </w:style>
  <w:style w:type="character" w:customStyle="1" w:styleId="22">
    <w:name w:val="页眉 Char1"/>
    <w:basedOn w:val="11"/>
    <w:link w:val="7"/>
    <w:uiPriority w:val="99"/>
    <w:rPr>
      <w:rFonts w:asciiTheme="minorHAnsi" w:hAnsiTheme="minorHAnsi" w:eastAsiaTheme="minorEastAsia" w:cstheme="minorBidi"/>
      <w:kern w:val="2"/>
      <w:sz w:val="18"/>
      <w:szCs w:val="18"/>
    </w:rPr>
  </w:style>
  <w:style w:type="character" w:customStyle="1" w:styleId="23">
    <w:name w:val="页脚 Char1"/>
    <w:basedOn w:val="11"/>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Template>Normal</Template>
  <TotalTime>3</TotalTime>
  <Pages>24</Pages>
  <Words>1347</Words>
  <Characters>7679</Characters>
  <Application>WPS Office_11.8.2.10125_F1E327BC-269C-435d-A152-05C5408002CA</Application>
  <DocSecurity>0</DocSecurity>
  <Lines>63</Lines>
  <Paragraphs>18</Paragraphs>
  <Company>Microsoft</Company>
  <CharactersWithSpaces>9008</CharactersWithSpaces>
  <AppVersion>14.0000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4.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5.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TotalTime>
  <ScaleCrop>false</ScaleCrop>
  <LinksUpToDate>false</LinksUpToDate>
  <CharactersWithSpaces>9008</CharactersWithSpaces>
  <Application>WPS Office_11.8.2.10125_F1E327BC-269C-435d-A152-05C5408002CA</Application>
  <DocSecurity>0</DocSecuri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greatwall</cp:lastModifiedBy>
  <cp:revision>67</cp:revision>
  <cp:lastPrinted>2024-08-08T10:20:43Z</cp:lastPrinted>
  <dcterms:created xsi:type="dcterms:W3CDTF">2020-07-08T02:32:00Z</dcterms:created>
  <dcterms:modified xsi:type="dcterms:W3CDTF">2024-08-08T10:23:01Z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greatwall</cp:lastModifiedBy>
  <cp:lastPrinted>2024-08-08T10:20:43Z</cp:lastPrinted>
  <dcterms:modified xsi:type="dcterms:W3CDTF">2024-08-08T10:23:01Z</dcterms:modified>
  <cp:revision>67</cp:revision>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wstr>2052-11.8.2.10125</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1EBAA6B-EC48-492B-A5E8-06EF0E37617A}">
  <ds:schemaRefs/>
</ds:datastoreItem>
</file>

<file path=customXml/itemProps11.xml><?xml version="1.0" encoding="utf-8"?>
<ds:datastoreItem xmlns:ds="http://schemas.openxmlformats.org/officeDocument/2006/customXml" ds:itemID="{6979AE0E-D5CA-46C6-A9C6-9464D5339945}">
  <ds:schemaRefs/>
</ds:datastoreItem>
</file>

<file path=customXml/itemProps2.xml><?xml version="1.0" encoding="utf-8"?>
<ds:datastoreItem xmlns:ds="http://schemas.openxmlformats.org/officeDocument/2006/customXml" ds:itemID="{DE624D41-8297-43A9-80DF-F4BBD34A2793}">
  <ds:schemaRefs/>
</ds:datastoreItem>
</file>

<file path=customXml/itemProps3.xml><?xml version="1.0" encoding="utf-8"?>
<ds:datastoreItem xmlns:ds="http://schemas.openxmlformats.org/officeDocument/2006/customXml" ds:itemID="{D3EB2B12-E855-4C2E-B269-9217AB59F05F}">
  <ds:schemaRefs/>
</ds:datastoreItem>
</file>

<file path=customXml/itemProps4.xml><?xml version="1.0" encoding="utf-8"?>
<ds:datastoreItem xmlns:ds="http://schemas.openxmlformats.org/officeDocument/2006/customXml" ds:itemID="{3592DDF2-1608-4DCA-A1EA-25D01944F5AD}">
  <ds:schemaRefs/>
</ds:datastoreItem>
</file>

<file path=customXml/itemProps5.xml><?xml version="1.0" encoding="utf-8"?>
<ds:datastoreItem xmlns:ds="http://schemas.openxmlformats.org/officeDocument/2006/customXml" ds:itemID="{83C56A94-EC6D-42C7-A596-147615DBD4EA}">
  <ds:schemaRefs/>
</ds:datastoreItem>
</file>

<file path=customXml/itemProps6.xml><?xml version="1.0" encoding="utf-8"?>
<ds:datastoreItem xmlns:ds="http://schemas.openxmlformats.org/officeDocument/2006/customXml" ds:itemID="{D0351AD6-94AE-4455-912A-CE1A3FFBE5D5}">
  <ds:schemaRefs/>
</ds:datastoreItem>
</file>

<file path=customXml/itemProps7.xml><?xml version="1.0" encoding="utf-8"?>
<ds:datastoreItem xmlns:ds="http://schemas.openxmlformats.org/officeDocument/2006/customXml" ds:itemID="{CB957589-6710-4039-9376-F9880A1D3736}">
  <ds:schemaRefs/>
</ds:datastoreItem>
</file>

<file path=customXml/itemProps8.xml><?xml version="1.0" encoding="utf-8"?>
<ds:datastoreItem xmlns:ds="http://schemas.openxmlformats.org/officeDocument/2006/customXml" ds:itemID="{65FABCE2-40F3-4E7D-93E4-91A1D519481C}">
  <ds:schemaRefs/>
</ds:datastoreItem>
</file>

<file path=customXml/itemProps9.xml><?xml version="1.0" encoding="utf-8"?>
<ds:datastoreItem xmlns:ds="http://schemas.openxmlformats.org/officeDocument/2006/customXml" ds:itemID="{EA971AA8-B1E3-4858-9717-64C0667078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1716</Words>
  <Characters>9783</Characters>
  <Lines>81</Lines>
  <Paragraphs>22</Paragraphs>
  <TotalTime>96</TotalTime>
  <ScaleCrop>false</ScaleCrop>
  <LinksUpToDate>false</LinksUpToDate>
  <CharactersWithSpaces>11477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2024-08-27T07:59:09Z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