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bookmarkStart w:id="3" w:name="_GoBack"/>
      <w:bookmarkEnd w:id="3"/>
      <w:r>
        <w:rPr>
          <w:sz w:val="56"/>
        </w:rPr>
        <mc:AlternateContent>
          <mc:Choice Requires="wps">
            <w:drawing>
              <wp:anchor distT="0" distB="0" distL="114300" distR="114300" simplePos="0" relativeHeight="251658240"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8240;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道县社会科学界联合会</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道县社会科学界联合会</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道县社会科学界联合会概况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sz w:val="32"/>
          <w:szCs w:val="32"/>
        </w:rPr>
        <w:t>贯彻落实中央、省市繁荣发展哲学社会科学方针、政策。</w:t>
      </w:r>
    </w:p>
    <w:p>
      <w:pPr>
        <w:pStyle w:val="20"/>
        <w:spacing w:before="0" w:line="560" w:lineRule="exact"/>
        <w:ind w:left="0" w:firstLine="640" w:firstLineChars="200"/>
        <w:rPr>
          <w:rFonts w:hint="eastAsia"/>
          <w:lang w:val="en-US"/>
        </w:rPr>
      </w:pPr>
      <w:r>
        <w:rPr>
          <w:rFonts w:hint="eastAsia"/>
          <w:lang w:val="en-US"/>
        </w:rPr>
        <w:t>2.制定全县中长期社会科学发展规划和年度工作计划并组织实施。</w:t>
      </w:r>
    </w:p>
    <w:p>
      <w:pPr>
        <w:pStyle w:val="20"/>
        <w:spacing w:before="0" w:line="560" w:lineRule="exact"/>
        <w:ind w:left="0" w:firstLine="640" w:firstLineChars="200"/>
        <w:rPr>
          <w:rFonts w:hint="eastAsia"/>
          <w:lang w:val="en-US"/>
        </w:rPr>
      </w:pPr>
      <w:r>
        <w:rPr>
          <w:rFonts w:hint="eastAsia"/>
          <w:lang w:val="en-US"/>
        </w:rPr>
        <w:t>3.承担全县社科课题规划，组织开展社会科学重点课题研究。</w:t>
      </w:r>
    </w:p>
    <w:p>
      <w:pPr>
        <w:pStyle w:val="20"/>
        <w:spacing w:before="0" w:line="560" w:lineRule="exact"/>
        <w:ind w:left="0" w:firstLine="640" w:firstLineChars="200"/>
        <w:rPr>
          <w:rFonts w:hint="eastAsia"/>
          <w:lang w:val="en-US"/>
        </w:rPr>
      </w:pPr>
      <w:r>
        <w:rPr>
          <w:rFonts w:hint="eastAsia"/>
          <w:lang w:val="en-US"/>
        </w:rPr>
        <w:t>4.负责宣传、推广、应用优秀社会科学成果。</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中央、省委、市委和县委重大工作部署贯彻落实情况的督促检查工作，负责中央、省委、市委和县委领导同志指示的传达和催办落实，组织办理人大代表、政协委员需要党委机关回复的有关建议、提案，及时向领导机关和领导同志报告督办情况。 </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2.指导、组织、协调、监督全县社会科学各类学会、协会、研究会和民间社会科学研究机构的工作。</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3.对社会类社会团体的成立、变更、注销向社团登记机构提出审查意见。</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4.负责社科类社会团体制定章程、组织学术研讨活动的指导和审核。</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5.负责社科类学会吸收境外人士为会员或担任名誉性职务的核准。</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6.协助有关部门抓好人文科学类讲坛、论坛和刊物、网站的管理工作。</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7.组织和推动所属团体会员及社会科学工作者开展社科研究和学术活动。</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8.参与改革开放和现代化建设重大课题攻关，为县委、县政府决策提供咨询。</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9.组织和管理全县社科课题立项评选、优秀社科成果的出版资助工作。</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10.组织全县社会科学优秀成果评奖和优秀社会科学专家的推荐评选。</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11.鼓励、资助社科基地开展社会成果应用对策研究，发挥基地服务经济社会发展作用。</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12.组织和推动社会科学知识宣传、普及、培训活动，提供社科咨询服务。</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13.组织开展重大政治理论、意识形态重大问题和中华民族优秀文化传统的宣传、推广和普及活动。</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14.组织开展反对邪教、愚昧迷信、渗透、西化等宣传教育和学术活动。</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15.组织开展与高校、党校、社科研究院及自然科学界的联系协作和学术交流。</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16.协助相关部门加强社科队伍建设、关心社科工作人才的成长，维护社科工作者的合法权益。</w:t>
      </w:r>
    </w:p>
    <w:p>
      <w:pPr>
        <w:pStyle w:val="21"/>
        <w:spacing w:before="0" w:line="560" w:lineRule="exact"/>
        <w:ind w:left="0" w:firstLine="640" w:firstLineChars="200"/>
        <w:rPr>
          <w:rFonts w:hint="eastAsia" w:ascii="仿宋" w:hAnsi="仿宋" w:eastAsia="仿宋"/>
          <w:lang w:val="en-US"/>
        </w:rPr>
      </w:pPr>
      <w:r>
        <w:rPr>
          <w:rFonts w:hint="eastAsia" w:ascii="仿宋" w:hAnsi="仿宋" w:eastAsia="仿宋"/>
          <w:lang w:val="en-US"/>
        </w:rPr>
        <w:t>17.承担县委、县政府交办的其他任务和中心工作。</w:t>
      </w:r>
    </w:p>
    <w:p>
      <w:pPr>
        <w:ind w:firstLine="1120" w:firstLineChars="350"/>
        <w:jc w:val="left"/>
        <w:rPr>
          <w:rFonts w:hint="eastAsia" w:ascii="Times New Roman" w:hAnsi="Times New Roman" w:eastAsia="仿宋_GB2312" w:cs="仿宋_GB2312"/>
          <w:sz w:val="32"/>
          <w:szCs w:val="32"/>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56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道县社会科学界联合会</w:t>
      </w:r>
      <w:r>
        <w:rPr>
          <w:rFonts w:hint="eastAsia" w:ascii="Times New Roman" w:hAnsi="Times New Roman" w:eastAsia="仿宋_GB2312" w:cs="仿宋_GB2312"/>
          <w:bCs/>
          <w:kern w:val="0"/>
          <w:sz w:val="32"/>
          <w:szCs w:val="32"/>
        </w:rPr>
        <w:t>内设机构包括：</w:t>
      </w:r>
      <w:r>
        <w:rPr>
          <w:rFonts w:hint="eastAsia" w:ascii="仿宋_GB2312" w:hAnsi="仿宋_GB2312" w:eastAsia="仿宋_GB2312" w:cs="仿宋_GB2312"/>
          <w:sz w:val="32"/>
          <w:szCs w:val="32"/>
        </w:rPr>
        <w:t>综合室、业务室共有2个内设机构。</w:t>
      </w:r>
    </w:p>
    <w:p>
      <w:pPr>
        <w:spacing w:line="56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道县社会科学界联合会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道县社会科学界联合会</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373"/>
        <w:gridCol w:w="374"/>
        <w:gridCol w:w="2895"/>
        <w:gridCol w:w="3537"/>
        <w:gridCol w:w="3178"/>
        <w:gridCol w:w="979"/>
        <w:gridCol w:w="774"/>
        <w:gridCol w:w="774"/>
        <w:gridCol w:w="774"/>
        <w:gridCol w:w="1770"/>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4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7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8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648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63</w:t>
                  </w:r>
                  <w:r>
                    <w:rPr>
                      <w:rFonts w:hint="eastAsia" w:ascii="宋体" w:hAnsi="宋体" w:eastAsia="宋体" w:cs="宋体"/>
                      <w:i w:val="0"/>
                      <w:color w:val="000000"/>
                      <w:sz w:val="22"/>
                      <w:szCs w:val="22"/>
                      <w:u w:val="none"/>
                      <w:lang w:val="en-US" w:eastAsia="zh-CN"/>
                    </w:rPr>
                    <w:t>.6</w:t>
                  </w: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rPr>
                    <w:t>13</w:t>
                  </w:r>
                  <w:r>
                    <w:rPr>
                      <w:rFonts w:hint="eastAsia" w:ascii="宋体" w:hAnsi="宋体" w:eastAsia="宋体" w:cs="宋体"/>
                      <w:i w:val="0"/>
                      <w:color w:val="00000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42</w:t>
                  </w: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63</w:t>
                  </w:r>
                  <w:r>
                    <w:rPr>
                      <w:rFonts w:hint="eastAsia" w:ascii="宋体" w:hAnsi="宋体" w:eastAsia="宋体" w:cs="宋体"/>
                      <w:i w:val="0"/>
                      <w:color w:val="000000"/>
                      <w:sz w:val="22"/>
                      <w:szCs w:val="22"/>
                      <w:u w:val="none"/>
                      <w:lang w:val="en-US" w:eastAsia="zh-CN"/>
                    </w:rPr>
                    <w:t>.6</w:t>
                  </w: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63</w:t>
                  </w:r>
                  <w:r>
                    <w:rPr>
                      <w:rFonts w:hint="eastAsia" w:ascii="宋体" w:hAnsi="宋体" w:eastAsia="宋体" w:cs="宋体"/>
                      <w:i w:val="0"/>
                      <w:color w:val="00000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05"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05"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50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3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74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8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5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7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35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317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97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7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7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7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7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89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35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7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89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53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17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7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35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317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97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7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7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7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364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63.6</w:t>
            </w:r>
            <w:r>
              <w:rPr>
                <w:rFonts w:hint="eastAsia"/>
              </w:rPr>
              <w:t>　</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63.6</w:t>
            </w:r>
            <w:r>
              <w:rPr>
                <w:rFonts w:hint="eastAsia"/>
              </w:rPr>
              <w:t>　</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2012950</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事业运行</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7</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7</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2070199</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其他文化和旅游支出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color w:val="000000"/>
                <w:kern w:val="0"/>
                <w:sz w:val="22"/>
                <w:szCs w:val="22"/>
                <w:u w:val="none"/>
                <w:lang w:val="en-US" w:eastAsia="zh-CN" w:bidi="ar"/>
              </w:rPr>
              <w:t>5.2</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5.2</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2012999</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5.4</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5.4</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2013304</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宣传管理</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1.2</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2079999</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0.1</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color w:val="000000"/>
                <w:kern w:val="0"/>
                <w:sz w:val="22"/>
                <w:szCs w:val="22"/>
                <w:u w:val="none"/>
                <w:lang w:val="en-US" w:eastAsia="zh-CN" w:bidi="ar"/>
              </w:rPr>
              <w:t>0.1</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2101199</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其他行政事业单位医疗支出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0.7</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0.7</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2060199</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其他科学技术管理事务支出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42.5</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50" w:hRule="atLeast"/>
        </w:trPr>
        <w:tc>
          <w:tcPr>
            <w:tcW w:w="7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28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53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317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7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fixed"/>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tblPrEx>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63.6</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31.5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i w:val="0"/>
                <w:color w:val="000000"/>
                <w:kern w:val="0"/>
                <w:sz w:val="22"/>
                <w:szCs w:val="22"/>
                <w:u w:val="none"/>
                <w:lang w:val="en-US" w:eastAsia="zh-CN" w:bidi="ar"/>
              </w:rPr>
              <w:t>32.1</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2012950</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事业运行</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2070199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其他文化和旅游支出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2012999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其他群众团体事务支出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5.4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2013304</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宣传管理</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1.2</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1.2</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2079999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0.1</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2101199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其他行政事业单位医疗支出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2060199</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其他科学技术管理事务支出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42.5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17.0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25.4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1.4</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0.0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63.6</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31.5</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32.1</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2012950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事业运行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2012999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其他群众团体事务支出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5.4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2013304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宣传管理</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2079999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2101199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其他行政事业单位医疗支出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2060199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其他科学技术管理事务支出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42.5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17.0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25.4</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1.4万</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1.4万</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color w:val="000000"/>
                <w:kern w:val="0"/>
                <w:sz w:val="22"/>
                <w:szCs w:val="22"/>
                <w:u w:val="none"/>
                <w:lang w:val="en-US" w:eastAsia="zh-CN" w:bidi="ar"/>
              </w:rPr>
              <w:t>0.0万</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614" w:type="dxa"/>
        <w:tblInd w:w="0" w:type="dxa"/>
        <w:tblLayout w:type="fixed"/>
        <w:tblCellMar>
          <w:top w:w="0" w:type="dxa"/>
          <w:left w:w="108" w:type="dxa"/>
          <w:bottom w:w="0" w:type="dxa"/>
          <w:right w:w="108" w:type="dxa"/>
        </w:tblCellMar>
      </w:tblPr>
      <w:tblGrid>
        <w:gridCol w:w="1003"/>
        <w:gridCol w:w="240"/>
        <w:gridCol w:w="95"/>
        <w:gridCol w:w="1307"/>
        <w:gridCol w:w="2059"/>
        <w:gridCol w:w="60"/>
        <w:gridCol w:w="587"/>
        <w:gridCol w:w="1222"/>
        <w:gridCol w:w="310"/>
        <w:gridCol w:w="2006"/>
        <w:gridCol w:w="113"/>
        <w:gridCol w:w="535"/>
        <w:gridCol w:w="1223"/>
        <w:gridCol w:w="361"/>
        <w:gridCol w:w="2119"/>
        <w:gridCol w:w="1726"/>
        <w:gridCol w:w="394"/>
        <w:gridCol w:w="254"/>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14.6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7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4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26.7</w:t>
            </w:r>
          </w:p>
        </w:tc>
        <w:tc>
          <w:tcPr>
            <w:tcW w:w="961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4.8</w:t>
            </w:r>
          </w:p>
        </w:tc>
      </w:tr>
      <w:tr>
        <w:tblPrEx>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7"/>
                <w:lang w:val="en-US" w:eastAsia="zh-CN" w:bidi="ar"/>
              </w:rPr>
              <w:t xml:space="preserve">   </w:t>
            </w:r>
            <w:r>
              <w:rPr>
                <w:rStyle w:val="18"/>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9"/>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4"/>
        <w:rPr>
          <w:sz w:val="72"/>
          <w:szCs w:val="72"/>
        </w:rPr>
      </w:pPr>
    </w:p>
    <w:p>
      <w:pPr>
        <w:pStyle w:val="14"/>
        <w:rPr>
          <w:sz w:val="72"/>
          <w:szCs w:val="72"/>
        </w:rPr>
      </w:pPr>
    </w:p>
    <w:p>
      <w:pPr>
        <w:pStyle w:val="14"/>
        <w:rPr>
          <w:sz w:val="72"/>
          <w:szCs w:val="72"/>
        </w:rPr>
      </w:pPr>
    </w:p>
    <w:p>
      <w:pPr>
        <w:pStyle w:val="14"/>
        <w:rPr>
          <w:sz w:val="72"/>
          <w:szCs w:val="72"/>
        </w:rPr>
      </w:pPr>
    </w:p>
    <w:p>
      <w:pPr>
        <w:pStyle w:val="14"/>
        <w:jc w:val="center"/>
        <w:rPr>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127.2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32.1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127.2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127.2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p>
    <w:p>
      <w:pPr>
        <w:pStyle w:val="14"/>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13.7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%；科学技术支出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w:t>
      </w:r>
      <w:r>
        <w:rPr>
          <w:rFonts w:hint="eastAsia" w:ascii="Times New Roman" w:hAnsi="Times New Roman" w:eastAsia="仿宋_GB2312"/>
          <w:sz w:val="32"/>
          <w:szCs w:val="32"/>
        </w:rPr>
        <w:t>%;文化旅游体育与传媒支出</w:t>
      </w:r>
      <w:r>
        <w:rPr>
          <w:rFonts w:hint="eastAsia" w:ascii="Times New Roman" w:hAnsi="Times New Roman" w:eastAsia="仿宋_GB2312"/>
          <w:sz w:val="32"/>
          <w:szCs w:val="32"/>
          <w:lang w:val="en-US" w:eastAsia="zh-CN"/>
        </w:rPr>
        <w:t>5.3万元，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1.4万元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0.7万元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63.6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1、一般公共服务（类）一般公共预算财政拨款（款）事业运行（项）。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、一般公共服务（类）一般公共预算财政拨款（款）其他群众团体事务支出（项）。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、一般公共服务（类）一般公共预算财政拨款（款）宣传管理（项）。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、科学技术支出（类）一般公共预算财政拨款（款）其他科学技术管理事务支出（项）。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、文化旅游体育与传媒支出（类）一般公共预算财政拨款（款）其他文化和旅游支出（项）。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、文化旅游体育与传媒支出（类）一般公共预算财政拨款（款）其他文化旅游体育与传媒支出（项）。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、社会保障和就业支出（类）一般公共预算财政拨款（款）机关事业单位基本养老保险缴费支出（项）。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、卫生健康支出（类）一般公共预算财政拨款（款）其他行政事业单位医疗支出（项）。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决算数等于预算数。</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31.5</w:t>
      </w:r>
      <w:r>
        <w:rPr>
          <w:rFonts w:hint="eastAsia" w:ascii="Times New Roman" w:hAnsi="Times New Roman" w:eastAsia="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26.7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、绩效工资、机关事业单位基本养老保险缴费、职业年金缴费、职工基本医疗保险缴费、住房公积金。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%，主要包括办公费、公务接待费、劳务费、差旅费</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r>
        <w:rPr>
          <w:rFonts w:hint="eastAsia" w:ascii="Times New Roman" w:hAnsi="Times New Roman" w:eastAsia="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110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（精确到个位数）</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社科工作</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4"/>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楷体" w:hAnsi="楷体" w:eastAsia="楷体" w:cs="楷体"/>
          <w:b w:val="0"/>
          <w:bCs w:val="0"/>
          <w:i w:val="0"/>
          <w:iCs/>
          <w:color w:val="auto"/>
          <w:kern w:val="0"/>
          <w:sz w:val="32"/>
          <w:szCs w:val="32"/>
          <w:lang w:val="en-US" w:eastAsia="zh-CN" w:bidi="ar-SA"/>
        </w:rPr>
        <w:t>本单位无政府性基金收支</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万元，比年初预算数（或者上年决算数）增加</w:t>
      </w:r>
      <w:r>
        <w:rPr>
          <w:rFonts w:hint="eastAsia" w:ascii="Times New Roman" w:hAnsi="Times New Roman" w:eastAsia="仿宋_GB2312"/>
          <w:sz w:val="32"/>
          <w:szCs w:val="32"/>
          <w:lang w:val="en-US" w:eastAsia="zh-CN"/>
        </w:rPr>
        <w:t>4.8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本单位于</w:t>
      </w:r>
      <w:r>
        <w:rPr>
          <w:rFonts w:hint="eastAsia" w:ascii="Times New Roman" w:hAnsi="Times New Roman" w:eastAsia="仿宋_GB2312"/>
          <w:sz w:val="32"/>
          <w:szCs w:val="32"/>
          <w:lang w:val="en-US" w:eastAsia="zh-CN"/>
        </w:rPr>
        <w:t>2022年成立，去年未进行决算</w:t>
      </w:r>
      <w:r>
        <w:rPr>
          <w:rFonts w:hint="eastAsia" w:ascii="Times New Roman" w:hAnsi="Times New Roman" w:eastAsia="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万元，用于召开会议，人数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万元，用于开展培训，人数</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人，内容为；举办节庆、晚会、论坛、赛事活动，开支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楷体" w:hAnsi="楷体" w:eastAsia="楷体" w:cs="楷体"/>
          <w:b/>
          <w:bCs/>
          <w:i/>
          <w:color w:val="auto"/>
          <w:kern w:val="0"/>
          <w:sz w:val="32"/>
          <w:szCs w:val="32"/>
          <w:lang w:val="en-US" w:eastAsia="zh-CN" w:bidi="ar-SA"/>
        </w:rPr>
        <w:t>（注：三类会议、培训活动，节庆、晚会、论坛、赛事等活动，请分项列明活动计划及经费预算情况）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楷体" w:hAnsi="楷体" w:eastAsia="楷体" w:cs="楷体"/>
          <w:b/>
          <w:bCs/>
          <w:i/>
          <w:color w:val="auto"/>
          <w:kern w:val="0"/>
          <w:sz w:val="32"/>
          <w:szCs w:val="32"/>
          <w:lang w:val="en-US" w:eastAsia="zh-CN" w:bidi="ar-SA"/>
        </w:rPr>
        <w:t>（政府采购金额的计算口径为：本部门纳入2023年度部门预算范围的各项政府采购支出金额之和，不包括涉密采购项目的支出金额）</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4"/>
        <w:jc w:val="both"/>
        <w:rPr>
          <w:sz w:val="72"/>
          <w:szCs w:val="72"/>
        </w:rPr>
      </w:pPr>
    </w:p>
    <w:p>
      <w:pPr>
        <w:pStyle w:val="14"/>
        <w:jc w:val="center"/>
        <w:rPr>
          <w:sz w:val="72"/>
          <w:szCs w:val="72"/>
        </w:rPr>
      </w:pPr>
    </w:p>
    <w:p>
      <w:pPr>
        <w:pStyle w:val="14"/>
        <w:jc w:val="center"/>
        <w:rPr>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pPr>
        <w:pStyle w:val="14"/>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pStyle w:val="14"/>
        <w:jc w:val="center"/>
        <w:rPr>
          <w:sz w:val="72"/>
          <w:szCs w:val="72"/>
        </w:rPr>
      </w:pPr>
    </w:p>
    <w:p>
      <w:pPr>
        <w:rPr>
          <w:sz w:val="72"/>
          <w:szCs w:val="72"/>
        </w:rPr>
      </w:pPr>
      <w:r>
        <w:rPr>
          <w:sz w:val="72"/>
          <w:szCs w:val="72"/>
        </w:rPr>
        <w:br w:type="page"/>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4"/>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4"/>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4"/>
        <w:jc w:val="center"/>
        <w:rPr>
          <w:sz w:val="72"/>
          <w:szCs w:val="72"/>
        </w:rPr>
      </w:pPr>
    </w:p>
    <w:p>
      <w:pPr>
        <w:pStyle w:val="14"/>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63E447D"/>
    <w:rsid w:val="1D97DEFF"/>
    <w:rsid w:val="1DFF72E5"/>
    <w:rsid w:val="1EFC6F07"/>
    <w:rsid w:val="2FDF85B8"/>
    <w:rsid w:val="2FFFEE04"/>
    <w:rsid w:val="34DF85B0"/>
    <w:rsid w:val="3B8F36BC"/>
    <w:rsid w:val="3ED35EB6"/>
    <w:rsid w:val="491FF225"/>
    <w:rsid w:val="4FFD214C"/>
    <w:rsid w:val="5777D4F5"/>
    <w:rsid w:val="59DD8326"/>
    <w:rsid w:val="5BFF55A5"/>
    <w:rsid w:val="5DEF592A"/>
    <w:rsid w:val="5FC6BB1E"/>
    <w:rsid w:val="5FF720F1"/>
    <w:rsid w:val="5FFF895E"/>
    <w:rsid w:val="67FF5C0B"/>
    <w:rsid w:val="6EFC0924"/>
    <w:rsid w:val="6EFF25DD"/>
    <w:rsid w:val="6FB74722"/>
    <w:rsid w:val="6FEF8B7E"/>
    <w:rsid w:val="71A6591B"/>
    <w:rsid w:val="737D59BA"/>
    <w:rsid w:val="77C37683"/>
    <w:rsid w:val="79AD735F"/>
    <w:rsid w:val="79FF515B"/>
    <w:rsid w:val="7E9E1962"/>
    <w:rsid w:val="7E9F11B4"/>
    <w:rsid w:val="7F37EC1E"/>
    <w:rsid w:val="7F7DCD9D"/>
    <w:rsid w:val="7F970A6F"/>
    <w:rsid w:val="7FC1FFF3"/>
    <w:rsid w:val="7FC69637"/>
    <w:rsid w:val="7FDF8620"/>
    <w:rsid w:val="7FF765C1"/>
    <w:rsid w:val="7FFB242F"/>
    <w:rsid w:val="7FFDB408"/>
    <w:rsid w:val="7FFE4EEB"/>
    <w:rsid w:val="95FB2B98"/>
    <w:rsid w:val="9A639BC2"/>
    <w:rsid w:val="9FF7D786"/>
    <w:rsid w:val="ABBFB23D"/>
    <w:rsid w:val="C3B4DA5A"/>
    <w:rsid w:val="CBFF70E0"/>
    <w:rsid w:val="CFF50B82"/>
    <w:rsid w:val="CFFFAD89"/>
    <w:rsid w:val="DFFE359E"/>
    <w:rsid w:val="DFFE4FFD"/>
    <w:rsid w:val="EEABED75"/>
    <w:rsid w:val="F1EFFA81"/>
    <w:rsid w:val="F56FDF51"/>
    <w:rsid w:val="F6B69F17"/>
    <w:rsid w:val="F77F1D61"/>
    <w:rsid w:val="F7FED3A9"/>
    <w:rsid w:val="F8C9DB26"/>
    <w:rsid w:val="F97E8EAE"/>
    <w:rsid w:val="FB36E1A6"/>
    <w:rsid w:val="FB3BE134"/>
    <w:rsid w:val="FCFF4275"/>
    <w:rsid w:val="FD7FEEEA"/>
    <w:rsid w:val="FDFFB577"/>
    <w:rsid w:val="FEEA50FE"/>
    <w:rsid w:val="FF7D47A9"/>
    <w:rsid w:val="FFCF21CB"/>
    <w:rsid w:val="FFDF61F4"/>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spacing w:before="48"/>
      <w:ind w:left="120"/>
    </w:pPr>
    <w:rPr>
      <w:rFonts w:ascii="仿宋_GB2312" w:hAnsi="仿宋_GB2312" w:eastAsia="仿宋_GB2312"/>
      <w:sz w:val="32"/>
      <w:szCs w:val="32"/>
    </w:rPr>
  </w:style>
  <w:style w:type="paragraph" w:styleId="3">
    <w:name w:val="Body Text Indent 2"/>
    <w:basedOn w:val="1"/>
    <w:qFormat/>
    <w:uiPriority w:val="0"/>
    <w:pPr>
      <w:spacing w:after="120" w:line="480" w:lineRule="auto"/>
      <w:ind w:left="420" w:leftChars="2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 w:type="paragraph" w:customStyle="1" w:styleId="20">
    <w:name w:val="BodyText"/>
    <w:basedOn w:val="1"/>
    <w:next w:val="21"/>
    <w:qFormat/>
    <w:uiPriority w:val="0"/>
    <w:pPr>
      <w:spacing w:before="43"/>
      <w:ind w:left="120"/>
      <w:jc w:val="both"/>
      <w:textAlignment w:val="baseline"/>
    </w:pPr>
    <w:rPr>
      <w:rFonts w:ascii="仿宋" w:hAnsi="仿宋" w:eastAsia="仿宋"/>
      <w:kern w:val="2"/>
      <w:sz w:val="32"/>
      <w:szCs w:val="32"/>
      <w:lang w:val="zh-CN" w:eastAsia="zh-CN" w:bidi="ar-SA"/>
    </w:rPr>
  </w:style>
  <w:style w:type="paragraph" w:customStyle="1" w:styleId="21">
    <w:name w:val="BodyText1I"/>
    <w:basedOn w:val="20"/>
    <w:qFormat/>
    <w:uiPriority w:val="0"/>
    <w:pPr>
      <w:spacing w:before="43"/>
      <w:ind w:left="120" w:firstLine="420" w:firstLineChars="100"/>
      <w:jc w:val="both"/>
      <w:textAlignment w:val="baseline"/>
    </w:pPr>
    <w:rPr>
      <w:rFonts w:ascii="Calibri" w:hAnsi="Calibri" w:eastAsia="微软雅黑"/>
      <w:kern w:val="2"/>
      <w:sz w:val="32"/>
      <w:szCs w:val="3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TotalTime>
  <ScaleCrop>false</ScaleCrop>
  <LinksUpToDate>false</LinksUpToDate>
  <CharactersWithSpaces>9008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Administrator</cp:lastModifiedBy>
  <cp:lastPrinted>2024-08-09T02:20:00Z</cp:lastPrinted>
  <dcterms:modified xsi:type="dcterms:W3CDTF">2024-08-26T09:28:10Z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