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eastAsia="黑体" w:cs="黑体"/>
          <w:sz w:val="40"/>
          <w:szCs w:val="40"/>
        </w:rPr>
      </w:pPr>
      <w:bookmarkStart w:id="0" w:name="_GoBack"/>
      <w:r>
        <w:rPr>
          <w:rFonts w:hint="eastAsia" w:ascii="黑体" w:eastAsia="黑体" w:cs="黑体"/>
          <w:sz w:val="40"/>
          <w:szCs w:val="40"/>
        </w:rPr>
        <w:t>202</w:t>
      </w:r>
      <w:r>
        <w:rPr>
          <w:rFonts w:hint="eastAsia" w:ascii="黑体" w:eastAsia="黑体" w:cs="黑体"/>
          <w:sz w:val="40"/>
          <w:szCs w:val="40"/>
          <w:lang w:val="en-US" w:eastAsia="zh-CN"/>
        </w:rPr>
        <w:t>3</w:t>
      </w:r>
      <w:r>
        <w:rPr>
          <w:rFonts w:hint="eastAsia" w:ascii="黑体" w:eastAsia="黑体" w:cs="黑体"/>
          <w:sz w:val="40"/>
          <w:szCs w:val="40"/>
        </w:rPr>
        <w:t>年度道县供销合作社联合社</w:t>
      </w:r>
      <w:r>
        <w:rPr>
          <w:rFonts w:hint="eastAsia" w:ascii="黑体" w:eastAsia="黑体" w:cs="黑体"/>
          <w:sz w:val="40"/>
          <w:szCs w:val="40"/>
          <w:lang w:eastAsia="zh-CN"/>
        </w:rPr>
        <w:t>部门</w:t>
      </w:r>
      <w:r>
        <w:rPr>
          <w:rFonts w:hint="eastAsia" w:ascii="黑体" w:eastAsia="黑体" w:cs="黑体"/>
          <w:sz w:val="40"/>
          <w:szCs w:val="40"/>
        </w:rPr>
        <w:t>整体支出绩效</w:t>
      </w:r>
    </w:p>
    <w:p>
      <w:pPr>
        <w:widowControl/>
        <w:jc w:val="center"/>
        <w:rPr>
          <w:rFonts w:hint="eastAsia" w:ascii="黑体" w:eastAsia="黑体" w:cs="黑体"/>
          <w:sz w:val="40"/>
          <w:szCs w:val="40"/>
        </w:rPr>
      </w:pPr>
      <w:r>
        <w:rPr>
          <w:rFonts w:hint="eastAsia" w:ascii="黑体" w:eastAsia="黑体" w:cs="黑体"/>
          <w:sz w:val="40"/>
          <w:szCs w:val="40"/>
          <w:lang w:eastAsia="zh-CN"/>
        </w:rPr>
        <w:t>自</w:t>
      </w:r>
      <w:r>
        <w:rPr>
          <w:rFonts w:hint="eastAsia" w:ascii="黑体" w:eastAsia="黑体" w:cs="黑体"/>
          <w:sz w:val="40"/>
          <w:szCs w:val="40"/>
        </w:rPr>
        <w:t>评报告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32"/>
          <w:szCs w:val="32"/>
          <w:lang w:eastAsia="zh-CN"/>
        </w:rPr>
        <w:t>一、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部门基本情况：</w:t>
      </w:r>
      <w:r>
        <w:rPr>
          <w:rFonts w:ascii="仿宋_GB2312" w:hAnsi="仿宋_GB2312"/>
          <w:color w:val="000000"/>
          <w:sz w:val="32"/>
          <w:szCs w:val="32"/>
        </w:rPr>
        <w:t>正科级单位，2023年底共有在职人员16人。内设机构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/>
          <w:color w:val="000000"/>
          <w:sz w:val="32"/>
          <w:szCs w:val="32"/>
        </w:rPr>
        <w:t>个，分别为办公室、信访维稳办公室、政工人事股、财务审计股、合作指导股，主要工作职能如下：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贯彻执行党和政府有关农村经济的方针、政策、法规，研究制定农村合作经济组织的发展计划，指导农村合作经济组织规范发展，加快供销合作社系统的改革步伐，把供销合作社真正办成农村合作经济组织的主体；组织协调农业生产资料的供应和各项为农服务工作，按照县人民政府授权承担重要农业生产资料、农副产品的储备，适时调控市场；协调有关部门的关系，推动全县供销社组织农民进入市场，参与大流通、大市场，发展农业产业化经营，为农业、农村和农民提供综合服务，建立和完善本系统为农业生产资料和农村经济发展服务的体系，预测预报相关的市场信息；指导供销社系统的科技开发和推广应用工作，引进、推广农业产销所需的新品种、新设施、新技术，推进科教兴社战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/>
          <w:b/>
          <w:bCs w:val="0"/>
          <w:color w:val="000000"/>
          <w:sz w:val="32"/>
          <w:szCs w:val="32"/>
        </w:rPr>
      </w:pPr>
      <w:r>
        <w:rPr>
          <w:rFonts w:hint="eastAsia" w:ascii="仿宋_GB2312" w:hAnsi="仿宋_GB2312"/>
          <w:b/>
          <w:bCs w:val="0"/>
          <w:color w:val="000000"/>
          <w:kern w:val="0"/>
          <w:sz w:val="32"/>
          <w:szCs w:val="32"/>
          <w:lang w:eastAsia="zh-CN"/>
        </w:rPr>
        <w:t>二、</w:t>
      </w:r>
      <w:r>
        <w:rPr>
          <w:rFonts w:ascii="仿宋_GB2312" w:hAnsi="仿宋_GB2312"/>
          <w:b/>
          <w:bCs w:val="0"/>
          <w:color w:val="000000"/>
          <w:kern w:val="0"/>
          <w:sz w:val="32"/>
          <w:szCs w:val="32"/>
        </w:rPr>
        <w:t>部门整体支出绩效目标：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宋体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坚持以党的</w:t>
      </w:r>
      <w:r>
        <w:fldChar w:fldCharType="begin"/>
      </w:r>
      <w:r>
        <w:instrText xml:space="preserve"> HYPERLINK "http://www.wm114.cn/0o/32/index.html" </w:instrText>
      </w:r>
      <w:r>
        <w:fldChar w:fldCharType="separate"/>
      </w:r>
      <w:r>
        <w:rPr>
          <w:rStyle w:val="7"/>
          <w:rFonts w:hint="eastAsia" w:ascii="仿宋_GB2312" w:hAnsi="仿宋_GB2312"/>
          <w:color w:val="000000"/>
          <w:sz w:val="32"/>
          <w:szCs w:val="32"/>
          <w:u w:val="none"/>
          <w:lang w:val="en-US" w:eastAsia="zh-CN"/>
        </w:rPr>
        <w:t>二十大</w:t>
      </w:r>
      <w:r>
        <w:rPr>
          <w:rStyle w:val="8"/>
          <w:rFonts w:ascii="仿宋_GB2312" w:hAnsi="仿宋_GB2312"/>
          <w:color w:val="000000"/>
          <w:sz w:val="32"/>
          <w:szCs w:val="32"/>
          <w:u w:val="none"/>
        </w:rPr>
        <w:t>会</w:t>
      </w:r>
      <w:r>
        <w:rPr>
          <w:rStyle w:val="8"/>
          <w:rFonts w:ascii="仿宋_GB2312" w:hAnsi="仿宋_GB2312"/>
          <w:color w:val="000000"/>
          <w:sz w:val="32"/>
          <w:szCs w:val="32"/>
          <w:u w:val="none"/>
        </w:rPr>
        <w:fldChar w:fldCharType="end"/>
      </w:r>
      <w:r>
        <w:rPr>
          <w:rStyle w:val="8"/>
          <w:rFonts w:hint="eastAsia" w:ascii="仿宋_GB2312" w:hAnsi="仿宋_GB2312"/>
          <w:color w:val="000000"/>
          <w:sz w:val="32"/>
          <w:szCs w:val="32"/>
          <w:u w:val="none"/>
          <w:lang w:val="en-US" w:eastAsia="zh-CN"/>
        </w:rPr>
        <w:t>议</w:t>
      </w:r>
      <w:r>
        <w:rPr>
          <w:rFonts w:ascii="仿宋_GB2312" w:hAnsi="仿宋_GB2312"/>
          <w:color w:val="000000"/>
          <w:sz w:val="32"/>
          <w:szCs w:val="32"/>
        </w:rPr>
        <w:t>精神为指导，继续推进</w:t>
      </w:r>
      <w:r>
        <w:rPr>
          <w:rFonts w:ascii="仿宋_GB2312" w:hAnsi="仿宋_GB2312"/>
          <w:color w:val="000000"/>
          <w:sz w:val="32"/>
          <w:szCs w:val="32"/>
          <w:shd w:val="clear" w:color="auto" w:fill="FFFFFF"/>
        </w:rPr>
        <w:t>供销合作社综合改革，紧紧</w:t>
      </w:r>
      <w:r>
        <w:rPr>
          <w:rFonts w:ascii="仿宋_GB2312" w:hAnsi="仿宋_GB2312"/>
          <w:color w:val="000000"/>
          <w:sz w:val="32"/>
          <w:szCs w:val="32"/>
        </w:rPr>
        <w:t>围绕县委、县政府的发展战略，坚持为农服务宗旨，进一步夯实改革发展的内生动力，增强服务功能，努力把供销合作社打造成服务“三农”的生力军和主阵地。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1、</w:t>
      </w:r>
      <w:r>
        <w:rPr>
          <w:rFonts w:hint="eastAsia" w:ascii="仿宋_GB2312" w:hAnsi="仿宋_GB2312"/>
          <w:kern w:val="0"/>
          <w:sz w:val="32"/>
          <w:szCs w:val="32"/>
          <w:lang w:val="en-US" w:eastAsia="zh-CN"/>
        </w:rPr>
        <w:t>恢复重建基层社</w:t>
      </w:r>
      <w:r>
        <w:rPr>
          <w:rFonts w:ascii="仿宋_GB2312" w:hAnsi="仿宋_GB2312"/>
          <w:kern w:val="0"/>
          <w:sz w:val="32"/>
          <w:szCs w:val="32"/>
        </w:rPr>
        <w:t>2家。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2、以粮安水稻种植农民专业合作社联合社为龙头，引导农户种植标准化农田1.5</w:t>
      </w:r>
      <w:r>
        <w:rPr>
          <w:rFonts w:hint="eastAsia" w:ascii="仿宋_GB2312" w:hAnsi="仿宋_GB2312"/>
          <w:kern w:val="0"/>
          <w:sz w:val="32"/>
          <w:szCs w:val="32"/>
          <w:lang w:val="en-US" w:eastAsia="zh-CN"/>
        </w:rPr>
        <w:t>万</w:t>
      </w:r>
      <w:r>
        <w:rPr>
          <w:rFonts w:ascii="仿宋_GB2312" w:hAnsi="仿宋_GB2312"/>
          <w:kern w:val="0"/>
          <w:sz w:val="32"/>
          <w:szCs w:val="32"/>
        </w:rPr>
        <w:t>亩，增加农民收入。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</w:t>
      </w:r>
      <w:r>
        <w:rPr>
          <w:rFonts w:ascii="仿宋_GB2312" w:hAnsi="仿宋_GB2312"/>
          <w:color w:val="000000"/>
          <w:kern w:val="0"/>
          <w:sz w:val="32"/>
          <w:szCs w:val="32"/>
        </w:rPr>
        <w:t>贯通</w:t>
      </w:r>
      <w:r>
        <w:rPr>
          <w:rFonts w:ascii="仿宋_GB2312" w:hAnsi="仿宋_GB2312"/>
          <w:kern w:val="0"/>
          <w:sz w:val="32"/>
          <w:szCs w:val="32"/>
        </w:rPr>
        <w:t>“供销惠万家一网通”服务体系。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cs="黑体"/>
          <w:b/>
          <w:color w:val="000000"/>
          <w:sz w:val="32"/>
          <w:szCs w:val="32"/>
          <w:lang w:eastAsia="zh-CN"/>
        </w:rPr>
        <w:t>三</w:t>
      </w:r>
      <w:r>
        <w:rPr>
          <w:rFonts w:ascii="仿宋_GB2312" w:hAnsi="仿宋_GB2312" w:cs="黑体"/>
          <w:b/>
          <w:color w:val="000000"/>
          <w:sz w:val="32"/>
          <w:szCs w:val="32"/>
        </w:rPr>
        <w:t>、部门整体支出使用情况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 xml:space="preserve">    2023年供销社共支出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750.78</w:t>
      </w:r>
      <w:r>
        <w:rPr>
          <w:rFonts w:ascii="仿宋_GB2312" w:hAnsi="仿宋_GB2312"/>
          <w:color w:val="000000"/>
          <w:sz w:val="32"/>
          <w:szCs w:val="32"/>
        </w:rPr>
        <w:t>万元，其中在职人员工资及奖金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143.5</w:t>
      </w:r>
      <w:r>
        <w:rPr>
          <w:rFonts w:ascii="仿宋_GB2312" w:hAnsi="仿宋_GB2312"/>
          <w:color w:val="000000"/>
          <w:sz w:val="32"/>
          <w:szCs w:val="32"/>
        </w:rPr>
        <w:t>万元，其他支出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607.28</w:t>
      </w:r>
      <w:r>
        <w:rPr>
          <w:rFonts w:ascii="仿宋_GB2312" w:hAnsi="仿宋_GB2312"/>
          <w:color w:val="000000"/>
          <w:sz w:val="32"/>
          <w:szCs w:val="32"/>
        </w:rPr>
        <w:t>万元，主要用于机关日常工作开支。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（一）基本支出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费用名称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在职人员基本工资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64.15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津贴补贴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42.35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奖金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37.00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养老保险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18.24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职业年金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医疗保险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其他社会保障缴费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住房公积金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其他工资福利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办公费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邮电费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差旅费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水、电费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维修费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培训费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公务接待费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工会经费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福利费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其他交通费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其他商品和服务支出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体检费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抚恤金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33.12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其他科学技术支出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ascii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default" w:ascii="仿宋_GB2312" w:hAnsi="仿宋_GB2312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750.78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/>
          <w:bCs/>
          <w:color w:val="000000"/>
          <w:sz w:val="32"/>
          <w:szCs w:val="32"/>
        </w:rPr>
      </w:pPr>
      <w:r>
        <w:rPr>
          <w:rFonts w:ascii="仿宋_GB2312" w:hAnsi="仿宋_GB2312"/>
          <w:bCs/>
          <w:color w:val="000000"/>
          <w:sz w:val="32"/>
          <w:szCs w:val="32"/>
        </w:rPr>
        <w:t>（二）项目支出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bCs/>
          <w:color w:val="000000"/>
          <w:sz w:val="32"/>
          <w:szCs w:val="32"/>
        </w:rPr>
      </w:pPr>
      <w:r>
        <w:rPr>
          <w:rFonts w:ascii="仿宋_GB2312" w:hAnsi="仿宋_GB2312"/>
          <w:bCs/>
          <w:color w:val="000000"/>
          <w:sz w:val="32"/>
          <w:szCs w:val="32"/>
        </w:rPr>
        <w:t>2023年本单位没有项目支出。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b/>
          <w:color w:val="000000"/>
          <w:sz w:val="32"/>
          <w:szCs w:val="32"/>
        </w:rPr>
      </w:pPr>
      <w:r>
        <w:rPr>
          <w:rFonts w:hint="eastAsia" w:ascii="仿宋_GB2312" w:hAnsi="仿宋_GB2312"/>
          <w:b/>
          <w:color w:val="000000"/>
          <w:sz w:val="32"/>
          <w:szCs w:val="32"/>
          <w:lang w:eastAsia="zh-CN"/>
        </w:rPr>
        <w:t>四</w:t>
      </w:r>
      <w:r>
        <w:rPr>
          <w:rFonts w:ascii="仿宋_GB2312" w:hAnsi="仿宋_GB2312"/>
          <w:b/>
          <w:color w:val="000000"/>
          <w:sz w:val="32"/>
          <w:szCs w:val="32"/>
        </w:rPr>
        <w:t>、部门整体支出管理情况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b/>
          <w:color w:val="00000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>(</w:t>
      </w:r>
      <w:r>
        <w:rPr>
          <w:rFonts w:ascii="仿宋_GB2312" w:hAnsi="仿宋_GB2312"/>
          <w:color w:val="000000"/>
          <w:sz w:val="32"/>
          <w:szCs w:val="32"/>
        </w:rPr>
        <w:t>一）建章建制，完善制度</w:t>
      </w:r>
      <w:r>
        <w:rPr>
          <w:rFonts w:ascii="仿宋_GB2312" w:hAnsi="仿宋_GB2312"/>
          <w:b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根据《会计法》、《预算法》、《事业单位会计制度》等法律法规及有关财务规章制度，明确了经费审批权限及程序，经费预算、核算管理、资产购置与处置、财务监督等，针对“三公”经费建立公用经费标准，开展公用经费使用监督和绩效评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制度执行比较到位，提高了资金使用效率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color w:val="00000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>20</w:t>
      </w:r>
      <w:r>
        <w:rPr>
          <w:rFonts w:ascii="仿宋_GB2312" w:hAnsi="仿宋_GB2312"/>
          <w:color w:val="000000"/>
          <w:sz w:val="32"/>
          <w:szCs w:val="32"/>
        </w:rPr>
        <w:t>23年度加强了财务管理，落实了厉行节约的各项规定。</w:t>
      </w:r>
      <w:r>
        <w:rPr>
          <w:rFonts w:ascii="仿宋_GB2312"/>
          <w:color w:val="000000"/>
          <w:sz w:val="32"/>
          <w:szCs w:val="32"/>
        </w:rPr>
        <w:t>20</w:t>
      </w:r>
      <w:r>
        <w:rPr>
          <w:rFonts w:ascii="仿宋_GB2312" w:hAnsi="仿宋_GB2312"/>
          <w:color w:val="000000"/>
          <w:sz w:val="32"/>
          <w:szCs w:val="32"/>
        </w:rPr>
        <w:t>23年“三公”经费实际支出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3.85</w:t>
      </w:r>
      <w:r>
        <w:rPr>
          <w:rFonts w:ascii="仿宋_GB2312" w:hAnsi="仿宋_GB2312"/>
          <w:color w:val="000000"/>
          <w:sz w:val="32"/>
          <w:szCs w:val="32"/>
        </w:rPr>
        <w:t>万元，公务接待费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3.85</w:t>
      </w:r>
      <w:r>
        <w:rPr>
          <w:rFonts w:ascii="仿宋_GB2312" w:hAnsi="仿宋_GB2312"/>
          <w:color w:val="000000"/>
          <w:sz w:val="32"/>
          <w:szCs w:val="32"/>
        </w:rPr>
        <w:t>万元，“三公”经费的公务接待费比上年减少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0.05</w:t>
      </w:r>
      <w:r>
        <w:rPr>
          <w:rFonts w:ascii="仿宋_GB2312" w:hAnsi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ascii="仿宋_GB2312"/>
          <w:b/>
          <w:color w:val="000000"/>
          <w:sz w:val="30"/>
          <w:szCs w:val="30"/>
        </w:rPr>
      </w:pPr>
      <w:r>
        <w:rPr>
          <w:rFonts w:hint="eastAsia" w:ascii="仿宋_GB2312" w:hAnsi="仿宋_GB2312"/>
          <w:b/>
          <w:color w:val="000000"/>
          <w:sz w:val="30"/>
          <w:szCs w:val="30"/>
          <w:lang w:eastAsia="zh-CN"/>
        </w:rPr>
        <w:t>五</w:t>
      </w:r>
      <w:r>
        <w:rPr>
          <w:rFonts w:ascii="仿宋_GB2312" w:hAnsi="仿宋_GB2312"/>
          <w:b/>
          <w:color w:val="000000"/>
          <w:sz w:val="30"/>
          <w:szCs w:val="30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1、</w:t>
      </w:r>
      <w:r>
        <w:rPr>
          <w:rFonts w:hint="eastAsia" w:ascii="仿宋_GB2312" w:hAnsi="仿宋_GB2312"/>
          <w:kern w:val="0"/>
          <w:sz w:val="32"/>
          <w:szCs w:val="32"/>
          <w:lang w:val="en-US" w:eastAsia="zh-CN"/>
        </w:rPr>
        <w:t>恢复重建基层社</w:t>
      </w:r>
      <w:r>
        <w:rPr>
          <w:rFonts w:ascii="仿宋_GB2312" w:hAnsi="仿宋_GB2312"/>
          <w:kern w:val="0"/>
          <w:sz w:val="32"/>
          <w:szCs w:val="32"/>
        </w:rPr>
        <w:t>2家。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line="50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2、以粮安水稻种植农民专业合作社联合社为龙头，引导农户种植标准化农田1.5</w:t>
      </w:r>
      <w:r>
        <w:rPr>
          <w:rFonts w:hint="eastAsia" w:ascii="仿宋_GB2312" w:hAnsi="仿宋_GB2312"/>
          <w:kern w:val="0"/>
          <w:sz w:val="32"/>
          <w:szCs w:val="32"/>
          <w:lang w:val="en-US" w:eastAsia="zh-CN"/>
        </w:rPr>
        <w:t>万</w:t>
      </w:r>
      <w:r>
        <w:rPr>
          <w:rFonts w:ascii="仿宋_GB2312" w:hAnsi="仿宋_GB2312"/>
          <w:kern w:val="0"/>
          <w:sz w:val="32"/>
          <w:szCs w:val="32"/>
        </w:rPr>
        <w:t>亩，增加农民收入。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3、以市“供销惠万家一网通”运营平台为依托，在全县22个乡镇（街道）建设“供销惠万家一网通”服务中心站点，构建市、县、乡、村四级</w:t>
      </w:r>
      <w:r>
        <w:rPr>
          <w:rFonts w:ascii="仿宋_GB2312" w:hAnsi="仿宋_GB2312"/>
          <w:color w:val="000000"/>
          <w:kern w:val="0"/>
          <w:sz w:val="32"/>
          <w:szCs w:val="32"/>
        </w:rPr>
        <w:t>贯通</w:t>
      </w:r>
      <w:r>
        <w:rPr>
          <w:rFonts w:ascii="仿宋_GB2312" w:hAnsi="仿宋_GB2312"/>
          <w:kern w:val="0"/>
          <w:sz w:val="32"/>
          <w:szCs w:val="32"/>
        </w:rPr>
        <w:t>“供销惠万家一网通”服务体系。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 w:hAnsi="仿宋_GB2312"/>
          <w:b/>
          <w:sz w:val="32"/>
          <w:szCs w:val="32"/>
          <w:lang w:eastAsia="zh-CN"/>
        </w:rPr>
        <w:t>六</w:t>
      </w:r>
      <w:r>
        <w:rPr>
          <w:rFonts w:ascii="仿宋_GB2312" w:hAnsi="仿宋_GB2312"/>
          <w:b/>
          <w:sz w:val="32"/>
          <w:szCs w:val="32"/>
        </w:rPr>
        <w:t>、存在问题及原因分析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主要存在预算资金不够细，支出与预算不够专的问题。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b/>
          <w:sz w:val="32"/>
          <w:szCs w:val="32"/>
        </w:rPr>
      </w:pPr>
      <w:r>
        <w:rPr>
          <w:rFonts w:hint="eastAsia" w:ascii="仿宋_GB2312" w:hAnsi="仿宋_GB2312"/>
          <w:b/>
          <w:sz w:val="32"/>
          <w:szCs w:val="32"/>
          <w:lang w:eastAsia="zh-CN"/>
        </w:rPr>
        <w:t>七</w:t>
      </w:r>
      <w:r>
        <w:rPr>
          <w:rFonts w:ascii="仿宋_GB2312" w:hAnsi="仿宋_GB2312"/>
          <w:b/>
          <w:sz w:val="32"/>
          <w:szCs w:val="32"/>
        </w:rPr>
        <w:t>、改进措施和有关建议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针对存在的问题，提出以下改进措施：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规范财务管理，提高财务管理水平。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严格执行《会计法》、《事业单位财务规定》、《预算法》等规定，执行财务核算，结合实际情况，做好部门预算，严格按照年初资金的预算用途使用资金。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（二）落实管理制度，进一步加强资产管理。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ascii="仿宋_GB2312"/>
          <w:color w:val="000000"/>
          <w:sz w:val="32"/>
          <w:szCs w:val="32"/>
        </w:rPr>
        <w:t xml:space="preserve">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0BE3"/>
    <w:multiLevelType w:val="multilevel"/>
    <w:tmpl w:val="46270BE3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E80413E"/>
    <w:multiLevelType w:val="multilevel"/>
    <w:tmpl w:val="4E80413E"/>
    <w:lvl w:ilvl="0" w:tentative="0">
      <w:start w:val="2"/>
      <w:numFmt w:val="chineseCounting"/>
      <w:suff w:val="nothing"/>
      <w:lvlText w:val="(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TkxZWFhMjMzZDY2NTJiNzAzZDNkMTJlN2NmYjMifQ=="/>
  </w:docVars>
  <w:rsids>
    <w:rsidRoot w:val="12346C45"/>
    <w:rsid w:val="123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2024-08-30T09:29:00Z</dcterms:created>
  <dc:creator>Administrator</dc:creator>
  <cp:lastModifiedBy>Administrator</cp:lastModifiedBy>
  <dcterms:modified xsi:type="dcterms:W3CDTF">2024-08-30T09:29:59Z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3A85F48DF7AC45F3AD2822C3002470C6_11</vt:lpwstr>
  </property>
</Properties>
</file>