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rFonts w:hint="eastAsia"/>
          <w:sz w:val="56"/>
          <w:szCs w:val="56"/>
        </w:rPr>
      </w:pPr>
      <w:bookmarkStart w:id="4" w:name="_GoBack"/>
      <w:bookmarkEnd w:id="4"/>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sz w:val="84"/>
          <w:szCs w:val="84"/>
        </w:rPr>
      </w:pPr>
      <w:r>
        <w:rPr>
          <w:rFonts w:hint="eastAsia"/>
          <w:sz w:val="84"/>
          <w:szCs w:val="84"/>
        </w:rPr>
        <w:t>202</w:t>
      </w:r>
      <w:r>
        <w:rPr>
          <w:rFonts w:hint="eastAsia"/>
          <w:sz w:val="84"/>
          <w:szCs w:val="84"/>
          <w:lang w:val="en-US" w:eastAsia="zh-CN"/>
        </w:rPr>
        <w:t>3</w:t>
      </w:r>
      <w:r>
        <w:rPr>
          <w:rFonts w:hint="eastAsia"/>
          <w:sz w:val="84"/>
          <w:szCs w:val="84"/>
        </w:rPr>
        <w:t>年度</w:t>
      </w:r>
    </w:p>
    <w:p>
      <w:pPr>
        <w:pStyle w:val="14"/>
        <w:jc w:val="center"/>
        <w:rPr>
          <w:sz w:val="84"/>
          <w:szCs w:val="84"/>
        </w:rPr>
      </w:pPr>
      <w:r>
        <w:rPr>
          <w:rFonts w:hint="eastAsia"/>
          <w:sz w:val="84"/>
          <w:szCs w:val="84"/>
        </w:rPr>
        <w:t>何宝珍故里管理所部门决算</w:t>
      </w: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spacing w:line="540" w:lineRule="exact"/>
        <w:jc w:val="center"/>
        <w:rPr>
          <w:sz w:val="56"/>
          <w:szCs w:val="56"/>
        </w:rPr>
      </w:pPr>
    </w:p>
    <w:p>
      <w:pPr>
        <w:pStyle w:val="14"/>
        <w:spacing w:line="500" w:lineRule="exact"/>
        <w:jc w:val="center"/>
        <w:rPr>
          <w:b/>
          <w:sz w:val="36"/>
          <w:szCs w:val="28"/>
        </w:rPr>
      </w:pPr>
    </w:p>
    <w:p>
      <w:pPr>
        <w:pStyle w:val="14"/>
        <w:spacing w:line="500" w:lineRule="exact"/>
        <w:jc w:val="center"/>
        <w:rPr>
          <w:b/>
          <w:sz w:val="36"/>
          <w:szCs w:val="28"/>
        </w:rPr>
      </w:pPr>
    </w:p>
    <w:p>
      <w:pPr>
        <w:pStyle w:val="14"/>
        <w:spacing w:line="500" w:lineRule="exact"/>
        <w:jc w:val="center"/>
        <w:rPr>
          <w:b/>
          <w:sz w:val="36"/>
          <w:szCs w:val="28"/>
        </w:rPr>
      </w:pPr>
      <w:r>
        <w:rPr>
          <w:rFonts w:hint="eastAsia"/>
          <w:b/>
          <w:sz w:val="36"/>
          <w:szCs w:val="28"/>
        </w:rPr>
        <w:t>目录</w:t>
      </w:r>
    </w:p>
    <w:p>
      <w:pPr>
        <w:pStyle w:val="14"/>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何宝珍故里管理所</w:t>
      </w:r>
      <w:r>
        <w:rPr>
          <w:rFonts w:hint="eastAsia"/>
          <w:b/>
          <w:sz w:val="28"/>
          <w:szCs w:val="28"/>
        </w:rPr>
        <w:t>单位概况</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4"/>
        <w:spacing w:line="500" w:lineRule="exact"/>
        <w:rPr>
          <w:rFonts w:ascii="仿宋_GB2312" w:hAnsi="仿宋_GB2312" w:cs="仿宋_GB2312"/>
          <w:b/>
          <w:sz w:val="28"/>
          <w:szCs w:val="28"/>
        </w:rPr>
      </w:pPr>
      <w:r>
        <w:rPr>
          <w:rFonts w:hint="eastAsia" w:hAnsi="仿宋_GB2312"/>
          <w:b/>
          <w:sz w:val="28"/>
          <w:szCs w:val="28"/>
        </w:rPr>
        <w:t>第二部分部门决算表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4"/>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4"/>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w:t>
      </w:r>
      <w:r>
        <w:rPr>
          <w:rFonts w:hint="eastAsia" w:hAnsi="仿宋_GB2312"/>
          <w:b/>
          <w:sz w:val="28"/>
          <w:szCs w:val="28"/>
          <w:lang w:val="en-US" w:eastAsia="zh-CN"/>
        </w:rPr>
        <w:t>3</w:t>
      </w:r>
      <w:r>
        <w:rPr>
          <w:rFonts w:hint="eastAsia" w:hAnsi="仿宋_GB2312"/>
          <w:b/>
          <w:sz w:val="28"/>
          <w:szCs w:val="28"/>
        </w:rPr>
        <w:t>年度部门决算情况说明</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4"/>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4"/>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4"/>
        <w:jc w:val="center"/>
        <w:rPr>
          <w:sz w:val="84"/>
          <w:szCs w:val="84"/>
        </w:rPr>
      </w:pPr>
      <w:r>
        <w:rPr>
          <w:rFonts w:hint="eastAsia"/>
          <w:sz w:val="84"/>
          <w:szCs w:val="84"/>
        </w:rPr>
        <w:t>第一部分</w:t>
      </w:r>
      <w:r>
        <w:rPr>
          <w:sz w:val="84"/>
          <w:szCs w:val="84"/>
        </w:rPr>
        <w:t xml:space="preserve"> </w:t>
      </w:r>
    </w:p>
    <w:p>
      <w:pPr>
        <w:pStyle w:val="14"/>
        <w:jc w:val="center"/>
        <w:rPr>
          <w:sz w:val="84"/>
          <w:szCs w:val="84"/>
        </w:rPr>
      </w:pPr>
    </w:p>
    <w:p>
      <w:pPr>
        <w:pStyle w:val="14"/>
        <w:jc w:val="center"/>
        <w:rPr>
          <w:sz w:val="84"/>
          <w:szCs w:val="84"/>
        </w:rPr>
      </w:pPr>
      <w:r>
        <w:rPr>
          <w:rFonts w:hint="eastAsia"/>
          <w:sz w:val="84"/>
          <w:szCs w:val="84"/>
          <w:lang w:eastAsia="zh-CN"/>
        </w:rPr>
        <w:t>何宝珍故里管理所</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5"/>
        <w:ind w:left="720" w:firstLine="0" w:firstLineChars="0"/>
        <w:jc w:val="left"/>
        <w:rPr>
          <w:rFonts w:ascii="黑体" w:hAnsi="黑体" w:eastAsia="黑体"/>
          <w:sz w:val="32"/>
          <w:szCs w:val="32"/>
        </w:rPr>
      </w:pPr>
    </w:p>
    <w:p>
      <w:pPr>
        <w:pStyle w:val="15"/>
        <w:ind w:left="720" w:firstLine="0" w:firstLineChars="0"/>
        <w:jc w:val="left"/>
        <w:rPr>
          <w:rFonts w:ascii="黑体" w:hAnsi="黑体" w:eastAsia="黑体"/>
          <w:sz w:val="32"/>
          <w:szCs w:val="32"/>
        </w:rPr>
      </w:pPr>
    </w:p>
    <w:p>
      <w:pPr>
        <w:pStyle w:val="15"/>
        <w:ind w:left="720" w:firstLine="0" w:firstLineChars="0"/>
        <w:jc w:val="left"/>
        <w:rPr>
          <w:rFonts w:ascii="黑体" w:hAnsi="黑体" w:eastAsia="黑体"/>
          <w:sz w:val="32"/>
          <w:szCs w:val="32"/>
        </w:rPr>
      </w:pPr>
    </w:p>
    <w:p>
      <w:pPr>
        <w:pStyle w:val="15"/>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何宝珍故里管理所</w:t>
      </w:r>
      <w:r>
        <w:rPr>
          <w:rFonts w:hint="eastAsia" w:ascii="Times New Roman" w:hAnsi="Times New Roman" w:eastAsia="仿宋_GB2312" w:cs="仿宋_GB2312"/>
          <w:sz w:val="32"/>
          <w:szCs w:val="32"/>
          <w:lang w:val="en-US" w:eastAsia="zh-CN"/>
        </w:rPr>
        <w:t>主要职责：</w:t>
      </w:r>
    </w:p>
    <w:p>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一）何宝珍故里管理所是为加强何宝珍故里文物和纪念馆的管理而建，为湖南省爱国主义教育基地、湖南省党性教育基地、湖南省华侨文化交流基地；何宝珍故居为湖南省第十一批省级文物保护单位。充分利用何宝珍烈士红色文化资源，打造成红色教育基地和红色文化景区，更多游人到景区接受红色教育。 </w:t>
      </w:r>
    </w:p>
    <w:p>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（二）2020年1月设立何宝珍故里管理所为副科级公益一类事业单位，2021年度决算为首次编制，主要职责是：加强对何宝珍故居、纪念馆、铜像广场和文物的管理。</w:t>
      </w:r>
    </w:p>
    <w:p>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sz w:val="32"/>
          <w:szCs w:val="32"/>
        </w:rPr>
        <w:t>）人员编制为5人，实有在职人员5人。</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何宝珍故里管理所</w:t>
      </w:r>
      <w:r>
        <w:rPr>
          <w:rFonts w:hint="eastAsia" w:ascii="Times New Roman" w:hAnsi="Times New Roman" w:eastAsia="仿宋_GB2312" w:cs="仿宋_GB2312"/>
          <w:bCs/>
          <w:kern w:val="0"/>
          <w:sz w:val="32"/>
          <w:szCs w:val="32"/>
        </w:rPr>
        <w:t>内设机构包括：</w:t>
      </w:r>
      <w:r>
        <w:rPr>
          <w:rFonts w:hint="eastAsia" w:ascii="Times New Roman" w:hAnsi="Times New Roman" w:eastAsia="仿宋_GB2312" w:cs="仿宋_GB2312"/>
          <w:bCs/>
          <w:kern w:val="0"/>
          <w:sz w:val="32"/>
          <w:szCs w:val="32"/>
          <w:lang w:eastAsia="zh-CN"/>
        </w:rPr>
        <w:t>办公室、政工科、宣教科。</w:t>
      </w:r>
    </w:p>
    <w:p>
      <w:pPr>
        <w:widowControl/>
        <w:spacing w:line="600" w:lineRule="exact"/>
        <w:ind w:firstLine="640" w:firstLineChars="200"/>
        <w:rPr>
          <w:rFonts w:hint="default"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何宝珍故里管理所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w:t>
      </w:r>
      <w:r>
        <w:rPr>
          <w:rFonts w:hint="eastAsia" w:ascii="Times New Roman" w:hAnsi="Times New Roman" w:eastAsia="仿宋_GB2312" w:cs="仿宋_GB2312"/>
          <w:bCs/>
          <w:kern w:val="0"/>
          <w:sz w:val="32"/>
          <w:szCs w:val="32"/>
          <w:lang w:eastAsia="zh-CN"/>
        </w:rPr>
        <w:t>只有本级，没有其他二级预算单位，因此，纳入</w:t>
      </w:r>
      <w:r>
        <w:rPr>
          <w:rFonts w:hint="eastAsia" w:ascii="Times New Roman" w:hAnsi="Times New Roman" w:eastAsia="仿宋_GB2312" w:cs="仿宋_GB2312"/>
          <w:bCs/>
          <w:kern w:val="0"/>
          <w:sz w:val="32"/>
          <w:szCs w:val="32"/>
          <w:lang w:val="en-US" w:eastAsia="zh-CN"/>
        </w:rPr>
        <w:t>2023年部门决算编制范围的只有何宝珍故里管理所部门本级。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both"/>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4081" w:type="dxa"/>
        <w:tblInd w:w="93" w:type="dxa"/>
        <w:tblLayout w:type="fixed"/>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Layout w:type="fixed"/>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Layout w:type="fixed"/>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Layout w:type="fixed"/>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78.76</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71.71</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4.65</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kern w:val="0"/>
                <w:sz w:val="22"/>
                <w:lang w:val="en-US"/>
              </w:rPr>
            </w:pPr>
            <w:r>
              <w:rPr>
                <w:rFonts w:hint="eastAsia" w:ascii="宋体" w:hAnsi="宋体" w:eastAsia="宋体" w:cs="宋体"/>
                <w:i w:val="0"/>
                <w:iCs w:val="0"/>
                <w:color w:val="000000"/>
                <w:kern w:val="0"/>
                <w:sz w:val="22"/>
                <w:szCs w:val="22"/>
                <w:u w:val="none"/>
                <w:lang w:val="en-US" w:eastAsia="zh-CN" w:bidi="ar"/>
              </w:rPr>
              <w:t>2.4</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pStyle w:val="3"/>
              <w:rPr>
                <w:rFonts w:hint="eastAsia"/>
                <w:lang w:eastAsia="zh-CN"/>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78.76</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kern w:val="0"/>
                <w:sz w:val="22"/>
                <w:lang w:val="en-US"/>
              </w:rPr>
            </w:pPr>
            <w:r>
              <w:rPr>
                <w:rFonts w:hint="eastAsia" w:ascii="宋体" w:hAnsi="宋体" w:eastAsia="宋体" w:cs="宋体"/>
                <w:i w:val="0"/>
                <w:iCs w:val="0"/>
                <w:color w:val="000000"/>
                <w:kern w:val="0"/>
                <w:sz w:val="22"/>
                <w:szCs w:val="22"/>
                <w:u w:val="none"/>
                <w:lang w:val="en-US" w:eastAsia="zh-CN" w:bidi="ar"/>
              </w:rPr>
              <w:t>78.76</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78.76</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kern w:val="0"/>
                <w:sz w:val="22"/>
                <w:lang w:val="en-US"/>
              </w:rPr>
            </w:pPr>
            <w:r>
              <w:rPr>
                <w:rFonts w:hint="eastAsia" w:ascii="宋体" w:hAnsi="宋体" w:eastAsia="宋体" w:cs="宋体"/>
                <w:i w:val="0"/>
                <w:iCs w:val="0"/>
                <w:color w:val="000000"/>
                <w:kern w:val="0"/>
                <w:sz w:val="22"/>
                <w:szCs w:val="22"/>
                <w:u w:val="none"/>
                <w:lang w:val="en-US" w:eastAsia="zh-CN" w:bidi="ar"/>
              </w:rPr>
              <w:t>78.76</w:t>
            </w:r>
          </w:p>
        </w:tc>
      </w:tr>
      <w:tr>
        <w:tblPrEx>
          <w:tblLayout w:type="fixed"/>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10"/>
        <w:tblW w:w="15420" w:type="dxa"/>
        <w:tblInd w:w="0" w:type="dxa"/>
        <w:tblLayout w:type="fixed"/>
        <w:tblCellMar>
          <w:top w:w="0" w:type="dxa"/>
          <w:left w:w="0" w:type="dxa"/>
          <w:bottom w:w="0" w:type="dxa"/>
          <w:right w:w="0" w:type="dxa"/>
        </w:tblCellMar>
      </w:tblPr>
      <w:tblGrid>
        <w:gridCol w:w="1018"/>
        <w:gridCol w:w="45"/>
        <w:gridCol w:w="76"/>
        <w:gridCol w:w="728"/>
        <w:gridCol w:w="229"/>
        <w:gridCol w:w="1262"/>
        <w:gridCol w:w="196"/>
        <w:gridCol w:w="1252"/>
        <w:gridCol w:w="448"/>
        <w:gridCol w:w="1254"/>
        <w:gridCol w:w="480"/>
        <w:gridCol w:w="1270"/>
        <w:gridCol w:w="464"/>
        <w:gridCol w:w="1262"/>
        <w:gridCol w:w="472"/>
        <w:gridCol w:w="1254"/>
        <w:gridCol w:w="480"/>
        <w:gridCol w:w="1246"/>
        <w:gridCol w:w="1147"/>
        <w:gridCol w:w="837"/>
      </w:tblGrid>
      <w:tr>
        <w:tblPrEx>
          <w:tblLayout w:type="fixed"/>
          <w:tblCellMar>
            <w:top w:w="0" w:type="dxa"/>
            <w:left w:w="0" w:type="dxa"/>
            <w:bottom w:w="0" w:type="dxa"/>
            <w:right w:w="0" w:type="dxa"/>
          </w:tblCellMar>
        </w:tblPrEx>
        <w:trPr>
          <w:trHeight w:val="640" w:hRule="atLeast"/>
        </w:trPr>
        <w:tc>
          <w:tcPr>
            <w:tcW w:w="15420" w:type="dxa"/>
            <w:gridSpan w:val="2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Layout w:type="fixed"/>
          <w:tblCellMar>
            <w:top w:w="0" w:type="dxa"/>
            <w:left w:w="0" w:type="dxa"/>
            <w:bottom w:w="0" w:type="dxa"/>
            <w:right w:w="0" w:type="dxa"/>
          </w:tblCellMar>
        </w:tblPrEx>
        <w:trPr>
          <w:trHeight w:val="335" w:hRule="atLeast"/>
        </w:trPr>
        <w:tc>
          <w:tcPr>
            <w:tcW w:w="1063"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19"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0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2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2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2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8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Layout w:type="fixed"/>
          <w:tblCellMar>
            <w:top w:w="0" w:type="dxa"/>
            <w:left w:w="0" w:type="dxa"/>
            <w:bottom w:w="0" w:type="dxa"/>
            <w:right w:w="0" w:type="dxa"/>
          </w:tblCellMar>
        </w:tblPrEx>
        <w:trPr>
          <w:trHeight w:val="335" w:hRule="atLeast"/>
        </w:trPr>
        <w:tc>
          <w:tcPr>
            <w:tcW w:w="1139"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219"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0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2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2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2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8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Layout w:type="fixed"/>
          <w:tblCellMar>
            <w:top w:w="0" w:type="dxa"/>
            <w:left w:w="0" w:type="dxa"/>
            <w:bottom w:w="0" w:type="dxa"/>
            <w:right w:w="0" w:type="dxa"/>
          </w:tblCellMar>
        </w:tblPrEx>
        <w:trPr>
          <w:trHeight w:val="490" w:hRule="atLeast"/>
        </w:trPr>
        <w:tc>
          <w:tcPr>
            <w:tcW w:w="3358" w:type="dxa"/>
            <w:gridSpan w:val="6"/>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4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02"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5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2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2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2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98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Layout w:type="fixed"/>
          <w:tblCellMar>
            <w:top w:w="0" w:type="dxa"/>
            <w:left w:w="0" w:type="dxa"/>
            <w:bottom w:w="0" w:type="dxa"/>
            <w:right w:w="0" w:type="dxa"/>
          </w:tblCellMar>
        </w:tblPrEx>
        <w:trPr>
          <w:trHeight w:val="490" w:hRule="atLeast"/>
        </w:trPr>
        <w:tc>
          <w:tcPr>
            <w:tcW w:w="1139"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219" w:type="dxa"/>
            <w:gridSpan w:val="3"/>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44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2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2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2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8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Layout w:type="fixed"/>
          <w:tblCellMar>
            <w:top w:w="0" w:type="dxa"/>
            <w:left w:w="0" w:type="dxa"/>
            <w:bottom w:w="0" w:type="dxa"/>
            <w:right w:w="0" w:type="dxa"/>
          </w:tblCellMar>
        </w:tblPrEx>
        <w:trPr>
          <w:trHeight w:val="460" w:hRule="atLeast"/>
        </w:trPr>
        <w:tc>
          <w:tcPr>
            <w:tcW w:w="1139"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19" w:type="dxa"/>
            <w:gridSpan w:val="3"/>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2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2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2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8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0" w:hRule="atLeast"/>
        </w:trPr>
        <w:tc>
          <w:tcPr>
            <w:tcW w:w="3358"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44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70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72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72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72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19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Layout w:type="fixed"/>
          <w:tblCellMar>
            <w:top w:w="0" w:type="dxa"/>
            <w:left w:w="0" w:type="dxa"/>
            <w:bottom w:w="0" w:type="dxa"/>
            <w:right w:w="0" w:type="dxa"/>
          </w:tblCellMar>
        </w:tblPrEx>
        <w:trPr>
          <w:trHeight w:val="490" w:hRule="atLeast"/>
        </w:trPr>
        <w:tc>
          <w:tcPr>
            <w:tcW w:w="3358"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4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b/>
                <w:bCs/>
                <w:i w:val="0"/>
                <w:iCs w:val="0"/>
                <w:color w:val="000000"/>
                <w:kern w:val="0"/>
                <w:sz w:val="22"/>
                <w:szCs w:val="22"/>
                <w:u w:val="none"/>
                <w:lang w:val="en-US" w:eastAsia="zh-CN" w:bidi="ar"/>
              </w:rPr>
              <w:t>78.76</w:t>
            </w:r>
          </w:p>
        </w:tc>
        <w:tc>
          <w:tcPr>
            <w:tcW w:w="17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b/>
                <w:bCs/>
                <w:i w:val="0"/>
                <w:iCs w:val="0"/>
                <w:color w:val="000000"/>
                <w:kern w:val="0"/>
                <w:sz w:val="22"/>
                <w:szCs w:val="22"/>
                <w:u w:val="none"/>
                <w:lang w:val="en-US" w:eastAsia="zh-CN" w:bidi="ar"/>
              </w:rPr>
              <w:t>78.76</w:t>
            </w:r>
          </w:p>
        </w:tc>
        <w:tc>
          <w:tcPr>
            <w:tcW w:w="17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98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Layout w:type="fixed"/>
          <w:tblCellMar>
            <w:top w:w="0" w:type="dxa"/>
            <w:left w:w="0" w:type="dxa"/>
            <w:bottom w:w="0" w:type="dxa"/>
            <w:right w:w="0" w:type="dxa"/>
          </w:tblCellMar>
        </w:tblPrEx>
        <w:trPr>
          <w:trHeight w:val="66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229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4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71.71</w:t>
            </w:r>
          </w:p>
        </w:tc>
        <w:tc>
          <w:tcPr>
            <w:tcW w:w="17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71.71</w:t>
            </w:r>
          </w:p>
        </w:tc>
        <w:tc>
          <w:tcPr>
            <w:tcW w:w="17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98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Layout w:type="fixed"/>
          <w:tblCellMar>
            <w:top w:w="0" w:type="dxa"/>
            <w:left w:w="0" w:type="dxa"/>
            <w:bottom w:w="0" w:type="dxa"/>
            <w:right w:w="0" w:type="dxa"/>
          </w:tblCellMar>
        </w:tblPrEx>
        <w:trPr>
          <w:trHeight w:val="49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229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4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71.71</w:t>
            </w:r>
          </w:p>
        </w:tc>
        <w:tc>
          <w:tcPr>
            <w:tcW w:w="17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71.71</w:t>
            </w:r>
          </w:p>
        </w:tc>
        <w:tc>
          <w:tcPr>
            <w:tcW w:w="17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98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Layout w:type="fixed"/>
          <w:tblCellMar>
            <w:top w:w="0" w:type="dxa"/>
            <w:left w:w="0" w:type="dxa"/>
            <w:bottom w:w="0" w:type="dxa"/>
            <w:right w:w="0" w:type="dxa"/>
          </w:tblCellMar>
        </w:tblPrEx>
        <w:trPr>
          <w:trHeight w:val="49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2070101</w:t>
            </w:r>
          </w:p>
        </w:tc>
        <w:tc>
          <w:tcPr>
            <w:tcW w:w="229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lang w:val="en-US"/>
              </w:rPr>
            </w:pPr>
            <w:r>
              <w:rPr>
                <w:rFonts w:hint="eastAsia" w:ascii="宋体" w:hAnsi="宋体" w:eastAsia="宋体" w:cs="宋体"/>
                <w:i w:val="0"/>
                <w:iCs w:val="0"/>
                <w:color w:val="000000"/>
                <w:kern w:val="0"/>
                <w:sz w:val="22"/>
                <w:szCs w:val="22"/>
                <w:u w:val="none"/>
                <w:lang w:val="en-US" w:eastAsia="zh-CN" w:bidi="ar"/>
              </w:rPr>
              <w:t>47.43</w:t>
            </w:r>
          </w:p>
        </w:tc>
        <w:tc>
          <w:tcPr>
            <w:tcW w:w="17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47.43</w:t>
            </w:r>
          </w:p>
        </w:tc>
        <w:tc>
          <w:tcPr>
            <w:tcW w:w="17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8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Layout w:type="fixed"/>
          <w:tblCellMar>
            <w:top w:w="0" w:type="dxa"/>
            <w:left w:w="0" w:type="dxa"/>
            <w:bottom w:w="0" w:type="dxa"/>
            <w:right w:w="0" w:type="dxa"/>
          </w:tblCellMar>
        </w:tblPrEx>
        <w:trPr>
          <w:trHeight w:val="66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2070199</w:t>
            </w:r>
          </w:p>
        </w:tc>
        <w:tc>
          <w:tcPr>
            <w:tcW w:w="229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4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lang w:val="en-US"/>
              </w:rPr>
            </w:pPr>
            <w:r>
              <w:rPr>
                <w:rFonts w:hint="eastAsia" w:ascii="宋体" w:hAnsi="宋体" w:eastAsia="宋体" w:cs="宋体"/>
                <w:i w:val="0"/>
                <w:iCs w:val="0"/>
                <w:color w:val="000000"/>
                <w:kern w:val="0"/>
                <w:sz w:val="22"/>
                <w:szCs w:val="22"/>
                <w:u w:val="none"/>
                <w:lang w:val="en-US" w:eastAsia="zh-CN" w:bidi="ar"/>
              </w:rPr>
              <w:t>24.28</w:t>
            </w:r>
          </w:p>
        </w:tc>
        <w:tc>
          <w:tcPr>
            <w:tcW w:w="17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24.28</w:t>
            </w:r>
          </w:p>
        </w:tc>
        <w:tc>
          <w:tcPr>
            <w:tcW w:w="17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8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Layout w:type="fixed"/>
          <w:tblCellMar>
            <w:top w:w="0" w:type="dxa"/>
            <w:left w:w="0" w:type="dxa"/>
            <w:bottom w:w="0" w:type="dxa"/>
            <w:right w:w="0" w:type="dxa"/>
          </w:tblCellMar>
        </w:tblPrEx>
        <w:trPr>
          <w:trHeight w:val="50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229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lang w:val="en-US"/>
              </w:rPr>
            </w:pPr>
            <w:r>
              <w:rPr>
                <w:rFonts w:hint="eastAsia" w:ascii="宋体" w:hAnsi="宋体" w:eastAsia="宋体" w:cs="宋体"/>
                <w:i w:val="0"/>
                <w:iCs w:val="0"/>
                <w:color w:val="000000"/>
                <w:kern w:val="0"/>
                <w:sz w:val="22"/>
                <w:szCs w:val="22"/>
                <w:u w:val="none"/>
                <w:lang w:val="en-US" w:eastAsia="zh-CN" w:bidi="ar"/>
              </w:rPr>
              <w:t>4.65</w:t>
            </w:r>
          </w:p>
        </w:tc>
        <w:tc>
          <w:tcPr>
            <w:tcW w:w="17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4.65</w:t>
            </w:r>
          </w:p>
        </w:tc>
        <w:tc>
          <w:tcPr>
            <w:tcW w:w="17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8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Layout w:type="fixed"/>
          <w:tblCellMar>
            <w:top w:w="0" w:type="dxa"/>
            <w:left w:w="0" w:type="dxa"/>
            <w:bottom w:w="0" w:type="dxa"/>
            <w:right w:w="0" w:type="dxa"/>
          </w:tblCellMar>
        </w:tblPrEx>
        <w:trPr>
          <w:trHeight w:val="525"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229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4.65</w:t>
            </w:r>
          </w:p>
        </w:tc>
        <w:tc>
          <w:tcPr>
            <w:tcW w:w="17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4.65</w:t>
            </w:r>
          </w:p>
        </w:tc>
        <w:tc>
          <w:tcPr>
            <w:tcW w:w="17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8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Layout w:type="fixed"/>
          <w:tblCellMar>
            <w:top w:w="0" w:type="dxa"/>
            <w:left w:w="0" w:type="dxa"/>
            <w:bottom w:w="0" w:type="dxa"/>
            <w:right w:w="0" w:type="dxa"/>
          </w:tblCellMar>
        </w:tblPrEx>
        <w:trPr>
          <w:trHeight w:val="782"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229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4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4.65</w:t>
            </w:r>
          </w:p>
        </w:tc>
        <w:tc>
          <w:tcPr>
            <w:tcW w:w="17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4.65</w:t>
            </w:r>
          </w:p>
        </w:tc>
        <w:tc>
          <w:tcPr>
            <w:tcW w:w="17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8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Layout w:type="fixed"/>
          <w:tblCellMar>
            <w:top w:w="0" w:type="dxa"/>
            <w:left w:w="0" w:type="dxa"/>
            <w:bottom w:w="0" w:type="dxa"/>
            <w:right w:w="0" w:type="dxa"/>
          </w:tblCellMar>
        </w:tblPrEx>
        <w:trPr>
          <w:trHeight w:val="49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229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4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lang w:val="en-US"/>
              </w:rPr>
            </w:pPr>
            <w:r>
              <w:rPr>
                <w:rFonts w:hint="eastAsia" w:ascii="宋体" w:hAnsi="宋体" w:eastAsia="宋体" w:cs="宋体"/>
                <w:i w:val="0"/>
                <w:iCs w:val="0"/>
                <w:color w:val="000000"/>
                <w:kern w:val="0"/>
                <w:sz w:val="22"/>
                <w:szCs w:val="22"/>
                <w:u w:val="none"/>
                <w:lang w:val="en-US" w:eastAsia="zh-CN" w:bidi="ar"/>
              </w:rPr>
              <w:t>2.4</w:t>
            </w:r>
          </w:p>
        </w:tc>
        <w:tc>
          <w:tcPr>
            <w:tcW w:w="17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2.4</w:t>
            </w:r>
          </w:p>
        </w:tc>
        <w:tc>
          <w:tcPr>
            <w:tcW w:w="17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8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Layout w:type="fixed"/>
          <w:tblCellMar>
            <w:top w:w="0" w:type="dxa"/>
            <w:left w:w="0" w:type="dxa"/>
            <w:bottom w:w="0" w:type="dxa"/>
            <w:right w:w="0" w:type="dxa"/>
          </w:tblCellMar>
        </w:tblPrEx>
        <w:trPr>
          <w:trHeight w:val="49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229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4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w:t>
            </w:r>
          </w:p>
        </w:tc>
        <w:tc>
          <w:tcPr>
            <w:tcW w:w="17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w:t>
            </w:r>
          </w:p>
        </w:tc>
        <w:tc>
          <w:tcPr>
            <w:tcW w:w="17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8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Layout w:type="fixed"/>
          <w:tblCellMar>
            <w:top w:w="0" w:type="dxa"/>
            <w:left w:w="0" w:type="dxa"/>
            <w:bottom w:w="0" w:type="dxa"/>
            <w:right w:w="0" w:type="dxa"/>
          </w:tblCellMar>
        </w:tblPrEx>
        <w:trPr>
          <w:trHeight w:val="49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2101102</w:t>
            </w:r>
          </w:p>
        </w:tc>
        <w:tc>
          <w:tcPr>
            <w:tcW w:w="229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4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w:t>
            </w:r>
          </w:p>
        </w:tc>
        <w:tc>
          <w:tcPr>
            <w:tcW w:w="17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w:t>
            </w:r>
          </w:p>
        </w:tc>
        <w:tc>
          <w:tcPr>
            <w:tcW w:w="17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8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Layout w:type="fixed"/>
          <w:tblCellMar>
            <w:top w:w="0" w:type="dxa"/>
            <w:left w:w="0" w:type="dxa"/>
            <w:bottom w:w="0" w:type="dxa"/>
            <w:right w:w="0" w:type="dxa"/>
          </w:tblCellMar>
        </w:tblPrEx>
        <w:trPr>
          <w:trHeight w:val="631" w:hRule="atLeast"/>
        </w:trPr>
        <w:tc>
          <w:tcPr>
            <w:tcW w:w="15420" w:type="dxa"/>
            <w:gridSpan w:val="2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Layout w:type="fixed"/>
          <w:tblCellMar>
            <w:top w:w="0" w:type="dxa"/>
            <w:left w:w="108" w:type="dxa"/>
            <w:bottom w:w="0" w:type="dxa"/>
            <w:right w:w="108" w:type="dxa"/>
          </w:tblCellMar>
        </w:tblPrEx>
        <w:trPr>
          <w:gridAfter w:val="1"/>
          <w:wAfter w:w="837" w:type="dxa"/>
          <w:trHeight w:val="614" w:hRule="atLeast"/>
        </w:trPr>
        <w:tc>
          <w:tcPr>
            <w:tcW w:w="14583" w:type="dxa"/>
            <w:gridSpan w:val="1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ascii="Times New Roman" w:hAnsi="Times New Roman" w:eastAsia="黑体" w:cs="Times New Roman"/>
                <w:bCs/>
                <w:kern w:val="0"/>
                <w:sz w:val="32"/>
                <w:szCs w:val="32"/>
              </w:rPr>
              <w:br w:type="page"/>
            </w:r>
            <w:r>
              <w:rPr>
                <w:rFonts w:hint="eastAsia" w:ascii="华文中宋" w:hAnsi="华文中宋" w:eastAsia="华文中宋" w:cs="宋体"/>
                <w:color w:val="000000"/>
                <w:kern w:val="0"/>
                <w:sz w:val="32"/>
                <w:szCs w:val="32"/>
              </w:rPr>
              <w:t>支出决算表</w:t>
            </w:r>
          </w:p>
        </w:tc>
      </w:tr>
      <w:tr>
        <w:tblPrEx>
          <w:tblLayout w:type="fixed"/>
          <w:tblCellMar>
            <w:top w:w="0" w:type="dxa"/>
            <w:left w:w="108" w:type="dxa"/>
            <w:bottom w:w="0" w:type="dxa"/>
            <w:right w:w="108" w:type="dxa"/>
          </w:tblCellMar>
        </w:tblPrEx>
        <w:trPr>
          <w:gridAfter w:val="1"/>
          <w:wAfter w:w="837" w:type="dxa"/>
          <w:trHeight w:val="307" w:hRule="atLeast"/>
        </w:trPr>
        <w:tc>
          <w:tcPr>
            <w:tcW w:w="1867"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9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Layout w:type="fixed"/>
          <w:tblCellMar>
            <w:top w:w="0" w:type="dxa"/>
            <w:left w:w="108" w:type="dxa"/>
            <w:bottom w:w="0" w:type="dxa"/>
            <w:right w:w="108" w:type="dxa"/>
          </w:tblCellMar>
        </w:tblPrEx>
        <w:trPr>
          <w:gridAfter w:val="1"/>
          <w:wAfter w:w="837" w:type="dxa"/>
          <w:trHeight w:val="307" w:hRule="atLeast"/>
        </w:trPr>
        <w:tc>
          <w:tcPr>
            <w:tcW w:w="1867"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4"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3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9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gridAfter w:val="1"/>
          <w:wAfter w:w="837" w:type="dxa"/>
          <w:trHeight w:val="460" w:hRule="atLeast"/>
        </w:trPr>
        <w:tc>
          <w:tcPr>
            <w:tcW w:w="355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0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73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73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3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73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93"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Layout w:type="fixed"/>
          <w:tblCellMar>
            <w:top w:w="0" w:type="dxa"/>
            <w:left w:w="108" w:type="dxa"/>
            <w:bottom w:w="0" w:type="dxa"/>
            <w:right w:w="108" w:type="dxa"/>
          </w:tblCellMar>
        </w:tblPrEx>
        <w:trPr>
          <w:gridAfter w:val="1"/>
          <w:wAfter w:w="837" w:type="dxa"/>
          <w:trHeight w:val="460" w:hRule="atLeast"/>
        </w:trPr>
        <w:tc>
          <w:tcPr>
            <w:tcW w:w="2096"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58"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837" w:type="dxa"/>
          <w:trHeight w:val="460" w:hRule="atLeast"/>
        </w:trPr>
        <w:tc>
          <w:tcPr>
            <w:tcW w:w="2096"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5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837" w:type="dxa"/>
          <w:trHeight w:val="460" w:hRule="atLeast"/>
        </w:trPr>
        <w:tc>
          <w:tcPr>
            <w:tcW w:w="3554"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70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734"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734"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734"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734"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93"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Layout w:type="fixed"/>
          <w:tblCellMar>
            <w:top w:w="0" w:type="dxa"/>
            <w:left w:w="108" w:type="dxa"/>
            <w:bottom w:w="0" w:type="dxa"/>
            <w:right w:w="108" w:type="dxa"/>
          </w:tblCellMar>
        </w:tblPrEx>
        <w:trPr>
          <w:gridAfter w:val="1"/>
          <w:wAfter w:w="837" w:type="dxa"/>
          <w:trHeight w:val="460" w:hRule="atLeast"/>
        </w:trPr>
        <w:tc>
          <w:tcPr>
            <w:tcW w:w="3554"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78.76</w:t>
            </w:r>
          </w:p>
        </w:tc>
        <w:tc>
          <w:tcPr>
            <w:tcW w:w="173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78.76</w:t>
            </w: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837" w:type="dxa"/>
          <w:trHeight w:val="630" w:hRule="atLeast"/>
        </w:trPr>
        <w:tc>
          <w:tcPr>
            <w:tcW w:w="101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2536"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71.71</w:t>
            </w:r>
          </w:p>
        </w:tc>
        <w:tc>
          <w:tcPr>
            <w:tcW w:w="173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71.71</w:t>
            </w: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837" w:type="dxa"/>
          <w:trHeight w:val="460" w:hRule="atLeast"/>
        </w:trPr>
        <w:tc>
          <w:tcPr>
            <w:tcW w:w="101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2536"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71.71</w:t>
            </w:r>
          </w:p>
        </w:tc>
        <w:tc>
          <w:tcPr>
            <w:tcW w:w="173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71.71</w:t>
            </w: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837" w:type="dxa"/>
          <w:trHeight w:val="460" w:hRule="atLeast"/>
        </w:trPr>
        <w:tc>
          <w:tcPr>
            <w:tcW w:w="101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2070101</w:t>
            </w:r>
          </w:p>
        </w:tc>
        <w:tc>
          <w:tcPr>
            <w:tcW w:w="2536"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47.43</w:t>
            </w:r>
          </w:p>
        </w:tc>
        <w:tc>
          <w:tcPr>
            <w:tcW w:w="173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47.43</w:t>
            </w: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93"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837" w:type="dxa"/>
          <w:trHeight w:val="460" w:hRule="atLeast"/>
        </w:trPr>
        <w:tc>
          <w:tcPr>
            <w:tcW w:w="101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2070199</w:t>
            </w:r>
          </w:p>
        </w:tc>
        <w:tc>
          <w:tcPr>
            <w:tcW w:w="2536"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24.28</w:t>
            </w:r>
          </w:p>
        </w:tc>
        <w:tc>
          <w:tcPr>
            <w:tcW w:w="173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24.28</w:t>
            </w: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93"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837" w:type="dxa"/>
          <w:trHeight w:val="460" w:hRule="atLeast"/>
        </w:trPr>
        <w:tc>
          <w:tcPr>
            <w:tcW w:w="101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536"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4.65</w:t>
            </w:r>
          </w:p>
        </w:tc>
        <w:tc>
          <w:tcPr>
            <w:tcW w:w="173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4.65</w:t>
            </w: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93"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837" w:type="dxa"/>
          <w:trHeight w:val="460" w:hRule="atLeast"/>
        </w:trPr>
        <w:tc>
          <w:tcPr>
            <w:tcW w:w="101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536"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4.65</w:t>
            </w:r>
          </w:p>
        </w:tc>
        <w:tc>
          <w:tcPr>
            <w:tcW w:w="173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4.65</w:t>
            </w: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93"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837" w:type="dxa"/>
          <w:trHeight w:val="630" w:hRule="atLeast"/>
        </w:trPr>
        <w:tc>
          <w:tcPr>
            <w:tcW w:w="101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536"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4.65</w:t>
            </w:r>
          </w:p>
        </w:tc>
        <w:tc>
          <w:tcPr>
            <w:tcW w:w="173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4.65</w:t>
            </w: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93"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837" w:type="dxa"/>
          <w:trHeight w:val="460" w:hRule="atLeast"/>
        </w:trPr>
        <w:tc>
          <w:tcPr>
            <w:tcW w:w="101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536"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w:t>
            </w:r>
          </w:p>
        </w:tc>
        <w:tc>
          <w:tcPr>
            <w:tcW w:w="173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w:t>
            </w: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93"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837" w:type="dxa"/>
          <w:trHeight w:val="460" w:hRule="atLeast"/>
        </w:trPr>
        <w:tc>
          <w:tcPr>
            <w:tcW w:w="101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536"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w:t>
            </w:r>
          </w:p>
        </w:tc>
        <w:tc>
          <w:tcPr>
            <w:tcW w:w="173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w:t>
            </w: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93"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837" w:type="dxa"/>
          <w:trHeight w:val="460" w:hRule="atLeast"/>
        </w:trPr>
        <w:tc>
          <w:tcPr>
            <w:tcW w:w="101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2536"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w:t>
            </w:r>
          </w:p>
        </w:tc>
        <w:tc>
          <w:tcPr>
            <w:tcW w:w="173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w:t>
            </w: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93"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837" w:type="dxa"/>
          <w:trHeight w:val="636" w:hRule="atLeast"/>
        </w:trPr>
        <w:tc>
          <w:tcPr>
            <w:tcW w:w="14583" w:type="dxa"/>
            <w:gridSpan w:val="1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10"/>
        <w:tblW w:w="15521" w:type="dxa"/>
        <w:tblInd w:w="93" w:type="dxa"/>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Layout w:type="fixed"/>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Layout w:type="fixed"/>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Layout w:type="fixed"/>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Layout w:type="fixed"/>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78.76</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71.71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71.71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4.65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4.65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2.4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2.4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78.76</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78.76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78.76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78.76</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78.76</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78.76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Layout w:type="fixed"/>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pStyle w:val="3"/>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Ind w:w="0" w:type="dxa"/>
        <w:tblLayout w:type="fixed"/>
        <w:tblCellMar>
          <w:top w:w="0" w:type="dxa"/>
          <w:left w:w="108" w:type="dxa"/>
          <w:bottom w:w="0" w:type="dxa"/>
          <w:right w:w="108" w:type="dxa"/>
        </w:tblCellMar>
      </w:tblPr>
      <w:tblGrid>
        <w:gridCol w:w="986"/>
        <w:gridCol w:w="1009"/>
        <w:gridCol w:w="3295"/>
        <w:gridCol w:w="2833"/>
        <w:gridCol w:w="3288"/>
        <w:gridCol w:w="2808"/>
      </w:tblGrid>
      <w:tr>
        <w:tblPrEx>
          <w:tblLayout w:type="fixed"/>
          <w:tblCellMar>
            <w:top w:w="0" w:type="dxa"/>
            <w:left w:w="108" w:type="dxa"/>
            <w:bottom w:w="0" w:type="dxa"/>
            <w:right w:w="108" w:type="dxa"/>
          </w:tblCellMar>
        </w:tblPrEx>
        <w:trPr>
          <w:trHeight w:val="405" w:hRule="atLeast"/>
          <w:jc w:val="center"/>
        </w:trPr>
        <w:tc>
          <w:tcPr>
            <w:tcW w:w="529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29"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Layout w:type="fixed"/>
          <w:tblCellMar>
            <w:top w:w="0" w:type="dxa"/>
            <w:left w:w="108" w:type="dxa"/>
            <w:bottom w:w="0" w:type="dxa"/>
            <w:right w:w="108" w:type="dxa"/>
          </w:tblCellMar>
        </w:tblPrEx>
        <w:trPr>
          <w:trHeight w:val="495" w:hRule="atLeast"/>
          <w:jc w:val="center"/>
        </w:trPr>
        <w:tc>
          <w:tcPr>
            <w:tcW w:w="1995"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08"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Layout w:type="fixed"/>
          <w:tblCellMar>
            <w:top w:w="0" w:type="dxa"/>
            <w:left w:w="108" w:type="dxa"/>
            <w:bottom w:w="0" w:type="dxa"/>
            <w:right w:w="108" w:type="dxa"/>
          </w:tblCellMar>
        </w:tblPrEx>
        <w:trPr>
          <w:trHeight w:val="360" w:hRule="atLeast"/>
          <w:jc w:val="center"/>
        </w:trPr>
        <w:tc>
          <w:tcPr>
            <w:tcW w:w="1995"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1995"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529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0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Layout w:type="fixed"/>
          <w:tblCellMar>
            <w:top w:w="0" w:type="dxa"/>
            <w:left w:w="108" w:type="dxa"/>
            <w:bottom w:w="0" w:type="dxa"/>
            <w:right w:w="108" w:type="dxa"/>
          </w:tblCellMar>
        </w:tblPrEx>
        <w:trPr>
          <w:trHeight w:val="450" w:hRule="atLeast"/>
          <w:jc w:val="center"/>
        </w:trPr>
        <w:tc>
          <w:tcPr>
            <w:tcW w:w="529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78.76</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78.76</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71.71</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71.71</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71.71</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71.71</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2070101</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47.43</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47.43</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2070199</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24.28</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24.28</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4.65</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4.65</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4.65</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4.65</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4.65</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4.65</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15614" w:type="dxa"/>
        <w:tblInd w:w="0" w:type="dxa"/>
        <w:tblLayout w:type="fixed"/>
        <w:tblCellMar>
          <w:top w:w="0" w:type="dxa"/>
          <w:left w:w="108" w:type="dxa"/>
          <w:bottom w:w="0" w:type="dxa"/>
          <w:right w:w="108" w:type="dxa"/>
        </w:tblCellMar>
      </w:tblPr>
      <w:tblGrid>
        <w:gridCol w:w="1309"/>
        <w:gridCol w:w="3055"/>
        <w:gridCol w:w="983"/>
        <w:gridCol w:w="1197"/>
        <w:gridCol w:w="2263"/>
        <w:gridCol w:w="752"/>
        <w:gridCol w:w="1198"/>
        <w:gridCol w:w="3819"/>
        <w:gridCol w:w="1038"/>
      </w:tblGrid>
      <w:tr>
        <w:tblPrEx>
          <w:tblLayout w:type="fixed"/>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Layout w:type="fixed"/>
          <w:tblCellMar>
            <w:top w:w="0" w:type="dxa"/>
            <w:left w:w="108" w:type="dxa"/>
            <w:bottom w:w="0" w:type="dxa"/>
            <w:right w:w="108" w:type="dxa"/>
          </w:tblCellMar>
        </w:tblPrEx>
        <w:trPr>
          <w:trHeight w:val="113" w:hRule="atLeas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Layout w:type="fixed"/>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46.724</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32.04</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Layout w:type="fixed"/>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15.8</w:t>
            </w:r>
          </w:p>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17.51</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Layout w:type="fixed"/>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0.6</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Layout w:type="fixed"/>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6.14</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Layout w:type="fixed"/>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Layout w:type="fixed"/>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9.54</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0.42</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Layout w:type="fixed"/>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4.54</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2.6</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Layout w:type="fixed"/>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0.11</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0.52</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Layout w:type="fixed"/>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2.4</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Layout w:type="fixed"/>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Layout w:type="fixed"/>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0.2</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0.9</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Layout w:type="fixed"/>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Layout w:type="fixed"/>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Layout w:type="fixed"/>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Layout w:type="fixed"/>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Layout w:type="fixed"/>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Layout w:type="fixed"/>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0.57</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Layout w:type="fixed"/>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Layout w:type="fixed"/>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Layout w:type="fixed"/>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Layout w:type="fixed"/>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6</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Layout w:type="fixed"/>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Layout w:type="fixed"/>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1.2</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Layout w:type="fixed"/>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0.59</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Layout w:type="fixed"/>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Layout w:type="fixed"/>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819"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Layout w:type="fixed"/>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819"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Layout w:type="fixed"/>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05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1.15</w:t>
            </w:r>
          </w:p>
        </w:tc>
        <w:tc>
          <w:tcPr>
            <w:tcW w:w="1198"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819"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Layout w:type="fixed"/>
          <w:tblCellMar>
            <w:top w:w="0" w:type="dxa"/>
            <w:left w:w="108" w:type="dxa"/>
            <w:bottom w:w="0" w:type="dxa"/>
            <w:right w:w="108" w:type="dxa"/>
          </w:tblCellMar>
        </w:tblPrEx>
        <w:trPr>
          <w:trHeight w:val="284" w:hRule="exact"/>
        </w:trPr>
        <w:tc>
          <w:tcPr>
            <w:tcW w:w="43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46.724</w:t>
            </w:r>
          </w:p>
        </w:tc>
        <w:tc>
          <w:tcPr>
            <w:tcW w:w="9229"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10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32.040</w:t>
            </w:r>
          </w:p>
        </w:tc>
      </w:tr>
      <w:tr>
        <w:tblPrEx>
          <w:tblLayout w:type="fixed"/>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10"/>
        <w:tblW w:w="14640" w:type="dxa"/>
        <w:jc w:val="center"/>
        <w:tblInd w:w="0" w:type="dxa"/>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Layout w:type="fixed"/>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Layout w:type="fixed"/>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Layout w:type="fixed"/>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Layout w:type="fixed"/>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0.57</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0.57</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10"/>
        <w:tblW w:w="144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hint="eastAsia" w:ascii="Times New Roman" w:hAnsi="Times New Roman" w:eastAsia="仿宋_GB2312" w:cs="Times New Roman"/>
          <w:kern w:val="0"/>
          <w:szCs w:val="21"/>
        </w:rPr>
        <w:t>说明：我单位2023年没有政府性基金收入，也没有使用政府性基金安排的支出，故本表无数据。</w:t>
      </w:r>
      <w:r>
        <w:rPr>
          <w:rFonts w:ascii="黑体" w:hAnsi="黑体" w:eastAsia="黑体"/>
          <w:szCs w:val="21"/>
        </w:rPr>
        <w:br w:type="page"/>
      </w:r>
    </w:p>
    <w:tbl>
      <w:tblPr>
        <w:tblStyle w:val="10"/>
        <w:tblW w:w="14190" w:type="dxa"/>
        <w:tblInd w:w="93" w:type="dxa"/>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Layout w:type="fixed"/>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Layout w:type="fixed"/>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Layout w:type="fixed"/>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Layout w:type="fixed"/>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Layout w:type="fixed"/>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Layout w:type="fixed"/>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pStyle w:val="3"/>
            </w:pPr>
            <w:r>
              <w:rPr>
                <w:rFonts w:hint="eastAsia" w:ascii="楷体" w:hAnsi="楷体" w:eastAsia="楷体" w:cs="楷体"/>
                <w:b/>
                <w:bCs/>
                <w:i w:val="0"/>
                <w:color w:val="auto"/>
                <w:kern w:val="0"/>
                <w:sz w:val="24"/>
                <w:szCs w:val="24"/>
                <w:u w:val="none"/>
                <w:lang w:val="en-US" w:eastAsia="zh-CN" w:bidi="ar"/>
              </w:rPr>
              <w:t>说明：我单位2023年没有使用国有资本经营预算安排的支出，故本表无数据。</w:t>
            </w:r>
          </w:p>
        </w:tc>
      </w:tr>
    </w:tbl>
    <w:p>
      <w:pPr>
        <w:pStyle w:val="14"/>
        <w:rPr>
          <w:sz w:val="72"/>
          <w:szCs w:val="72"/>
        </w:rPr>
        <w:sectPr>
          <w:pgSz w:w="16838" w:h="11906" w:orient="landscape"/>
          <w:pgMar w:top="720" w:right="720" w:bottom="720" w:left="720" w:header="851" w:footer="992" w:gutter="0"/>
          <w:cols w:space="425" w:num="1"/>
          <w:docGrid w:type="lines" w:linePitch="312" w:charSpace="0"/>
        </w:sectPr>
      </w:pPr>
    </w:p>
    <w:p>
      <w:pPr>
        <w:pStyle w:val="14"/>
        <w:rPr>
          <w:sz w:val="72"/>
          <w:szCs w:val="72"/>
        </w:rPr>
      </w:pPr>
    </w:p>
    <w:p>
      <w:pPr>
        <w:pStyle w:val="14"/>
        <w:rPr>
          <w:sz w:val="72"/>
          <w:szCs w:val="72"/>
        </w:rPr>
      </w:pPr>
    </w:p>
    <w:p>
      <w:pPr>
        <w:pStyle w:val="14"/>
        <w:rPr>
          <w:sz w:val="72"/>
          <w:szCs w:val="72"/>
        </w:rPr>
      </w:pPr>
    </w:p>
    <w:p>
      <w:pPr>
        <w:pStyle w:val="14"/>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第三部分</w:t>
      </w:r>
    </w:p>
    <w:p>
      <w:pPr>
        <w:pStyle w:val="14"/>
        <w:jc w:val="center"/>
        <w:rPr>
          <w:sz w:val="70"/>
          <w:szCs w:val="70"/>
        </w:rPr>
      </w:pPr>
    </w:p>
    <w:p>
      <w:pPr>
        <w:pStyle w:val="14"/>
        <w:jc w:val="center"/>
        <w:rPr>
          <w:sz w:val="70"/>
          <w:szCs w:val="70"/>
        </w:rPr>
      </w:pPr>
      <w:r>
        <w:rPr>
          <w:sz w:val="70"/>
          <w:szCs w:val="70"/>
        </w:rPr>
        <w:t>20</w:t>
      </w:r>
      <w:r>
        <w:rPr>
          <w:rFonts w:hint="eastAsia"/>
          <w:sz w:val="70"/>
          <w:szCs w:val="70"/>
        </w:rPr>
        <w:t>2</w:t>
      </w:r>
      <w:r>
        <w:rPr>
          <w:rFonts w:hint="eastAsia"/>
          <w:sz w:val="70"/>
          <w:szCs w:val="70"/>
          <w:lang w:val="en-US" w:eastAsia="zh-CN"/>
        </w:rPr>
        <w:t>3</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4"/>
        <w:rPr>
          <w:rFonts w:asciiTheme="minorEastAsia" w:hAnsiTheme="minorEastAsia" w:eastAsiaTheme="minorEastAsia"/>
          <w:sz w:val="32"/>
          <w:szCs w:val="32"/>
        </w:rPr>
      </w:pPr>
    </w:p>
    <w:p>
      <w:pPr>
        <w:pStyle w:val="14"/>
        <w:rPr>
          <w:rFonts w:hAnsi="黑体"/>
          <w:b/>
          <w:sz w:val="32"/>
          <w:szCs w:val="32"/>
        </w:rPr>
      </w:pPr>
      <w:r>
        <w:rPr>
          <w:rFonts w:hint="eastAsia" w:hAnsi="黑体"/>
          <w:b/>
          <w:sz w:val="32"/>
          <w:szCs w:val="32"/>
        </w:rPr>
        <w:t>一、收入支出决算总体情况说明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78.76</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减少13.34</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下降16.94</w:t>
      </w:r>
      <w:r>
        <w:rPr>
          <w:rFonts w:hint="eastAsia" w:ascii="Times New Roman" w:hAnsi="Times New Roman" w:eastAsia="仿宋_GB2312"/>
          <w:sz w:val="32"/>
          <w:szCs w:val="32"/>
        </w:rPr>
        <w:t>%，主要是因为主要是因为</w:t>
      </w:r>
      <w:r>
        <w:rPr>
          <w:rFonts w:hint="eastAsia" w:ascii="Times New Roman" w:hAnsi="Times New Roman" w:eastAsia="仿宋_GB2312"/>
          <w:sz w:val="32"/>
          <w:szCs w:val="32"/>
          <w:lang w:val="en-US" w:eastAsia="zh-CN"/>
        </w:rPr>
        <w:t>项目</w:t>
      </w:r>
      <w:r>
        <w:rPr>
          <w:rFonts w:hint="eastAsia" w:ascii="Times New Roman" w:hAnsi="Times New Roman" w:eastAsia="仿宋_GB2312"/>
          <w:sz w:val="32"/>
          <w:szCs w:val="32"/>
        </w:rPr>
        <w:t>活动开展</w:t>
      </w:r>
      <w:r>
        <w:rPr>
          <w:rFonts w:hint="eastAsia" w:ascii="Times New Roman" w:hAnsi="Times New Roman" w:eastAsia="仿宋_GB2312"/>
          <w:sz w:val="32"/>
          <w:szCs w:val="32"/>
          <w:lang w:val="en-US" w:eastAsia="zh-CN"/>
        </w:rPr>
        <w:t>减少。</w:t>
      </w:r>
    </w:p>
    <w:p>
      <w:pPr>
        <w:pStyle w:val="14"/>
        <w:rPr>
          <w:rFonts w:hAnsi="黑体"/>
          <w:b/>
          <w:sz w:val="32"/>
          <w:szCs w:val="32"/>
        </w:rPr>
      </w:pPr>
      <w:r>
        <w:rPr>
          <w:rFonts w:hint="eastAsia" w:hAnsi="黑体"/>
          <w:b/>
          <w:sz w:val="32"/>
          <w:szCs w:val="32"/>
        </w:rPr>
        <w:t>二、收入决算情况说明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2023年度收入合计</w:t>
      </w:r>
      <w:r>
        <w:rPr>
          <w:rFonts w:hint="eastAsia" w:ascii="Times New Roman" w:hAnsi="Times New Roman" w:eastAsia="仿宋_GB2312"/>
          <w:sz w:val="32"/>
          <w:szCs w:val="32"/>
          <w:lang w:val="en-US" w:eastAsia="zh-CN"/>
        </w:rPr>
        <w:t>78.76</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78.76</w:t>
      </w:r>
      <w:r>
        <w:rPr>
          <w:rFonts w:hint="eastAsia" w:ascii="Times New Roman" w:hAnsi="Times New Roman" w:eastAsia="仿宋_GB2312"/>
          <w:sz w:val="32"/>
          <w:szCs w:val="32"/>
        </w:rPr>
        <w:t>万元，占100%；上级补助收入0万元，占0%；事业收入0万元，占0%；经营收入0万元，占0%；附属单位上缴收入0万元，占0%；其他收入0万元，占0%。</w:t>
      </w:r>
    </w:p>
    <w:p>
      <w:pPr>
        <w:pStyle w:val="14"/>
        <w:ind w:firstLine="640" w:firstLineChars="200"/>
        <w:rPr>
          <w:rFonts w:hAnsi="黑体"/>
          <w:b/>
          <w:sz w:val="32"/>
          <w:szCs w:val="32"/>
        </w:rPr>
      </w:pPr>
      <w:r>
        <w:rPr>
          <w:rFonts w:hint="eastAsia" w:hAnsi="黑体"/>
          <w:b/>
          <w:sz w:val="32"/>
          <w:szCs w:val="32"/>
        </w:rPr>
        <w:t>三、支出决算情况说明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2023年度支出合计</w:t>
      </w:r>
      <w:r>
        <w:rPr>
          <w:rFonts w:hint="eastAsia" w:ascii="Times New Roman" w:hAnsi="Times New Roman" w:eastAsia="仿宋_GB2312"/>
          <w:sz w:val="32"/>
          <w:szCs w:val="32"/>
          <w:lang w:val="en-US" w:eastAsia="zh-CN"/>
        </w:rPr>
        <w:t>78.76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78.76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%；上缴上级支出0万元，占0%；经营支出0万元，占0%；对附属单位补助支出0万元，占0%。</w:t>
      </w:r>
    </w:p>
    <w:p>
      <w:pPr>
        <w:pStyle w:val="14"/>
        <w:rPr>
          <w:rFonts w:hAnsi="黑体"/>
          <w:b/>
          <w:sz w:val="32"/>
          <w:szCs w:val="32"/>
        </w:rPr>
      </w:pPr>
      <w:r>
        <w:rPr>
          <w:rFonts w:hint="eastAsia" w:hAnsi="黑体"/>
          <w:b/>
          <w:sz w:val="32"/>
          <w:szCs w:val="32"/>
        </w:rPr>
        <w:t>四、财政拨款收入支出决算总体情况说明</w:t>
      </w:r>
    </w:p>
    <w:p>
      <w:pPr>
        <w:pStyle w:val="14"/>
        <w:rPr>
          <w:rFonts w:hint="eastAsia" w:ascii="Times New Roman" w:hAnsi="Times New Roman" w:eastAsia="仿宋_GB2312"/>
          <w:sz w:val="32"/>
          <w:szCs w:val="32"/>
          <w:lang w:val="en-US" w:eastAsia="zh-CN"/>
        </w:rPr>
      </w:pPr>
      <w:r>
        <w:rPr>
          <w:rFonts w:hint="eastAsia" w:asciiTheme="minorEastAsia" w:hAnsiTheme="minorEastAsia" w:eastAsiaTheme="minorEastAsia"/>
          <w:sz w:val="32"/>
          <w:szCs w:val="32"/>
        </w:rPr>
        <w:t xml:space="preserve">  </w:t>
      </w:r>
      <w:r>
        <w:rPr>
          <w:rFonts w:hint="eastAsia" w:ascii="Times New Roman" w:hAnsi="Times New Roman" w:eastAsia="仿宋_GB2312"/>
          <w:sz w:val="32"/>
          <w:szCs w:val="32"/>
          <w:lang w:val="en-US" w:eastAsia="zh-CN"/>
        </w:rPr>
        <w:t xml:space="preserve"> 2023年度财政拨款收、支总计78.76万元，与上年相比减少13.34万元，下降16.94%，主要是因为主要是因为项目活动开展减少。</w:t>
      </w:r>
    </w:p>
    <w:p>
      <w:pPr>
        <w:pStyle w:val="14"/>
        <w:rPr>
          <w:rFonts w:hAnsi="黑体"/>
          <w:b/>
          <w:sz w:val="32"/>
          <w:szCs w:val="32"/>
        </w:rPr>
      </w:pPr>
      <w:r>
        <w:rPr>
          <w:rFonts w:hint="eastAsia" w:hAnsi="黑体"/>
          <w:b/>
          <w:sz w:val="32"/>
          <w:szCs w:val="32"/>
        </w:rPr>
        <w:t>五、一般公共预算财政拨款支出决算情况说明</w:t>
      </w:r>
    </w:p>
    <w:p>
      <w:pPr>
        <w:pStyle w:val="14"/>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4"/>
        <w:ind w:firstLine="480" w:firstLineChars="150"/>
        <w:rPr>
          <w:rFonts w:asciiTheme="minorEastAsia" w:hAnsiTheme="minorEastAsia" w:eastAsiaTheme="minorEastAsia"/>
          <w:b/>
          <w:sz w:val="32"/>
          <w:szCs w:val="32"/>
        </w:rPr>
      </w:pPr>
      <w:r>
        <w:rPr>
          <w:rFonts w:hint="eastAsia" w:ascii="Times New Roman" w:hAnsi="Times New Roman" w:eastAsia="仿宋_GB2312"/>
          <w:sz w:val="32"/>
          <w:szCs w:val="32"/>
          <w:lang w:val="en-US" w:eastAsia="zh-CN"/>
        </w:rPr>
        <w:t>2023年度财政拨款支出78.76万元，占本年支出合计的100%，与上年相比减少13.34万元，下降16.94%，主要是因为主要是因为项目活动开展减少。</w:t>
      </w:r>
      <w:r>
        <w:rPr>
          <w:rFonts w:hint="eastAsia" w:asciiTheme="minorEastAsia" w:hAnsiTheme="minorEastAsia" w:eastAsiaTheme="minorEastAsia"/>
          <w:b/>
          <w:sz w:val="32"/>
          <w:szCs w:val="32"/>
        </w:rPr>
        <w:t>（二）财政拨款支出决算结构情况</w:t>
      </w:r>
    </w:p>
    <w:p>
      <w:pPr>
        <w:pStyle w:val="14"/>
        <w:ind w:firstLine="480" w:firstLineChars="1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2023年度财政拨款支出78.76万元，主要用于以下方面：文化旅游体育与传媒支出（类）支出71.70万元，占91.04%；社会保障和就业支出（类）支出4.65万元，占5.90%；卫生健康支出（类）支出2.4万元，占3.06%。</w:t>
      </w:r>
    </w:p>
    <w:p>
      <w:pPr>
        <w:pStyle w:val="14"/>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4"/>
        <w:ind w:firstLine="480" w:firstLineChars="1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2023年度财政拨款支出年初预算数为93.35万元，支出决算数为78.76万元，完成年初预算的84.37%，其中：</w:t>
      </w:r>
    </w:p>
    <w:p>
      <w:pPr>
        <w:pStyle w:val="14"/>
        <w:ind w:firstLine="480" w:firstLineChars="1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1、文化旅游体育与传媒支出（类）文化和旅游（款）行政运行（项）。</w:t>
      </w:r>
    </w:p>
    <w:p>
      <w:pPr>
        <w:pStyle w:val="14"/>
        <w:ind w:firstLine="480" w:firstLineChars="1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年初预算为83.43万元，支出决算为0万元，完成年初预算的0%。</w:t>
      </w:r>
    </w:p>
    <w:p>
      <w:pPr>
        <w:pStyle w:val="14"/>
        <w:ind w:firstLine="480" w:firstLineChars="1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决算数小于年初预算数的主要原因是：决算数与预算数科目代码不一致。</w:t>
      </w:r>
    </w:p>
    <w:p>
      <w:pPr>
        <w:pStyle w:val="14"/>
        <w:ind w:firstLine="480" w:firstLineChars="1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2、文化旅游体育与传媒支出（类）文化和旅游（款）其他文化和旅游支出（项）。</w:t>
      </w:r>
    </w:p>
    <w:p>
      <w:pPr>
        <w:pStyle w:val="14"/>
        <w:ind w:firstLine="480" w:firstLineChars="1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年初预算为0万元，支出决算为71.71万元，无法计算完成比率，决算数大于年初预算数的主要原因是：决算数与预算数使用科目代码不一致，实际决算数小于预算数因根据项目使用情况，项目资金结转下年使用。</w:t>
      </w:r>
    </w:p>
    <w:p>
      <w:pPr>
        <w:pStyle w:val="14"/>
        <w:ind w:firstLine="480" w:firstLineChars="1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3、社会保障和就业支出（类）行政事业单位养老支出（款）机关事业单位基本养老保险缴费支出（项）。</w:t>
      </w:r>
    </w:p>
    <w:p>
      <w:pPr>
        <w:pStyle w:val="14"/>
        <w:ind w:firstLine="480" w:firstLineChars="1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年初预算为4.32万元，支出决算为4.54万元，完成年初预算105%，决算数大于年初预算数的主要原因是：养老保险年初基数调整有补缴变动。</w:t>
      </w:r>
    </w:p>
    <w:p>
      <w:pPr>
        <w:pStyle w:val="14"/>
        <w:ind w:firstLine="480" w:firstLineChars="1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4、卫生健康支出（类）行政事业单位医疗（款）事业单位医疗（项）。</w:t>
      </w:r>
    </w:p>
    <w:p>
      <w:pPr>
        <w:pStyle w:val="14"/>
        <w:numPr>
          <w:ilvl w:val="0"/>
          <w:numId w:val="0"/>
        </w:numPr>
        <w:ind w:leftChars="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年初预算为2.35万元，支出决算为2.4万元，完成年初预算102%，决数算大于年初预算数的主要原因是：医疗保险年初基数调整有补缴变动。</w:t>
      </w:r>
    </w:p>
    <w:p>
      <w:pPr>
        <w:pStyle w:val="14"/>
        <w:numPr>
          <w:ilvl w:val="0"/>
          <w:numId w:val="0"/>
        </w:numPr>
        <w:ind w:left="0" w:leftChars="0" w:firstLine="515" w:firstLineChars="161"/>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5、住房保障支出（类）住房改革支出（款）住房公积金（项）。</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年初预算为</w:t>
      </w:r>
      <w:r>
        <w:rPr>
          <w:rFonts w:hint="eastAsia" w:ascii="Times New Roman" w:hAnsi="Times New Roman" w:eastAsia="仿宋_GB2312"/>
          <w:sz w:val="32"/>
          <w:szCs w:val="32"/>
          <w:lang w:val="en-US" w:eastAsia="zh-CN"/>
        </w:rPr>
        <w:t>3.24</w:t>
      </w:r>
      <w:r>
        <w:rPr>
          <w:rFonts w:hint="default" w:ascii="Times New Roman" w:hAnsi="Times New Roman" w:eastAsia="仿宋_GB2312"/>
          <w:sz w:val="32"/>
          <w:szCs w:val="32"/>
          <w:lang w:val="en-US" w:eastAsia="zh-CN"/>
        </w:rPr>
        <w:t>万元，支出决算为0万元，完成年初预算的0%，决算数小于年初预算数的主要原因是：住房公积金由财政直接拨款到住房公积金管理处。</w:t>
      </w:r>
    </w:p>
    <w:p>
      <w:pPr>
        <w:pStyle w:val="14"/>
        <w:rPr>
          <w:rFonts w:hAnsi="黑体"/>
          <w:b/>
          <w:sz w:val="32"/>
          <w:szCs w:val="32"/>
        </w:rPr>
      </w:pPr>
      <w:r>
        <w:rPr>
          <w:rFonts w:hint="eastAsia" w:hAnsi="黑体"/>
          <w:b/>
          <w:sz w:val="32"/>
          <w:szCs w:val="32"/>
        </w:rPr>
        <w:t>六、一般公共预算财政拨款基本支出决算情况说明</w:t>
      </w:r>
    </w:p>
    <w:p>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2023年度财政拨款基本支出78.76万元，其中：</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人员经费46.42万元，占基本支出的58.94%,主要包括基本工资15.8万元、津贴补贴8万元、奖金6.14万元、绩效工资9.54万元、机关事业单位基本养老保险缴费4.54万元、职业年金缴费0.11万元、职工基本医疗保险缴费2.4万元、其他社会保障缴费0.19万元。</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公用经费32.04万元，占基本支出的41.06%，主要包括办公费17.51万元、印刷费0.6万元、水费、0.42万元、电费2.6万元、邮电费0.52万元、差旅费0.89万元、公务接待费0.57万元、劳务费6万元、工会经费1.2万元、其他商品和服务支出1.15万元。</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Ansi="黑体"/>
          <w:b/>
          <w:sz w:val="32"/>
          <w:szCs w:val="32"/>
        </w:rPr>
      </w:pPr>
      <w:r>
        <w:rPr>
          <w:rFonts w:hint="eastAsia" w:hAnsi="黑体"/>
          <w:b/>
          <w:sz w:val="32"/>
          <w:szCs w:val="32"/>
        </w:rPr>
        <w:t>七、一般公共预算财政拨款“三公”经费支出决算情况说明</w:t>
      </w:r>
    </w:p>
    <w:p>
      <w:pPr>
        <w:pStyle w:val="14"/>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公”经费财政拨款支出预算为2万元，支出决算为0.57万元，完成预算的28.5%，决算数（小于）预算数的主要原因是决算数小于预算数的主要原因是主要原因是我单位认真贯彻落实中央“八项规定”、省委“九项规定”精神及关于厉行节约的各项要求严控支出，与上年相比减少2.31万元，减少80.20%,减少的主要原因是减少的主要原因是主要原因是我单位认真贯彻落实中央“八项规定”、省委“九项规定”精神及关于厉行节约的各项要求，严控支出。</w:t>
      </w:r>
    </w:p>
    <w:p>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其中：公务接待费支出预算为2万元，支出决算为0.57万元，完成预算的28.5%，决算数（小于）预算数的主要原因是决算数小于预算数的主要原因是主要原因是我单位认真贯彻落实中央“八项规定”、省委“九项规定”精神及关于厉行节约的各项要求严控支出，与上年相比减少2.31万元，减少80.20%,减少的主要原因是减少的主要原因是主要原因是我单位认真贯彻落实中央“八项规定”、省委“九项规定”精神及关于厉行节约的各项要求，严控支出。</w:t>
      </w:r>
    </w:p>
    <w:p>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其中：公务用车购置费及运行维护费支出预算为0.00万元，支出决算为0.00万元，与本年预算数相同，与上年决算数相同。</w:t>
      </w:r>
    </w:p>
    <w:p>
      <w:pPr>
        <w:pStyle w:val="14"/>
        <w:ind w:firstLine="640" w:firstLineChars="200"/>
        <w:rPr>
          <w:rFonts w:hint="eastAsia" w:asciiTheme="minorEastAsia" w:hAnsiTheme="minorEastAsia" w:eastAsiaTheme="minorEastAsia"/>
          <w:b/>
          <w:sz w:val="32"/>
          <w:szCs w:val="32"/>
        </w:rPr>
      </w:pPr>
    </w:p>
    <w:p>
      <w:pPr>
        <w:pStyle w:val="14"/>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2023年度“三公”经费财政拨款支出决算中，公务接待费支出决算0.57万元，占100%,因公出国（境）费支出决算0万元，占0%,公务用车购置费及运行维护费支出决算0万元，占0%。其中：</w:t>
      </w:r>
    </w:p>
    <w:p>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1、因公出国（境）费支出决算为0.00万元。</w:t>
      </w:r>
    </w:p>
    <w:p>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2、公务接待费支出决算为0.57万元，</w:t>
      </w:r>
      <w:r>
        <w:rPr>
          <w:rFonts w:hint="eastAsia" w:ascii="Times New Roman" w:hAnsi="Times New Roman" w:eastAsia="仿宋_GB2312"/>
          <w:color w:val="auto"/>
          <w:sz w:val="32"/>
          <w:szCs w:val="32"/>
          <w:lang w:val="en-US" w:eastAsia="zh-CN"/>
        </w:rPr>
        <w:t>全年共接待来访团组7个，来宾32人次，主要是接待省、各地市相关联系单位来</w:t>
      </w:r>
      <w:r>
        <w:rPr>
          <w:rFonts w:hint="eastAsia" w:ascii="Times New Roman" w:hAnsi="Times New Roman" w:eastAsia="仿宋_GB2312"/>
          <w:sz w:val="32"/>
          <w:szCs w:val="32"/>
          <w:lang w:val="en-US" w:eastAsia="zh-CN"/>
        </w:rPr>
        <w:t>检查工作和接待兄弟县单位来我单位学习、交流工作发生的接待支出。</w:t>
      </w:r>
    </w:p>
    <w:p>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3、公务用车购置费及运行维护费支出决算为0.00万元。</w:t>
      </w:r>
    </w:p>
    <w:p>
      <w:pPr>
        <w:pStyle w:val="14"/>
        <w:rPr>
          <w:rFonts w:hAnsi="黑体"/>
          <w:b/>
          <w:sz w:val="32"/>
          <w:szCs w:val="32"/>
        </w:rPr>
      </w:pPr>
      <w:r>
        <w:rPr>
          <w:rFonts w:hint="eastAsia" w:hAnsi="黑体"/>
          <w:b/>
          <w:sz w:val="32"/>
          <w:szCs w:val="32"/>
        </w:rPr>
        <w:t>八、政府性基金预算收入支出决算情况</w:t>
      </w:r>
    </w:p>
    <w:p>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2023年度未发生政府性基金预算财政拨款收支。</w:t>
      </w:r>
    </w:p>
    <w:p>
      <w:pPr>
        <w:pStyle w:val="14"/>
        <w:rPr>
          <w:rFonts w:hAnsi="黑体"/>
          <w:b/>
          <w:sz w:val="32"/>
          <w:szCs w:val="32"/>
        </w:rPr>
      </w:pPr>
      <w:r>
        <w:rPr>
          <w:rFonts w:hint="eastAsia" w:hAnsi="黑体"/>
          <w:b/>
          <w:sz w:val="32"/>
          <w:szCs w:val="32"/>
        </w:rPr>
        <w:t>九、机关运行经费支出说明</w:t>
      </w:r>
    </w:p>
    <w:p>
      <w:pPr>
        <w:pStyle w:val="14"/>
        <w:ind w:firstLine="640" w:firstLineChars="20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本部门2023年度机关运行经费支出32.04万元，比上年决算数减少15.97万元，减少49.84%。主要原因是：减少开展活动经费。</w:t>
      </w:r>
    </w:p>
    <w:p>
      <w:pPr>
        <w:pStyle w:val="14"/>
        <w:ind w:firstLine="640" w:firstLineChars="200"/>
        <w:rPr>
          <w:rFonts w:hAnsi="黑体"/>
          <w:b/>
          <w:sz w:val="32"/>
          <w:szCs w:val="32"/>
        </w:rPr>
      </w:pPr>
      <w:r>
        <w:rPr>
          <w:rFonts w:hint="eastAsia" w:hAnsi="黑体"/>
          <w:b/>
          <w:sz w:val="32"/>
          <w:szCs w:val="32"/>
        </w:rPr>
        <w:t>十、一般性支出情况说明</w:t>
      </w:r>
    </w:p>
    <w:p>
      <w:pPr>
        <w:pStyle w:val="14"/>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2023年本部门未开支会议、培训费。</w:t>
      </w:r>
    </w:p>
    <w:p>
      <w:pPr>
        <w:pStyle w:val="14"/>
        <w:rPr>
          <w:rFonts w:hAnsi="黑体"/>
          <w:b/>
          <w:sz w:val="32"/>
          <w:szCs w:val="32"/>
        </w:rPr>
      </w:pPr>
      <w:r>
        <w:rPr>
          <w:rFonts w:hint="eastAsia" w:hAnsi="黑体"/>
          <w:b/>
          <w:sz w:val="32"/>
          <w:szCs w:val="32"/>
        </w:rPr>
        <w:t>十一、政府采购支出说明</w:t>
      </w:r>
    </w:p>
    <w:p>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部门2023年度政府采购支出总额7万元，其中：政府采购货物支出7万元、政府采购工程支出0万元、政府采购服务支出0万元。授予中小企业合同金额7万元，占政府采购支出总额的100%，其中：授予小微企业合同金额7万元，占授予中小企业合同金额的100%。货物采购授予中小企业合同金额占货物支出金额的100%，工程采购授予中小企业合同金额占工程支出金额的0%，服务采购授予中小企业合同金额占服务支出金额的0%。</w:t>
      </w:r>
    </w:p>
    <w:p>
      <w:pPr>
        <w:pStyle w:val="14"/>
        <w:rPr>
          <w:rFonts w:hint="eastAsia" w:hAnsi="黑体"/>
          <w:b/>
          <w:sz w:val="32"/>
          <w:szCs w:val="32"/>
        </w:rPr>
      </w:pPr>
    </w:p>
    <w:p>
      <w:pPr>
        <w:pStyle w:val="14"/>
        <w:rPr>
          <w:rFonts w:hAnsi="黑体"/>
          <w:b/>
          <w:sz w:val="32"/>
          <w:szCs w:val="32"/>
        </w:rPr>
      </w:pPr>
      <w:r>
        <w:rPr>
          <w:rFonts w:hint="eastAsia" w:hAnsi="黑体"/>
          <w:b/>
          <w:sz w:val="32"/>
          <w:szCs w:val="32"/>
        </w:rPr>
        <w:t>十二、国有资产占用情况说明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4"/>
        <w:rPr>
          <w:rFonts w:hint="eastAsia" w:hAnsi="黑体"/>
          <w:b/>
          <w:sz w:val="32"/>
          <w:szCs w:val="32"/>
        </w:rPr>
      </w:pPr>
      <w:r>
        <w:rPr>
          <w:rFonts w:hint="eastAsia" w:hAnsi="黑体"/>
          <w:b/>
          <w:sz w:val="32"/>
          <w:szCs w:val="32"/>
        </w:rPr>
        <w:t>十三、关于2023年度预算绩效情况的说明</w:t>
      </w:r>
    </w:p>
    <w:p>
      <w:pPr>
        <w:pStyle w:val="14"/>
        <w:rPr>
          <w:rFonts w:hint="eastAsia" w:hAnsi="黑体"/>
          <w:b/>
          <w:sz w:val="32"/>
          <w:szCs w:val="32"/>
        </w:rPr>
      </w:pPr>
      <w:r>
        <w:rPr>
          <w:rFonts w:hint="eastAsia" w:hAnsi="黑体"/>
          <w:b/>
          <w:sz w:val="32"/>
          <w:szCs w:val="32"/>
        </w:rPr>
        <w:t>（一）绩效管理工作开展情况</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_GB2312" w:hAnsi="仿宋_GB2312" w:eastAsia="仿宋_GB2312" w:cs="仿宋_GB2312"/>
          <w:color w:val="333333"/>
          <w:spacing w:val="0"/>
          <w:position w:val="0"/>
          <w:sz w:val="32"/>
          <w:shd w:val="clear" w:fill="auto"/>
        </w:rPr>
      </w:pPr>
      <w:r>
        <w:rPr>
          <w:rFonts w:hint="eastAsia" w:ascii="仿宋_GB2312" w:hAnsi="仿宋_GB2312" w:eastAsia="仿宋_GB2312" w:cs="仿宋_GB2312"/>
          <w:color w:val="444444"/>
          <w:spacing w:val="0"/>
          <w:position w:val="0"/>
          <w:sz w:val="32"/>
          <w:shd w:val="clear" w:fill="auto"/>
        </w:rPr>
        <w:t>202</w:t>
      </w:r>
      <w:r>
        <w:rPr>
          <w:rFonts w:hint="eastAsia" w:ascii="仿宋_GB2312" w:hAnsi="仿宋_GB2312" w:eastAsia="仿宋_GB2312" w:cs="仿宋_GB2312"/>
          <w:color w:val="444444"/>
          <w:spacing w:val="0"/>
          <w:position w:val="0"/>
          <w:sz w:val="32"/>
          <w:shd w:val="clear" w:fill="auto"/>
          <w:lang w:val="en-US" w:eastAsia="zh-CN"/>
        </w:rPr>
        <w:t>3</w:t>
      </w:r>
      <w:r>
        <w:rPr>
          <w:rFonts w:hint="eastAsia" w:ascii="仿宋_GB2312" w:hAnsi="仿宋_GB2312" w:eastAsia="仿宋_GB2312" w:cs="仿宋_GB2312"/>
          <w:color w:val="444444"/>
          <w:spacing w:val="0"/>
          <w:position w:val="0"/>
          <w:sz w:val="32"/>
          <w:shd w:val="clear" w:fill="auto"/>
        </w:rPr>
        <w:t>年我所按照县里统一部署，紧紧围绕“红色文化主阵地、文旅融合试验地、初心之旅目的地”的发展思路，全所上下齐心协力、攻坚克难，各项工作取得可喜成绩。</w:t>
      </w:r>
      <w:r>
        <w:rPr>
          <w:rFonts w:hint="eastAsia" w:ascii="仿宋_GB2312" w:hAnsi="仿宋_GB2312" w:eastAsia="仿宋_GB2312" w:cs="仿宋_GB2312"/>
          <w:color w:val="444444"/>
          <w:spacing w:val="0"/>
          <w:position w:val="0"/>
          <w:sz w:val="32"/>
          <w:shd w:val="clear" w:fill="auto"/>
          <w:lang w:val="en-US" w:eastAsia="zh-CN"/>
        </w:rPr>
        <w:t>今年</w:t>
      </w:r>
      <w:r>
        <w:rPr>
          <w:rFonts w:hint="eastAsia" w:ascii="仿宋_GB2312" w:hAnsi="仿宋_GB2312" w:eastAsia="仿宋_GB2312" w:cs="仿宋_GB2312"/>
          <w:color w:val="444444"/>
          <w:spacing w:val="0"/>
          <w:position w:val="0"/>
          <w:sz w:val="32"/>
          <w:shd w:val="clear" w:fill="auto"/>
        </w:rPr>
        <w:t>接待</w:t>
      </w:r>
      <w:r>
        <w:rPr>
          <w:rFonts w:hint="eastAsia" w:ascii="仿宋_GB2312" w:hAnsi="仿宋_GB2312" w:eastAsia="仿宋_GB2312" w:cs="仿宋_GB2312"/>
          <w:color w:val="333333"/>
          <w:spacing w:val="0"/>
          <w:position w:val="0"/>
          <w:sz w:val="32"/>
          <w:shd w:val="clear" w:fill="auto"/>
        </w:rPr>
        <w:t>游客达</w:t>
      </w:r>
      <w:r>
        <w:rPr>
          <w:rFonts w:hint="eastAsia" w:ascii="仿宋_GB2312" w:hAnsi="仿宋_GB2312" w:eastAsia="仿宋_GB2312" w:cs="仿宋_GB2312"/>
          <w:color w:val="333333"/>
          <w:spacing w:val="0"/>
          <w:position w:val="0"/>
          <w:sz w:val="32"/>
          <w:shd w:val="clear" w:fill="auto"/>
          <w:lang w:val="en-US" w:eastAsia="zh-CN"/>
        </w:rPr>
        <w:t>20</w:t>
      </w:r>
      <w:r>
        <w:rPr>
          <w:rFonts w:hint="eastAsia" w:ascii="仿宋_GB2312" w:hAnsi="仿宋_GB2312" w:eastAsia="仿宋_GB2312" w:cs="仿宋_GB2312"/>
          <w:color w:val="333333"/>
          <w:spacing w:val="0"/>
          <w:position w:val="0"/>
          <w:sz w:val="32"/>
          <w:shd w:val="clear" w:fill="auto"/>
        </w:rPr>
        <w:t>万人次，参观游客覆盖到周边省市县，成为红色文化、爱国主义教育的重要目的地，为加强和改进未成年人及成年人理想信念教育、思想道德建设中，发挥着重要的引领作用。</w:t>
      </w:r>
    </w:p>
    <w:p>
      <w:pPr>
        <w:pStyle w:val="14"/>
        <w:rPr>
          <w:rFonts w:hint="eastAsia" w:hAnsi="黑体"/>
          <w:b/>
          <w:color w:val="FF0000"/>
          <w:sz w:val="32"/>
          <w:szCs w:val="32"/>
        </w:rPr>
      </w:pPr>
    </w:p>
    <w:p>
      <w:pPr>
        <w:pStyle w:val="14"/>
        <w:rPr>
          <w:rFonts w:hint="eastAsia" w:hAnsi="黑体"/>
          <w:b/>
          <w:sz w:val="32"/>
          <w:szCs w:val="32"/>
        </w:rPr>
      </w:pPr>
      <w:r>
        <w:rPr>
          <w:rFonts w:hint="eastAsia" w:hAnsi="黑体"/>
          <w:b/>
          <w:sz w:val="32"/>
          <w:szCs w:val="32"/>
        </w:rPr>
        <w:t>（二）部门（单位）整体支出绩效情况</w:t>
      </w:r>
    </w:p>
    <w:p>
      <w:pPr>
        <w:keepNext w:val="0"/>
        <w:keepLines w:val="0"/>
        <w:pageBreakBefore w:val="0"/>
        <w:widowControl w:val="0"/>
        <w:kinsoku/>
        <w:wordWrap/>
        <w:overflowPunct/>
        <w:topLinePunct w:val="0"/>
        <w:autoSpaceDE/>
        <w:autoSpaceDN/>
        <w:bidi w:val="0"/>
        <w:adjustRightInd/>
        <w:snapToGrid/>
        <w:spacing w:before="0" w:after="240" w:line="560" w:lineRule="exact"/>
        <w:ind w:left="0" w:right="0" w:firstLine="640"/>
        <w:jc w:val="left"/>
        <w:textAlignment w:val="auto"/>
        <w:rPr>
          <w:rFonts w:hint="eastAsia" w:ascii="楷体_GB2312" w:hAnsi="楷体_GB2312" w:eastAsia="楷体_GB2312" w:cs="楷体_GB2312"/>
          <w:color w:val="444444"/>
          <w:spacing w:val="0"/>
          <w:position w:val="0"/>
          <w:sz w:val="32"/>
          <w:shd w:val="clear" w:fill="FFFFFF"/>
        </w:rPr>
      </w:pPr>
      <w:r>
        <w:rPr>
          <w:rFonts w:hint="eastAsia" w:ascii="楷体_GB2312" w:hAnsi="楷体_GB2312" w:eastAsia="楷体_GB2312" w:cs="楷体_GB2312"/>
          <w:color w:val="444444"/>
          <w:spacing w:val="0"/>
          <w:position w:val="0"/>
          <w:sz w:val="32"/>
          <w:shd w:val="clear" w:fill="FFFFFF"/>
        </w:rPr>
        <w:t>（一）“主阵地”成色大提升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color w:val="444444"/>
          <w:spacing w:val="0"/>
          <w:position w:val="0"/>
          <w:sz w:val="32"/>
          <w:szCs w:val="32"/>
          <w:shd w:val="clear" w:fill="FFFFFF"/>
        </w:rPr>
      </w:pPr>
      <w:r>
        <w:rPr>
          <w:rFonts w:hint="eastAsia" w:ascii="仿宋_GB2312" w:hAnsi="仿宋_GB2312" w:eastAsia="仿宋_GB2312" w:cs="仿宋_GB2312"/>
          <w:color w:val="444444"/>
          <w:spacing w:val="0"/>
          <w:position w:val="0"/>
          <w:sz w:val="32"/>
          <w:szCs w:val="32"/>
          <w:shd w:val="clear" w:fill="FFFFFF"/>
        </w:rPr>
        <w:t>加强故里管理。道县财政拨付专项资金，使何宝珍故里管理正常化、日常化，各项管理工作步入正轨。为故里添置了消防设施，补齐了绿化带中的花草。环境卫生保持一个比较高的水准。强化“防控结合，预防为主”安全措施，添置巡更系统，严格落实24小时巡逻制度和节假日以及特护期的安保轮值工作。以学雷锋志愿服务站为平台，打造“红色志愿服务队”，推动了文明劝导、文明礼让参观常态化。深耕红色文化，开展党性教育微党课活动，申报永州市党员党性教育基地。</w:t>
      </w:r>
    </w:p>
    <w:p>
      <w:pPr>
        <w:keepNext w:val="0"/>
        <w:keepLines w:val="0"/>
        <w:pageBreakBefore w:val="0"/>
        <w:widowControl w:val="0"/>
        <w:kinsoku/>
        <w:wordWrap/>
        <w:overflowPunct/>
        <w:topLinePunct w:val="0"/>
        <w:autoSpaceDE/>
        <w:autoSpaceDN/>
        <w:bidi w:val="0"/>
        <w:adjustRightInd/>
        <w:snapToGrid/>
        <w:spacing w:before="0" w:after="240" w:line="560" w:lineRule="exact"/>
        <w:ind w:left="0" w:right="0" w:firstLine="640"/>
        <w:jc w:val="left"/>
        <w:textAlignment w:val="auto"/>
        <w:rPr>
          <w:rFonts w:hint="eastAsia" w:ascii="楷体_GB2312" w:hAnsi="楷体_GB2312" w:eastAsia="楷体_GB2312" w:cs="楷体_GB2312"/>
          <w:color w:val="444444"/>
          <w:spacing w:val="0"/>
          <w:position w:val="0"/>
          <w:sz w:val="32"/>
          <w:shd w:val="clear" w:fill="FFFFFF"/>
          <w:lang w:eastAsia="zh-CN"/>
        </w:rPr>
      </w:pPr>
      <w:r>
        <w:rPr>
          <w:rFonts w:hint="eastAsia" w:ascii="仿宋_GB2312" w:hAnsi="仿宋_GB2312" w:eastAsia="仿宋_GB2312" w:cs="仿宋_GB2312"/>
          <w:color w:val="444444"/>
          <w:spacing w:val="0"/>
          <w:position w:val="0"/>
          <w:sz w:val="32"/>
          <w:shd w:val="clear" w:fill="FFFFFF"/>
        </w:rPr>
        <w:t>提升讲解服务。讲解员薪酬待遇与讲解绩效直接挂钩；发放讲解评价卡，由观众实时评价，纳入绩效考核；主动对接学校，提升宣讲服务的主动性与积极性。</w:t>
      </w:r>
      <w:r>
        <w:rPr>
          <w:rFonts w:hint="eastAsia" w:ascii="仿宋_GB2312" w:hAnsi="仿宋_GB2312" w:eastAsia="仿宋_GB2312" w:cs="仿宋_GB2312"/>
          <w:color w:val="444444"/>
          <w:spacing w:val="0"/>
          <w:position w:val="0"/>
          <w:sz w:val="32"/>
          <w:shd w:val="clear" w:fill="FFFFFF"/>
          <w:lang w:val="en-US" w:eastAsia="zh-CN"/>
        </w:rPr>
        <w:t>今年</w:t>
      </w:r>
      <w:r>
        <w:rPr>
          <w:rFonts w:hint="eastAsia" w:ascii="仿宋_GB2312" w:hAnsi="仿宋_GB2312" w:eastAsia="仿宋_GB2312" w:cs="仿宋_GB2312"/>
          <w:color w:val="444444"/>
          <w:spacing w:val="0"/>
          <w:position w:val="0"/>
          <w:sz w:val="32"/>
          <w:shd w:val="clear" w:fill="FFFFFF"/>
        </w:rPr>
        <w:t>共</w:t>
      </w:r>
      <w:r>
        <w:rPr>
          <w:rFonts w:hint="eastAsia" w:ascii="楷体_GB2312" w:hAnsi="楷体_GB2312" w:eastAsia="楷体_GB2312" w:cs="楷体_GB2312"/>
          <w:color w:val="444444"/>
          <w:spacing w:val="0"/>
          <w:position w:val="0"/>
          <w:sz w:val="32"/>
          <w:shd w:val="clear" w:fill="FFFFFF"/>
        </w:rPr>
        <w:t>完成讲解接待</w:t>
      </w:r>
      <w:r>
        <w:rPr>
          <w:rFonts w:hint="eastAsia" w:ascii="楷体_GB2312" w:hAnsi="楷体_GB2312" w:eastAsia="楷体_GB2312" w:cs="楷体_GB2312"/>
          <w:color w:val="444444"/>
          <w:spacing w:val="0"/>
          <w:position w:val="0"/>
          <w:sz w:val="32"/>
          <w:shd w:val="clear" w:fill="FFFFFF"/>
          <w:lang w:val="en-US" w:eastAsia="zh-CN"/>
        </w:rPr>
        <w:t>500</w:t>
      </w:r>
      <w:r>
        <w:rPr>
          <w:rFonts w:hint="eastAsia" w:ascii="楷体_GB2312" w:hAnsi="楷体_GB2312" w:eastAsia="楷体_GB2312" w:cs="楷体_GB2312"/>
          <w:color w:val="444444"/>
          <w:spacing w:val="0"/>
          <w:position w:val="0"/>
          <w:sz w:val="32"/>
          <w:shd w:val="clear" w:fill="FFFFFF"/>
        </w:rPr>
        <w:t>批次，讲解率达86%，满意度达100%。</w:t>
      </w:r>
    </w:p>
    <w:p>
      <w:pPr>
        <w:keepNext w:val="0"/>
        <w:keepLines w:val="0"/>
        <w:pageBreakBefore w:val="0"/>
        <w:widowControl w:val="0"/>
        <w:kinsoku/>
        <w:wordWrap/>
        <w:overflowPunct/>
        <w:topLinePunct w:val="0"/>
        <w:autoSpaceDE/>
        <w:autoSpaceDN/>
        <w:bidi w:val="0"/>
        <w:adjustRightInd/>
        <w:snapToGrid/>
        <w:spacing w:before="0" w:after="240" w:line="560" w:lineRule="exact"/>
        <w:ind w:left="0" w:right="0" w:firstLine="0"/>
        <w:jc w:val="left"/>
        <w:textAlignment w:val="auto"/>
        <w:rPr>
          <w:rFonts w:hint="eastAsia" w:ascii="楷体_GB2312" w:hAnsi="楷体_GB2312" w:eastAsia="楷体_GB2312" w:cs="楷体_GB2312"/>
          <w:color w:val="444444"/>
          <w:spacing w:val="0"/>
          <w:position w:val="0"/>
          <w:sz w:val="32"/>
          <w:shd w:val="clear" w:fill="FFFFFF"/>
        </w:rPr>
      </w:pPr>
      <w:r>
        <w:rPr>
          <w:rFonts w:hint="eastAsia" w:ascii="楷体_GB2312" w:hAnsi="楷体_GB2312" w:eastAsia="楷体_GB2312" w:cs="楷体_GB2312"/>
          <w:b/>
          <w:color w:val="444444"/>
          <w:spacing w:val="0"/>
          <w:position w:val="0"/>
          <w:sz w:val="32"/>
          <w:shd w:val="clear" w:fill="FFFFFF"/>
        </w:rPr>
        <w:t>　　</w:t>
      </w:r>
      <w:r>
        <w:rPr>
          <w:rFonts w:hint="eastAsia" w:ascii="楷体_GB2312" w:hAnsi="楷体_GB2312" w:eastAsia="楷体_GB2312" w:cs="楷体_GB2312"/>
          <w:color w:val="444444"/>
          <w:spacing w:val="0"/>
          <w:position w:val="0"/>
          <w:sz w:val="32"/>
          <w:shd w:val="clear" w:fill="FFFFFF"/>
        </w:rPr>
        <w:t>（二）“目的地”影响大彰显</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_GB2312" w:hAnsi="仿宋_GB2312" w:eastAsia="仿宋_GB2312" w:cs="仿宋_GB2312"/>
          <w:color w:val="444444"/>
          <w:spacing w:val="0"/>
          <w:position w:val="0"/>
          <w:sz w:val="32"/>
          <w:shd w:val="clear" w:fill="auto"/>
        </w:rPr>
      </w:pPr>
      <w:r>
        <w:rPr>
          <w:rFonts w:hint="eastAsia" w:ascii="仿宋_GB2312" w:hAnsi="仿宋_GB2312" w:eastAsia="仿宋_GB2312" w:cs="仿宋_GB2312"/>
          <w:color w:val="444444"/>
          <w:spacing w:val="0"/>
          <w:position w:val="0"/>
          <w:sz w:val="32"/>
          <w:shd w:val="clear" w:fill="auto"/>
        </w:rPr>
        <w:t>故里知名度、美誉度大幅提升。</w:t>
      </w:r>
      <w:r>
        <w:rPr>
          <w:rFonts w:hint="eastAsia" w:ascii="仿宋_GB2312" w:hAnsi="仿宋_GB2312" w:eastAsia="仿宋_GB2312" w:cs="仿宋_GB2312"/>
          <w:color w:val="444444"/>
          <w:spacing w:val="0"/>
          <w:position w:val="0"/>
          <w:sz w:val="32"/>
          <w:shd w:val="clear" w:fill="auto"/>
          <w:lang w:val="en-US" w:eastAsia="zh-CN"/>
        </w:rPr>
        <w:t>今年</w:t>
      </w:r>
      <w:r>
        <w:rPr>
          <w:rFonts w:hint="eastAsia" w:ascii="仿宋_GB2312" w:hAnsi="仿宋_GB2312" w:eastAsia="仿宋_GB2312" w:cs="仿宋_GB2312"/>
          <w:color w:val="444444"/>
          <w:spacing w:val="0"/>
          <w:position w:val="0"/>
          <w:sz w:val="32"/>
          <w:shd w:val="clear" w:fill="auto"/>
        </w:rPr>
        <w:t>接待</w:t>
      </w:r>
      <w:r>
        <w:rPr>
          <w:rFonts w:hint="eastAsia" w:ascii="仿宋_GB2312" w:hAnsi="仿宋_GB2312" w:eastAsia="仿宋_GB2312" w:cs="仿宋_GB2312"/>
          <w:color w:val="333333"/>
          <w:spacing w:val="0"/>
          <w:position w:val="0"/>
          <w:sz w:val="32"/>
          <w:shd w:val="clear" w:fill="auto"/>
        </w:rPr>
        <w:t>游客达</w:t>
      </w:r>
      <w:r>
        <w:rPr>
          <w:rFonts w:hint="eastAsia" w:ascii="仿宋_GB2312" w:hAnsi="仿宋_GB2312" w:eastAsia="仿宋_GB2312" w:cs="仿宋_GB2312"/>
          <w:color w:val="333333"/>
          <w:spacing w:val="0"/>
          <w:position w:val="0"/>
          <w:sz w:val="32"/>
          <w:shd w:val="clear" w:fill="auto"/>
          <w:lang w:val="en-US" w:eastAsia="zh-CN"/>
        </w:rPr>
        <w:t>20</w:t>
      </w:r>
      <w:r>
        <w:rPr>
          <w:rFonts w:hint="eastAsia" w:ascii="仿宋_GB2312" w:hAnsi="仿宋_GB2312" w:eastAsia="仿宋_GB2312" w:cs="仿宋_GB2312"/>
          <w:color w:val="333333"/>
          <w:spacing w:val="0"/>
          <w:position w:val="0"/>
          <w:sz w:val="32"/>
          <w:shd w:val="clear" w:fill="auto"/>
        </w:rPr>
        <w:t>万人次，参观游客覆盖到周边省市县，成为红色文化、爱国主义教育的重要目的地</w:t>
      </w:r>
      <w:r>
        <w:rPr>
          <w:rFonts w:hint="eastAsia" w:ascii="仿宋_GB2312" w:hAnsi="仿宋_GB2312" w:eastAsia="仿宋_GB2312" w:cs="仿宋_GB2312"/>
          <w:color w:val="333333"/>
          <w:spacing w:val="0"/>
          <w:position w:val="0"/>
          <w:sz w:val="32"/>
          <w:shd w:val="clear" w:fill="auto"/>
          <w:lang w:eastAsia="zh-CN"/>
        </w:rPr>
        <w:t>。</w:t>
      </w:r>
      <w:r>
        <w:rPr>
          <w:rFonts w:hint="eastAsia" w:ascii="仿宋_GB2312" w:hAnsi="仿宋_GB2312" w:eastAsia="仿宋_GB2312" w:cs="仿宋_GB2312"/>
          <w:color w:val="333333"/>
          <w:spacing w:val="0"/>
          <w:position w:val="0"/>
          <w:sz w:val="32"/>
          <w:shd w:val="clear" w:fill="auto"/>
          <w:lang w:val="en-US" w:eastAsia="zh-CN"/>
        </w:rPr>
        <w:t>梅花镇中学、宁远县水市完全小学、永州一中等中小学生前来何宝珍故里参观接受红色教育。去年</w:t>
      </w:r>
      <w:r>
        <w:rPr>
          <w:rFonts w:hint="eastAsia" w:ascii="仿宋_GB2312" w:hAnsi="仿宋_GB2312" w:eastAsia="仿宋_GB2312" w:cs="仿宋_GB2312"/>
          <w:color w:val="444444"/>
          <w:spacing w:val="0"/>
          <w:position w:val="0"/>
          <w:sz w:val="32"/>
          <w:shd w:val="clear" w:fill="auto"/>
        </w:rPr>
        <w:t>同刘少奇纪念馆达成结对联盟，实现资源共享、游客互达；获得永州市社会科学普及基地称号。</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left"/>
        <w:textAlignment w:val="auto"/>
        <w:rPr>
          <w:rFonts w:hint="eastAsia" w:ascii="楷体_GB2312" w:hAnsi="楷体_GB2312" w:eastAsia="楷体_GB2312" w:cs="楷体_GB2312"/>
          <w:color w:val="333333"/>
          <w:spacing w:val="0"/>
          <w:position w:val="0"/>
          <w:sz w:val="32"/>
          <w:shd w:val="clear" w:fill="auto"/>
        </w:rPr>
      </w:pPr>
      <w:r>
        <w:rPr>
          <w:rFonts w:hint="eastAsia" w:ascii="楷体_GB2312" w:hAnsi="楷体_GB2312" w:eastAsia="楷体_GB2312" w:cs="楷体_GB2312"/>
          <w:color w:val="333333"/>
          <w:spacing w:val="0"/>
          <w:position w:val="0"/>
          <w:sz w:val="32"/>
          <w:shd w:val="clear" w:fill="auto"/>
        </w:rPr>
        <w:t>（三）配套设施不断完善</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_GB2312" w:hAnsi="仿宋_GB2312" w:eastAsia="仿宋_GB2312" w:cs="仿宋_GB2312"/>
          <w:color w:val="333333"/>
          <w:spacing w:val="0"/>
          <w:position w:val="0"/>
          <w:sz w:val="32"/>
          <w:shd w:val="clear" w:fill="auto"/>
          <w:lang w:val="en-US" w:eastAsia="zh-CN"/>
        </w:rPr>
      </w:pPr>
      <w:r>
        <w:rPr>
          <w:rFonts w:hint="eastAsia" w:ascii="仿宋_GB2312" w:hAnsi="仿宋_GB2312" w:eastAsia="仿宋_GB2312" w:cs="仿宋_GB2312"/>
          <w:color w:val="333333"/>
          <w:spacing w:val="0"/>
          <w:position w:val="0"/>
          <w:sz w:val="32"/>
          <w:shd w:val="clear" w:fill="auto"/>
        </w:rPr>
        <w:t>强力推进何宝珍故里红色旅游景区“美化、亮化、绿化、净化”工程，</w:t>
      </w:r>
      <w:r>
        <w:rPr>
          <w:rFonts w:hint="eastAsia" w:ascii="仿宋_GB2312" w:hAnsi="仿宋_GB2312" w:eastAsia="仿宋_GB2312" w:cs="仿宋_GB2312"/>
          <w:color w:val="444444"/>
          <w:spacing w:val="0"/>
          <w:position w:val="0"/>
          <w:sz w:val="32"/>
          <w:shd w:val="clear" w:fill="auto"/>
        </w:rPr>
        <w:t>1100平米的村级活动中心兼游客中心建成，建设了汀步叠水坝，目前，成为网红坝。</w:t>
      </w:r>
      <w:r>
        <w:rPr>
          <w:rFonts w:hint="eastAsia" w:ascii="仿宋_GB2312" w:hAnsi="仿宋_GB2312" w:eastAsia="仿宋_GB2312" w:cs="仿宋_GB2312"/>
          <w:color w:val="444444"/>
          <w:spacing w:val="0"/>
          <w:position w:val="0"/>
          <w:sz w:val="32"/>
          <w:shd w:val="clear" w:fill="auto"/>
          <w:lang w:val="en-US" w:eastAsia="zh-CN"/>
        </w:rPr>
        <w:t>建好了</w:t>
      </w:r>
      <w:r>
        <w:rPr>
          <w:rFonts w:hint="eastAsia" w:ascii="仿宋_GB2312" w:hAnsi="仿宋_GB2312" w:eastAsia="仿宋_GB2312" w:cs="仿宋_GB2312"/>
          <w:color w:val="444444"/>
          <w:spacing w:val="0"/>
          <w:position w:val="0"/>
          <w:sz w:val="32"/>
          <w:shd w:val="clear" w:fill="auto"/>
        </w:rPr>
        <w:t>二期沿河护堤工程</w:t>
      </w:r>
      <w:r>
        <w:rPr>
          <w:rFonts w:hint="eastAsia" w:ascii="仿宋_GB2312" w:hAnsi="仿宋_GB2312" w:eastAsia="仿宋_GB2312" w:cs="仿宋_GB2312"/>
          <w:color w:val="444444"/>
          <w:spacing w:val="0"/>
          <w:position w:val="0"/>
          <w:sz w:val="32"/>
          <w:shd w:val="clear" w:fill="auto"/>
          <w:lang w:val="en-US" w:eastAsia="zh-CN"/>
        </w:rPr>
        <w:t>和荷塘游步道</w:t>
      </w:r>
      <w:r>
        <w:rPr>
          <w:rFonts w:hint="eastAsia" w:ascii="仿宋_GB2312" w:hAnsi="仿宋_GB2312" w:eastAsia="仿宋_GB2312" w:cs="仿宋_GB2312"/>
          <w:color w:val="444444"/>
          <w:spacing w:val="0"/>
          <w:position w:val="0"/>
          <w:sz w:val="32"/>
          <w:shd w:val="clear" w:fill="auto"/>
        </w:rPr>
        <w:t>。</w:t>
      </w:r>
      <w:r>
        <w:rPr>
          <w:rFonts w:hint="eastAsia" w:ascii="仿宋_GB2312" w:hAnsi="仿宋_GB2312" w:eastAsia="仿宋_GB2312" w:cs="仿宋_GB2312"/>
          <w:color w:val="333333"/>
          <w:spacing w:val="0"/>
          <w:position w:val="0"/>
          <w:sz w:val="32"/>
          <w:shd w:val="clear" w:fill="auto"/>
        </w:rPr>
        <w:t>在核心景区安装垃圾箱20个；请专业公司制作了景区内的标识标牌并按装。积极推进景区绿化，完成故里入口大道两侧花草种植。进行宝珍公园的规划和建设工作</w:t>
      </w:r>
      <w:r>
        <w:rPr>
          <w:rFonts w:hint="eastAsia" w:ascii="仿宋_GB2312" w:hAnsi="仿宋_GB2312" w:eastAsia="仿宋_GB2312" w:cs="仿宋_GB2312"/>
          <w:color w:val="333333"/>
          <w:spacing w:val="0"/>
          <w:position w:val="0"/>
          <w:sz w:val="32"/>
          <w:shd w:val="clear" w:fill="auto"/>
          <w:lang w:eastAsia="zh-CN"/>
        </w:rPr>
        <w:t>。</w:t>
      </w:r>
      <w:r>
        <w:rPr>
          <w:rFonts w:hint="eastAsia" w:ascii="仿宋_GB2312" w:hAnsi="仿宋_GB2312" w:eastAsia="仿宋_GB2312" w:cs="仿宋_GB2312"/>
          <w:color w:val="333333"/>
          <w:spacing w:val="0"/>
          <w:position w:val="0"/>
          <w:sz w:val="32"/>
          <w:shd w:val="clear" w:fill="auto"/>
          <w:lang w:val="en-US" w:eastAsia="zh-CN"/>
        </w:rPr>
        <w:t>长征微缩电影步道也在快速推进中。何宝珍生平陈列室扩馆也做好了设计和财政评审工作。</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480"/>
        <w:jc w:val="both"/>
        <w:textAlignment w:val="auto"/>
        <w:rPr>
          <w:rFonts w:hint="eastAsia" w:ascii="楷体_GB2312" w:hAnsi="楷体_GB2312" w:eastAsia="楷体_GB2312" w:cs="楷体_GB2312"/>
          <w:color w:val="auto"/>
          <w:spacing w:val="0"/>
          <w:position w:val="0"/>
          <w:sz w:val="32"/>
          <w:shd w:val="clear" w:fill="auto"/>
        </w:rPr>
      </w:pPr>
      <w:r>
        <w:rPr>
          <w:rFonts w:hint="eastAsia" w:ascii="楷体_GB2312" w:hAnsi="楷体_GB2312" w:eastAsia="楷体_GB2312" w:cs="楷体_GB2312"/>
          <w:color w:val="auto"/>
          <w:spacing w:val="0"/>
          <w:position w:val="0"/>
          <w:sz w:val="32"/>
          <w:shd w:val="clear" w:fill="auto"/>
        </w:rPr>
        <w:t>（四）加大宣传力度，提高故里知名度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0"/>
          <w:position w:val="0"/>
          <w:sz w:val="32"/>
          <w:shd w:val="clear" w:fill="auto"/>
        </w:rPr>
        <w:t>我所以多种形式开展教育宣传活动，不断拓展扩大教育市场，让更多人走进何宝珍故里，了解何宝珍烈士的事</w:t>
      </w:r>
      <w:r>
        <w:rPr>
          <w:rFonts w:hint="eastAsia" w:ascii="仿宋_GB2312" w:hAnsi="仿宋_GB2312" w:eastAsia="仿宋_GB2312" w:cs="仿宋_GB2312"/>
          <w:b w:val="0"/>
          <w:bCs w:val="0"/>
          <w:color w:val="auto"/>
          <w:spacing w:val="0"/>
          <w:position w:val="0"/>
          <w:sz w:val="32"/>
          <w:szCs w:val="32"/>
          <w:shd w:val="clear" w:fill="auto"/>
        </w:rPr>
        <w:t>迹，学习红色文化。</w:t>
      </w:r>
      <w:r>
        <w:rPr>
          <w:rFonts w:hint="eastAsia" w:ascii="仿宋_GB2312" w:hAnsi="仿宋_GB2312" w:eastAsia="仿宋_GB2312" w:cs="仿宋_GB2312"/>
          <w:b w:val="0"/>
          <w:bCs w:val="0"/>
          <w:color w:val="auto"/>
          <w:spacing w:val="0"/>
          <w:position w:val="0"/>
          <w:sz w:val="32"/>
          <w:szCs w:val="32"/>
          <w:shd w:val="clear" w:fill="auto"/>
          <w:lang w:val="en-US" w:eastAsia="zh-CN"/>
        </w:rPr>
        <w:t>清明节期间，开展网上祭英烈活动。</w:t>
      </w:r>
      <w:r>
        <w:rPr>
          <w:rFonts w:hint="eastAsia" w:ascii="仿宋_GB2312" w:hAnsi="仿宋_GB2312" w:eastAsia="仿宋_GB2312" w:cs="仿宋_GB2312"/>
          <w:b w:val="0"/>
          <w:bCs w:val="0"/>
          <w:color w:val="444444"/>
          <w:spacing w:val="0"/>
          <w:position w:val="0"/>
          <w:sz w:val="32"/>
          <w:szCs w:val="32"/>
          <w:shd w:val="clear" w:fill="auto"/>
        </w:rPr>
        <w:t>在新华社、湖南日报、永州日报、红网发表何宝珍故里新闻</w:t>
      </w:r>
      <w:r>
        <w:rPr>
          <w:rFonts w:hint="eastAsia" w:ascii="仿宋_GB2312" w:hAnsi="仿宋_GB2312" w:eastAsia="仿宋_GB2312" w:cs="仿宋_GB2312"/>
          <w:b w:val="0"/>
          <w:bCs w:val="0"/>
          <w:color w:val="444444"/>
          <w:spacing w:val="0"/>
          <w:position w:val="0"/>
          <w:sz w:val="32"/>
          <w:szCs w:val="32"/>
          <w:shd w:val="clear" w:fill="auto"/>
          <w:lang w:val="en-US" w:eastAsia="zh-CN"/>
        </w:rPr>
        <w:t>50</w:t>
      </w:r>
      <w:r>
        <w:rPr>
          <w:rFonts w:hint="eastAsia" w:ascii="仿宋_GB2312" w:hAnsi="仿宋_GB2312" w:eastAsia="仿宋_GB2312" w:cs="仿宋_GB2312"/>
          <w:b w:val="0"/>
          <w:bCs w:val="0"/>
          <w:color w:val="444444"/>
          <w:spacing w:val="0"/>
          <w:position w:val="0"/>
          <w:sz w:val="32"/>
          <w:szCs w:val="32"/>
          <w:shd w:val="clear" w:fill="auto"/>
        </w:rPr>
        <w:t>多篇</w:t>
      </w:r>
      <w:r>
        <w:rPr>
          <w:rFonts w:hint="eastAsia" w:ascii="仿宋_GB2312" w:hAnsi="仿宋_GB2312" w:eastAsia="仿宋_GB2312" w:cs="仿宋_GB2312"/>
          <w:b w:val="0"/>
          <w:bCs w:val="0"/>
          <w:color w:val="444444"/>
          <w:spacing w:val="0"/>
          <w:position w:val="0"/>
          <w:sz w:val="32"/>
          <w:szCs w:val="32"/>
          <w:shd w:val="clear" w:fill="auto"/>
          <w:lang w:eastAsia="zh-CN"/>
        </w:rPr>
        <w:t>。</w:t>
      </w:r>
      <w:r>
        <w:rPr>
          <w:rFonts w:hint="eastAsia" w:ascii="仿宋_GB2312" w:hAnsi="仿宋_GB2312" w:eastAsia="仿宋_GB2312" w:cs="仿宋_GB2312"/>
          <w:b w:val="0"/>
          <w:bCs w:val="0"/>
          <w:color w:val="auto"/>
          <w:spacing w:val="0"/>
          <w:position w:val="0"/>
          <w:sz w:val="32"/>
          <w:szCs w:val="32"/>
          <w:shd w:val="clear" w:fill="auto"/>
        </w:rPr>
        <w:t>今年</w:t>
      </w:r>
      <w:r>
        <w:rPr>
          <w:rFonts w:hint="eastAsia" w:ascii="仿宋_GB2312" w:hAnsi="仿宋_GB2312" w:eastAsia="仿宋_GB2312" w:cs="仿宋_GB2312"/>
          <w:b w:val="0"/>
          <w:bCs w:val="0"/>
          <w:color w:val="auto"/>
          <w:spacing w:val="0"/>
          <w:position w:val="0"/>
          <w:sz w:val="32"/>
          <w:szCs w:val="32"/>
          <w:shd w:val="clear" w:fill="auto"/>
          <w:lang w:eastAsia="zh-CN"/>
        </w:rPr>
        <w:t>，</w:t>
      </w:r>
      <w:r>
        <w:rPr>
          <w:rFonts w:hint="eastAsia" w:ascii="仿宋_GB2312" w:hAnsi="仿宋_GB2312" w:eastAsia="仿宋_GB2312" w:cs="仿宋_GB2312"/>
          <w:b w:val="0"/>
          <w:bCs w:val="0"/>
          <w:color w:val="auto"/>
          <w:spacing w:val="0"/>
          <w:position w:val="0"/>
          <w:sz w:val="32"/>
          <w:szCs w:val="32"/>
          <w:shd w:val="clear" w:fill="auto"/>
          <w:lang w:val="en-US" w:eastAsia="zh-CN"/>
        </w:rPr>
        <w:t>宁远县水市完全小学</w:t>
      </w:r>
      <w:r>
        <w:rPr>
          <w:rFonts w:hint="eastAsia" w:ascii="仿宋_GB2312" w:hAnsi="仿宋_GB2312" w:eastAsia="仿宋_GB2312" w:cs="仿宋_GB2312"/>
          <w:b w:val="0"/>
          <w:bCs w:val="0"/>
          <w:color w:val="auto"/>
          <w:spacing w:val="0"/>
          <w:position w:val="0"/>
          <w:sz w:val="32"/>
          <w:szCs w:val="32"/>
          <w:shd w:val="clear" w:fill="auto"/>
        </w:rPr>
        <w:t>组织</w:t>
      </w:r>
      <w:r>
        <w:rPr>
          <w:rFonts w:hint="eastAsia" w:ascii="仿宋_GB2312" w:hAnsi="仿宋_GB2312" w:eastAsia="仿宋_GB2312" w:cs="仿宋_GB2312"/>
          <w:b w:val="0"/>
          <w:bCs w:val="0"/>
          <w:color w:val="auto"/>
          <w:spacing w:val="0"/>
          <w:position w:val="0"/>
          <w:sz w:val="32"/>
          <w:szCs w:val="32"/>
          <w:shd w:val="clear" w:fill="auto"/>
          <w:lang w:val="en-US" w:eastAsia="zh-CN"/>
        </w:rPr>
        <w:t>600</w:t>
      </w:r>
      <w:r>
        <w:rPr>
          <w:rFonts w:hint="eastAsia" w:ascii="仿宋_GB2312" w:hAnsi="仿宋_GB2312" w:eastAsia="仿宋_GB2312" w:cs="仿宋_GB2312"/>
          <w:b w:val="0"/>
          <w:bCs w:val="0"/>
          <w:color w:val="auto"/>
          <w:spacing w:val="0"/>
          <w:position w:val="0"/>
          <w:sz w:val="32"/>
          <w:szCs w:val="32"/>
          <w:shd w:val="clear" w:fill="auto"/>
        </w:rPr>
        <w:t>多名学生到何宝珍故里学习红色文化，缅怀革命先烈，弘扬先烈的革命精神，加强青少年思想道德建设。</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1、预算绩效管理机制有待进一步完善，需进一步结合工作实际完善资金管理文件办法等。</w:t>
      </w:r>
    </w:p>
    <w:p>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2、绩效目标设定不够细化，绩效目标的科学性、合理性以及量化可考核性有待进一步加强。</w:t>
      </w:r>
    </w:p>
    <w:p>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3、内控制度执行有待进一步规范。</w:t>
      </w:r>
    </w:p>
    <w:p>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4、存在预算资金不够细，支出与预算不够的问题。</w:t>
      </w:r>
    </w:p>
    <w:p>
      <w:pPr>
        <w:pStyle w:val="14"/>
        <w:jc w:val="center"/>
        <w:rPr>
          <w:sz w:val="72"/>
          <w:szCs w:val="72"/>
        </w:rPr>
      </w:pPr>
    </w:p>
    <w:p>
      <w:pPr>
        <w:pStyle w:val="14"/>
        <w:jc w:val="center"/>
        <w:rPr>
          <w:sz w:val="72"/>
          <w:szCs w:val="72"/>
        </w:rPr>
      </w:pPr>
    </w:p>
    <w:p>
      <w:pPr>
        <w:pStyle w:val="14"/>
        <w:jc w:val="center"/>
        <w:rPr>
          <w:sz w:val="72"/>
          <w:szCs w:val="72"/>
        </w:rPr>
      </w:pPr>
    </w:p>
    <w:p>
      <w:pPr>
        <w:pStyle w:val="14"/>
        <w:rPr>
          <w:sz w:val="72"/>
          <w:szCs w:val="72"/>
        </w:rPr>
      </w:pPr>
    </w:p>
    <w:p>
      <w:pPr>
        <w:pStyle w:val="14"/>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eastAsia="黑体" w:cs="黑体" w:asciiTheme="minorEastAsia" w:hAnsiTheme="minorEastAsia"/>
          <w:color w:val="000000"/>
          <w:kern w:val="0"/>
          <w:sz w:val="32"/>
          <w:szCs w:val="32"/>
          <w:lang w:val="en-US" w:eastAsia="zh-CN" w:bidi="ar-SA"/>
        </w:rPr>
      </w:pPr>
      <w:r>
        <w:rPr>
          <w:rFonts w:hint="eastAsia" w:eastAsia="黑体" w:cs="黑体" w:asciiTheme="minorEastAsia" w:hAnsiTheme="minorEastAsia"/>
          <w:color w:val="000000"/>
          <w:kern w:val="0"/>
          <w:sz w:val="32"/>
          <w:szCs w:val="32"/>
          <w:lang w:val="en-US" w:eastAsia="zh-CN" w:bidi="ar-SA"/>
        </w:rPr>
        <w:t>1.</w:t>
      </w:r>
      <w:r>
        <w:rPr>
          <w:rFonts w:hint="default" w:eastAsia="黑体" w:cs="黑体" w:asciiTheme="minorEastAsia" w:hAnsiTheme="minorEastAsia"/>
          <w:color w:val="000000"/>
          <w:kern w:val="0"/>
          <w:sz w:val="32"/>
          <w:szCs w:val="32"/>
          <w:lang w:val="en-US" w:eastAsia="zh-CN" w:bidi="ar-SA"/>
        </w:rPr>
        <w:t>财政拨款收入：指单位本年度从同级财政部门取得的各类财政拨款。</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eastAsia="黑体" w:cs="黑体" w:asciiTheme="minorEastAsia" w:hAnsiTheme="minorEastAsia"/>
          <w:color w:val="000000"/>
          <w:kern w:val="0"/>
          <w:sz w:val="32"/>
          <w:szCs w:val="32"/>
          <w:lang w:val="en-US" w:eastAsia="zh-CN" w:bidi="ar-SA"/>
        </w:rPr>
      </w:pPr>
      <w:r>
        <w:rPr>
          <w:rFonts w:hint="default" w:eastAsia="黑体" w:cs="黑体" w:asciiTheme="minorEastAsia" w:hAnsiTheme="minorEastAsia"/>
          <w:color w:val="000000"/>
          <w:kern w:val="0"/>
          <w:sz w:val="32"/>
          <w:szCs w:val="32"/>
          <w:lang w:val="en-US" w:eastAsia="zh-CN" w:bidi="ar-SA"/>
        </w:rPr>
        <w:t>2</w:t>
      </w:r>
      <w:r>
        <w:rPr>
          <w:rFonts w:hint="eastAsia" w:eastAsia="黑体" w:cs="黑体" w:asciiTheme="minorEastAsia" w:hAnsiTheme="minorEastAsia"/>
          <w:color w:val="000000"/>
          <w:kern w:val="0"/>
          <w:sz w:val="32"/>
          <w:szCs w:val="32"/>
          <w:lang w:val="en-US" w:eastAsia="zh-CN" w:bidi="ar-SA"/>
        </w:rPr>
        <w:t>.</w:t>
      </w:r>
      <w:r>
        <w:rPr>
          <w:rFonts w:hint="default" w:eastAsia="黑体" w:cs="黑体" w:asciiTheme="minorEastAsia" w:hAnsiTheme="minorEastAsia"/>
          <w:color w:val="000000"/>
          <w:kern w:val="0"/>
          <w:sz w:val="32"/>
          <w:szCs w:val="32"/>
          <w:lang w:val="en-US" w:eastAsia="zh-CN" w:bidi="ar-SA"/>
        </w:rPr>
        <w:t>上级补助收入：指事业单位从主管部门和上级单位取得的非财政补助收入。</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eastAsia="黑体" w:cs="黑体" w:asciiTheme="minorEastAsia" w:hAnsiTheme="minorEastAsia"/>
          <w:color w:val="000000"/>
          <w:kern w:val="0"/>
          <w:sz w:val="32"/>
          <w:szCs w:val="32"/>
          <w:lang w:val="en-US" w:eastAsia="zh-CN" w:bidi="ar-SA"/>
        </w:rPr>
      </w:pPr>
      <w:r>
        <w:rPr>
          <w:rFonts w:hint="default" w:eastAsia="黑体" w:cs="黑体" w:asciiTheme="minorEastAsia" w:hAnsiTheme="minorEastAsia"/>
          <w:color w:val="000000"/>
          <w:kern w:val="0"/>
          <w:sz w:val="32"/>
          <w:szCs w:val="32"/>
          <w:lang w:val="en-US" w:eastAsia="zh-CN" w:bidi="ar-SA"/>
        </w:rPr>
        <w:t>3</w:t>
      </w:r>
      <w:r>
        <w:rPr>
          <w:rFonts w:hint="eastAsia" w:eastAsia="黑体" w:cs="黑体" w:asciiTheme="minorEastAsia" w:hAnsiTheme="minorEastAsia"/>
          <w:color w:val="000000"/>
          <w:kern w:val="0"/>
          <w:sz w:val="32"/>
          <w:szCs w:val="32"/>
          <w:lang w:val="en-US" w:eastAsia="zh-CN" w:bidi="ar-SA"/>
        </w:rPr>
        <w:t>.</w:t>
      </w:r>
      <w:r>
        <w:rPr>
          <w:rFonts w:hint="default" w:eastAsia="黑体" w:cs="黑体" w:asciiTheme="minorEastAsia" w:hAnsiTheme="minorEastAsia"/>
          <w:color w:val="000000"/>
          <w:kern w:val="0"/>
          <w:sz w:val="32"/>
          <w:szCs w:val="32"/>
          <w:lang w:val="en-US" w:eastAsia="zh-CN" w:bidi="ar-SA"/>
        </w:rPr>
        <w:t>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eastAsia="黑体" w:cs="黑体" w:asciiTheme="minorEastAsia" w:hAnsiTheme="minorEastAsia"/>
          <w:color w:val="000000"/>
          <w:kern w:val="0"/>
          <w:sz w:val="32"/>
          <w:szCs w:val="32"/>
          <w:lang w:val="en-US" w:eastAsia="zh-CN" w:bidi="ar-SA"/>
        </w:rPr>
      </w:pPr>
      <w:r>
        <w:rPr>
          <w:rFonts w:hint="default" w:eastAsia="黑体" w:cs="黑体" w:asciiTheme="minorEastAsia" w:hAnsiTheme="minorEastAsia"/>
          <w:color w:val="000000"/>
          <w:kern w:val="0"/>
          <w:sz w:val="32"/>
          <w:szCs w:val="32"/>
          <w:lang w:val="en-US" w:eastAsia="zh-CN" w:bidi="ar-SA"/>
        </w:rPr>
        <w:t>公务用车运行维护费及其他费用。</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eastAsia="黑体" w:cs="黑体" w:asciiTheme="minorEastAsia" w:hAnsiTheme="minorEastAsia"/>
          <w:color w:val="000000"/>
          <w:kern w:val="0"/>
          <w:sz w:val="32"/>
          <w:szCs w:val="32"/>
          <w:lang w:val="en-US" w:eastAsia="zh-CN" w:bidi="ar-SA"/>
        </w:rPr>
      </w:pPr>
      <w:r>
        <w:rPr>
          <w:rFonts w:hint="default" w:eastAsia="黑体" w:cs="黑体" w:asciiTheme="minorEastAsia" w:hAnsiTheme="minorEastAsia"/>
          <w:color w:val="000000"/>
          <w:kern w:val="0"/>
          <w:sz w:val="32"/>
          <w:szCs w:val="32"/>
          <w:lang w:val="en-US" w:eastAsia="zh-CN" w:bidi="ar-SA"/>
        </w:rPr>
        <w:t>4</w:t>
      </w:r>
      <w:r>
        <w:rPr>
          <w:rFonts w:hint="eastAsia" w:eastAsia="黑体" w:cs="黑体" w:asciiTheme="minorEastAsia" w:hAnsiTheme="minorEastAsia"/>
          <w:color w:val="000000"/>
          <w:kern w:val="0"/>
          <w:sz w:val="32"/>
          <w:szCs w:val="32"/>
          <w:lang w:val="en-US" w:eastAsia="zh-CN" w:bidi="ar-SA"/>
        </w:rPr>
        <w:t>.</w:t>
      </w:r>
      <w:r>
        <w:rPr>
          <w:rFonts w:hint="default" w:eastAsia="黑体" w:cs="黑体" w:asciiTheme="minorEastAsia" w:hAnsiTheme="minorEastAsia"/>
          <w:color w:val="000000"/>
          <w:kern w:val="0"/>
          <w:sz w:val="32"/>
          <w:szCs w:val="32"/>
          <w:lang w:val="en-US" w:eastAsia="zh-CN" w:bidi="ar-SA"/>
        </w:rPr>
        <w:t>“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eastAsia="黑体" w:cs="黑体" w:asciiTheme="minorEastAsia" w:hAnsiTheme="minorEastAsia"/>
          <w:color w:val="000000"/>
          <w:kern w:val="0"/>
          <w:sz w:val="32"/>
          <w:szCs w:val="32"/>
          <w:lang w:val="en-US" w:eastAsia="zh-CN" w:bidi="ar-SA"/>
        </w:rPr>
      </w:pPr>
      <w:r>
        <w:rPr>
          <w:rFonts w:hint="default" w:eastAsia="黑体" w:cs="黑体" w:asciiTheme="minorEastAsia" w:hAnsiTheme="minorEastAsia"/>
          <w:color w:val="000000"/>
          <w:kern w:val="0"/>
          <w:sz w:val="32"/>
          <w:szCs w:val="32"/>
          <w:lang w:val="en-US" w:eastAsia="zh-CN" w:bidi="ar-SA"/>
        </w:rPr>
        <w:t>5．对附属单位补助支出：指事业单位用财政拨款收入之外的收入对附属单位补助发生的支出。</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eastAsia="黑体" w:cs="黑体" w:asciiTheme="minorEastAsia" w:hAnsiTheme="minorEastAsia"/>
          <w:color w:val="000000"/>
          <w:kern w:val="0"/>
          <w:sz w:val="32"/>
          <w:szCs w:val="32"/>
          <w:lang w:val="en-US" w:eastAsia="zh-CN" w:bidi="ar-SA"/>
        </w:rPr>
      </w:pPr>
      <w:r>
        <w:rPr>
          <w:rFonts w:hint="default" w:eastAsia="黑体" w:cs="黑体" w:asciiTheme="minorEastAsia" w:hAnsiTheme="minorEastAsia"/>
          <w:color w:val="000000"/>
          <w:kern w:val="0"/>
          <w:sz w:val="32"/>
          <w:szCs w:val="32"/>
          <w:lang w:val="en-US" w:eastAsia="zh-CN" w:bidi="ar-SA"/>
        </w:rPr>
        <w:t>6．经营支出：指事业单位在专业业务活动及其辅助活动之外开展非独立核算经营活动发生的支出。</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eastAsia="黑体" w:cs="黑体" w:asciiTheme="minorEastAsia" w:hAnsiTheme="minorEastAsia"/>
          <w:color w:val="000000"/>
          <w:kern w:val="0"/>
          <w:sz w:val="32"/>
          <w:szCs w:val="32"/>
          <w:lang w:val="en-US" w:eastAsia="zh-CN" w:bidi="ar-SA"/>
        </w:rPr>
      </w:pPr>
      <w:r>
        <w:rPr>
          <w:rFonts w:hint="default" w:eastAsia="黑体" w:cs="黑体" w:asciiTheme="minorEastAsia" w:hAnsiTheme="minorEastAsia"/>
          <w:color w:val="000000"/>
          <w:kern w:val="0"/>
          <w:sz w:val="32"/>
          <w:szCs w:val="32"/>
          <w:lang w:val="en-US" w:eastAsia="zh-CN" w:bidi="ar-SA"/>
        </w:rPr>
        <w:t>7</w:t>
      </w:r>
      <w:r>
        <w:rPr>
          <w:rFonts w:hint="eastAsia" w:eastAsia="黑体" w:cs="黑体" w:asciiTheme="minorEastAsia" w:hAnsiTheme="minorEastAsia"/>
          <w:color w:val="000000"/>
          <w:kern w:val="0"/>
          <w:sz w:val="32"/>
          <w:szCs w:val="32"/>
          <w:lang w:val="en-US" w:eastAsia="zh-CN" w:bidi="ar-SA"/>
        </w:rPr>
        <w:t>.</w:t>
      </w:r>
      <w:r>
        <w:rPr>
          <w:rFonts w:hint="default" w:eastAsia="黑体" w:cs="黑体" w:asciiTheme="minorEastAsia" w:hAnsiTheme="minorEastAsia"/>
          <w:color w:val="000000"/>
          <w:kern w:val="0"/>
          <w:sz w:val="32"/>
          <w:szCs w:val="32"/>
          <w:lang w:val="en-US" w:eastAsia="zh-CN" w:bidi="ar-SA"/>
        </w:rPr>
        <w:t>事业收入：指事业单位开展专业业务活动及其辅助活动取得的</w:t>
      </w:r>
      <w:bookmarkStart w:id="3" w:name="28"/>
      <w:bookmarkEnd w:id="3"/>
      <w:r>
        <w:rPr>
          <w:rFonts w:hint="default" w:eastAsia="黑体" w:cs="黑体" w:asciiTheme="minorEastAsia" w:hAnsiTheme="minorEastAsia"/>
          <w:color w:val="000000"/>
          <w:kern w:val="0"/>
          <w:sz w:val="32"/>
          <w:szCs w:val="32"/>
          <w:lang w:val="en-US" w:eastAsia="zh-CN" w:bidi="ar-SA"/>
        </w:rPr>
        <w:t>收入，事业单位收到的财政专户实际核拨的教育收费等资金在此反映。</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eastAsia="黑体" w:cs="黑体" w:asciiTheme="minorEastAsia" w:hAnsiTheme="minorEastAsia"/>
          <w:color w:val="000000"/>
          <w:kern w:val="0"/>
          <w:sz w:val="32"/>
          <w:szCs w:val="32"/>
          <w:lang w:val="en-US" w:eastAsia="zh-CN" w:bidi="ar-SA"/>
        </w:rPr>
      </w:pPr>
      <w:r>
        <w:rPr>
          <w:rFonts w:hint="default" w:eastAsia="黑体" w:cs="黑体" w:asciiTheme="minorEastAsia" w:hAnsiTheme="minorEastAsia"/>
          <w:color w:val="000000"/>
          <w:kern w:val="0"/>
          <w:sz w:val="32"/>
          <w:szCs w:val="32"/>
          <w:lang w:val="en-US" w:eastAsia="zh-CN" w:bidi="ar-SA"/>
        </w:rPr>
        <w:t>8．经营收入：指事业单位在专业业务活动及其辅助活动之外开展非独立核算经营活动取得的收入。</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eastAsia="黑体" w:cs="黑体" w:asciiTheme="minorEastAsia" w:hAnsiTheme="minorEastAsia"/>
          <w:color w:val="000000"/>
          <w:kern w:val="0"/>
          <w:sz w:val="32"/>
          <w:szCs w:val="32"/>
          <w:lang w:val="en-US" w:eastAsia="zh-CN" w:bidi="ar-SA"/>
        </w:rPr>
      </w:pPr>
      <w:r>
        <w:rPr>
          <w:rFonts w:hint="default" w:eastAsia="黑体" w:cs="黑体" w:asciiTheme="minorEastAsia" w:hAnsiTheme="minorEastAsia"/>
          <w:color w:val="000000"/>
          <w:kern w:val="0"/>
          <w:sz w:val="32"/>
          <w:szCs w:val="32"/>
          <w:lang w:val="en-US" w:eastAsia="zh-CN" w:bidi="ar-SA"/>
        </w:rPr>
        <w:t>9．附属单位上缴收入：指事业单位附属独立核算单位按照有关规定上缴的收入。</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eastAsia="黑体" w:cs="黑体" w:asciiTheme="minorEastAsia" w:hAnsiTheme="minorEastAsia"/>
          <w:color w:val="000000"/>
          <w:kern w:val="0"/>
          <w:sz w:val="32"/>
          <w:szCs w:val="32"/>
          <w:lang w:val="en-US" w:eastAsia="zh-CN" w:bidi="ar-SA"/>
        </w:rPr>
      </w:pPr>
      <w:r>
        <w:rPr>
          <w:rFonts w:hint="default" w:eastAsia="黑体" w:cs="黑体" w:asciiTheme="minorEastAsia" w:hAnsiTheme="minorEastAsia"/>
          <w:color w:val="000000"/>
          <w:kern w:val="0"/>
          <w:sz w:val="32"/>
          <w:szCs w:val="32"/>
          <w:lang w:val="en-US" w:eastAsia="zh-CN" w:bidi="ar-SA"/>
        </w:rPr>
        <w:t>10．其他收入：指单位取得的除上述“财政拨款收入”、“事业收入”、“经营收入”等以外的各项收入。</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eastAsia="黑体" w:cs="黑体" w:asciiTheme="minorEastAsia" w:hAnsiTheme="minorEastAsia"/>
          <w:color w:val="000000"/>
          <w:kern w:val="0"/>
          <w:sz w:val="32"/>
          <w:szCs w:val="32"/>
          <w:lang w:val="en-US" w:eastAsia="zh-CN" w:bidi="ar-SA"/>
        </w:rPr>
      </w:pPr>
      <w:r>
        <w:rPr>
          <w:rFonts w:hint="default" w:eastAsia="黑体" w:cs="黑体" w:asciiTheme="minorEastAsia" w:hAnsiTheme="minorEastAsia"/>
          <w:color w:val="000000"/>
          <w:kern w:val="0"/>
          <w:sz w:val="32"/>
          <w:szCs w:val="32"/>
          <w:lang w:val="en-US" w:eastAsia="zh-CN" w:bidi="ar-SA"/>
        </w:rPr>
        <w:t>11．使用非财政拨款结余：指事业单位使用非财政拨款结余（原事业基金）弥补当年收支差额的数额。</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eastAsia="黑体" w:cs="黑体" w:asciiTheme="minorEastAsia" w:hAnsiTheme="minorEastAsia"/>
          <w:color w:val="000000"/>
          <w:kern w:val="0"/>
          <w:sz w:val="32"/>
          <w:szCs w:val="32"/>
          <w:lang w:val="en-US" w:eastAsia="zh-CN" w:bidi="ar-SA"/>
        </w:rPr>
      </w:pPr>
      <w:r>
        <w:rPr>
          <w:rFonts w:hint="default" w:eastAsia="黑体" w:cs="黑体" w:asciiTheme="minorEastAsia" w:hAnsiTheme="minorEastAsia"/>
          <w:color w:val="000000"/>
          <w:kern w:val="0"/>
          <w:sz w:val="32"/>
          <w:szCs w:val="32"/>
          <w:lang w:val="en-US" w:eastAsia="zh-CN" w:bidi="ar-SA"/>
        </w:rPr>
        <w:t>12．年初结转和结余：指单位上年结转本年使用的基本支出结转、项目支出结转和结余和经营结余。</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eastAsia="黑体" w:cs="黑体" w:asciiTheme="minorEastAsia" w:hAnsiTheme="minorEastAsia"/>
          <w:color w:val="000000"/>
          <w:kern w:val="0"/>
          <w:sz w:val="32"/>
          <w:szCs w:val="32"/>
          <w:lang w:val="en-US" w:eastAsia="zh-CN" w:bidi="ar-SA"/>
        </w:rPr>
      </w:pPr>
      <w:r>
        <w:rPr>
          <w:rFonts w:hint="default" w:eastAsia="黑体" w:cs="黑体" w:asciiTheme="minorEastAsia" w:hAnsiTheme="minorEastAsia"/>
          <w:color w:val="000000"/>
          <w:kern w:val="0"/>
          <w:sz w:val="32"/>
          <w:szCs w:val="32"/>
          <w:lang w:val="en-US" w:eastAsia="zh-CN" w:bidi="ar-SA"/>
        </w:rPr>
        <w:t>13．结余分配：指事业单位按规定对非财政拨款结余资金提取的专用基金、缴纳的所得税和转入非财政拨款结余等。</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eastAsia="黑体" w:cs="黑体" w:asciiTheme="minorEastAsia" w:hAnsiTheme="minorEastAsia"/>
          <w:color w:val="000000"/>
          <w:kern w:val="0"/>
          <w:sz w:val="32"/>
          <w:szCs w:val="32"/>
          <w:lang w:val="en-US" w:eastAsia="zh-CN" w:bidi="ar-SA"/>
        </w:rPr>
      </w:pPr>
      <w:r>
        <w:rPr>
          <w:rFonts w:hint="default" w:eastAsia="黑体" w:cs="黑体" w:asciiTheme="minorEastAsia" w:hAnsiTheme="minorEastAsia"/>
          <w:color w:val="000000"/>
          <w:kern w:val="0"/>
          <w:sz w:val="32"/>
          <w:szCs w:val="32"/>
          <w:lang w:val="en-US" w:eastAsia="zh-CN" w:bidi="ar-SA"/>
        </w:rPr>
        <w:t>14．年末结转和结余资金：指本年度或以前年度预算安排、因客观条件发生变化无法按原计划实施，需要延迟到以后年度按有关规定继续</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eastAsia="黑体" w:cs="黑体" w:asciiTheme="minorEastAsia" w:hAnsiTheme="minorEastAsia"/>
          <w:color w:val="000000"/>
          <w:kern w:val="0"/>
          <w:sz w:val="32"/>
          <w:szCs w:val="32"/>
          <w:lang w:val="en-US" w:eastAsia="zh-CN" w:bidi="ar-SA"/>
        </w:rPr>
      </w:pPr>
      <w:r>
        <w:rPr>
          <w:rFonts w:hint="default" w:eastAsia="黑体" w:cs="黑体" w:asciiTheme="minorEastAsia" w:hAnsiTheme="minorEastAsia"/>
          <w:color w:val="000000"/>
          <w:kern w:val="0"/>
          <w:sz w:val="32"/>
          <w:szCs w:val="32"/>
          <w:lang w:val="en-US" w:eastAsia="zh-CN" w:bidi="ar-SA"/>
        </w:rPr>
        <w:t>使用的资金。</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eastAsia="黑体" w:cs="黑体" w:asciiTheme="minorEastAsia" w:hAnsiTheme="minorEastAsia"/>
          <w:color w:val="000000"/>
          <w:kern w:val="0"/>
          <w:sz w:val="32"/>
          <w:szCs w:val="32"/>
          <w:lang w:val="en-US" w:eastAsia="zh-CN" w:bidi="ar-SA"/>
        </w:rPr>
      </w:pPr>
      <w:r>
        <w:rPr>
          <w:rFonts w:hint="default" w:eastAsia="黑体" w:cs="黑体" w:asciiTheme="minorEastAsia" w:hAnsiTheme="minorEastAsia"/>
          <w:color w:val="000000"/>
          <w:kern w:val="0"/>
          <w:sz w:val="32"/>
          <w:szCs w:val="32"/>
          <w:lang w:val="en-US" w:eastAsia="zh-CN" w:bidi="ar-SA"/>
        </w:rPr>
        <w:t>15．基本支出：指为保障机构正常运转、完成日常工作任务而发生的支出，包括人员经费和公用经费。</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eastAsia="黑体" w:cs="黑体" w:asciiTheme="minorEastAsia" w:hAnsiTheme="minorEastAsia"/>
          <w:color w:val="000000"/>
          <w:kern w:val="0"/>
          <w:sz w:val="32"/>
          <w:szCs w:val="32"/>
          <w:lang w:val="en-US" w:eastAsia="zh-CN" w:bidi="ar-SA"/>
        </w:rPr>
      </w:pPr>
      <w:r>
        <w:rPr>
          <w:rFonts w:hint="default" w:eastAsia="黑体" w:cs="黑体" w:asciiTheme="minorEastAsia" w:hAnsiTheme="minorEastAsia"/>
          <w:color w:val="000000"/>
          <w:kern w:val="0"/>
          <w:sz w:val="32"/>
          <w:szCs w:val="32"/>
          <w:lang w:val="en-US" w:eastAsia="zh-CN" w:bidi="ar-SA"/>
        </w:rPr>
        <w:t>16．项目支出：指在为完成特定的工作任务和事业发展目标所发生的支出。</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eastAsia="黑体" w:cs="黑体" w:asciiTheme="minorEastAsia" w:hAnsiTheme="minorEastAsia"/>
          <w:color w:val="000000"/>
          <w:kern w:val="0"/>
          <w:sz w:val="32"/>
          <w:szCs w:val="32"/>
          <w:lang w:val="en-US" w:eastAsia="zh-CN" w:bidi="ar-SA"/>
        </w:rPr>
      </w:pPr>
      <w:r>
        <w:rPr>
          <w:rFonts w:hint="default" w:eastAsia="黑体" w:cs="黑体" w:asciiTheme="minorEastAsia" w:hAnsiTheme="minorEastAsia"/>
          <w:color w:val="000000"/>
          <w:kern w:val="0"/>
          <w:sz w:val="32"/>
          <w:szCs w:val="32"/>
          <w:lang w:val="en-US" w:eastAsia="zh-CN" w:bidi="ar-SA"/>
        </w:rPr>
        <w:t>17．上缴上级支出：指事业单位按照财政部门和主管部门的规定上缴上级单位的支出。</w:t>
      </w:r>
    </w:p>
    <w:p>
      <w:pPr>
        <w:pStyle w:val="14"/>
        <w:jc w:val="both"/>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w:t>
      </w:r>
      <w:r>
        <w:rPr>
          <w:rFonts w:hint="eastAsia" w:cs="黑体" w:asciiTheme="minorEastAsia" w:hAnsiTheme="minorEastAsia"/>
          <w:b/>
          <w:color w:val="000000"/>
          <w:kern w:val="0"/>
          <w:sz w:val="32"/>
          <w:szCs w:val="32"/>
          <w:lang w:val="en-US" w:eastAsia="zh-CN"/>
        </w:rPr>
        <w:t>3</w:t>
      </w:r>
      <w:r>
        <w:rPr>
          <w:rFonts w:hint="eastAsia" w:cs="黑体" w:asciiTheme="minorEastAsia" w:hAnsiTheme="minorEastAsia"/>
          <w:b/>
          <w:color w:val="000000"/>
          <w:kern w:val="0"/>
          <w:sz w:val="32"/>
          <w:szCs w:val="32"/>
        </w:rPr>
        <w:t>年度部门整体支出绩效评价报告</w:t>
      </w:r>
    </w:p>
    <w:p>
      <w:pPr>
        <w:widowControl/>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w:t>
      </w:r>
      <w:r>
        <w:rPr>
          <w:rFonts w:hint="eastAsia" w:cs="黑体" w:asciiTheme="minorEastAsia" w:hAnsiTheme="minorEastAsia"/>
          <w:b/>
          <w:color w:val="000000"/>
          <w:kern w:val="0"/>
          <w:sz w:val="32"/>
          <w:szCs w:val="32"/>
          <w:lang w:val="en-US" w:eastAsia="zh-CN"/>
        </w:rPr>
        <w:t>3</w:t>
      </w:r>
      <w:r>
        <w:rPr>
          <w:rFonts w:hint="eastAsia" w:cs="黑体" w:asciiTheme="minorEastAsia" w:hAnsiTheme="minorEastAsia"/>
          <w:b/>
          <w:color w:val="000000"/>
          <w:kern w:val="0"/>
          <w:sz w:val="32"/>
          <w:szCs w:val="32"/>
        </w:rPr>
        <w:t>年度部门整体支出绩效评价报告</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NTBmNTQ3NGY5NTU5ODBkYjUwN2NiNDZkNmVmNjA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23C1DAC"/>
    <w:rsid w:val="078D1181"/>
    <w:rsid w:val="12EC20DA"/>
    <w:rsid w:val="1BB96488"/>
    <w:rsid w:val="1D93669A"/>
    <w:rsid w:val="1E9B71E5"/>
    <w:rsid w:val="1ED6246B"/>
    <w:rsid w:val="244514B2"/>
    <w:rsid w:val="2D905ECA"/>
    <w:rsid w:val="34C423F8"/>
    <w:rsid w:val="36631109"/>
    <w:rsid w:val="36D05E4F"/>
    <w:rsid w:val="380F7A7D"/>
    <w:rsid w:val="507E3D56"/>
    <w:rsid w:val="59987F3E"/>
    <w:rsid w:val="5A5C7BDA"/>
    <w:rsid w:val="623577BB"/>
    <w:rsid w:val="6441438C"/>
    <w:rsid w:val="673B426B"/>
    <w:rsid w:val="71244D70"/>
    <w:rsid w:val="7EEE4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line="630" w:lineRule="exact"/>
      <w:ind w:firstLine="420" w:firstLineChars="100"/>
      <w:textAlignment w:val="bottom"/>
    </w:pPr>
    <w:rPr>
      <w:rFonts w:eastAsia="方正仿宋简体"/>
      <w:spacing w:val="6"/>
      <w:sz w:val="32"/>
      <w:szCs w:val="32"/>
    </w:rPr>
  </w:style>
  <w:style w:type="paragraph" w:styleId="3">
    <w:name w:val="Body Text"/>
    <w:basedOn w:val="1"/>
    <w:unhideWhenUsed/>
    <w:qFormat/>
    <w:uiPriority w:val="99"/>
    <w:pPr>
      <w:spacing w:after="12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paragraph" w:customStyle="1" w:styleId="17">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6675</Words>
  <Characters>7827</Characters>
  <Lines>69</Lines>
  <Paragraphs>19</Paragraphs>
  <TotalTime>0</TotalTime>
  <ScaleCrop>false</ScaleCrop>
  <LinksUpToDate>false</LinksUpToDate>
  <CharactersWithSpaces>8840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2024-08-28T00:39:04Z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D9D3E0AD3BFA456BB21067826416272E_13</vt:lpwstr>
  </property>
</Properties>
</file>