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中国人民政治协商会议湖南省道县委员会部门决算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b/>
          <w:sz w:val="28"/>
          <w:szCs w:val="28"/>
        </w:rPr>
      </w:pPr>
      <w:r>
        <w:rPr>
          <w:rFonts w:hint="eastAsia"/>
          <w:b/>
          <w:sz w:val="28"/>
          <w:szCs w:val="28"/>
        </w:rPr>
        <w:t>第一部分中国人民政治协商会议湖南省道县委员会单位概况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道县政协</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rPr>
          <w:rFonts w:hint="eastAsia" w:ascii="仿宋_GB2312" w:hAnsi="宋体"/>
          <w:b/>
          <w:sz w:val="30"/>
          <w:szCs w:val="30"/>
        </w:rPr>
      </w:pPr>
      <w:r>
        <w:rPr>
          <w:rFonts w:hint="eastAsia" w:ascii="仿宋_GB2312" w:hAnsi="宋体"/>
          <w:b/>
          <w:sz w:val="30"/>
          <w:szCs w:val="30"/>
        </w:rPr>
        <w:t>主要工作职责</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依</w:t>
      </w:r>
      <w:r>
        <w:rPr>
          <w:rFonts w:hint="eastAsia" w:ascii="宋体" w:hAnsi="宋体" w:eastAsia="宋体" w:cs="宋体"/>
          <w:sz w:val="28"/>
          <w:szCs w:val="28"/>
        </w:rPr>
        <w:t>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中国人民政治协商会议</w:t>
      </w:r>
      <w:r>
        <w:rPr>
          <w:rFonts w:hint="eastAsia" w:ascii="宋体" w:hAnsi="宋体" w:eastAsia="宋体" w:cs="宋体"/>
          <w:sz w:val="28"/>
          <w:szCs w:val="28"/>
        </w:rPr>
        <w:t>章程</w:t>
      </w:r>
      <w:r>
        <w:rPr>
          <w:rFonts w:hint="eastAsia" w:ascii="宋体" w:hAnsi="宋体" w:eastAsia="宋体" w:cs="宋体"/>
          <w:sz w:val="28"/>
          <w:szCs w:val="28"/>
          <w:lang w:eastAsia="zh-CN"/>
        </w:rPr>
        <w:t>》</w:t>
      </w:r>
      <w:r>
        <w:rPr>
          <w:rFonts w:hint="eastAsia" w:ascii="宋体" w:hAnsi="宋体" w:eastAsia="宋体" w:cs="宋体"/>
          <w:sz w:val="28"/>
          <w:szCs w:val="28"/>
        </w:rPr>
        <w:t>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湘委[2001]24号）和</w:t>
      </w:r>
      <w:r>
        <w:rPr>
          <w:rFonts w:hint="eastAsia" w:ascii="宋体" w:hAnsi="宋体" w:eastAsia="宋体" w:cs="宋体"/>
          <w:sz w:val="28"/>
          <w:szCs w:val="28"/>
        </w:rPr>
        <w:t>中共道县县委文件（道发[2002]</w:t>
      </w:r>
      <w:r>
        <w:rPr>
          <w:rFonts w:hint="eastAsia" w:ascii="宋体" w:hAnsi="宋体" w:eastAsia="宋体" w:cs="宋体"/>
          <w:sz w:val="28"/>
          <w:szCs w:val="28"/>
          <w:lang w:val="en-US" w:eastAsia="zh-CN"/>
        </w:rPr>
        <w:t>16</w:t>
      </w:r>
      <w:r>
        <w:rPr>
          <w:rFonts w:hint="eastAsia" w:ascii="宋体" w:hAnsi="宋体" w:eastAsia="宋体" w:cs="宋体"/>
          <w:sz w:val="28"/>
          <w:szCs w:val="28"/>
        </w:rPr>
        <w:t>号）规定，</w:t>
      </w:r>
      <w:r>
        <w:rPr>
          <w:rFonts w:hint="eastAsia" w:ascii="宋体" w:hAnsi="宋体" w:eastAsia="宋体" w:cs="宋体"/>
          <w:sz w:val="28"/>
          <w:szCs w:val="28"/>
          <w:lang w:val="en-US" w:eastAsia="zh-CN"/>
        </w:rPr>
        <w:t>道</w:t>
      </w:r>
      <w:r>
        <w:rPr>
          <w:rFonts w:hint="eastAsia" w:ascii="宋体" w:hAnsi="宋体" w:eastAsia="宋体" w:cs="宋体"/>
          <w:sz w:val="28"/>
          <w:szCs w:val="28"/>
        </w:rPr>
        <w:t>县政协</w:t>
      </w:r>
      <w:r>
        <w:rPr>
          <w:rFonts w:hint="eastAsia" w:ascii="宋体" w:hAnsi="宋体" w:eastAsia="宋体" w:cs="宋体"/>
          <w:sz w:val="28"/>
          <w:szCs w:val="28"/>
          <w:lang w:val="en-US" w:eastAsia="zh-CN"/>
        </w:rPr>
        <w:t>机关</w:t>
      </w:r>
      <w:r>
        <w:rPr>
          <w:rFonts w:hint="eastAsia" w:ascii="宋体" w:hAnsi="宋体" w:eastAsia="宋体" w:cs="宋体"/>
          <w:sz w:val="28"/>
          <w:szCs w:val="28"/>
        </w:rPr>
        <w:t>的主要职责是：</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负责县政协全体会议、常务委员会议、主席办公会议、常务委员专题座谈会和专门委员会的会务工作，负责上述会议所形成的决议、决定、建议案的组织实施。</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协调县政协各专门委员会的工作，充分发挥政协委员的作用，履行好政治协商、民主监督、参政议政的基本职能。</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负责县政协委员进行视察、参观、调查、座谈、学习、研讨等日常活动的服务和具体组织工作，受市政协的委托，组织在道县的市政协委员进行视察活动。</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研究统一战线和人民政协的理论、政策，调查研究地方政协的共同性问题及其解决办法，供领导参考。</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宣传人民政协的方针政策、工作业绩和经验以及政协委员的先进事迹，收集和反映县政协委员和各界人士的意见与建议，综合反映社情民意。</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联系各民主党派、工商联、各人民团体和无党派人士，联系县直有关部门，互通信息，协调工作，加强合作。</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负责县政协开展各项活动的有关后勤服务管理工作和县政协机关行政事务管理工作。</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负责权限范围内的人事任免。</w:t>
      </w:r>
    </w:p>
    <w:p>
      <w:pPr>
        <w:numPr>
          <w:ilvl w:val="0"/>
          <w:numId w:val="3"/>
        </w:num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负责接待来道县访问的海内外有关友好人士和对外联谊工作。</w:t>
      </w:r>
    </w:p>
    <w:p>
      <w:pPr>
        <w:widowControl/>
        <w:spacing w:line="600" w:lineRule="exact"/>
        <w:ind w:firstLine="548" w:firstLineChars="196"/>
        <w:jc w:val="left"/>
        <w:rPr>
          <w:rFonts w:hint="eastAsia" w:ascii="宋体" w:hAnsi="宋体" w:eastAsia="宋体" w:cs="宋体"/>
          <w:b/>
          <w:sz w:val="28"/>
          <w:szCs w:val="28"/>
          <w:lang w:eastAsia="zh-CN"/>
        </w:rPr>
      </w:pPr>
      <w:r>
        <w:rPr>
          <w:rFonts w:hint="eastAsia" w:ascii="宋体" w:hAnsi="宋体" w:eastAsia="宋体" w:cs="宋体"/>
          <w:sz w:val="28"/>
          <w:szCs w:val="28"/>
          <w:lang w:val="en-US" w:eastAsia="zh-CN"/>
        </w:rPr>
        <w:t>承办县委、县政协主席、副主席交办的其它事项。</w:t>
      </w:r>
    </w:p>
    <w:p>
      <w:pPr>
        <w:numPr>
          <w:ilvl w:val="0"/>
          <w:numId w:val="0"/>
        </w:numPr>
        <w:rPr>
          <w:rFonts w:hint="eastAsia" w:ascii="仿宋_GB2312" w:hAnsi="宋体"/>
          <w:b/>
          <w:sz w:val="30"/>
          <w:szCs w:val="30"/>
        </w:rPr>
      </w:pPr>
    </w:p>
    <w:p>
      <w:pPr>
        <w:ind w:firstLine="800" w:firstLineChars="250"/>
        <w:jc w:val="left"/>
        <w:rPr>
          <w:rFonts w:asciiTheme="minorEastAsia" w:hAnsiTheme="minorEastAsia"/>
          <w:sz w:val="32"/>
          <w:szCs w:val="32"/>
        </w:rPr>
      </w:pPr>
    </w:p>
    <w:p>
      <w:pPr>
        <w:rPr>
          <w:rFonts w:hint="eastAsia" w:ascii="仿宋_GB2312" w:hAnsi="宋体"/>
          <w:b/>
          <w:sz w:val="30"/>
          <w:szCs w:val="30"/>
        </w:rPr>
      </w:pPr>
      <w:r>
        <w:rPr>
          <w:rFonts w:hint="eastAsia" w:asciiTheme="minorEastAsia" w:hAnsiTheme="minorEastAsia"/>
          <w:sz w:val="32"/>
          <w:szCs w:val="32"/>
        </w:rPr>
        <w:t>（二）</w:t>
      </w:r>
      <w:r>
        <w:rPr>
          <w:rFonts w:hint="eastAsia" w:ascii="仿宋_GB2312" w:hAnsi="宋体"/>
          <w:b/>
          <w:sz w:val="30"/>
          <w:szCs w:val="30"/>
        </w:rPr>
        <w:t>2021年主要工作任务</w:t>
      </w:r>
    </w:p>
    <w:p>
      <w:pPr>
        <w:ind w:firstLine="600" w:firstLineChars="200"/>
        <w:rPr>
          <w:rFonts w:hint="eastAsia" w:ascii="仿宋_GB2312" w:hAnsi="宋体"/>
          <w:sz w:val="30"/>
          <w:szCs w:val="30"/>
        </w:rPr>
      </w:pPr>
      <w:r>
        <w:rPr>
          <w:rFonts w:hint="eastAsia" w:ascii="仿宋_GB2312" w:hAnsi="宋体"/>
          <w:sz w:val="30"/>
          <w:szCs w:val="30"/>
        </w:rPr>
        <w:t>2021年主要工作任务及目标是：</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负责筹备和组织召开县政协十届一次全会和全年的常委会例会；参照全国政协和省、市政协的做法举办专题协商会议；根据县委和政府的重大决策对影响全县经济社会发展的重点课题进行调研；组织开展行风评议；加大招商引资力度；组织好委员的异地调研和考察活动；组织全体委员集中培训；做好文史资料的收集建档保存；按照上级文件要求切实完成政协机关的机构改革，配齐机构人员；开展“三创三争三好”工作，发挥专门协商机构作用</w:t>
      </w:r>
      <w:r>
        <w:rPr>
          <w:rFonts w:hint="eastAsia" w:ascii="仿宋_GB2312" w:hAnsi="宋体" w:eastAsia="仿宋_GB2312"/>
          <w:sz w:val="32"/>
          <w:szCs w:val="32"/>
          <w:lang w:eastAsia="zh-CN"/>
        </w:rPr>
        <w:t>，</w:t>
      </w:r>
      <w:r>
        <w:rPr>
          <w:rFonts w:hint="eastAsia" w:ascii="仿宋_GB2312" w:hAnsi="宋体" w:eastAsia="仿宋_GB2312"/>
          <w:sz w:val="32"/>
          <w:szCs w:val="32"/>
        </w:rPr>
        <w:t>推进政协工作向基层延伸，加强乡镇（街道）政协联工委建设，发挥政协委员界别工作室作用；继续做好建整帮扶驻点工作，巩固扶贫成果，当年结对扶贫村全面脱贫；管理好机关内务，确保机关工作的正常运转。</w:t>
      </w:r>
    </w:p>
    <w:p>
      <w:pPr>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560" w:lineRule="exact"/>
        <w:ind w:firstLine="640" w:firstLineChars="200"/>
        <w:rPr>
          <w:rFonts w:hint="eastAsia" w:ascii="仿宋_GB2312" w:eastAsia="仿宋_GB2312"/>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县政协</w:t>
      </w:r>
      <w:r>
        <w:rPr>
          <w:rFonts w:hint="eastAsia" w:asciiTheme="minorEastAsia" w:hAnsiTheme="minorEastAsia"/>
          <w:bCs/>
          <w:kern w:val="0"/>
          <w:sz w:val="32"/>
          <w:szCs w:val="32"/>
        </w:rPr>
        <w:t>单位内设机构包括：</w:t>
      </w:r>
      <w:r>
        <w:rPr>
          <w:rFonts w:hint="eastAsia" w:asciiTheme="minorEastAsia" w:hAnsiTheme="minorEastAsia"/>
          <w:bCs/>
          <w:kern w:val="0"/>
          <w:sz w:val="32"/>
          <w:szCs w:val="32"/>
          <w:lang w:val="en-US" w:eastAsia="zh-CN"/>
        </w:rPr>
        <w:t>提案委、学联委、文史委、经外委、社民委、农环委、办公室、政协云中心</w:t>
      </w:r>
      <w:r>
        <w:rPr>
          <w:rFonts w:hint="eastAsia" w:ascii="仿宋_GB2312" w:hAnsi="宋体" w:eastAsia="仿宋_GB2312"/>
          <w:sz w:val="32"/>
          <w:szCs w:val="32"/>
        </w:rPr>
        <w:t>六委一室一中心，在职人数</w:t>
      </w:r>
      <w:r>
        <w:rPr>
          <w:rFonts w:hint="eastAsia" w:ascii="仿宋_GB2312" w:hAnsi="宋体" w:eastAsia="仿宋_GB2312"/>
          <w:sz w:val="32"/>
          <w:szCs w:val="32"/>
          <w:lang w:val="en-US" w:eastAsia="zh-CN"/>
        </w:rPr>
        <w:t>43</w:t>
      </w:r>
      <w:r>
        <w:rPr>
          <w:rFonts w:hint="eastAsia" w:ascii="仿宋_GB2312" w:hAnsi="宋体" w:eastAsia="仿宋_GB2312"/>
          <w:sz w:val="32"/>
          <w:szCs w:val="32"/>
        </w:rPr>
        <w:t>人，其中正副处级</w:t>
      </w:r>
      <w:r>
        <w:rPr>
          <w:rFonts w:hint="eastAsia" w:ascii="仿宋_GB2312" w:hAnsi="宋体" w:eastAsia="仿宋_GB2312"/>
          <w:sz w:val="32"/>
          <w:szCs w:val="32"/>
          <w:lang w:val="en-US" w:eastAsia="zh-CN"/>
        </w:rPr>
        <w:t>10</w:t>
      </w:r>
      <w:r>
        <w:rPr>
          <w:rFonts w:hint="eastAsia" w:ascii="仿宋_GB2312" w:hAnsi="宋体" w:eastAsia="仿宋_GB2312"/>
          <w:sz w:val="32"/>
          <w:szCs w:val="32"/>
        </w:rPr>
        <w:t>人，正副科级2</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人，其它人员12人，</w:t>
      </w:r>
      <w:r>
        <w:rPr>
          <w:rFonts w:hint="eastAsia" w:ascii="仿宋_GB2312" w:hAnsi="宋体" w:eastAsia="仿宋_GB2312"/>
          <w:sz w:val="32"/>
          <w:szCs w:val="32"/>
          <w:lang w:val="en-US" w:eastAsia="zh-CN"/>
        </w:rPr>
        <w:t>会务服务人员1人，食堂</w:t>
      </w:r>
      <w:r>
        <w:rPr>
          <w:rFonts w:hint="eastAsia" w:ascii="仿宋_GB2312" w:hAnsi="宋体" w:eastAsia="仿宋_GB2312"/>
          <w:sz w:val="32"/>
          <w:szCs w:val="32"/>
        </w:rPr>
        <w:t>临聘人员</w:t>
      </w:r>
      <w:r>
        <w:rPr>
          <w:rFonts w:hint="eastAsia" w:ascii="仿宋_GB2312" w:hAnsi="宋体" w:eastAsia="仿宋_GB2312"/>
          <w:sz w:val="32"/>
          <w:szCs w:val="32"/>
          <w:lang w:val="en-US" w:eastAsia="zh-CN"/>
        </w:rPr>
        <w:t>2人</w:t>
      </w:r>
      <w:r>
        <w:rPr>
          <w:rFonts w:hint="eastAsia" w:ascii="仿宋_GB2312" w:hAnsi="宋体" w:eastAsia="仿宋_GB2312"/>
          <w:sz w:val="32"/>
          <w:szCs w:val="32"/>
        </w:rPr>
        <w:t>，实际在岗</w:t>
      </w:r>
      <w:r>
        <w:rPr>
          <w:rFonts w:hint="eastAsia" w:ascii="仿宋_GB2312" w:hAnsi="宋体" w:eastAsia="仿宋_GB2312"/>
          <w:sz w:val="32"/>
          <w:szCs w:val="32"/>
          <w:lang w:val="en-US" w:eastAsia="zh-CN"/>
        </w:rPr>
        <w:t>46</w:t>
      </w:r>
      <w:r>
        <w:rPr>
          <w:rFonts w:hint="eastAsia" w:ascii="仿宋_GB2312" w:hAnsi="宋体" w:eastAsia="仿宋_GB2312"/>
          <w:sz w:val="32"/>
          <w:szCs w:val="32"/>
        </w:rPr>
        <w:t>人，退休1</w:t>
      </w:r>
      <w:r>
        <w:rPr>
          <w:rFonts w:hint="eastAsia" w:ascii="仿宋_GB2312" w:hAnsi="宋体" w:eastAsia="仿宋_GB2312"/>
          <w:sz w:val="32"/>
          <w:szCs w:val="32"/>
          <w:lang w:val="en-US" w:eastAsia="zh-CN"/>
        </w:rPr>
        <w:t>8</w:t>
      </w:r>
      <w:r>
        <w:rPr>
          <w:rFonts w:hint="eastAsia" w:ascii="仿宋_GB2312" w:hAnsi="宋体" w:eastAsia="仿宋_GB2312"/>
          <w:sz w:val="32"/>
          <w:szCs w:val="32"/>
        </w:rPr>
        <w:t>人。</w:t>
      </w:r>
    </w:p>
    <w:p>
      <w:pPr>
        <w:widowControl/>
        <w:spacing w:line="600" w:lineRule="exact"/>
        <w:rPr>
          <w:rFonts w:asciiTheme="minorEastAsia" w:hAnsiTheme="minorEastAsia"/>
          <w:bCs/>
          <w:kern w:val="0"/>
          <w:sz w:val="32"/>
          <w:szCs w:val="32"/>
        </w:rPr>
      </w:pP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县政协</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21年部门决算公开单位构成包括：</w:t>
      </w:r>
      <w:r>
        <w:rPr>
          <w:rFonts w:hint="eastAsia" w:asciiTheme="minorEastAsia" w:hAnsiTheme="minorEastAsia"/>
          <w:bCs/>
          <w:kern w:val="0"/>
          <w:sz w:val="32"/>
          <w:szCs w:val="32"/>
          <w:lang w:val="en-US" w:eastAsia="zh-CN"/>
        </w:rPr>
        <w:t>县政协是一级预算单位，没有独立的二级预算单位，因此决算只有县政协</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中国人民政治协商会议湖南省道县委员会</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813.52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17.43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866.64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866.64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929"/>
        <w:gridCol w:w="35"/>
        <w:gridCol w:w="3272"/>
        <w:gridCol w:w="1508"/>
        <w:gridCol w:w="1508"/>
        <w:gridCol w:w="1508"/>
        <w:gridCol w:w="1508"/>
        <w:gridCol w:w="1508"/>
        <w:gridCol w:w="1508"/>
        <w:gridCol w:w="214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7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color w:val="000000"/>
                <w:kern w:val="0"/>
                <w:sz w:val="20"/>
                <w:szCs w:val="20"/>
                <w:lang w:val="en-US" w:eastAsia="zh-CN"/>
              </w:rPr>
              <w:t>中国人民政治协商会议湖南省道县委员会</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2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6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27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2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2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866.64</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866.64</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813.52</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813.52</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667.19</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667.19</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2010201</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416.69</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416.69</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2010202</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2010204</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59.80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59.80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2010205</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46.40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46.40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2010299</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119.30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119.30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146.33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146.33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146.33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146.33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35.69</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35.69</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34.86</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34.86</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34.86</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34.86</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17.43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17.43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17.43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17.43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33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17.43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17.43</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087"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w:t>
            </w:r>
            <w:r>
              <w:rPr>
                <w:rFonts w:hint="eastAsia" w:ascii="宋体" w:hAnsi="宋体" w:eastAsia="宋体" w:cs="宋体"/>
                <w:color w:val="000000"/>
                <w:kern w:val="0"/>
                <w:sz w:val="20"/>
                <w:szCs w:val="20"/>
                <w:lang w:val="en-US" w:eastAsia="zh-CN"/>
              </w:rPr>
              <w:t>中国人民政治协商会议湖南省道县委员会</w:t>
            </w:r>
            <w:r>
              <w:rPr>
                <w:rFonts w:ascii="宋体" w:hAnsi="宋体" w:eastAsia="宋体" w:cs="宋体"/>
                <w:color w:val="000000"/>
                <w:kern w:val="0"/>
                <w:sz w:val="20"/>
                <w:szCs w:val="20"/>
              </w:rPr>
              <w:t xml:space="preserve">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866.64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508.14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358.50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813.52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455.02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667.19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416.69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416.69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416.69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5109"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w:t>
            </w:r>
            <w:r>
              <w:rPr>
                <w:rFonts w:hint="eastAsia" w:ascii="宋体" w:hAnsi="宋体" w:eastAsia="宋体" w:cs="宋体"/>
                <w:color w:val="000000"/>
                <w:kern w:val="0"/>
                <w:sz w:val="20"/>
                <w:szCs w:val="20"/>
                <w:lang w:val="en-US" w:eastAsia="zh-CN"/>
              </w:rPr>
              <w:t>中国人民政治协商会议湖南省道县委员会</w:t>
            </w:r>
            <w:r>
              <w:rPr>
                <w:rFonts w:ascii="宋体" w:hAnsi="宋体" w:eastAsia="宋体" w:cs="宋体"/>
                <w:color w:val="000000"/>
                <w:kern w:val="0"/>
                <w:sz w:val="20"/>
                <w:szCs w:val="20"/>
              </w:rPr>
              <w:t xml:space="preserve">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813.52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813.52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17.43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17.43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866.64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中国人民政治协商会议湖南省道县委员会</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11"/>
        <w:gridCol w:w="3296"/>
        <w:gridCol w:w="2825"/>
        <w:gridCol w:w="3276"/>
        <w:gridCol w:w="2825"/>
      </w:tblGrid>
      <w:tr>
        <w:tblPrEx>
          <w:tblCellMar>
            <w:top w:w="0" w:type="dxa"/>
            <w:left w:w="108" w:type="dxa"/>
            <w:bottom w:w="0" w:type="dxa"/>
            <w:right w:w="108" w:type="dxa"/>
          </w:tblCellMar>
        </w:tblPrEx>
        <w:trPr>
          <w:trHeight w:val="405" w:hRule="atLeast"/>
          <w:jc w:val="center"/>
        </w:trPr>
        <w:tc>
          <w:tcPr>
            <w:tcW w:w="529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866.64</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508.14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358.50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813.52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455.02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667.19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416.69</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416.69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416.69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2010202</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2010204</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59.80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119.30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146.33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38.33</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146.33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38.33</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35.69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35.69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07"/>
        <w:gridCol w:w="3235"/>
        <w:gridCol w:w="870"/>
        <w:gridCol w:w="1199"/>
        <w:gridCol w:w="2238"/>
        <w:gridCol w:w="766"/>
        <w:gridCol w:w="1200"/>
        <w:gridCol w:w="4033"/>
        <w:gridCol w:w="76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val="en-US" w:eastAsia="zh-CN"/>
              </w:rPr>
              <w:t>中国人民政治协商会议湖南省道县委员会</w:t>
            </w:r>
            <w:r>
              <w:rPr>
                <w:rFonts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公开06表</w:t>
            </w:r>
          </w:p>
          <w:p>
            <w:pPr>
              <w:widowControl/>
              <w:ind w:firstLine="14490" w:firstLineChars="6900"/>
              <w:jc w:val="both"/>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419.81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87.50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203.80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20.70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23.16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420.64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87.50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leftChars="200" w:hanging="13650" w:hangingChars="65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中国人民政治协商会议湖南省道县委员会</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中国人民政治协商会议湖南省道县委员会</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道县政协委员会</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中国人民政治协商会议湖南省道县委员会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Times New Roman" w:hAnsi="Times New Roman" w:eastAsia="仿宋_GB2312" w:cs="Times New Roman"/>
                <w:kern w:val="0"/>
                <w:szCs w:val="21"/>
                <w:lang w:val="en-US" w:eastAsia="zh-CN"/>
              </w:rPr>
              <w:t>道县政协委员会</w:t>
            </w:r>
            <w:r>
              <w:rPr>
                <w:rFonts w:hint="eastAsia" w:ascii="Times New Roman" w:hAnsi="Times New Roman" w:eastAsia="仿宋_GB2312" w:cs="Times New Roman"/>
                <w:kern w:val="0"/>
                <w:szCs w:val="21"/>
              </w:rPr>
              <w:t>单位没有</w:t>
            </w:r>
            <w:r>
              <w:rPr>
                <w:rFonts w:hint="eastAsia" w:ascii="Times New Roman" w:hAnsi="Times New Roman" w:eastAsia="仿宋_GB2312" w:cs="Times New Roman"/>
                <w:kern w:val="0"/>
                <w:szCs w:val="21"/>
                <w:lang w:val="en-US" w:eastAsia="zh-CN"/>
              </w:rPr>
              <w:t>国有资本经营预算财政拨款</w:t>
            </w:r>
            <w:r>
              <w:rPr>
                <w:rFonts w:hint="eastAsia" w:ascii="Times New Roman" w:hAnsi="Times New Roman" w:eastAsia="仿宋_GB2312" w:cs="Times New Roman"/>
                <w:kern w:val="0"/>
                <w:szCs w:val="21"/>
              </w:rPr>
              <w:t>收入，也没有</w:t>
            </w:r>
            <w:r>
              <w:rPr>
                <w:rFonts w:hint="eastAsia" w:ascii="Times New Roman" w:hAnsi="Times New Roman" w:eastAsia="仿宋_GB2312" w:cs="Times New Roman"/>
                <w:kern w:val="0"/>
                <w:szCs w:val="21"/>
                <w:lang w:val="en-US" w:eastAsia="zh-CN"/>
              </w:rPr>
              <w:t>国有资本经营预算财政拨款</w:t>
            </w:r>
            <w:r>
              <w:rPr>
                <w:rFonts w:hint="eastAsia" w:ascii="Times New Roman" w:hAnsi="Times New Roman" w:eastAsia="仿宋_GB2312" w:cs="Times New Roman"/>
                <w:kern w:val="0"/>
                <w:szCs w:val="21"/>
              </w:rPr>
              <w:t>的支出，故本表无数据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widowControl/>
        <w:shd w:val="clear" w:color="auto" w:fill="FFFFFF"/>
        <w:spacing w:before="100" w:beforeAutospacing="1" w:after="100" w:afterAutospacing="1" w:line="432" w:lineRule="auto"/>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265.75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44.23</w:t>
      </w:r>
      <w:r>
        <w:rPr>
          <w:rFonts w:hint="eastAsia" w:asciiTheme="minorEastAsia" w:hAnsiTheme="minorEastAsia" w:eastAsiaTheme="minorEastAsia"/>
          <w:sz w:val="32"/>
          <w:szCs w:val="32"/>
        </w:rPr>
        <w:t>%，主要是因为</w:t>
      </w:r>
      <w:r>
        <w:rPr>
          <w:rFonts w:hint="eastAsia" w:ascii="宋体" w:hAnsi="宋体" w:eastAsia="宋体" w:cs="宋体"/>
          <w:sz w:val="32"/>
          <w:szCs w:val="32"/>
        </w:rPr>
        <w:t>基本预算收入</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支出</w:t>
      </w:r>
      <w:r>
        <w:rPr>
          <w:rFonts w:hint="eastAsia" w:ascii="宋体" w:hAnsi="宋体" w:eastAsia="宋体" w:cs="宋体"/>
          <w:sz w:val="32"/>
          <w:szCs w:val="32"/>
        </w:rPr>
        <w:t>较去年增加1</w:t>
      </w:r>
      <w:r>
        <w:rPr>
          <w:rFonts w:hint="eastAsia" w:ascii="宋体" w:hAnsi="宋体" w:eastAsia="宋体" w:cs="宋体"/>
          <w:sz w:val="32"/>
          <w:szCs w:val="32"/>
          <w:lang w:val="en-US" w:eastAsia="zh-CN"/>
        </w:rPr>
        <w:t>68.67</w:t>
      </w:r>
      <w:r>
        <w:rPr>
          <w:rFonts w:hint="eastAsia" w:ascii="宋体" w:hAnsi="宋体" w:eastAsia="宋体" w:cs="宋体"/>
          <w:sz w:val="32"/>
          <w:szCs w:val="32"/>
        </w:rPr>
        <w:t>万元，主要原因是由于人员调入，相应增加工资及各项社保资金；项目预算收入较去年增加</w:t>
      </w:r>
      <w:r>
        <w:rPr>
          <w:rFonts w:hint="eastAsia" w:ascii="宋体" w:hAnsi="宋体" w:eastAsia="宋体" w:cs="宋体"/>
          <w:sz w:val="32"/>
          <w:szCs w:val="32"/>
          <w:lang w:val="en-US" w:eastAsia="zh-CN"/>
        </w:rPr>
        <w:t>68</w:t>
      </w:r>
      <w:r>
        <w:rPr>
          <w:rFonts w:hint="eastAsia" w:ascii="宋体" w:hAnsi="宋体" w:eastAsia="宋体" w:cs="宋体"/>
          <w:sz w:val="32"/>
          <w:szCs w:val="32"/>
        </w:rPr>
        <w:t>万元，主要是按省市县要求，政协工作向基层延伸，一是加强乡镇（街道）政协联工委建设，配优配强政协联工委力量，配备专门的办公场所，增加预算资金50万元，二是准备建设政协委员界别协商议事室18个，增加预算资金18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并且2021年召开了九届五次及十届一次两次全会，会议费用相应增加</w:t>
      </w:r>
      <w:r>
        <w:rPr>
          <w:rFonts w:hint="eastAsia" w:ascii="宋体" w:hAnsi="宋体" w:eastAsia="宋体" w:cs="宋体"/>
          <w:color w:val="333333"/>
          <w:kern w:val="0"/>
          <w:sz w:val="32"/>
          <w:szCs w:val="32"/>
        </w:rPr>
        <w:t>。</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517.34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59.69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349.30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40.31</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widowControl/>
        <w:shd w:val="clear" w:color="auto" w:fill="FFFFFF"/>
        <w:spacing w:before="100" w:beforeAutospacing="1" w:after="100" w:afterAutospacing="1" w:line="432" w:lineRule="auto"/>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265.75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44.23</w:t>
      </w:r>
      <w:r>
        <w:rPr>
          <w:rFonts w:hint="eastAsia" w:asciiTheme="minorEastAsia" w:hAnsiTheme="minorEastAsia" w:eastAsiaTheme="minorEastAsia"/>
          <w:sz w:val="32"/>
          <w:szCs w:val="32"/>
        </w:rPr>
        <w:t>%，主要是因为</w:t>
      </w:r>
      <w:r>
        <w:rPr>
          <w:rFonts w:hint="eastAsia" w:ascii="宋体" w:hAnsi="宋体" w:eastAsia="宋体" w:cs="宋体"/>
          <w:sz w:val="32"/>
          <w:szCs w:val="32"/>
        </w:rPr>
        <w:t>基本预算收入</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支出</w:t>
      </w:r>
      <w:r>
        <w:rPr>
          <w:rFonts w:hint="eastAsia" w:ascii="宋体" w:hAnsi="宋体" w:eastAsia="宋体" w:cs="宋体"/>
          <w:sz w:val="32"/>
          <w:szCs w:val="32"/>
        </w:rPr>
        <w:t>较去年增加1</w:t>
      </w:r>
      <w:r>
        <w:rPr>
          <w:rFonts w:hint="eastAsia" w:ascii="宋体" w:hAnsi="宋体" w:eastAsia="宋体" w:cs="宋体"/>
          <w:sz w:val="32"/>
          <w:szCs w:val="32"/>
          <w:lang w:val="en-US" w:eastAsia="zh-CN"/>
        </w:rPr>
        <w:t>68.67</w:t>
      </w:r>
      <w:r>
        <w:rPr>
          <w:rFonts w:hint="eastAsia" w:ascii="宋体" w:hAnsi="宋体" w:eastAsia="宋体" w:cs="宋体"/>
          <w:sz w:val="32"/>
          <w:szCs w:val="32"/>
        </w:rPr>
        <w:t>万元，主要原因是由于人员调入，相应增加工资及各项社保资金；项目预算收入较去年增加</w:t>
      </w:r>
      <w:r>
        <w:rPr>
          <w:rFonts w:hint="eastAsia" w:ascii="宋体" w:hAnsi="宋体" w:eastAsia="宋体" w:cs="宋体"/>
          <w:sz w:val="32"/>
          <w:szCs w:val="32"/>
          <w:lang w:val="en-US" w:eastAsia="zh-CN"/>
        </w:rPr>
        <w:t>68</w:t>
      </w:r>
      <w:r>
        <w:rPr>
          <w:rFonts w:hint="eastAsia" w:ascii="宋体" w:hAnsi="宋体" w:eastAsia="宋体" w:cs="宋体"/>
          <w:sz w:val="32"/>
          <w:szCs w:val="32"/>
        </w:rPr>
        <w:t>万元，主要是按省市县要求，政协工作向基层延伸，一是加强乡镇（街道）政协联工委建设，配优配强政协联工委力量，配备专门的办公场所，增加预算资金50万元，二是准备建设政协委员界别协商议事室18个，增加预算资金18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并且2021年召开了九届五次及十届一次两次全会，会议费用相应增加</w:t>
      </w:r>
      <w:r>
        <w:rPr>
          <w:rFonts w:hint="eastAsia" w:ascii="宋体" w:hAnsi="宋体" w:eastAsia="宋体" w:cs="宋体"/>
          <w:color w:val="333333"/>
          <w:kern w:val="0"/>
          <w:sz w:val="32"/>
          <w:szCs w:val="32"/>
        </w:rPr>
        <w:t>。</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widowControl/>
        <w:shd w:val="clear" w:color="auto" w:fill="FFFFFF"/>
        <w:spacing w:before="100" w:beforeAutospacing="1" w:after="100" w:afterAutospacing="1" w:line="432" w:lineRule="auto"/>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265.75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44.23</w:t>
      </w:r>
      <w:r>
        <w:rPr>
          <w:rFonts w:hint="eastAsia" w:asciiTheme="minorEastAsia" w:hAnsiTheme="minorEastAsia" w:eastAsiaTheme="minorEastAsia"/>
          <w:sz w:val="32"/>
          <w:szCs w:val="32"/>
        </w:rPr>
        <w:t>%，主要是因为</w:t>
      </w:r>
      <w:r>
        <w:rPr>
          <w:rFonts w:hint="eastAsia" w:ascii="宋体" w:hAnsi="宋体" w:eastAsia="宋体" w:cs="宋体"/>
          <w:sz w:val="32"/>
          <w:szCs w:val="32"/>
        </w:rPr>
        <w:t>基本预算收入</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支出</w:t>
      </w:r>
      <w:r>
        <w:rPr>
          <w:rFonts w:hint="eastAsia" w:ascii="宋体" w:hAnsi="宋体" w:eastAsia="宋体" w:cs="宋体"/>
          <w:sz w:val="32"/>
          <w:szCs w:val="32"/>
        </w:rPr>
        <w:t>较去年增加1</w:t>
      </w:r>
      <w:r>
        <w:rPr>
          <w:rFonts w:hint="eastAsia" w:ascii="宋体" w:hAnsi="宋体" w:eastAsia="宋体" w:cs="宋体"/>
          <w:sz w:val="32"/>
          <w:szCs w:val="32"/>
          <w:lang w:val="en-US" w:eastAsia="zh-CN"/>
        </w:rPr>
        <w:t>68.67</w:t>
      </w:r>
      <w:r>
        <w:rPr>
          <w:rFonts w:hint="eastAsia" w:ascii="宋体" w:hAnsi="宋体" w:eastAsia="宋体" w:cs="宋体"/>
          <w:sz w:val="32"/>
          <w:szCs w:val="32"/>
        </w:rPr>
        <w:t>万元，主要原因是由于人员调入，相应增加工资及各项社保资金；项目预算收入较去年增加</w:t>
      </w:r>
      <w:r>
        <w:rPr>
          <w:rFonts w:hint="eastAsia" w:ascii="宋体" w:hAnsi="宋体" w:eastAsia="宋体" w:cs="宋体"/>
          <w:sz w:val="32"/>
          <w:szCs w:val="32"/>
          <w:lang w:val="en-US" w:eastAsia="zh-CN"/>
        </w:rPr>
        <w:t>68</w:t>
      </w:r>
      <w:r>
        <w:rPr>
          <w:rFonts w:hint="eastAsia" w:ascii="宋体" w:hAnsi="宋体" w:eastAsia="宋体" w:cs="宋体"/>
          <w:sz w:val="32"/>
          <w:szCs w:val="32"/>
        </w:rPr>
        <w:t>万元，主要是按省市县要求，政协工作向基层延伸，一是加强乡镇（街道）政协联工委建设，配优配强政协联工委力量，配备专门的办公场所，增加预算资金50万元，二是准备建设政协委员界别协商议事室18个，增加预算资金18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并且2021年召开了九届五次及十届一次两次全会，会议费用相应增加</w:t>
      </w:r>
      <w:r>
        <w:rPr>
          <w:rFonts w:hint="eastAsia" w:ascii="宋体" w:hAnsi="宋体" w:eastAsia="宋体" w:cs="宋体"/>
          <w:color w:val="333333"/>
          <w:kern w:val="0"/>
          <w:sz w:val="32"/>
          <w:szCs w:val="32"/>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813.52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93.87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35.69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占4.12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医疗卫生与计划生育支出17.43万元，占2.01%。</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735.39</w:t>
      </w:r>
      <w:r>
        <w:rPr>
          <w:rFonts w:hint="eastAsia" w:asciiTheme="minorEastAsia" w:hAnsiTheme="minorEastAsia" w:eastAsiaTheme="minorEastAsia"/>
          <w:sz w:val="32"/>
          <w:szCs w:val="32"/>
        </w:rPr>
        <w:t>万元，支出决算数</w:t>
      </w:r>
      <w:r>
        <w:rPr>
          <w:rFonts w:hint="eastAsia" w:asciiTheme="minorEastAsia" w:hAnsiTheme="minorEastAsia" w:eastAsiaTheme="minorEastAsia"/>
          <w:sz w:val="32"/>
          <w:szCs w:val="32"/>
          <w:lang w:val="en-US" w:eastAsia="zh-CN"/>
        </w:rPr>
        <w:t>866.64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117.85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一般公共服务支出</w:t>
      </w:r>
    </w:p>
    <w:p>
      <w:pPr>
        <w:widowControl/>
        <w:shd w:val="clear" w:color="auto" w:fill="FFFFFF"/>
        <w:spacing w:before="100" w:beforeAutospacing="1" w:after="100" w:afterAutospacing="1" w:line="432" w:lineRule="auto"/>
        <w:ind w:firstLine="537" w:firstLineChars="168"/>
        <w:jc w:val="left"/>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735.39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sz w:val="32"/>
          <w:szCs w:val="32"/>
          <w:lang w:val="en-US" w:eastAsia="zh-CN"/>
        </w:rPr>
        <w:t>66</w:t>
      </w:r>
      <w:r>
        <w:rPr>
          <w:rFonts w:hint="eastAsia" w:asciiTheme="minorEastAsia" w:hAnsiTheme="minorEastAsia" w:eastAsiaTheme="minorEastAsia"/>
          <w:sz w:val="32"/>
          <w:szCs w:val="32"/>
          <w:lang w:val="en-US" w:eastAsia="zh-CN"/>
        </w:rPr>
        <w:t>.</w:t>
      </w:r>
      <w:r>
        <w:rPr>
          <w:rFonts w:hint="eastAsia" w:asciiTheme="minorEastAsia" w:hAnsiTheme="minorEastAsia"/>
          <w:sz w:val="32"/>
          <w:szCs w:val="32"/>
          <w:lang w:val="en-US" w:eastAsia="zh-CN"/>
        </w:rPr>
        <w:t>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117.85</w:t>
      </w:r>
      <w:r>
        <w:rPr>
          <w:rFonts w:hint="eastAsia" w:asciiTheme="minorEastAsia" w:hAnsiTheme="minorEastAsia" w:eastAsiaTheme="minorEastAsia"/>
          <w:sz w:val="32"/>
          <w:szCs w:val="32"/>
        </w:rPr>
        <w:t>%，</w:t>
      </w:r>
      <w:r>
        <w:rPr>
          <w:rFonts w:hint="eastAsia" w:ascii="宋体" w:hAnsi="宋体" w:eastAsia="宋体" w:cs="宋体"/>
          <w:sz w:val="32"/>
          <w:szCs w:val="32"/>
        </w:rPr>
        <w:t>决算数大于年初预算数的主要原因是：主要是基本预算</w:t>
      </w:r>
      <w:r>
        <w:rPr>
          <w:rFonts w:hint="eastAsia" w:ascii="宋体" w:hAnsi="宋体" w:eastAsia="宋体" w:cs="宋体"/>
          <w:sz w:val="32"/>
          <w:szCs w:val="32"/>
          <w:lang w:val="en-US" w:eastAsia="zh-CN"/>
        </w:rPr>
        <w:t>支出</w:t>
      </w:r>
      <w:r>
        <w:rPr>
          <w:rFonts w:hint="eastAsia" w:ascii="宋体" w:hAnsi="宋体" w:eastAsia="宋体" w:cs="宋体"/>
          <w:sz w:val="32"/>
          <w:szCs w:val="32"/>
        </w:rPr>
        <w:t>增加</w:t>
      </w:r>
      <w:r>
        <w:rPr>
          <w:rFonts w:hint="eastAsia" w:ascii="宋体" w:hAnsi="宋体" w:eastAsia="宋体" w:cs="宋体"/>
          <w:sz w:val="32"/>
          <w:szCs w:val="32"/>
          <w:lang w:val="en-US" w:eastAsia="zh-CN"/>
        </w:rPr>
        <w:t>71.25</w:t>
      </w:r>
      <w:r>
        <w:rPr>
          <w:rFonts w:hint="eastAsia" w:ascii="宋体" w:hAnsi="宋体" w:eastAsia="宋体" w:cs="宋体"/>
          <w:sz w:val="32"/>
          <w:szCs w:val="32"/>
        </w:rPr>
        <w:t>万元，主要原因是由于人员调入，相应增加工资</w:t>
      </w:r>
      <w:r>
        <w:rPr>
          <w:rFonts w:hint="eastAsia" w:ascii="宋体" w:hAnsi="宋体" w:eastAsia="宋体" w:cs="宋体"/>
          <w:sz w:val="32"/>
          <w:szCs w:val="32"/>
          <w:lang w:eastAsia="zh-CN"/>
        </w:rPr>
        <w:t>、</w:t>
      </w:r>
      <w:r>
        <w:rPr>
          <w:rFonts w:hint="eastAsia" w:ascii="宋体" w:hAnsi="宋体" w:eastAsia="宋体" w:cs="宋体"/>
          <w:sz w:val="32"/>
          <w:szCs w:val="32"/>
        </w:rPr>
        <w:t>社保资金</w:t>
      </w:r>
      <w:r>
        <w:rPr>
          <w:rFonts w:hint="eastAsia" w:ascii="宋体" w:hAnsi="宋体" w:eastAsia="宋体" w:cs="宋体"/>
          <w:sz w:val="32"/>
          <w:szCs w:val="32"/>
          <w:lang w:val="en-US" w:eastAsia="zh-CN"/>
        </w:rPr>
        <w:t>及工作经费支出；2021年召开了九届五次及十届一次两次全会，会议费用支出相应增加60万元</w:t>
      </w:r>
      <w:r>
        <w:rPr>
          <w:rFonts w:hint="eastAsia" w:ascii="宋体" w:hAnsi="宋体" w:eastAsia="宋体" w:cs="宋体"/>
          <w:color w:val="333333"/>
          <w:kern w:val="0"/>
          <w:sz w:val="32"/>
          <w:szCs w:val="32"/>
        </w:rPr>
        <w:t>。</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default"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517.34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419.81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81.15</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97.53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18.85</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差旅费、培训费、劳务费、维修费用、工会经费、公务接待费用等。</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13.50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厉行节约，压缩三公经费。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8.55</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厉行节约，压缩三公经费</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，2021年度本单位无公务用车购置。</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，2021年度无公务用车维护费。</w:t>
      </w:r>
    </w:p>
    <w:p>
      <w:pPr>
        <w:pStyle w:val="10"/>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w:t>
      </w:r>
      <w:r>
        <w:rPr>
          <w:rFonts w:hint="eastAsia" w:asciiTheme="minorEastAsia" w:hAnsiTheme="minorEastAsia" w:eastAsiaTheme="minorEastAsia"/>
          <w:sz w:val="32"/>
          <w:szCs w:val="32"/>
          <w:lang w:eastAsia="zh-CN"/>
        </w:rPr>
        <w:t>预算为</w:t>
      </w:r>
      <w:r>
        <w:rPr>
          <w:rFonts w:hint="eastAsia" w:asciiTheme="minorEastAsia" w:hAnsiTheme="minorEastAsia" w:eastAsiaTheme="minorEastAsia"/>
          <w:sz w:val="32"/>
          <w:szCs w:val="32"/>
          <w:lang w:val="en-US" w:eastAsia="zh-CN"/>
        </w:rPr>
        <w:t>4.33万元，支出决算为4.33万元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2、公务接待费支出预算为</w:t>
      </w:r>
      <w:r>
        <w:rPr>
          <w:rFonts w:hint="eastAsia" w:asciiTheme="minorEastAsia" w:hAnsiTheme="minorEastAsia" w:eastAsiaTheme="minorEastAsia"/>
          <w:sz w:val="32"/>
          <w:szCs w:val="32"/>
          <w:lang w:val="en-US" w:eastAsia="zh-CN"/>
        </w:rPr>
        <w:t>4.33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%，全年共接待来访团组</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437</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来道县调研、考察活动</w:t>
      </w:r>
      <w:r>
        <w:rPr>
          <w:rFonts w:hint="eastAsia" w:asciiTheme="minorEastAsia" w:hAnsiTheme="minorEastAsia" w:eastAsiaTheme="minorEastAsia"/>
          <w:sz w:val="32"/>
          <w:szCs w:val="32"/>
        </w:rPr>
        <w:t>发生的接待支出。</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公务用车</w:t>
      </w:r>
      <w:r>
        <w:rPr>
          <w:rFonts w:hint="eastAsia" w:asciiTheme="minorEastAsia" w:hAnsiTheme="minorEastAsia" w:eastAsiaTheme="minorEastAsia"/>
          <w:sz w:val="32"/>
          <w:szCs w:val="32"/>
        </w:rPr>
        <w:t>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val="en-US" w:eastAsia="zh-CN"/>
        </w:rPr>
        <w:t>，本年无公务用车维护费。</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val="en-US" w:eastAsia="zh-CN"/>
        </w:rPr>
        <w:t>县政协单位没有政府性基金收支项目。</w:t>
      </w:r>
    </w:p>
    <w:p>
      <w:pPr>
        <w:pStyle w:val="10"/>
        <w:ind w:firstLine="640" w:firstLineChars="200"/>
        <w:rPr>
          <w:rFonts w:hAnsi="黑体"/>
          <w:b/>
          <w:sz w:val="32"/>
          <w:szCs w:val="32"/>
        </w:rPr>
      </w:pPr>
      <w:r>
        <w:rPr>
          <w:rFonts w:hint="eastAsia" w:hAnsi="黑体"/>
          <w:b/>
          <w:sz w:val="32"/>
          <w:szCs w:val="32"/>
        </w:rPr>
        <w:t>九、机关运行经费支出说明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sz w:val="32"/>
          <w:szCs w:val="32"/>
          <w:lang w:val="en-US" w:eastAsia="zh-CN"/>
        </w:rPr>
        <w:t>96.69</w:t>
      </w:r>
      <w:r>
        <w:rPr>
          <w:rFonts w:hint="eastAsia" w:asciiTheme="minorEastAsia" w:hAnsiTheme="minorEastAsia" w:eastAsiaTheme="minorEastAsia"/>
          <w:sz w:val="32"/>
          <w:szCs w:val="32"/>
        </w:rPr>
        <w:t>万元</w:t>
      </w:r>
      <w:r>
        <w:rPr>
          <w:rFonts w:hint="eastAsia" w:asciiTheme="minorEastAsia" w:hAnsiTheme="minorEastAsia"/>
          <w:sz w:val="32"/>
          <w:szCs w:val="32"/>
          <w:lang w:eastAsia="zh-CN"/>
        </w:rPr>
        <w:t>，</w:t>
      </w:r>
      <w:r>
        <w:rPr>
          <w:rFonts w:hint="eastAsia" w:ascii="仿宋_GB2312"/>
          <w:sz w:val="30"/>
          <w:szCs w:val="30"/>
        </w:rPr>
        <w:t>主要包括办公费</w:t>
      </w:r>
      <w:r>
        <w:rPr>
          <w:rFonts w:hint="eastAsia" w:ascii="仿宋_GB2312"/>
          <w:sz w:val="30"/>
          <w:szCs w:val="30"/>
          <w:lang w:val="en-US" w:eastAsia="zh-CN"/>
        </w:rPr>
        <w:t>10.33</w:t>
      </w:r>
      <w:r>
        <w:rPr>
          <w:rFonts w:hint="eastAsia" w:ascii="仿宋_GB2312"/>
          <w:sz w:val="30"/>
          <w:szCs w:val="30"/>
        </w:rPr>
        <w:t>万元，印刷费</w:t>
      </w:r>
      <w:r>
        <w:rPr>
          <w:rFonts w:hint="eastAsia" w:ascii="仿宋_GB2312"/>
          <w:sz w:val="30"/>
          <w:szCs w:val="30"/>
          <w:lang w:val="en-US" w:eastAsia="zh-CN"/>
        </w:rPr>
        <w:t>5.42</w:t>
      </w:r>
      <w:r>
        <w:rPr>
          <w:rFonts w:hint="eastAsia" w:ascii="仿宋_GB2312"/>
          <w:sz w:val="30"/>
          <w:szCs w:val="30"/>
        </w:rPr>
        <w:t>万元，邮电费</w:t>
      </w:r>
      <w:r>
        <w:rPr>
          <w:rFonts w:hint="eastAsia" w:ascii="仿宋_GB2312"/>
          <w:sz w:val="30"/>
          <w:szCs w:val="30"/>
          <w:lang w:val="en-US" w:eastAsia="zh-CN"/>
        </w:rPr>
        <w:t>2.83</w:t>
      </w:r>
      <w:r>
        <w:rPr>
          <w:rFonts w:hint="eastAsia" w:ascii="仿宋_GB2312"/>
          <w:sz w:val="30"/>
          <w:szCs w:val="30"/>
        </w:rPr>
        <w:t>万元，差旅费</w:t>
      </w:r>
      <w:r>
        <w:rPr>
          <w:rFonts w:hint="eastAsia" w:ascii="仿宋_GB2312"/>
          <w:sz w:val="30"/>
          <w:szCs w:val="30"/>
          <w:lang w:val="en-US" w:eastAsia="zh-CN"/>
        </w:rPr>
        <w:t>8.15</w:t>
      </w:r>
      <w:r>
        <w:rPr>
          <w:rFonts w:hint="eastAsia" w:ascii="仿宋_GB2312"/>
          <w:sz w:val="30"/>
          <w:szCs w:val="30"/>
        </w:rPr>
        <w:t>万元，公务接待费</w:t>
      </w:r>
      <w:r>
        <w:rPr>
          <w:rFonts w:hint="eastAsia" w:ascii="仿宋_GB2312"/>
          <w:sz w:val="30"/>
          <w:szCs w:val="30"/>
          <w:lang w:val="en-US" w:eastAsia="zh-CN"/>
        </w:rPr>
        <w:t>4.33</w:t>
      </w:r>
      <w:r>
        <w:rPr>
          <w:rFonts w:hint="eastAsia" w:ascii="仿宋_GB2312"/>
          <w:sz w:val="30"/>
          <w:szCs w:val="30"/>
        </w:rPr>
        <w:t>万元，工会经费</w:t>
      </w:r>
      <w:r>
        <w:rPr>
          <w:rFonts w:hint="eastAsia" w:ascii="仿宋_GB2312"/>
          <w:sz w:val="30"/>
          <w:szCs w:val="30"/>
          <w:lang w:val="en-US" w:eastAsia="zh-CN"/>
        </w:rPr>
        <w:t>11.07</w:t>
      </w:r>
      <w:r>
        <w:rPr>
          <w:rFonts w:hint="eastAsia" w:ascii="仿宋_GB2312"/>
          <w:sz w:val="30"/>
          <w:szCs w:val="30"/>
        </w:rPr>
        <w:t>万元，福利</w:t>
      </w:r>
      <w:r>
        <w:rPr>
          <w:rFonts w:hint="eastAsia" w:ascii="仿宋_GB2312"/>
          <w:sz w:val="30"/>
          <w:szCs w:val="30"/>
          <w:lang w:val="en-US" w:eastAsia="zh-CN"/>
        </w:rPr>
        <w:t>费8.26</w:t>
      </w:r>
      <w:r>
        <w:rPr>
          <w:rFonts w:hint="eastAsia" w:ascii="仿宋_GB2312"/>
          <w:sz w:val="30"/>
          <w:szCs w:val="30"/>
        </w:rPr>
        <w:t>万元，</w:t>
      </w:r>
      <w:r>
        <w:rPr>
          <w:rFonts w:hint="eastAsia" w:ascii="仿宋_GB2312"/>
          <w:sz w:val="30"/>
          <w:szCs w:val="30"/>
          <w:lang w:val="en-US" w:eastAsia="zh-CN"/>
        </w:rPr>
        <w:t>其他交通费32.36</w:t>
      </w:r>
      <w:r>
        <w:rPr>
          <w:rFonts w:hint="eastAsia" w:ascii="仿宋_GB2312"/>
          <w:sz w:val="30"/>
          <w:szCs w:val="30"/>
        </w:rPr>
        <w:t>万元</w:t>
      </w:r>
      <w:r>
        <w:rPr>
          <w:rFonts w:hint="eastAsia" w:ascii="仿宋_GB2312"/>
          <w:sz w:val="30"/>
          <w:szCs w:val="30"/>
          <w:lang w:eastAsia="zh-CN"/>
        </w:rPr>
        <w:t>，</w:t>
      </w:r>
      <w:r>
        <w:rPr>
          <w:rFonts w:hint="eastAsia" w:ascii="仿宋_GB2312"/>
          <w:sz w:val="30"/>
          <w:szCs w:val="30"/>
        </w:rPr>
        <w:t>其他商品服务支出</w:t>
      </w:r>
      <w:r>
        <w:rPr>
          <w:rFonts w:hint="eastAsia" w:ascii="仿宋_GB2312"/>
          <w:sz w:val="30"/>
          <w:szCs w:val="30"/>
          <w:lang w:val="en-US" w:eastAsia="zh-CN"/>
        </w:rPr>
        <w:t>13.96</w:t>
      </w:r>
      <w:r>
        <w:rPr>
          <w:rFonts w:hint="eastAsia" w:ascii="仿宋_GB2312"/>
          <w:sz w:val="30"/>
          <w:szCs w:val="30"/>
        </w:rPr>
        <w:t>万元。</w:t>
      </w:r>
      <w:r>
        <w:rPr>
          <w:rFonts w:hint="eastAsia" w:asciiTheme="minorEastAsia" w:hAnsiTheme="minorEastAsia" w:eastAsiaTheme="minorEastAsia"/>
          <w:sz w:val="32"/>
          <w:szCs w:val="32"/>
        </w:rPr>
        <w:t>比上年决算数减少</w:t>
      </w:r>
      <w:r>
        <w:rPr>
          <w:rFonts w:hint="eastAsia" w:asciiTheme="minorEastAsia" w:hAnsiTheme="minorEastAsia"/>
          <w:sz w:val="32"/>
          <w:szCs w:val="32"/>
          <w:lang w:val="en-US" w:eastAsia="zh-CN"/>
        </w:rPr>
        <w:t>11.31</w:t>
      </w:r>
      <w:r>
        <w:rPr>
          <w:rFonts w:hint="eastAsia" w:asciiTheme="minorEastAsia" w:hAnsiTheme="minorEastAsia" w:eastAsiaTheme="minorEastAsia"/>
          <w:sz w:val="32"/>
          <w:szCs w:val="32"/>
        </w:rPr>
        <w:t>万元，降低</w:t>
      </w:r>
      <w:r>
        <w:rPr>
          <w:rFonts w:hint="eastAsia" w:asciiTheme="minorEastAsia" w:hAnsiTheme="minorEastAsia"/>
          <w:sz w:val="32"/>
          <w:szCs w:val="32"/>
          <w:lang w:val="en-US" w:eastAsia="zh-CN"/>
        </w:rPr>
        <w:t>10.47</w:t>
      </w:r>
      <w:r>
        <w:rPr>
          <w:rFonts w:hint="eastAsia" w:asciiTheme="minorEastAsia" w:hAnsiTheme="minorEastAsia" w:eastAsiaTheme="minorEastAsia"/>
          <w:sz w:val="32"/>
          <w:szCs w:val="32"/>
        </w:rPr>
        <w:t>%。主要原因是：</w:t>
      </w:r>
      <w:r>
        <w:rPr>
          <w:rFonts w:hint="eastAsia" w:asciiTheme="minorEastAsia" w:hAnsiTheme="minorEastAsia"/>
          <w:sz w:val="32"/>
          <w:szCs w:val="32"/>
          <w:lang w:val="en-US" w:eastAsia="zh-CN"/>
        </w:rPr>
        <w:t>压缩经费开支，确保机关三保正常运转</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十、一般性支出情况说明</w:t>
      </w:r>
    </w:p>
    <w:p>
      <w:pPr>
        <w:pStyle w:val="10"/>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135.80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九届五次</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val="en-US" w:eastAsia="zh-CN"/>
        </w:rPr>
        <w:t>及十届一次会议</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570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九届五次全会及十届一次换届会</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3.61</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委员</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政协骨干委员履职培训等。</w:t>
      </w:r>
    </w:p>
    <w:p>
      <w:pPr>
        <w:pStyle w:val="10"/>
        <w:ind w:firstLine="640" w:firstLineChars="200"/>
        <w:rPr>
          <w:rFonts w:hAnsi="黑体"/>
          <w:b/>
          <w:sz w:val="32"/>
          <w:szCs w:val="32"/>
        </w:rPr>
      </w:pPr>
      <w:r>
        <w:rPr>
          <w:rFonts w:hint="eastAsia" w:hAnsi="黑体"/>
          <w:b/>
          <w:sz w:val="32"/>
          <w:szCs w:val="32"/>
        </w:rPr>
        <w:t>十一、政府采购支出说明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39.80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授予中小企业合同金额0万元。</w:t>
      </w:r>
    </w:p>
    <w:p>
      <w:pPr>
        <w:pStyle w:val="10"/>
        <w:ind w:firstLine="640" w:firstLineChars="20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w:t>
      </w:r>
      <w:r>
        <w:rPr>
          <w:rFonts w:hint="eastAsia" w:cs="黑体" w:asciiTheme="minorEastAsia" w:hAnsiTheme="minorEastAsia"/>
          <w:color w:val="000000"/>
          <w:kern w:val="0"/>
          <w:sz w:val="32"/>
          <w:szCs w:val="32"/>
          <w:lang w:val="en-US" w:eastAsia="zh-CN"/>
        </w:rPr>
        <w:t>单位</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w:t>
      </w:r>
      <w:r>
        <w:rPr>
          <w:rFonts w:hint="eastAsia" w:cs="黑体" w:asciiTheme="minorEastAsia" w:hAnsiTheme="minorEastAsia"/>
          <w:color w:val="000000"/>
          <w:kern w:val="0"/>
          <w:sz w:val="32"/>
          <w:szCs w:val="32"/>
          <w:lang w:val="en-US" w:eastAsia="zh-CN"/>
        </w:rPr>
        <w:t>我单位是财政拨款行政单位</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都是当年保政协事业正常运转的项目。</w:t>
      </w:r>
      <w:r>
        <w:rPr>
          <w:rFonts w:hint="eastAsia" w:cs="黑体" w:asciiTheme="minorEastAsia" w:hAnsiTheme="minorEastAsia"/>
          <w:color w:val="000000"/>
          <w:kern w:val="0"/>
          <w:sz w:val="32"/>
          <w:szCs w:val="32"/>
        </w:rPr>
        <w:t>从评价情况来看，</w:t>
      </w:r>
      <w:r>
        <w:rPr>
          <w:rFonts w:hint="eastAsia" w:cs="黑体" w:asciiTheme="minorEastAsia" w:hAnsiTheme="minorEastAsia"/>
          <w:color w:val="000000"/>
          <w:kern w:val="0"/>
          <w:sz w:val="32"/>
          <w:szCs w:val="32"/>
          <w:lang w:val="en-US" w:eastAsia="zh-CN"/>
        </w:rPr>
        <w:t>以结果为导向，</w:t>
      </w:r>
      <w:r>
        <w:rPr>
          <w:rFonts w:hint="eastAsia" w:cs="黑体" w:asciiTheme="minorEastAsia" w:hAnsiTheme="minorEastAsia"/>
          <w:color w:val="000000"/>
          <w:kern w:val="0"/>
          <w:sz w:val="32"/>
          <w:szCs w:val="32"/>
        </w:rPr>
        <w:t>整体支出绩效评价情况</w:t>
      </w:r>
      <w:r>
        <w:rPr>
          <w:rFonts w:hint="eastAsia" w:cs="黑体" w:asciiTheme="minorEastAsia" w:hAnsiTheme="minorEastAsia"/>
          <w:color w:val="000000"/>
          <w:kern w:val="0"/>
          <w:sz w:val="32"/>
          <w:szCs w:val="32"/>
          <w:lang w:val="en-US" w:eastAsia="zh-CN"/>
        </w:rPr>
        <w:t>很好，大都实现了年初的预定目标，绩效管理有力促进了预算的执行效果</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both"/>
        <w:rPr>
          <w:rFonts w:hint="eastAsia"/>
          <w:sz w:val="72"/>
          <w:szCs w:val="72"/>
        </w:rPr>
      </w:pPr>
    </w:p>
    <w:p>
      <w:pPr>
        <w:pStyle w:val="10"/>
        <w:jc w:val="center"/>
        <w:rPr>
          <w:sz w:val="72"/>
          <w:szCs w:val="72"/>
        </w:rPr>
      </w:pPr>
      <w:r>
        <w:rPr>
          <w:rFonts w:hint="eastAsia"/>
          <w:sz w:val="72"/>
          <w:szCs w:val="72"/>
        </w:rPr>
        <w:t>第四部分</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ind w:firstLine="640" w:firstLineChars="200"/>
        <w:jc w:val="both"/>
        <w:rPr>
          <w:rFonts w:hint="eastAsia" w:ascii="仿宋_GB2312" w:eastAsia="仿宋_GB2312"/>
          <w:sz w:val="32"/>
          <w:szCs w:val="32"/>
        </w:rPr>
      </w:pPr>
      <w:r>
        <w:rPr>
          <w:rFonts w:hint="eastAsia" w:cs="黑体" w:asciiTheme="minorEastAsia" w:hAnsiTheme="minorEastAsia"/>
          <w:color w:val="000000"/>
          <w:kern w:val="0"/>
          <w:sz w:val="32"/>
          <w:szCs w:val="32"/>
        </w:rPr>
        <w:t>一、</w:t>
      </w:r>
      <w:r>
        <w:rPr>
          <w:rFonts w:hint="eastAsia" w:ascii="仿宋_GB2312" w:eastAsia="仿宋_GB2312"/>
          <w:sz w:val="32"/>
          <w:szCs w:val="32"/>
        </w:rPr>
        <w:t>“三公经费”是指因公出国（境）费用、公务用车购置及运行使用维护费、公务接待费等三项具体经费。</w:t>
      </w:r>
    </w:p>
    <w:p>
      <w:pPr>
        <w:ind w:firstLine="640" w:firstLineChars="200"/>
        <w:jc w:val="left"/>
        <w:rPr>
          <w:rFonts w:hint="eastAsia" w:ascii="宋体" w:hAnsi="宋体" w:eastAsia="宋体" w:cs="宋体"/>
          <w:color w:val="000000"/>
          <w:kern w:val="0"/>
          <w:sz w:val="32"/>
          <w:szCs w:val="32"/>
          <w:lang w:val="en-US" w:eastAsia="zh-CN"/>
        </w:rPr>
      </w:pPr>
      <w:r>
        <w:rPr>
          <w:rFonts w:hint="eastAsia" w:cs="黑体" w:asciiTheme="minorEastAsia" w:hAnsiTheme="minorEastAsia"/>
          <w:color w:val="000000"/>
          <w:kern w:val="0"/>
          <w:sz w:val="32"/>
          <w:szCs w:val="32"/>
        </w:rPr>
        <w:t>二、</w:t>
      </w:r>
      <w:r>
        <w:rPr>
          <w:rFonts w:hint="eastAsia" w:ascii="宋体" w:hAnsi="宋体" w:eastAsia="宋体" w:cs="宋体"/>
          <w:color w:val="000000"/>
          <w:kern w:val="0"/>
          <w:sz w:val="32"/>
          <w:szCs w:val="32"/>
          <w:lang w:val="en-US" w:eastAsia="zh-CN"/>
        </w:rPr>
        <w:t>机关运行经费指</w:t>
      </w:r>
      <w:r>
        <w:rPr>
          <w:rFonts w:hint="eastAsia" w:ascii="宋体" w:hAnsi="宋体" w:eastAsia="宋体" w:cs="宋体"/>
          <w:i w:val="0"/>
          <w:iCs w:val="0"/>
          <w:caps w:val="0"/>
          <w:color w:val="333333"/>
          <w:spacing w:val="4"/>
          <w:sz w:val="32"/>
          <w:szCs w:val="32"/>
          <w:shd w:val="clear" w:fill="FFFFFF"/>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宋体" w:hAnsi="宋体" w:eastAsia="宋体" w:cs="宋体"/>
          <w:b w:val="0"/>
          <w:bCs w:val="0"/>
          <w:color w:val="000000"/>
          <w:kern w:val="0"/>
          <w:sz w:val="32"/>
          <w:szCs w:val="32"/>
          <w:lang w:val="en-US" w:eastAsia="zh-CN"/>
        </w:rPr>
      </w:pPr>
      <w:r>
        <w:rPr>
          <w:rFonts w:hint="eastAsia" w:cs="黑体" w:asciiTheme="minorEastAsia" w:hAnsiTheme="minorEastAsia"/>
          <w:color w:val="000000"/>
          <w:kern w:val="0"/>
          <w:sz w:val="32"/>
          <w:szCs w:val="32"/>
        </w:rPr>
        <w:t>三、</w:t>
      </w:r>
      <w:r>
        <w:rPr>
          <w:rFonts w:hint="eastAsia" w:cs="黑体" w:asciiTheme="minorEastAsia" w:hAnsiTheme="minorEastAsia"/>
          <w:b w:val="0"/>
          <w:bCs w:val="0"/>
          <w:color w:val="000000"/>
          <w:kern w:val="0"/>
          <w:sz w:val="32"/>
          <w:szCs w:val="32"/>
          <w:lang w:val="en-US" w:eastAsia="zh-CN"/>
        </w:rPr>
        <w:t>一般公共服务支出是指</w:t>
      </w:r>
      <w:r>
        <w:rPr>
          <w:rStyle w:val="7"/>
          <w:rFonts w:hint="eastAsia" w:ascii="宋体" w:hAnsi="宋体" w:eastAsia="宋体" w:cs="宋体"/>
          <w:b w:val="0"/>
          <w:bCs w:val="0"/>
          <w:i w:val="0"/>
          <w:iCs w:val="0"/>
          <w:caps w:val="0"/>
          <w:color w:val="333333"/>
          <w:spacing w:val="0"/>
          <w:sz w:val="32"/>
          <w:szCs w:val="32"/>
          <w:shd w:val="clear" w:fill="FFFFFF"/>
        </w:rPr>
        <w:t>主要用于保障机关事业单位正常运转，支持各机关单位履行职能，保障各机关部门的项目的支出</w:t>
      </w:r>
      <w:r>
        <w:rPr>
          <w:rStyle w:val="7"/>
          <w:rFonts w:hint="eastAsia" w:ascii="宋体" w:hAnsi="宋体" w:eastAsia="宋体" w:cs="宋体"/>
          <w:b w:val="0"/>
          <w:bCs w:val="0"/>
          <w:i w:val="0"/>
          <w:iCs w:val="0"/>
          <w:caps w:val="0"/>
          <w:color w:val="333333"/>
          <w:spacing w:val="0"/>
          <w:sz w:val="32"/>
          <w:szCs w:val="32"/>
          <w:shd w:val="clear" w:fill="FFFFFF"/>
          <w:lang w:eastAsia="zh-CN"/>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D8D47"/>
    <w:multiLevelType w:val="singleLevel"/>
    <w:tmpl w:val="2A4D8D47"/>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EE1D8"/>
    <w:multiLevelType w:val="singleLevel"/>
    <w:tmpl w:val="6C1EE1D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80583E"/>
    <w:rsid w:val="02B62B02"/>
    <w:rsid w:val="03217B69"/>
    <w:rsid w:val="037800D1"/>
    <w:rsid w:val="06A331CD"/>
    <w:rsid w:val="071D4AEC"/>
    <w:rsid w:val="08A365A7"/>
    <w:rsid w:val="094A04B5"/>
    <w:rsid w:val="09EE1543"/>
    <w:rsid w:val="0A1C7B60"/>
    <w:rsid w:val="0ACD326D"/>
    <w:rsid w:val="0C760B95"/>
    <w:rsid w:val="0DD81C52"/>
    <w:rsid w:val="0DE84A6B"/>
    <w:rsid w:val="0EE60E40"/>
    <w:rsid w:val="0FDD7350"/>
    <w:rsid w:val="103E4A5E"/>
    <w:rsid w:val="105E15D4"/>
    <w:rsid w:val="110A51FC"/>
    <w:rsid w:val="116562F8"/>
    <w:rsid w:val="11E95154"/>
    <w:rsid w:val="13FE506F"/>
    <w:rsid w:val="15A054CF"/>
    <w:rsid w:val="15D66FEB"/>
    <w:rsid w:val="168E50BE"/>
    <w:rsid w:val="173C7466"/>
    <w:rsid w:val="179A3284"/>
    <w:rsid w:val="188E5095"/>
    <w:rsid w:val="18B04394"/>
    <w:rsid w:val="18F87E8D"/>
    <w:rsid w:val="1A6246FE"/>
    <w:rsid w:val="1AE04C37"/>
    <w:rsid w:val="1D643A80"/>
    <w:rsid w:val="1E5407BE"/>
    <w:rsid w:val="1EE63BDA"/>
    <w:rsid w:val="20267864"/>
    <w:rsid w:val="206F3F57"/>
    <w:rsid w:val="20EF2BFD"/>
    <w:rsid w:val="217E7356"/>
    <w:rsid w:val="21A242A5"/>
    <w:rsid w:val="22E55896"/>
    <w:rsid w:val="23481022"/>
    <w:rsid w:val="23705FD3"/>
    <w:rsid w:val="24E2096E"/>
    <w:rsid w:val="26FF598C"/>
    <w:rsid w:val="283830DC"/>
    <w:rsid w:val="2C8F13FD"/>
    <w:rsid w:val="2D395367"/>
    <w:rsid w:val="2F126434"/>
    <w:rsid w:val="30B32849"/>
    <w:rsid w:val="31F86FE9"/>
    <w:rsid w:val="323365A6"/>
    <w:rsid w:val="326771FA"/>
    <w:rsid w:val="32FF7F71"/>
    <w:rsid w:val="3381395E"/>
    <w:rsid w:val="33AA76C9"/>
    <w:rsid w:val="33AF32D4"/>
    <w:rsid w:val="33BD1CF7"/>
    <w:rsid w:val="343F0B96"/>
    <w:rsid w:val="349E73CD"/>
    <w:rsid w:val="35C661CB"/>
    <w:rsid w:val="36761A99"/>
    <w:rsid w:val="37E666B0"/>
    <w:rsid w:val="39015B50"/>
    <w:rsid w:val="3B1442AB"/>
    <w:rsid w:val="3CBF20E0"/>
    <w:rsid w:val="3E8135D7"/>
    <w:rsid w:val="3EA01CAF"/>
    <w:rsid w:val="3EDC2D6A"/>
    <w:rsid w:val="3F544847"/>
    <w:rsid w:val="3F93536F"/>
    <w:rsid w:val="40793F1C"/>
    <w:rsid w:val="41670E4A"/>
    <w:rsid w:val="4191768D"/>
    <w:rsid w:val="427929E8"/>
    <w:rsid w:val="428B67D2"/>
    <w:rsid w:val="45160374"/>
    <w:rsid w:val="46580F3D"/>
    <w:rsid w:val="46CB2736"/>
    <w:rsid w:val="47121270"/>
    <w:rsid w:val="48344EE2"/>
    <w:rsid w:val="48DA7B6B"/>
    <w:rsid w:val="4B111AFA"/>
    <w:rsid w:val="4B7D0955"/>
    <w:rsid w:val="4B8A20CB"/>
    <w:rsid w:val="4B964AF7"/>
    <w:rsid w:val="4CDA4B16"/>
    <w:rsid w:val="4D6E16D3"/>
    <w:rsid w:val="513431D1"/>
    <w:rsid w:val="52976ACB"/>
    <w:rsid w:val="55520E1F"/>
    <w:rsid w:val="55801A9A"/>
    <w:rsid w:val="56205DE5"/>
    <w:rsid w:val="57437223"/>
    <w:rsid w:val="57C84117"/>
    <w:rsid w:val="59987F3E"/>
    <w:rsid w:val="5A2C3F9F"/>
    <w:rsid w:val="5A48324D"/>
    <w:rsid w:val="5AB05903"/>
    <w:rsid w:val="5CDA4186"/>
    <w:rsid w:val="5E4E473B"/>
    <w:rsid w:val="5FBF7653"/>
    <w:rsid w:val="62E64B7A"/>
    <w:rsid w:val="63286C33"/>
    <w:rsid w:val="64784909"/>
    <w:rsid w:val="65690FDC"/>
    <w:rsid w:val="66670B85"/>
    <w:rsid w:val="677522D6"/>
    <w:rsid w:val="691626EF"/>
    <w:rsid w:val="69920701"/>
    <w:rsid w:val="6A2922A9"/>
    <w:rsid w:val="6AB336FF"/>
    <w:rsid w:val="6AC727EB"/>
    <w:rsid w:val="6E040747"/>
    <w:rsid w:val="6F6049BF"/>
    <w:rsid w:val="71F16A95"/>
    <w:rsid w:val="71F931FC"/>
    <w:rsid w:val="744F2ABA"/>
    <w:rsid w:val="755A7918"/>
    <w:rsid w:val="770B7CF4"/>
    <w:rsid w:val="77752FD1"/>
    <w:rsid w:val="78817F98"/>
    <w:rsid w:val="7B004EF5"/>
    <w:rsid w:val="7B6A2456"/>
    <w:rsid w:val="7D586CD5"/>
    <w:rsid w:val="7E1D37BF"/>
    <w:rsid w:val="7EA149BB"/>
    <w:rsid w:val="7EC6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paragraph" w:customStyle="1" w:styleId="13">
    <w:name w:val="标题 31"/>
    <w:basedOn w:val="14"/>
    <w:next w:val="14"/>
    <w:unhideWhenUsed/>
    <w:qFormat/>
    <w:uiPriority w:val="0"/>
    <w:pPr>
      <w:keepNext/>
      <w:keepLines/>
      <w:spacing w:before="260" w:beforeAutospacing="0" w:after="260" w:afterAutospacing="0" w:line="410" w:lineRule="auto"/>
      <w:outlineLvl w:val="2"/>
    </w:pPr>
    <w:rPr>
      <w:b/>
      <w:sz w:val="32"/>
    </w:rPr>
  </w:style>
  <w:style w:type="paragraph" w:customStyle="1" w:styleId="14">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7798</Words>
  <Characters>9630</Characters>
  <Lines>69</Lines>
  <Paragraphs>19</Paragraphs>
  <TotalTime>0</TotalTime>
  <ScaleCrop>false</ScaleCrop>
  <LinksUpToDate>false</LinksUpToDate>
  <CharactersWithSpaces>10987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2023-09-28T06:16:12Z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