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rFonts w:ascii="黑体" w:hAnsi="黑体" w:eastAsia="黑体" w:cs="黑体"/>
          <w:b/>
          <w:sz w:val="44"/>
          <w:szCs w:val="44"/>
        </w:rPr>
      </w:pPr>
      <w:r>
        <w:rPr>
          <w:rFonts w:hint="eastAsia" w:ascii="黑体" w:hAnsi="黑体" w:eastAsia="黑体" w:cs="黑体"/>
          <w:b/>
          <w:sz w:val="44"/>
          <w:szCs w:val="44"/>
        </w:rPr>
        <w:t>2021年道县寿雁镇人民政府部门</w:t>
      </w:r>
    </w:p>
    <w:p>
      <w:pPr>
        <w:jc w:val="center"/>
        <w:rPr>
          <w:rFonts w:ascii="黑体" w:hAnsi="黑体" w:eastAsia="黑体" w:cs="黑体"/>
          <w:b/>
          <w:sz w:val="44"/>
          <w:szCs w:val="44"/>
        </w:rPr>
      </w:pPr>
      <w:r>
        <w:rPr>
          <w:rFonts w:hint="eastAsia" w:ascii="黑体" w:hAnsi="黑体" w:eastAsia="黑体" w:cs="黑体"/>
          <w:b/>
          <w:sz w:val="44"/>
          <w:szCs w:val="44"/>
        </w:rPr>
        <w:t>整体支出绩效评价报告</w:t>
      </w:r>
    </w:p>
    <w:p>
      <w:pPr>
        <w:spacing w:line="360" w:lineRule="exact"/>
        <w:jc w:val="center"/>
        <w:rPr>
          <w:b/>
          <w:sz w:val="44"/>
          <w:szCs w:val="44"/>
        </w:rPr>
      </w:pPr>
    </w:p>
    <w:p>
      <w:pPr>
        <w:spacing w:line="360" w:lineRule="auto"/>
        <w:ind w:right="11" w:firstLine="602" w:firstLineChars="200"/>
        <w:rPr>
          <w:b/>
          <w:sz w:val="30"/>
          <w:szCs w:val="30"/>
        </w:rPr>
      </w:pPr>
      <w:r>
        <w:rPr>
          <w:b/>
          <w:sz w:val="30"/>
          <w:szCs w:val="30"/>
        </w:rPr>
        <w:t>一、部门概况</w:t>
      </w:r>
    </w:p>
    <w:p>
      <w:pPr>
        <w:spacing w:line="360" w:lineRule="auto"/>
        <w:ind w:left="142" w:right="11" w:firstLine="600" w:firstLineChars="200"/>
        <w:rPr>
          <w:sz w:val="30"/>
          <w:szCs w:val="30"/>
        </w:rPr>
      </w:pPr>
      <w:r>
        <w:rPr>
          <w:sz w:val="30"/>
          <w:szCs w:val="30"/>
        </w:rPr>
        <w:t>（一）部门基本情况：</w:t>
      </w:r>
    </w:p>
    <w:p>
      <w:pPr>
        <w:spacing w:line="360" w:lineRule="auto"/>
        <w:ind w:right="11" w:firstLine="750" w:firstLineChars="250"/>
        <w:rPr>
          <w:sz w:val="30"/>
          <w:szCs w:val="30"/>
        </w:rPr>
      </w:pPr>
      <w:r>
        <w:rPr>
          <w:sz w:val="30"/>
          <w:szCs w:val="30"/>
        </w:rPr>
        <w:t>1．主要职能。</w:t>
      </w:r>
    </w:p>
    <w:p>
      <w:pPr>
        <w:spacing w:line="360" w:lineRule="auto"/>
        <w:ind w:firstLine="600" w:firstLineChars="200"/>
        <w:rPr>
          <w:color w:val="010101"/>
          <w:sz w:val="30"/>
          <w:szCs w:val="30"/>
        </w:rPr>
      </w:pPr>
      <w:r>
        <w:rPr>
          <w:color w:val="010101"/>
          <w:sz w:val="30"/>
          <w:szCs w:val="30"/>
        </w:rPr>
        <w:t>（1）执行本级人民代表大会的决议和上级国家行政机关的决定和命令，发布决定和命令。</w:t>
      </w:r>
    </w:p>
    <w:p>
      <w:pPr>
        <w:spacing w:line="360" w:lineRule="auto"/>
        <w:ind w:firstLine="600" w:firstLineChars="200"/>
        <w:rPr>
          <w:color w:val="010101"/>
          <w:sz w:val="30"/>
          <w:szCs w:val="30"/>
        </w:rPr>
      </w:pPr>
      <w:r>
        <w:rPr>
          <w:color w:val="010101"/>
          <w:sz w:val="30"/>
          <w:szCs w:val="30"/>
        </w:rPr>
        <w:t>（2）执行本行政区域内的经济和社会发展计划，加强公共设施的建设和管理，发展各项服务事业。</w:t>
      </w:r>
    </w:p>
    <w:p>
      <w:pPr>
        <w:spacing w:line="360" w:lineRule="auto"/>
        <w:ind w:firstLine="600" w:firstLineChars="200"/>
        <w:rPr>
          <w:color w:val="010101"/>
          <w:sz w:val="30"/>
          <w:szCs w:val="30"/>
        </w:rPr>
      </w:pPr>
      <w:r>
        <w:rPr>
          <w:color w:val="010101"/>
          <w:sz w:val="30"/>
          <w:szCs w:val="30"/>
        </w:rPr>
        <w:t>（3）依法管理本级财政、执行本级预算。</w:t>
      </w:r>
    </w:p>
    <w:p>
      <w:pPr>
        <w:spacing w:line="360" w:lineRule="auto"/>
        <w:ind w:firstLine="600" w:firstLineChars="200"/>
        <w:rPr>
          <w:color w:val="010101"/>
          <w:sz w:val="30"/>
          <w:szCs w:val="30"/>
        </w:rPr>
      </w:pPr>
      <w:r>
        <w:rPr>
          <w:color w:val="010101"/>
          <w:sz w:val="30"/>
          <w:szCs w:val="30"/>
        </w:rPr>
        <w:t>（4）为农民提供有效的科技、教育、文化、信息、卫生、体育、医疗、人才开发、劳动就业、安全生产等方面的服务。</w:t>
      </w:r>
    </w:p>
    <w:p>
      <w:pPr>
        <w:spacing w:line="360" w:lineRule="auto"/>
        <w:ind w:firstLine="600" w:firstLineChars="200"/>
        <w:rPr>
          <w:color w:val="010101"/>
          <w:sz w:val="30"/>
          <w:szCs w:val="30"/>
        </w:rPr>
      </w:pPr>
      <w:r>
        <w:rPr>
          <w:color w:val="010101"/>
          <w:sz w:val="30"/>
          <w:szCs w:val="30"/>
        </w:rPr>
        <w:t>（5）保护国有资产和集体所有的财产，保护公民私人所有的合法财产、保障公民的人身权利、民主权利和其他权利，保护各种组织的合法权益。</w:t>
      </w:r>
    </w:p>
    <w:p>
      <w:pPr>
        <w:spacing w:line="360" w:lineRule="auto"/>
        <w:ind w:firstLine="600" w:firstLineChars="200"/>
        <w:rPr>
          <w:color w:val="010101"/>
          <w:sz w:val="30"/>
          <w:szCs w:val="30"/>
        </w:rPr>
      </w:pPr>
      <w:r>
        <w:rPr>
          <w:color w:val="010101"/>
          <w:sz w:val="30"/>
          <w:szCs w:val="30"/>
        </w:rPr>
        <w:t>（6）开展社会主义民主与法制教育，加强社会治安综合治理，调解民事纠纷，维护社会秩序。</w:t>
      </w:r>
    </w:p>
    <w:p>
      <w:pPr>
        <w:spacing w:line="360" w:lineRule="auto"/>
        <w:ind w:firstLine="600" w:firstLineChars="200"/>
        <w:rPr>
          <w:color w:val="010101"/>
          <w:sz w:val="30"/>
          <w:szCs w:val="30"/>
        </w:rPr>
      </w:pPr>
      <w:r>
        <w:rPr>
          <w:color w:val="010101"/>
          <w:sz w:val="30"/>
          <w:szCs w:val="30"/>
        </w:rPr>
        <w:t>（7）推行乡村振兴，推进新农村建设与美丽乡村建设。</w:t>
      </w:r>
    </w:p>
    <w:p>
      <w:pPr>
        <w:spacing w:line="360" w:lineRule="auto"/>
        <w:ind w:firstLine="600" w:firstLineChars="200"/>
        <w:rPr>
          <w:color w:val="010101"/>
          <w:sz w:val="30"/>
          <w:szCs w:val="30"/>
        </w:rPr>
      </w:pPr>
      <w:r>
        <w:rPr>
          <w:color w:val="010101"/>
          <w:sz w:val="30"/>
          <w:szCs w:val="30"/>
        </w:rPr>
        <w:t>（8）负责民政工作，发展社会福利事业，做好社会保障工作，办理兵役事项。</w:t>
      </w:r>
    </w:p>
    <w:p>
      <w:pPr>
        <w:spacing w:line="360" w:lineRule="auto"/>
        <w:ind w:firstLine="600" w:firstLineChars="200"/>
        <w:rPr>
          <w:color w:val="010101"/>
          <w:sz w:val="30"/>
          <w:szCs w:val="30"/>
        </w:rPr>
      </w:pPr>
      <w:r>
        <w:rPr>
          <w:color w:val="010101"/>
          <w:sz w:val="30"/>
          <w:szCs w:val="30"/>
        </w:rPr>
        <w:t>（9）承办上级人民政府交办的其他事项。</w:t>
      </w:r>
    </w:p>
    <w:p>
      <w:pPr>
        <w:spacing w:line="360" w:lineRule="auto"/>
        <w:ind w:right="11" w:firstLine="600" w:firstLineChars="200"/>
        <w:rPr>
          <w:sz w:val="30"/>
          <w:szCs w:val="30"/>
        </w:rPr>
      </w:pPr>
      <w:r>
        <w:rPr>
          <w:sz w:val="30"/>
          <w:szCs w:val="30"/>
        </w:rPr>
        <w:t>2．机构情况，包括当年变动情况及原因。</w:t>
      </w:r>
    </w:p>
    <w:p>
      <w:pPr>
        <w:spacing w:line="360" w:lineRule="auto"/>
        <w:ind w:firstLine="600" w:firstLineChars="200"/>
        <w:rPr>
          <w:color w:val="010101"/>
          <w:sz w:val="30"/>
          <w:szCs w:val="30"/>
        </w:rPr>
      </w:pPr>
      <w:r>
        <w:rPr>
          <w:color w:val="010101"/>
          <w:sz w:val="30"/>
          <w:szCs w:val="30"/>
        </w:rPr>
        <w:t>道县祥霖铺镇人民政府单位内设机构包括：党政办公室、农业综合技术推广事务中心、文教体广电事务中心、社会保障和社会救助事务中心、人口和计划生育事务中心、建设和公共安全事务中心、林业水利事务中心等7个职能部室。</w:t>
      </w:r>
    </w:p>
    <w:p>
      <w:pPr>
        <w:spacing w:line="360" w:lineRule="auto"/>
        <w:ind w:right="11" w:firstLine="600" w:firstLineChars="200"/>
        <w:rPr>
          <w:sz w:val="30"/>
          <w:szCs w:val="30"/>
        </w:rPr>
      </w:pPr>
      <w:r>
        <w:rPr>
          <w:sz w:val="30"/>
          <w:szCs w:val="30"/>
        </w:rPr>
        <w:t>3．人员情况，包括当年变动情况及原因。</w:t>
      </w:r>
    </w:p>
    <w:p>
      <w:pPr>
        <w:spacing w:line="360" w:lineRule="auto"/>
        <w:ind w:firstLine="600" w:firstLineChars="200"/>
        <w:rPr>
          <w:sz w:val="30"/>
          <w:szCs w:val="30"/>
        </w:rPr>
      </w:pPr>
      <w:r>
        <w:rPr>
          <w:sz w:val="30"/>
          <w:szCs w:val="30"/>
        </w:rPr>
        <w:t>2021年行政编制</w:t>
      </w:r>
      <w:r>
        <w:rPr>
          <w:rFonts w:hint="eastAsia"/>
          <w:sz w:val="30"/>
          <w:szCs w:val="30"/>
        </w:rPr>
        <w:t>47</w:t>
      </w:r>
      <w:r>
        <w:rPr>
          <w:sz w:val="30"/>
          <w:szCs w:val="30"/>
        </w:rPr>
        <w:t>人，事业编制</w:t>
      </w:r>
      <w:r>
        <w:rPr>
          <w:rFonts w:hint="eastAsia"/>
          <w:sz w:val="30"/>
          <w:szCs w:val="30"/>
        </w:rPr>
        <w:t>90</w:t>
      </w:r>
      <w:r>
        <w:rPr>
          <w:sz w:val="30"/>
          <w:szCs w:val="30"/>
        </w:rPr>
        <w:t>人。现实有在编人数</w:t>
      </w:r>
      <w:r>
        <w:rPr>
          <w:rFonts w:hint="eastAsia"/>
          <w:sz w:val="30"/>
          <w:szCs w:val="30"/>
        </w:rPr>
        <w:t>43</w:t>
      </w:r>
      <w:r>
        <w:rPr>
          <w:sz w:val="30"/>
          <w:szCs w:val="30"/>
        </w:rPr>
        <w:t>人，退休人员</w:t>
      </w:r>
      <w:r>
        <w:rPr>
          <w:rFonts w:hint="eastAsia"/>
          <w:sz w:val="30"/>
          <w:szCs w:val="30"/>
        </w:rPr>
        <w:t>64</w:t>
      </w:r>
      <w:r>
        <w:rPr>
          <w:sz w:val="30"/>
          <w:szCs w:val="30"/>
        </w:rPr>
        <w:t>人。配有小车1辆。</w:t>
      </w:r>
    </w:p>
    <w:p>
      <w:pPr>
        <w:spacing w:line="360" w:lineRule="auto"/>
        <w:ind w:right="11" w:firstLine="450" w:firstLineChars="150"/>
        <w:rPr>
          <w:sz w:val="30"/>
          <w:szCs w:val="30"/>
        </w:rPr>
      </w:pPr>
      <w:r>
        <w:rPr>
          <w:sz w:val="30"/>
          <w:szCs w:val="30"/>
        </w:rPr>
        <w:t>（二）部门整体支出规模、使用方向和主要内容</w:t>
      </w:r>
    </w:p>
    <w:p>
      <w:pPr>
        <w:spacing w:line="360" w:lineRule="auto"/>
        <w:ind w:firstLine="600" w:firstLineChars="200"/>
        <w:rPr>
          <w:color w:val="010101"/>
          <w:sz w:val="30"/>
          <w:szCs w:val="30"/>
        </w:rPr>
      </w:pPr>
      <w:r>
        <w:rPr>
          <w:color w:val="010101"/>
          <w:sz w:val="30"/>
          <w:szCs w:val="30"/>
        </w:rPr>
        <w:t>2021年支出决算数</w:t>
      </w:r>
      <w:r>
        <w:rPr>
          <w:rFonts w:hint="eastAsia"/>
          <w:color w:val="010101"/>
          <w:sz w:val="30"/>
          <w:szCs w:val="30"/>
        </w:rPr>
        <w:t>2962.7</w:t>
      </w:r>
      <w:r>
        <w:rPr>
          <w:color w:val="010101"/>
          <w:sz w:val="30"/>
          <w:szCs w:val="30"/>
        </w:rPr>
        <w:t>万元；其中：工资福利支出</w:t>
      </w:r>
      <w:r>
        <w:rPr>
          <w:rFonts w:hint="eastAsia"/>
          <w:color w:val="010101"/>
          <w:sz w:val="30"/>
          <w:szCs w:val="30"/>
        </w:rPr>
        <w:t>942.96</w:t>
      </w:r>
      <w:r>
        <w:rPr>
          <w:color w:val="010101"/>
          <w:sz w:val="30"/>
          <w:szCs w:val="30"/>
        </w:rPr>
        <w:t>万元，一般商品和服务支出</w:t>
      </w:r>
      <w:r>
        <w:rPr>
          <w:rFonts w:hint="eastAsia"/>
          <w:color w:val="010101"/>
          <w:sz w:val="30"/>
          <w:szCs w:val="30"/>
        </w:rPr>
        <w:t>191.97</w:t>
      </w:r>
      <w:r>
        <w:rPr>
          <w:color w:val="010101"/>
          <w:sz w:val="30"/>
          <w:szCs w:val="30"/>
        </w:rPr>
        <w:t>万元，对个人和家庭补助支出</w:t>
      </w:r>
      <w:r>
        <w:rPr>
          <w:rFonts w:hint="eastAsia"/>
          <w:color w:val="010101"/>
          <w:sz w:val="30"/>
          <w:szCs w:val="30"/>
        </w:rPr>
        <w:t>147.38</w:t>
      </w:r>
      <w:r>
        <w:rPr>
          <w:color w:val="010101"/>
          <w:sz w:val="30"/>
          <w:szCs w:val="30"/>
        </w:rPr>
        <w:t>万元，农林水事务支出（含村级经服务平台建设款等）</w:t>
      </w:r>
      <w:r>
        <w:rPr>
          <w:rFonts w:hint="eastAsia"/>
          <w:color w:val="010101"/>
          <w:sz w:val="30"/>
          <w:szCs w:val="30"/>
        </w:rPr>
        <w:t>193.24</w:t>
      </w:r>
      <w:r>
        <w:rPr>
          <w:color w:val="010101"/>
          <w:sz w:val="30"/>
          <w:szCs w:val="30"/>
        </w:rPr>
        <w:t>万元。</w:t>
      </w:r>
    </w:p>
    <w:p>
      <w:pPr>
        <w:spacing w:line="360" w:lineRule="auto"/>
        <w:ind w:firstLine="600" w:firstLineChars="200"/>
        <w:rPr>
          <w:b/>
          <w:sz w:val="30"/>
          <w:szCs w:val="30"/>
        </w:rPr>
      </w:pPr>
      <w:r>
        <w:rPr>
          <w:color w:val="010101"/>
          <w:sz w:val="30"/>
          <w:szCs w:val="30"/>
        </w:rPr>
        <w:t>二、</w:t>
      </w:r>
      <w:r>
        <w:rPr>
          <w:b/>
          <w:sz w:val="30"/>
          <w:szCs w:val="30"/>
        </w:rPr>
        <w:t>一般公共预算支出情况</w:t>
      </w:r>
    </w:p>
    <w:p>
      <w:pPr>
        <w:spacing w:line="360" w:lineRule="auto"/>
        <w:ind w:right="11" w:firstLine="600" w:firstLineChars="200"/>
        <w:rPr>
          <w:color w:val="010101"/>
          <w:sz w:val="30"/>
          <w:szCs w:val="30"/>
        </w:rPr>
      </w:pPr>
      <w:r>
        <w:rPr>
          <w:color w:val="010101"/>
          <w:sz w:val="30"/>
          <w:szCs w:val="30"/>
        </w:rPr>
        <w:t>（一）基本支出情况</w:t>
      </w:r>
    </w:p>
    <w:p>
      <w:pPr>
        <w:spacing w:line="360" w:lineRule="auto"/>
        <w:ind w:firstLine="600" w:firstLineChars="200"/>
        <w:rPr>
          <w:color w:val="010101"/>
          <w:sz w:val="30"/>
          <w:szCs w:val="30"/>
        </w:rPr>
      </w:pPr>
      <w:r>
        <w:rPr>
          <w:color w:val="010101"/>
          <w:sz w:val="30"/>
          <w:szCs w:val="30"/>
        </w:rPr>
        <w:t>用于为保障我单位正常运转、完成日常工作任务而发生的支出，包括人员经费和公用经费。2021年一般公共预算拨款基本支出</w:t>
      </w:r>
      <w:r>
        <w:rPr>
          <w:rFonts w:hint="eastAsia"/>
          <w:color w:val="010101"/>
          <w:sz w:val="30"/>
          <w:szCs w:val="30"/>
        </w:rPr>
        <w:t>1284.97</w:t>
      </w:r>
      <w:r>
        <w:rPr>
          <w:color w:val="010101"/>
          <w:sz w:val="30"/>
          <w:szCs w:val="30"/>
        </w:rPr>
        <w:t>万元</w:t>
      </w:r>
      <w:r>
        <w:rPr>
          <w:rFonts w:hint="eastAsia"/>
          <w:color w:val="010101"/>
          <w:sz w:val="30"/>
          <w:szCs w:val="30"/>
        </w:rPr>
        <w:t>，其中：工资福利支出767.88万元，一般商品和服务支出517.1万元。</w:t>
      </w:r>
      <w:r>
        <w:rPr>
          <w:color w:val="010101"/>
          <w:sz w:val="30"/>
          <w:szCs w:val="30"/>
        </w:rPr>
        <w:t>具体安排情况如下：</w:t>
      </w:r>
    </w:p>
    <w:p>
      <w:pPr>
        <w:spacing w:line="360" w:lineRule="auto"/>
        <w:ind w:firstLine="600" w:firstLineChars="200"/>
        <w:rPr>
          <w:color w:val="010101"/>
          <w:sz w:val="30"/>
          <w:szCs w:val="30"/>
        </w:rPr>
      </w:pPr>
      <w:r>
        <w:rPr>
          <w:color w:val="010101"/>
          <w:sz w:val="30"/>
          <w:szCs w:val="30"/>
        </w:rPr>
        <w:t>其中机关运行经费情况：2021年机关运行经费</w:t>
      </w:r>
      <w:r>
        <w:rPr>
          <w:rFonts w:hint="eastAsia"/>
          <w:color w:val="010101"/>
          <w:sz w:val="30"/>
          <w:szCs w:val="30"/>
        </w:rPr>
        <w:t>292.36</w:t>
      </w:r>
      <w:r>
        <w:rPr>
          <w:color w:val="010101"/>
          <w:sz w:val="30"/>
          <w:szCs w:val="30"/>
        </w:rPr>
        <w:t>万元，主要包括办公费</w:t>
      </w:r>
      <w:r>
        <w:rPr>
          <w:rFonts w:hint="eastAsia"/>
          <w:color w:val="010101"/>
          <w:sz w:val="30"/>
          <w:szCs w:val="30"/>
        </w:rPr>
        <w:t>11.63</w:t>
      </w:r>
      <w:r>
        <w:rPr>
          <w:color w:val="010101"/>
          <w:sz w:val="30"/>
          <w:szCs w:val="30"/>
        </w:rPr>
        <w:t>万元，印刷费</w:t>
      </w:r>
      <w:r>
        <w:rPr>
          <w:rFonts w:hint="eastAsia"/>
          <w:color w:val="010101"/>
          <w:sz w:val="30"/>
          <w:szCs w:val="30"/>
        </w:rPr>
        <w:t>7.8</w:t>
      </w:r>
      <w:r>
        <w:rPr>
          <w:color w:val="010101"/>
          <w:sz w:val="30"/>
          <w:szCs w:val="30"/>
        </w:rPr>
        <w:t>万元，水费</w:t>
      </w:r>
      <w:r>
        <w:rPr>
          <w:rFonts w:hint="eastAsia"/>
          <w:color w:val="010101"/>
          <w:sz w:val="30"/>
          <w:szCs w:val="30"/>
        </w:rPr>
        <w:t>1.5</w:t>
      </w:r>
      <w:r>
        <w:rPr>
          <w:color w:val="010101"/>
          <w:sz w:val="30"/>
          <w:szCs w:val="30"/>
        </w:rPr>
        <w:t>万元，电费（含集镇路灯费）</w:t>
      </w:r>
      <w:r>
        <w:rPr>
          <w:rFonts w:hint="eastAsia"/>
          <w:color w:val="010101"/>
          <w:sz w:val="30"/>
          <w:szCs w:val="30"/>
        </w:rPr>
        <w:t>12</w:t>
      </w:r>
      <w:r>
        <w:rPr>
          <w:color w:val="010101"/>
          <w:sz w:val="30"/>
          <w:szCs w:val="30"/>
        </w:rPr>
        <w:t>万元，邮电费</w:t>
      </w:r>
      <w:r>
        <w:rPr>
          <w:rFonts w:hint="eastAsia"/>
          <w:color w:val="010101"/>
          <w:sz w:val="30"/>
          <w:szCs w:val="30"/>
        </w:rPr>
        <w:t>2.5</w:t>
      </w:r>
      <w:r>
        <w:rPr>
          <w:color w:val="010101"/>
          <w:sz w:val="30"/>
          <w:szCs w:val="30"/>
        </w:rPr>
        <w:t>万元，</w:t>
      </w:r>
      <w:r>
        <w:rPr>
          <w:rFonts w:hint="eastAsia"/>
          <w:color w:val="010101"/>
          <w:sz w:val="30"/>
          <w:szCs w:val="30"/>
        </w:rPr>
        <w:t>取暖费1.2万元，</w:t>
      </w:r>
      <w:r>
        <w:rPr>
          <w:color w:val="010101"/>
          <w:sz w:val="30"/>
          <w:szCs w:val="30"/>
        </w:rPr>
        <w:t>差旅费</w:t>
      </w:r>
      <w:r>
        <w:rPr>
          <w:rFonts w:hint="eastAsia"/>
          <w:color w:val="010101"/>
          <w:sz w:val="30"/>
          <w:szCs w:val="30"/>
        </w:rPr>
        <w:t>5</w:t>
      </w:r>
      <w:r>
        <w:rPr>
          <w:color w:val="010101"/>
          <w:sz w:val="30"/>
          <w:szCs w:val="30"/>
        </w:rPr>
        <w:t>万元，维修费</w:t>
      </w:r>
      <w:r>
        <w:rPr>
          <w:rFonts w:hint="eastAsia"/>
          <w:color w:val="010101"/>
          <w:sz w:val="30"/>
          <w:szCs w:val="30"/>
        </w:rPr>
        <w:t>7.8</w:t>
      </w:r>
      <w:r>
        <w:rPr>
          <w:color w:val="010101"/>
          <w:sz w:val="30"/>
          <w:szCs w:val="30"/>
        </w:rPr>
        <w:t>万元，</w:t>
      </w:r>
      <w:r>
        <w:rPr>
          <w:rFonts w:hint="eastAsia"/>
          <w:color w:val="010101"/>
          <w:sz w:val="30"/>
          <w:szCs w:val="30"/>
        </w:rPr>
        <w:t>租赁费2.7万元，</w:t>
      </w:r>
      <w:r>
        <w:rPr>
          <w:color w:val="010101"/>
          <w:sz w:val="30"/>
          <w:szCs w:val="30"/>
        </w:rPr>
        <w:t>会议费</w:t>
      </w:r>
      <w:r>
        <w:rPr>
          <w:rFonts w:hint="eastAsia"/>
          <w:color w:val="010101"/>
          <w:sz w:val="30"/>
          <w:szCs w:val="30"/>
        </w:rPr>
        <w:t>12.19</w:t>
      </w:r>
      <w:r>
        <w:rPr>
          <w:color w:val="010101"/>
          <w:sz w:val="30"/>
          <w:szCs w:val="30"/>
        </w:rPr>
        <w:t>万元，培训费</w:t>
      </w:r>
      <w:r>
        <w:rPr>
          <w:rFonts w:hint="eastAsia"/>
          <w:color w:val="010101"/>
          <w:sz w:val="30"/>
          <w:szCs w:val="30"/>
        </w:rPr>
        <w:t>3.7</w:t>
      </w:r>
      <w:r>
        <w:rPr>
          <w:color w:val="010101"/>
          <w:sz w:val="30"/>
          <w:szCs w:val="30"/>
        </w:rPr>
        <w:t>万元，公务接待费</w:t>
      </w:r>
      <w:r>
        <w:rPr>
          <w:rFonts w:hint="eastAsia"/>
          <w:color w:val="010101"/>
          <w:sz w:val="30"/>
          <w:szCs w:val="30"/>
        </w:rPr>
        <w:t>19.5</w:t>
      </w:r>
      <w:r>
        <w:rPr>
          <w:color w:val="010101"/>
          <w:sz w:val="30"/>
          <w:szCs w:val="30"/>
        </w:rPr>
        <w:t>万元，劳务费</w:t>
      </w:r>
      <w:r>
        <w:rPr>
          <w:rFonts w:hint="eastAsia"/>
          <w:color w:val="010101"/>
          <w:sz w:val="30"/>
          <w:szCs w:val="30"/>
        </w:rPr>
        <w:t>7.5</w:t>
      </w:r>
      <w:r>
        <w:rPr>
          <w:color w:val="010101"/>
          <w:sz w:val="30"/>
          <w:szCs w:val="30"/>
        </w:rPr>
        <w:t>万元，</w:t>
      </w:r>
      <w:r>
        <w:rPr>
          <w:rFonts w:hint="eastAsia"/>
          <w:color w:val="010101"/>
          <w:sz w:val="30"/>
          <w:szCs w:val="30"/>
        </w:rPr>
        <w:t>委托加工10万元，</w:t>
      </w:r>
      <w:r>
        <w:rPr>
          <w:color w:val="010101"/>
          <w:sz w:val="30"/>
          <w:szCs w:val="30"/>
        </w:rPr>
        <w:t>工会经费</w:t>
      </w:r>
      <w:r>
        <w:rPr>
          <w:rFonts w:hint="eastAsia"/>
          <w:color w:val="010101"/>
          <w:sz w:val="30"/>
          <w:szCs w:val="30"/>
        </w:rPr>
        <w:t>28.8</w:t>
      </w:r>
      <w:r>
        <w:rPr>
          <w:color w:val="010101"/>
          <w:sz w:val="30"/>
          <w:szCs w:val="30"/>
        </w:rPr>
        <w:t>万元，福利费</w:t>
      </w:r>
      <w:r>
        <w:rPr>
          <w:rFonts w:hint="eastAsia"/>
          <w:color w:val="010101"/>
          <w:sz w:val="30"/>
          <w:szCs w:val="30"/>
        </w:rPr>
        <w:t>34</w:t>
      </w:r>
      <w:r>
        <w:rPr>
          <w:color w:val="010101"/>
          <w:sz w:val="30"/>
          <w:szCs w:val="30"/>
        </w:rPr>
        <w:t>万元，公务用车运行维护费</w:t>
      </w:r>
      <w:r>
        <w:rPr>
          <w:rFonts w:hint="eastAsia"/>
          <w:color w:val="010101"/>
          <w:sz w:val="30"/>
          <w:szCs w:val="30"/>
        </w:rPr>
        <w:t>4</w:t>
      </w:r>
      <w:r>
        <w:rPr>
          <w:color w:val="010101"/>
          <w:sz w:val="30"/>
          <w:szCs w:val="30"/>
        </w:rPr>
        <w:t>万元</w:t>
      </w:r>
      <w:r>
        <w:rPr>
          <w:rFonts w:hint="eastAsia"/>
          <w:color w:val="010101"/>
          <w:sz w:val="30"/>
          <w:szCs w:val="30"/>
        </w:rPr>
        <w:t>。</w:t>
      </w:r>
    </w:p>
    <w:p>
      <w:pPr>
        <w:spacing w:line="360" w:lineRule="auto"/>
        <w:ind w:right="11" w:firstLine="600" w:firstLineChars="200"/>
        <w:rPr>
          <w:sz w:val="30"/>
          <w:szCs w:val="30"/>
        </w:rPr>
      </w:pPr>
      <w:r>
        <w:rPr>
          <w:sz w:val="30"/>
          <w:szCs w:val="30"/>
        </w:rPr>
        <w:t>（二）项目支出情况</w:t>
      </w:r>
    </w:p>
    <w:p>
      <w:pPr>
        <w:spacing w:line="360" w:lineRule="auto"/>
        <w:ind w:right="11" w:firstLine="600" w:firstLineChars="200"/>
        <w:rPr>
          <w:sz w:val="30"/>
          <w:szCs w:val="30"/>
        </w:rPr>
      </w:pPr>
      <w:r>
        <w:rPr>
          <w:sz w:val="30"/>
          <w:szCs w:val="30"/>
        </w:rPr>
        <w:t>一般公共预算财政拨款项目支出</w:t>
      </w:r>
      <w:r>
        <w:rPr>
          <w:rFonts w:hint="eastAsia"/>
          <w:sz w:val="30"/>
          <w:szCs w:val="30"/>
        </w:rPr>
        <w:t>64</w:t>
      </w:r>
      <w:r>
        <w:rPr>
          <w:sz w:val="30"/>
          <w:szCs w:val="30"/>
        </w:rPr>
        <w:t>万元，用于村级服务平台建设项目。</w:t>
      </w:r>
    </w:p>
    <w:p>
      <w:pPr>
        <w:spacing w:line="360" w:lineRule="auto"/>
        <w:ind w:right="11" w:firstLine="600" w:firstLineChars="200"/>
        <w:rPr>
          <w:sz w:val="30"/>
          <w:szCs w:val="30"/>
        </w:rPr>
      </w:pPr>
      <w:r>
        <w:rPr>
          <w:sz w:val="30"/>
          <w:szCs w:val="30"/>
        </w:rPr>
        <w:t>（三）“三公经费”预算与实际支出减少</w:t>
      </w:r>
    </w:p>
    <w:p>
      <w:pPr>
        <w:spacing w:line="360" w:lineRule="auto"/>
        <w:ind w:right="11" w:firstLine="600" w:firstLineChars="200"/>
        <w:rPr>
          <w:sz w:val="30"/>
          <w:szCs w:val="30"/>
        </w:rPr>
      </w:pPr>
      <w:r>
        <w:rPr>
          <w:sz w:val="30"/>
          <w:szCs w:val="30"/>
        </w:rPr>
        <w:t>2021年度本单位“三公”经费总额为</w:t>
      </w:r>
      <w:r>
        <w:rPr>
          <w:rFonts w:hint="eastAsia"/>
          <w:sz w:val="30"/>
          <w:szCs w:val="30"/>
        </w:rPr>
        <w:t>23.5</w:t>
      </w:r>
      <w:r>
        <w:rPr>
          <w:sz w:val="30"/>
          <w:szCs w:val="30"/>
        </w:rPr>
        <w:t>万元，其中公务用车运行及维护费用</w:t>
      </w:r>
      <w:r>
        <w:rPr>
          <w:rFonts w:hint="eastAsia"/>
          <w:sz w:val="30"/>
          <w:szCs w:val="30"/>
        </w:rPr>
        <w:t>4</w:t>
      </w:r>
      <w:r>
        <w:rPr>
          <w:sz w:val="30"/>
          <w:szCs w:val="30"/>
        </w:rPr>
        <w:t>万元，与上年相比</w:t>
      </w:r>
      <w:r>
        <w:rPr>
          <w:rFonts w:hint="eastAsia"/>
          <w:sz w:val="30"/>
          <w:szCs w:val="30"/>
        </w:rPr>
        <w:t>持平</w:t>
      </w:r>
      <w:r>
        <w:rPr>
          <w:sz w:val="30"/>
          <w:szCs w:val="30"/>
        </w:rPr>
        <w:t>，公务接待费</w:t>
      </w:r>
      <w:r>
        <w:rPr>
          <w:rFonts w:hint="eastAsia"/>
          <w:sz w:val="30"/>
          <w:szCs w:val="30"/>
        </w:rPr>
        <w:t>19.5</w:t>
      </w:r>
      <w:r>
        <w:rPr>
          <w:sz w:val="30"/>
          <w:szCs w:val="30"/>
        </w:rPr>
        <w:t>万元。与上年相比减少0.</w:t>
      </w:r>
      <w:r>
        <w:rPr>
          <w:rFonts w:hint="eastAsia"/>
          <w:sz w:val="30"/>
          <w:szCs w:val="30"/>
        </w:rPr>
        <w:t>5</w:t>
      </w:r>
      <w:r>
        <w:rPr>
          <w:sz w:val="30"/>
          <w:szCs w:val="30"/>
        </w:rPr>
        <w:t>万元。减少主要原因是进一步规范用车制度及严格控制接待标准。2021年公务用车购置数0台，车辆保有量1台，国内公务接待2</w:t>
      </w:r>
      <w:r>
        <w:rPr>
          <w:rFonts w:hint="eastAsia"/>
          <w:sz w:val="30"/>
          <w:szCs w:val="30"/>
        </w:rPr>
        <w:t>89</w:t>
      </w:r>
      <w:r>
        <w:rPr>
          <w:sz w:val="30"/>
          <w:szCs w:val="30"/>
        </w:rPr>
        <w:t>批次，接待人数2</w:t>
      </w:r>
      <w:r>
        <w:rPr>
          <w:rFonts w:hint="eastAsia"/>
          <w:sz w:val="30"/>
          <w:szCs w:val="30"/>
        </w:rPr>
        <w:t>957</w:t>
      </w:r>
      <w:r>
        <w:rPr>
          <w:sz w:val="30"/>
          <w:szCs w:val="30"/>
        </w:rPr>
        <w:t>人。</w:t>
      </w:r>
    </w:p>
    <w:p>
      <w:pPr>
        <w:pStyle w:val="7"/>
        <w:widowControl/>
        <w:spacing w:before="0" w:beforeAutospacing="0" w:after="0" w:afterAutospacing="0" w:line="360" w:lineRule="auto"/>
        <w:ind w:right="11" w:firstLine="602" w:firstLineChars="200"/>
        <w:rPr>
          <w:rFonts w:ascii="Times New Roman" w:hAnsi="Times New Roman"/>
          <w:b/>
          <w:bCs/>
          <w:color w:val="010101"/>
          <w:sz w:val="30"/>
          <w:szCs w:val="30"/>
        </w:rPr>
      </w:pPr>
      <w:r>
        <w:rPr>
          <w:rFonts w:ascii="Times New Roman" w:hAnsi="Times New Roman"/>
          <w:b/>
          <w:bCs/>
          <w:color w:val="010101"/>
          <w:sz w:val="30"/>
          <w:szCs w:val="30"/>
        </w:rPr>
        <w:t>三、政府性基金预算支出情况</w:t>
      </w:r>
    </w:p>
    <w:p>
      <w:pPr>
        <w:spacing w:line="360" w:lineRule="auto"/>
        <w:ind w:right="11" w:firstLine="600" w:firstLineChars="200"/>
        <w:rPr>
          <w:color w:val="010101"/>
          <w:sz w:val="30"/>
          <w:szCs w:val="30"/>
        </w:rPr>
      </w:pPr>
      <w:r>
        <w:rPr>
          <w:color w:val="010101"/>
          <w:sz w:val="30"/>
          <w:szCs w:val="30"/>
        </w:rPr>
        <w:t>2021年</w:t>
      </w:r>
      <w:r>
        <w:rPr>
          <w:rFonts w:hint="eastAsia"/>
          <w:color w:val="010101"/>
          <w:sz w:val="30"/>
          <w:szCs w:val="30"/>
        </w:rPr>
        <w:t>无</w:t>
      </w:r>
      <w:r>
        <w:rPr>
          <w:color w:val="010101"/>
          <w:sz w:val="30"/>
          <w:szCs w:val="30"/>
        </w:rPr>
        <w:t>政府性基金预算拨款支出</w:t>
      </w:r>
      <w:r>
        <w:rPr>
          <w:rFonts w:hint="eastAsia"/>
          <w:color w:val="010101"/>
          <w:sz w:val="30"/>
          <w:szCs w:val="30"/>
        </w:rPr>
        <w:t>。</w:t>
      </w:r>
    </w:p>
    <w:p>
      <w:pPr>
        <w:spacing w:line="360" w:lineRule="auto"/>
        <w:ind w:right="11" w:firstLine="602" w:firstLineChars="200"/>
        <w:rPr>
          <w:b/>
          <w:bCs/>
          <w:color w:val="010101"/>
          <w:sz w:val="30"/>
          <w:szCs w:val="30"/>
        </w:rPr>
      </w:pPr>
      <w:r>
        <w:rPr>
          <w:b/>
          <w:bCs/>
          <w:color w:val="010101"/>
          <w:sz w:val="30"/>
          <w:szCs w:val="30"/>
        </w:rPr>
        <w:t>四、国有资本经营预算支出情况</w:t>
      </w:r>
    </w:p>
    <w:p>
      <w:pPr>
        <w:spacing w:line="360" w:lineRule="auto"/>
        <w:ind w:right="11" w:firstLine="600" w:firstLineChars="200"/>
        <w:rPr>
          <w:color w:val="010101"/>
          <w:sz w:val="30"/>
          <w:szCs w:val="30"/>
        </w:rPr>
      </w:pPr>
      <w:r>
        <w:rPr>
          <w:color w:val="010101"/>
          <w:sz w:val="30"/>
          <w:szCs w:val="30"/>
        </w:rPr>
        <w:t>2021年无国有资本经营预算支出。</w:t>
      </w:r>
    </w:p>
    <w:p>
      <w:pPr>
        <w:spacing w:line="360" w:lineRule="auto"/>
        <w:ind w:right="11" w:firstLine="602" w:firstLineChars="200"/>
        <w:rPr>
          <w:b/>
          <w:color w:val="010101"/>
          <w:sz w:val="30"/>
          <w:szCs w:val="30"/>
        </w:rPr>
      </w:pPr>
      <w:r>
        <w:rPr>
          <w:b/>
          <w:bCs/>
          <w:color w:val="010101"/>
          <w:sz w:val="30"/>
          <w:szCs w:val="30"/>
        </w:rPr>
        <w:t>五</w:t>
      </w:r>
      <w:r>
        <w:rPr>
          <w:bCs/>
          <w:color w:val="010101"/>
          <w:sz w:val="30"/>
          <w:szCs w:val="30"/>
        </w:rPr>
        <w:t>、</w:t>
      </w:r>
      <w:r>
        <w:rPr>
          <w:b/>
          <w:color w:val="010101"/>
          <w:sz w:val="30"/>
          <w:szCs w:val="30"/>
        </w:rPr>
        <w:t>社会保险基金预算支出情况</w:t>
      </w:r>
    </w:p>
    <w:p>
      <w:pPr>
        <w:spacing w:line="360" w:lineRule="auto"/>
        <w:ind w:right="11" w:firstLine="600" w:firstLineChars="200"/>
        <w:rPr>
          <w:bCs/>
          <w:color w:val="010101"/>
          <w:sz w:val="30"/>
          <w:szCs w:val="30"/>
        </w:rPr>
      </w:pPr>
      <w:r>
        <w:rPr>
          <w:bCs/>
          <w:color w:val="010101"/>
          <w:sz w:val="30"/>
          <w:szCs w:val="30"/>
        </w:rPr>
        <w:t>2021年无社会保险基金预算支出。</w:t>
      </w:r>
    </w:p>
    <w:p>
      <w:pPr>
        <w:spacing w:line="360" w:lineRule="auto"/>
        <w:ind w:right="11" w:firstLine="602" w:firstLineChars="200"/>
        <w:rPr>
          <w:b/>
          <w:color w:val="010101"/>
          <w:sz w:val="30"/>
          <w:szCs w:val="30"/>
        </w:rPr>
      </w:pPr>
      <w:r>
        <w:rPr>
          <w:b/>
          <w:color w:val="010101"/>
          <w:sz w:val="30"/>
          <w:szCs w:val="30"/>
        </w:rPr>
        <w:t>六、部门整体支出绩效情况</w:t>
      </w:r>
    </w:p>
    <w:p>
      <w:pPr>
        <w:widowControl/>
        <w:spacing w:line="580" w:lineRule="exact"/>
        <w:ind w:firstLine="602" w:firstLineChars="200"/>
        <w:rPr>
          <w:rFonts w:ascii="宋体" w:hAnsi="宋体" w:eastAsia="宋体" w:cs="仿宋"/>
          <w:sz w:val="30"/>
          <w:szCs w:val="30"/>
        </w:rPr>
      </w:pPr>
      <w:r>
        <w:rPr>
          <w:rFonts w:hint="eastAsia" w:ascii="宋体" w:hAnsi="宋体" w:eastAsia="宋体" w:cs="仿宋_GB2312"/>
          <w:b/>
          <w:bCs/>
          <w:kern w:val="0"/>
          <w:sz w:val="30"/>
          <w:szCs w:val="30"/>
          <w:shd w:val="clear" w:color="auto" w:fill="FFFFFF"/>
        </w:rPr>
        <w:t>一、</w:t>
      </w:r>
      <w:r>
        <w:rPr>
          <w:rFonts w:hint="eastAsia" w:ascii="宋体" w:hAnsi="宋体" w:eastAsia="宋体" w:cs="仿宋_GB2312"/>
          <w:b/>
          <w:bCs/>
          <w:color w:val="000000"/>
          <w:sz w:val="30"/>
          <w:szCs w:val="30"/>
          <w:shd w:val="clear" w:color="auto" w:fill="FFFFFF"/>
        </w:rPr>
        <w:t>发展优先提质提效，拼搏奋进重统筹。</w:t>
      </w:r>
      <w:r>
        <w:rPr>
          <w:rFonts w:hint="eastAsia" w:ascii="宋体" w:hAnsi="宋体" w:eastAsia="宋体" w:cs="仿宋_GB2312"/>
          <w:color w:val="000000"/>
          <w:sz w:val="30"/>
          <w:szCs w:val="30"/>
          <w:shd w:val="clear" w:color="auto" w:fill="FFFFFF"/>
        </w:rPr>
        <w:t>面对日益繁杂的环境局面、日趋从严的标准要求，全镇干群务实作答“自选题”，全力以赴做好“六稳”工作、落实“六保”任务，统筹推动全镇经济社会发展取得新成效。我们深化细化项目管理，</w:t>
      </w:r>
      <w:r>
        <w:rPr>
          <w:rFonts w:hint="eastAsia" w:ascii="宋体" w:hAnsi="宋体" w:eastAsia="宋体" w:cs="仿宋_GB2312"/>
          <w:sz w:val="30"/>
          <w:szCs w:val="30"/>
        </w:rPr>
        <w:t>始终坚持“项目为王”，协助县委政府完成陈树湘党性教育基地建设，积极配合指挥部进一步完善配套设施，针对征地拆迁遗留问题，带领干部群众“5加2”、“白加黑”攻坚克难，发扬蛮劲、横劲、霸劲精神，在10月底前如期完成长征学院征地200余亩，拆迁61栋房屋和1个山庄，为长征公园顺利建设做出了寿雁镇大镇担当；投入1400万元对谭福、义家、豪福等村进行高标准农田改造；加大城区改造力度，安全拆除大转盘废旧灯塔并安装好红绿灯，投入近280万元实现寿清路“白改黑”；机关院内完成“白改黑”项目，新建高标准篮球场、羽毛球场，安装健身器材，新建镇便民服务中心和党政综合办公室，增加群众办事窗口5个，极大方便群众来访办事；县三水厂完成征地90亩，已开工建设；投入4000余万元建设城乡污水一体化项目正在进行收尾；220千伏特输变电工程已全面完工；零道高速已于12月26日开工建设。涔天河库区左干渠寿雁段已经全面开工建设；镇区220亩小城镇开发已完成土地征收和招商等前期工作，为打造寿雁谷源特色小镇奠定了坚实基础；湘江战役豪福会址、空树岩红色生态休闲光观景点已经列入国家长征文化公园道县段建设；玉蟾岩稻谷文化园及农耕文化园已被纳入重点项目建设前期投资1000万元。民生实事寿雁牛市改造、集镇180盏路灯亮化工程已基本完成。我们牢牢牵住产业发展“牛鼻子”，做大做强四大产业，烤烟、油茶扩面增效，粮食生产喜获丰收，生猪产能全面恢复，全镇共种植优质稻4.2万余亩，建设万亩示范片1个，千亩示范片4个，烤烟种植面积4600亩，收购10831担。油茶扩种10000余亩，年出栏生猪6万余头。水源头老康生态项目扩园增效养殖乌龟400余万只，新孵化种苗75万只。以黄花梨、脐橙为主的水果总面积1.5万余亩，其中新增扩园面积近1000余亩，引导农户以土地、资金等入股经营主体，实施农村“三变”项目3个，引进经营主体3家，盘活闲置土地1487.6亩，累计成立农民专业合作社58家、家庭农场23家，极大带动村级集体经济发展。</w:t>
      </w:r>
    </w:p>
    <w:p>
      <w:pPr>
        <w:adjustRightInd w:val="0"/>
        <w:snapToGrid w:val="0"/>
        <w:spacing w:before="100" w:beforeAutospacing="1" w:after="120" w:line="580" w:lineRule="exact"/>
        <w:ind w:firstLine="602" w:firstLineChars="200"/>
        <w:rPr>
          <w:rFonts w:ascii="宋体" w:hAnsi="宋体" w:eastAsia="宋体" w:cs="仿宋"/>
          <w:sz w:val="30"/>
          <w:szCs w:val="30"/>
        </w:rPr>
      </w:pPr>
      <w:r>
        <w:rPr>
          <w:rFonts w:hint="eastAsia" w:ascii="宋体" w:hAnsi="宋体" w:eastAsia="宋体" w:cs="仿宋_GB2312"/>
          <w:b/>
          <w:bCs/>
          <w:kern w:val="0"/>
          <w:sz w:val="30"/>
          <w:szCs w:val="30"/>
          <w:shd w:val="clear" w:color="auto" w:fill="FFFFFF"/>
        </w:rPr>
        <w:t>二、</w:t>
      </w:r>
      <w:r>
        <w:rPr>
          <w:rFonts w:hint="eastAsia" w:ascii="宋体" w:hAnsi="宋体" w:eastAsia="宋体" w:cs="仿宋_GB2312"/>
          <w:b/>
          <w:bCs/>
          <w:color w:val="000000"/>
          <w:sz w:val="30"/>
          <w:szCs w:val="30"/>
          <w:shd w:val="clear" w:color="auto" w:fill="FFFFFF"/>
        </w:rPr>
        <w:t>同舟共济战疫防疫，众志成城谱壮歌。</w:t>
      </w:r>
      <w:r>
        <w:rPr>
          <w:rFonts w:hint="eastAsia" w:ascii="宋体" w:hAnsi="宋体" w:eastAsia="宋体" w:cs="仿宋_GB2312"/>
          <w:sz w:val="30"/>
          <w:szCs w:val="30"/>
        </w:rPr>
        <w:t>我们始终坚持把疫情防控作为首要任务，第一时间贯彻落实县委有关会议精神，筑牢防控网络。利用党员先锋模范岗的示范带动效应，发动全镇44个村（居）党员干部，积极参与到疫情防控工作中来，共同抗击疫情，全镇始终保持新冠肺炎病例零确诊、医院人员零感染目标，稳定住经济社会发展大局，积极引导群众正确认识新冠疫苗，参与接种，全力推进疫情联防联控、群防群控，</w:t>
      </w:r>
      <w:r>
        <w:rPr>
          <w:rFonts w:hint="eastAsia" w:ascii="宋体" w:hAnsi="宋体" w:eastAsia="宋体" w:cs="仿宋_GB2312"/>
          <w:kern w:val="0"/>
          <w:sz w:val="30"/>
          <w:szCs w:val="30"/>
        </w:rPr>
        <w:t>用实际行动把党旗插在疫情防控第一线，</w:t>
      </w:r>
      <w:r>
        <w:rPr>
          <w:rFonts w:hint="eastAsia" w:ascii="宋体" w:hAnsi="宋体" w:eastAsia="宋体" w:cs="仿宋_GB2312"/>
          <w:sz w:val="30"/>
          <w:szCs w:val="30"/>
        </w:rPr>
        <w:t>疫苗接种全程接种率达到99.82%。在抓好新冠常态化疫情防控的同时，我们还抓好了禽流感和人畜共患等重大动物疫病的防控工作，秋冬季动物免疫接种率达到100%，家禽销售市场严格按照1110制度落实各项消毒措施，严格市场准入，严把检疫关口。</w:t>
      </w:r>
    </w:p>
    <w:p>
      <w:pPr>
        <w:spacing w:line="580" w:lineRule="exact"/>
        <w:ind w:firstLine="602" w:firstLineChars="200"/>
        <w:rPr>
          <w:rFonts w:ascii="宋体" w:hAnsi="宋体" w:eastAsia="宋体" w:cs="仿宋_GB2312"/>
          <w:sz w:val="30"/>
          <w:szCs w:val="30"/>
        </w:rPr>
      </w:pPr>
      <w:r>
        <w:rPr>
          <w:rFonts w:hint="eastAsia" w:ascii="宋体" w:hAnsi="宋体" w:eastAsia="宋体" w:cs="仿宋_GB2312"/>
          <w:b/>
          <w:bCs/>
          <w:kern w:val="0"/>
          <w:sz w:val="30"/>
          <w:szCs w:val="30"/>
          <w:shd w:val="clear" w:color="auto" w:fill="FFFFFF"/>
        </w:rPr>
        <w:t>三、</w:t>
      </w:r>
      <w:r>
        <w:rPr>
          <w:rFonts w:hint="eastAsia" w:ascii="宋体" w:hAnsi="宋体" w:eastAsia="宋体" w:cs="仿宋_GB2312"/>
          <w:b/>
          <w:bCs/>
          <w:color w:val="000000"/>
          <w:sz w:val="30"/>
          <w:szCs w:val="30"/>
          <w:shd w:val="clear" w:color="auto" w:fill="FFFFFF"/>
        </w:rPr>
        <w:t>携手奋进巩固拓展，同心同向书篇章。</w:t>
      </w:r>
      <w:r>
        <w:rPr>
          <w:rFonts w:hint="eastAsia" w:ascii="宋体" w:hAnsi="宋体" w:eastAsia="宋体" w:cs="仿宋_GB2312"/>
          <w:sz w:val="30"/>
          <w:szCs w:val="30"/>
        </w:rPr>
        <w:t>2021年以来，全镇上下认真抓好巩固拓展脱贫攻坚成果</w:t>
      </w:r>
      <w:r>
        <w:rPr>
          <w:rFonts w:hint="eastAsia" w:ascii="宋体" w:hAnsi="宋体" w:cs="仿宋_GB2312"/>
          <w:sz w:val="30"/>
          <w:szCs w:val="30"/>
          <w:lang w:val="en-US" w:eastAsia="zh-CN"/>
        </w:rPr>
        <w:t>同</w:t>
      </w:r>
      <w:r>
        <w:rPr>
          <w:rFonts w:hint="eastAsia" w:ascii="宋体" w:hAnsi="宋体" w:eastAsia="宋体" w:cs="仿宋_GB2312"/>
          <w:sz w:val="30"/>
          <w:szCs w:val="30"/>
        </w:rPr>
        <w:t>乡村振兴有效衔接，突出党建引领乡村振兴工作，认真组织完善基础资料、工作台帐，建立脱贫攻坚监测机制，</w:t>
      </w:r>
      <w:bookmarkStart w:id="0" w:name="_GoBack"/>
      <w:bookmarkEnd w:id="0"/>
      <w:r>
        <w:rPr>
          <w:rFonts w:hint="eastAsia" w:ascii="宋体" w:hAnsi="宋体" w:eastAsia="宋体" w:cs="仿宋_GB2312"/>
          <w:sz w:val="30"/>
          <w:szCs w:val="30"/>
        </w:rPr>
        <w:t>新增纳入国家防返贫监测信息系统内监测的对象29户64人，逐户核查政策落实情况，确保政策享受“零遗漏”，抓好“回头看”问题整改清零工作，组织干部职工开展消费扶贫活动，扎实做好“三帮一”劝返和残疾生“送教上门”等控辍保学工作，全镇6-15周岁义务教育阶段建档立卡等家庭经济困难学生无一例失学辍学现象，入学率和巩固率均达到100%，实现贫困人口参加基本医疗全覆盖，建档立卡贫困户家庭医生签约率和服务率均为100%，为65岁以上贫困老年人进行免费体检，全面完成重点对象的住房安全隐患和安全饮水排查，通过多措并举，进一步巩固拓展脱贫攻坚成果。</w:t>
      </w:r>
    </w:p>
    <w:p>
      <w:pPr>
        <w:spacing w:line="580" w:lineRule="exact"/>
        <w:ind w:firstLine="602" w:firstLineChars="200"/>
        <w:rPr>
          <w:rFonts w:ascii="宋体" w:hAnsi="宋体" w:eastAsia="宋体" w:cs="仿宋"/>
          <w:sz w:val="30"/>
          <w:szCs w:val="30"/>
        </w:rPr>
      </w:pPr>
      <w:r>
        <w:rPr>
          <w:rFonts w:hint="eastAsia" w:ascii="宋体" w:hAnsi="宋体" w:eastAsia="宋体" w:cs="仿宋_GB2312"/>
          <w:b/>
          <w:bCs/>
          <w:kern w:val="0"/>
          <w:sz w:val="30"/>
          <w:szCs w:val="30"/>
          <w:shd w:val="clear" w:color="auto" w:fill="FFFFFF"/>
        </w:rPr>
        <w:t>四、</w:t>
      </w:r>
      <w:r>
        <w:rPr>
          <w:rFonts w:hint="eastAsia" w:ascii="宋体" w:hAnsi="宋体" w:eastAsia="宋体" w:cs="仿宋_GB2312"/>
          <w:b/>
          <w:bCs/>
          <w:color w:val="000000"/>
          <w:sz w:val="30"/>
          <w:szCs w:val="30"/>
          <w:shd w:val="clear" w:color="auto" w:fill="FFFFFF"/>
        </w:rPr>
        <w:t>民生为本共建共治，求真务实显担当。</w:t>
      </w:r>
      <w:r>
        <w:rPr>
          <w:rFonts w:hint="eastAsia" w:ascii="宋体" w:hAnsi="宋体" w:eastAsia="宋体" w:cs="仿宋_GB2312"/>
          <w:kern w:val="0"/>
          <w:sz w:val="30"/>
          <w:szCs w:val="30"/>
          <w:shd w:val="clear" w:color="auto" w:fill="FFFFFF"/>
        </w:rPr>
        <w:t>面对人民至上这个永恒的主题</w:t>
      </w:r>
      <w:r>
        <w:rPr>
          <w:rFonts w:hint="eastAsia" w:ascii="宋体" w:hAnsi="宋体" w:eastAsia="宋体" w:cs="仿宋_GB2312"/>
          <w:sz w:val="30"/>
          <w:szCs w:val="30"/>
        </w:rPr>
        <w:t>，我们始终以人民为中心，着力解决人民群众“急难愁盼”问题，坚持人民至上、生命至上，树牢底线思维，统筹抓好平安建设、安全生产、社会治理，扎实推进扫黑除恶专项斗争，深入开展跨区域突出犯罪综合整治三年攻坚行动和交通问题顽瘴痼疾专项整治行动，正气持续攀升。2021年以来，我们坚持强打压，出重拳，开展了6次集中打击行动，共缴获假人民币2300余万元、抓获犯罪嫌疑人47名，抓获电信网络诈骗逃犯2人、外流盗窃逃犯3人，电诈重点管控人员135人中133人管控到位，2人在缅北管控率99%；35个缅北窝点人员已经劝返32名，劝返率91%，位居全县前列；开展一次大型永州利剑2定点清查行动及10次定村清查行动，定点清查14个村100多户重点对象，收缴假币若干元，枪支2把，管制刀具5把，查获酒驾1人，非法捕鱼1人，训诫重点对象90多户，行政拘留4人，对84户重点户实行挂牌整治。通过近1年来的努力工作，到目前为止没有新增一人假币违法犯罪，取得了历史最好的成绩（打击人数、收缴假币数为近十年之和），彻底扭转了寿雁镇90年代以来社会风行的假币犯罪风气，没有新增吸毒人员和外流贩毒，辖区内百姓安居乐业。信访秩序持续向好，各类矛盾纠纷及时调解到位，信访总量急剧下降，信访形势较往年大幅好转。全力做好防汛抗旱、安全生产等工作。</w:t>
      </w:r>
      <w:r>
        <w:rPr>
          <w:rFonts w:hint="eastAsia" w:ascii="宋体" w:hAnsi="宋体" w:eastAsia="宋体" w:cs="仿宋_GB2312"/>
          <w:color w:val="000000"/>
          <w:sz w:val="30"/>
          <w:szCs w:val="30"/>
        </w:rPr>
        <w:t>2021年重点抓好交通顽瘴痼疾的集中整治、学生防溺水、建筑领域竹木脚手架、鸡公吊的集中整治</w:t>
      </w:r>
      <w:r>
        <w:rPr>
          <w:rFonts w:hint="eastAsia" w:ascii="宋体" w:hAnsi="宋体" w:eastAsia="宋体" w:cs="仿宋_GB2312"/>
          <w:sz w:val="30"/>
          <w:szCs w:val="30"/>
        </w:rPr>
        <w:t>，积极开展打非治违和排查整改各类安全隐患180余处，整改率达100%。辖区安全生产态势总体平稳，社会治安秩序持久稳定。我们坚决把稳生态底色这一普惠民生。</w:t>
      </w:r>
      <w:r>
        <w:rPr>
          <w:rFonts w:hint="eastAsia" w:ascii="宋体" w:hAnsi="宋体" w:eastAsia="宋体" w:cs="仿宋_GB2312"/>
          <w:b/>
          <w:sz w:val="30"/>
          <w:szCs w:val="30"/>
        </w:rPr>
        <w:t>一是</w:t>
      </w:r>
      <w:r>
        <w:rPr>
          <w:rFonts w:hint="eastAsia" w:ascii="宋体" w:hAnsi="宋体" w:eastAsia="宋体" w:cs="仿宋_GB2312"/>
          <w:sz w:val="30"/>
          <w:szCs w:val="30"/>
        </w:rPr>
        <w:t>大力推进人居环境治理。一年来共改厕208座，清理清运农村生活垃圾1900余吨、清除杂草44万余平方米，村庄道路与房前屋后杂草加快割除，卫生死角死面得到进一步的清理，乱堆乱放得到有效整顿，村容村貌明显改观，成功创建省卫生示范镇。</w:t>
      </w:r>
      <w:r>
        <w:rPr>
          <w:rFonts w:hint="eastAsia" w:ascii="宋体" w:hAnsi="宋体" w:eastAsia="宋体" w:cs="仿宋_GB2312"/>
          <w:b/>
          <w:sz w:val="30"/>
          <w:szCs w:val="30"/>
        </w:rPr>
        <w:t>二是</w:t>
      </w:r>
      <w:r>
        <w:rPr>
          <w:rFonts w:hint="eastAsia" w:ascii="宋体" w:hAnsi="宋体" w:eastAsia="宋体" w:cs="仿宋_GB2312"/>
          <w:sz w:val="30"/>
          <w:szCs w:val="30"/>
        </w:rPr>
        <w:t>全面推行“河长制”管理。进一步加强了洑水河生态环境治理，清理河塘沟518处，整治砂石、乱堆放点3处。我们坚决把好兜底保障这一重大民生。</w:t>
      </w:r>
      <w:r>
        <w:rPr>
          <w:rFonts w:hint="eastAsia" w:ascii="宋体" w:hAnsi="宋体" w:eastAsia="宋体" w:cs="仿宋_GB2312"/>
          <w:color w:val="000000"/>
          <w:sz w:val="30"/>
          <w:szCs w:val="30"/>
        </w:rPr>
        <w:t>持续深化“互联网+政务服务”，全部入驻镇村两级为民办事窗口，为民办事6千余件；城乡居民基本养老保险和基本医疗保险参保率达95%以上；积极开展八城同创工作，组建30余人的综合执法大队，认真开展镇区环境综合整治工作，扭转镇区环境“脏乱差”，组织各类志愿活动500余次，参与群众万余人次。群众性体育活动精彩纷呈，我镇在全县广场舞比赛中荣获第一名、第二名等好成绩；教育教学质量持续提升，顺利完成全镇“大班额”化解任务；加强国防动员，超额完成全年征兵任务。</w:t>
      </w:r>
    </w:p>
    <w:p>
      <w:pPr>
        <w:rPr>
          <w:rFonts w:ascii="宋体" w:hAnsi="宋体" w:eastAsia="宋体"/>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0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7</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wZDg3NzQ4YzdmMzU2NTNhYzU1NzdjMGQ2MjBiM2MifQ=="/>
  </w:docVars>
  <w:rsids>
    <w:rsidRoot w:val="00000000"/>
    <w:rsid w:val="4912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1"/>
    <w:pPr>
      <w:ind w:left="106"/>
    </w:pPr>
    <w:rPr>
      <w:rFonts w:ascii="仿宋_GB2312" w:hAnsi="仿宋_GB2312" w:eastAsia="仿宋_GB2312" w:cs="仿宋_GB2312"/>
      <w:sz w:val="32"/>
      <w:szCs w:val="32"/>
      <w:lang w:val="zh-CN" w:bidi="zh-CN"/>
    </w:rPr>
  </w:style>
  <w:style w:type="paragraph" w:styleId="3">
    <w:name w:val="Body Text First Indent"/>
    <w:basedOn w:val="2"/>
    <w:qFormat/>
    <w:uiPriority w:val="99"/>
    <w:pPr>
      <w:ind w:firstLine="420" w:firstLineChars="100"/>
    </w:pPr>
    <w:rPr>
      <w:rFonts w:ascii="Calibri" w:hAnsi="Calibri" w:eastAsia="微软雅黑" w:cs="Calibri"/>
    </w:rPr>
  </w:style>
  <w:style w:type="paragraph" w:styleId="4">
    <w:name w:val="Balloon Text"/>
    <w:basedOn w:val="1"/>
    <w:link w:val="15"/>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szCs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qFormat/>
    <w:uiPriority w:val="0"/>
    <w:rPr>
      <w:rFonts w:ascii="Times New Roman" w:hAnsi="Times New Roman" w:eastAsia="宋体" w:cs="Times New Roman"/>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Default"/>
    <w:qFormat/>
    <w:uiPriority w:val="0"/>
    <w:pPr>
      <w:widowControl w:val="0"/>
      <w:autoSpaceDE w:val="0"/>
      <w:autoSpaceDN w:val="0"/>
      <w:adjustRightInd w:val="0"/>
    </w:pPr>
    <w:rPr>
      <w:rFonts w:ascii="仿宋_GB2312" w:hAnsi="Arial Unicode MS" w:eastAsia="仿宋_GB2312" w:cs="Times New Roman"/>
      <w:color w:val="000000"/>
      <w:sz w:val="24"/>
      <w:szCs w:val="22"/>
      <w:lang w:val="en-US" w:eastAsia="zh-CN" w:bidi="ar-SA"/>
    </w:rPr>
  </w:style>
  <w:style w:type="character" w:customStyle="1" w:styleId="15">
    <w:name w:val="批注框文本 Char"/>
    <w:basedOn w:val="9"/>
    <w:link w:val="4"/>
    <w:uiPriority w:val="0"/>
    <w:rPr>
      <w:rFonts w:ascii="Times New Roman" w:hAnsi="Times New Roman"/>
      <w:kern w:val="2"/>
      <w:sz w:val="18"/>
      <w:szCs w:val="18"/>
    </w:rPr>
  </w:style>
  <w:style w:type="character" w:customStyle="1" w:styleId="16">
    <w:name w:val="页眉 Char"/>
    <w:basedOn w:val="9"/>
    <w:link w:val="6"/>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3839</Words>
  <Characters>4089</Characters>
  <Paragraphs>45</Paragraphs>
  <TotalTime>74</TotalTime>
  <ScaleCrop>false</ScaleCrop>
  <LinksUpToDate>false</LinksUpToDate>
  <CharactersWithSpaces>4089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2022-05-31T06:36:00Z</dcterms:created>
  <dc:creator>WPS Office</dc:creator>
  <cp:lastModifiedBy>TPY</cp:lastModifiedBy>
  <dcterms:modified xsi:type="dcterms:W3CDTF">2023-11-20T02:40:57Z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456f172aed8d4438b55315810721d708_23</vt:lpwstr>
  </property>
</Properties>
</file>