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道县高新材料产业园管理委员会部门决算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sz w:val="84"/>
          <w:szCs w:val="84"/>
        </w:rPr>
        <w:t>道县高新材料产业园管理委员会</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160" w:firstLineChars="50"/>
        <w:rPr>
          <w:rFonts w:asciiTheme="minorEastAsia" w:hAnsiTheme="minorEastAsia"/>
          <w:sz w:val="32"/>
          <w:szCs w:val="32"/>
        </w:rPr>
      </w:pPr>
      <w:r>
        <w:rPr>
          <w:rFonts w:hint="eastAsia" w:asciiTheme="minorEastAsia" w:hAnsiTheme="minorEastAsia"/>
          <w:sz w:val="32"/>
          <w:szCs w:val="32"/>
        </w:rPr>
        <w:t xml:space="preserve">(一）依据国家法律、法规和有关规定，组织编制园区发展规划、建设规划等，经批准后组织实施；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（二）负责园区的财政、国有资产、招商引资、环境保护、劳动人事、统计等管理工作和日常事务；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（三）负责园区的财政、国有资产、招商引资、环境保护、劳动人事、统计等管理工作和日常事务；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（四）负责园区的建设、房产管理工作和基础设施、公用设施项目的建设和维护；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（五）负责园区的建设、房产管理工作和基础设施、公用设施项目的建设和维护；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（六）按照规定权限审批、审核或申报园区内投资项目；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（七）按照规定权限审批、审核或申报园区内投资项目；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（八）制定园区的各项管理规章和工作制度；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（九）制定园区的各项管理规章和工作制度；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（十）设立具备独立法人资格的经济开发实体进行招商开发和从事其他经济活动；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（十一）设立具备独立法人资格的经济开发实体进行招商开发和从事其他经济活动；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（十二）县委、县政府的领导下，统一领导和管理开发区区域范围内的经济和社会事务，协调处理开发区建设过程中所遇的各类矛盾和问题；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（十三）县委、县政府的领导下，统一领导和管理开发区区域范围内的经济和社会事务，协调处理开发区建设过程中所遇的各类矛盾和问题；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（十四）负责做好开发区内的招商引资及入驻企业的服务工作；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（十五）负责做好开发区内的招商引资及入驻企业的服务工作； </w:t>
      </w:r>
    </w:p>
    <w:p>
      <w:pPr>
        <w:widowControl/>
        <w:spacing w:line="600" w:lineRule="exact"/>
        <w:rPr>
          <w:rFonts w:asciiTheme="minorEastAsia" w:hAnsiTheme="minorEastAsia"/>
          <w:sz w:val="32"/>
          <w:szCs w:val="32"/>
        </w:rPr>
      </w:pPr>
      <w:r>
        <w:rPr>
          <w:rFonts w:hint="eastAsia" w:asciiTheme="minorEastAsia" w:hAnsiTheme="minorEastAsia"/>
          <w:sz w:val="32"/>
          <w:szCs w:val="32"/>
        </w:rPr>
        <w:t xml:space="preserve">（十六）行使县委、县政府授予的其他职权。 </w:t>
      </w:r>
    </w:p>
    <w:p>
      <w:pPr>
        <w:widowControl/>
        <w:spacing w:line="600" w:lineRule="exact"/>
        <w:rPr>
          <w:rFonts w:asciiTheme="minorEastAsia" w:hAnsiTheme="minorEastAsia"/>
          <w:sz w:val="32"/>
          <w:szCs w:val="32"/>
        </w:rPr>
      </w:pPr>
      <w:r>
        <w:rPr>
          <w:rFonts w:hint="eastAsia" w:asciiTheme="minorEastAsia" w:hAnsiTheme="minorEastAsia"/>
          <w:sz w:val="32"/>
          <w:szCs w:val="32"/>
        </w:rPr>
        <w:t>（十七）行使县委、县政府授予的其他职权。</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asciiTheme="minorEastAsia" w:hAnsiTheme="minorEastAsia"/>
          <w:bCs/>
          <w:kern w:val="0"/>
          <w:sz w:val="32"/>
          <w:szCs w:val="32"/>
        </w:rPr>
        <w:t>道县高新材料产业园管理委员会内设机构包括：道县高新材料产业园 管理委员会内设机构包括：办公室、基建股、招商股</w:t>
      </w:r>
      <w:r>
        <w:rPr>
          <w:rFonts w:hint="eastAsia" w:asciiTheme="minorEastAsia" w:hAnsiTheme="minorEastAsia"/>
          <w:bCs/>
          <w:kern w:val="0"/>
          <w:sz w:val="32"/>
          <w:szCs w:val="32"/>
        </w:rPr>
        <w:t>。</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asciiTheme="minorEastAsia" w:hAnsiTheme="minorEastAsia"/>
          <w:bCs/>
          <w:kern w:val="0"/>
          <w:sz w:val="32"/>
          <w:szCs w:val="32"/>
        </w:rPr>
        <w:t>道县高新材料产业园管理委员会 202</w:t>
      </w:r>
      <w:r>
        <w:rPr>
          <w:rFonts w:hint="eastAsia" w:asciiTheme="minorEastAsia" w:hAnsiTheme="minorEastAsia"/>
          <w:bCs/>
          <w:kern w:val="0"/>
          <w:sz w:val="32"/>
          <w:szCs w:val="32"/>
        </w:rPr>
        <w:t>1</w:t>
      </w:r>
      <w:r>
        <w:rPr>
          <w:rFonts w:asciiTheme="minorEastAsia" w:hAnsiTheme="minorEastAsia"/>
          <w:bCs/>
          <w:kern w:val="0"/>
          <w:sz w:val="32"/>
          <w:szCs w:val="32"/>
        </w:rPr>
        <w:t>年部门决算汇总公开单位构 成包括：道县高新材料产业园管理委员会本级。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部门：道县高新材料产业园管委会</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78.37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81.26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78.37</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81.26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2.90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81.26</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81.26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72" w:type="dxa"/>
        <w:tblInd w:w="0" w:type="dxa"/>
        <w:tblLayout w:type="autofit"/>
        <w:tblCellMar>
          <w:top w:w="0" w:type="dxa"/>
          <w:left w:w="0" w:type="dxa"/>
          <w:bottom w:w="0" w:type="dxa"/>
          <w:right w:w="0" w:type="dxa"/>
        </w:tblCellMar>
      </w:tblPr>
      <w:tblGrid>
        <w:gridCol w:w="2521"/>
        <w:gridCol w:w="182"/>
        <w:gridCol w:w="1664"/>
        <w:gridCol w:w="1490"/>
        <w:gridCol w:w="1490"/>
        <w:gridCol w:w="1490"/>
        <w:gridCol w:w="1490"/>
        <w:gridCol w:w="1490"/>
        <w:gridCol w:w="1491"/>
        <w:gridCol w:w="2120"/>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道县高新材料产业园管委会</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78.37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78.37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78.37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78.37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20103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74.29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74.29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2010301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33.34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33.34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2010350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事业运行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33.50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33.50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2010399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 xml:space="preserve">  其他政府办公厅（室）及相关机构事务支出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7.45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7.45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20113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商贸事务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2011308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招商引资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部门：道县高新材料产业园管委会</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81.26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81.26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81.26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81.26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20103</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77.18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77.18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2010301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33.34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33.34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2010350</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事业运行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36.40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36.40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2010399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20113</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商贸事务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2011308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招商引资</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部门：道县高新材料产业园管委会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78.37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81.26</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81.26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78.37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81.26</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81.26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2.90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2.90</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81.26</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81.26</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81.26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道县高新材料产业园管委会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987"/>
        <w:gridCol w:w="3318"/>
        <w:gridCol w:w="2833"/>
        <w:gridCol w:w="3288"/>
        <w:gridCol w:w="2807"/>
      </w:tblGrid>
      <w:tr>
        <w:tblPrEx>
          <w:tblCellMar>
            <w:top w:w="0" w:type="dxa"/>
            <w:left w:w="108" w:type="dxa"/>
            <w:bottom w:w="0" w:type="dxa"/>
            <w:right w:w="108" w:type="dxa"/>
          </w:tblCellMar>
        </w:tblPrEx>
        <w:trPr>
          <w:trHeight w:val="405" w:hRule="atLeast"/>
          <w:jc w:val="center"/>
        </w:trPr>
        <w:tc>
          <w:tcPr>
            <w:tcW w:w="5291"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73"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3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7"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7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7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3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28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07"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29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81.26</w:t>
            </w:r>
          </w:p>
        </w:tc>
        <w:tc>
          <w:tcPr>
            <w:tcW w:w="328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81.26</w:t>
            </w:r>
          </w:p>
        </w:tc>
        <w:tc>
          <w:tcPr>
            <w:tcW w:w="280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w:t>
            </w:r>
          </w:p>
        </w:tc>
        <w:tc>
          <w:tcPr>
            <w:tcW w:w="430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一般公共服务支出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81.26</w:t>
            </w:r>
          </w:p>
        </w:tc>
        <w:tc>
          <w:tcPr>
            <w:tcW w:w="328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81.26</w:t>
            </w:r>
          </w:p>
        </w:tc>
        <w:tc>
          <w:tcPr>
            <w:tcW w:w="280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20103</w:t>
            </w:r>
          </w:p>
        </w:tc>
        <w:tc>
          <w:tcPr>
            <w:tcW w:w="430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政府办公厅（室）及相关机构事务</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77.18</w:t>
            </w:r>
          </w:p>
        </w:tc>
        <w:tc>
          <w:tcPr>
            <w:tcW w:w="328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77.18</w:t>
            </w:r>
          </w:p>
        </w:tc>
        <w:tc>
          <w:tcPr>
            <w:tcW w:w="280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2010301</w:t>
            </w:r>
          </w:p>
        </w:tc>
        <w:tc>
          <w:tcPr>
            <w:tcW w:w="430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33.34</w:t>
            </w:r>
          </w:p>
        </w:tc>
        <w:tc>
          <w:tcPr>
            <w:tcW w:w="328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33.34</w:t>
            </w:r>
          </w:p>
        </w:tc>
        <w:tc>
          <w:tcPr>
            <w:tcW w:w="280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2010350</w:t>
            </w:r>
          </w:p>
        </w:tc>
        <w:tc>
          <w:tcPr>
            <w:tcW w:w="430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事业运行</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36.40</w:t>
            </w:r>
          </w:p>
        </w:tc>
        <w:tc>
          <w:tcPr>
            <w:tcW w:w="328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36.40</w:t>
            </w:r>
          </w:p>
        </w:tc>
        <w:tc>
          <w:tcPr>
            <w:tcW w:w="280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2010399</w:t>
            </w:r>
          </w:p>
        </w:tc>
        <w:tc>
          <w:tcPr>
            <w:tcW w:w="430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其他政府办公厅（室）及相关机构事务支出</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7.45</w:t>
            </w:r>
          </w:p>
        </w:tc>
        <w:tc>
          <w:tcPr>
            <w:tcW w:w="328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7.45</w:t>
            </w:r>
          </w:p>
        </w:tc>
        <w:tc>
          <w:tcPr>
            <w:tcW w:w="280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20113</w:t>
            </w:r>
          </w:p>
        </w:tc>
        <w:tc>
          <w:tcPr>
            <w:tcW w:w="430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商贸事务</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4.08</w:t>
            </w:r>
          </w:p>
        </w:tc>
        <w:tc>
          <w:tcPr>
            <w:tcW w:w="328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4.08</w:t>
            </w:r>
          </w:p>
        </w:tc>
        <w:tc>
          <w:tcPr>
            <w:tcW w:w="280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2011308</w:t>
            </w:r>
          </w:p>
        </w:tc>
        <w:tc>
          <w:tcPr>
            <w:tcW w:w="430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招商引资</w:t>
            </w:r>
          </w:p>
        </w:tc>
        <w:tc>
          <w:tcPr>
            <w:tcW w:w="283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4.08</w:t>
            </w:r>
          </w:p>
        </w:tc>
        <w:tc>
          <w:tcPr>
            <w:tcW w:w="328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4.08</w:t>
            </w:r>
          </w:p>
        </w:tc>
        <w:tc>
          <w:tcPr>
            <w:tcW w:w="280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09"/>
        <w:gridCol w:w="3286"/>
        <w:gridCol w:w="752"/>
        <w:gridCol w:w="1197"/>
        <w:gridCol w:w="2263"/>
        <w:gridCol w:w="752"/>
        <w:gridCol w:w="1198"/>
        <w:gridCol w:w="4105"/>
        <w:gridCol w:w="752"/>
      </w:tblGrid>
      <w:tr>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 xml:space="preserve">道县高新材料产业园管委会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63.02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18.24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28.88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4.80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18.12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7.25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0.70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3.97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0.17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0.23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3.40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0.09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1.30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4.59</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1.94</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63.02</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18.24</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道县高新材料产业园管委会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3.40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3.40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3.40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3.40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道县高新材料产业园管委会</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hint="eastAsia"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r>
        <w:rPr>
          <w:rFonts w:hint="eastAsia" w:ascii="Times New Roman" w:hAnsi="Times New Roman" w:eastAsia="仿宋_GB2312" w:cs="Times New Roman"/>
          <w:kern w:val="0"/>
          <w:szCs w:val="21"/>
        </w:rPr>
        <w:t>.</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道县高新材料产业园管委会无</w:t>
      </w:r>
      <w:r>
        <w:rPr>
          <w:rFonts w:ascii="Times New Roman" w:hAnsi="Times New Roman" w:eastAsia="仿宋_GB2312" w:cs="Times New Roman"/>
          <w:kern w:val="0"/>
          <w:szCs w:val="21"/>
        </w:rPr>
        <w:t>政府性基金预算财政拨款收入</w:t>
      </w:r>
      <w:r>
        <w:rPr>
          <w:rFonts w:hint="eastAsia" w:ascii="Times New Roman" w:hAnsi="Times New Roman" w:eastAsia="仿宋_GB2312" w:cs="Times New Roman"/>
          <w:kern w:val="0"/>
          <w:szCs w:val="21"/>
        </w:rPr>
        <w:t>，也没有安排</w:t>
      </w:r>
      <w:r>
        <w:rPr>
          <w:rFonts w:ascii="Times New Roman" w:hAnsi="Times New Roman" w:eastAsia="仿宋_GB2312" w:cs="Times New Roman"/>
          <w:kern w:val="0"/>
          <w:szCs w:val="21"/>
        </w:rPr>
        <w:t>政府性基金预算财政拨款</w:t>
      </w:r>
      <w:r>
        <w:rPr>
          <w:rFonts w:hint="eastAsia" w:ascii="Times New Roman" w:hAnsi="Times New Roman" w:eastAsia="仿宋_GB2312" w:cs="Times New Roman"/>
          <w:kern w:val="0"/>
          <w:szCs w:val="21"/>
        </w:rPr>
        <w:t>支出，故本表格无数据。</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部门：道县高新材料产业园管委会</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道县高新材料产业园管委会无国有资本经营预算财政拨款</w:t>
            </w:r>
            <w:r>
              <w:rPr>
                <w:rFonts w:ascii="宋体" w:hAnsi="宋体" w:eastAsia="宋体" w:cs="宋体"/>
                <w:kern w:val="0"/>
                <w:sz w:val="24"/>
                <w:szCs w:val="24"/>
              </w:rPr>
              <w:t>收入</w:t>
            </w:r>
            <w:r>
              <w:rPr>
                <w:rFonts w:hint="eastAsia" w:ascii="宋体" w:hAnsi="宋体" w:eastAsia="宋体" w:cs="宋体"/>
                <w:kern w:val="0"/>
                <w:sz w:val="24"/>
                <w:szCs w:val="24"/>
              </w:rPr>
              <w:t>，也没有安排国有资本经营预算财政拨款支出，故本表格无数据。</w:t>
            </w:r>
          </w:p>
          <w:p>
            <w:pPr>
              <w:widowControl/>
              <w:jc w:val="left"/>
              <w:rPr>
                <w:rFonts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2021年度收、支总计159.63万元。与上年相比，减少562.12万元，减少77.88%，主要是因为今年减少了项目支出。</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2021年度收入合计78.37万元，其中：财政拨款收入78.37万元，占100%；上级补助收入0万元，占0；事业收入0万元，占0%；经营收入0万元，占0%；附属单位上缴收入0万元，占0%；其他收入0万元，占0%。</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2021年度支出合计81.26万元，其中：基本支出81.26万元，占100%；项目支出0万元，占0%；上缴上级支出0万元，占0%；经营支出0万元，占0%；对附属单位补助支出0万元，占0%。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2021年度财政拨款收、支总计159.63万元，与上年相比，减少562.12万元，减少77.88%，主要是因为今年减少了项目支出。</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2021年度财政拨款支出81.26万元，占本年支出合计的100%，与上年相比，财政拨款支出减少281.4万元，减少77.59%，主要是因为今年减少了项目支出。</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2021年度财政拨款支出81.26万元，主要用于以下方面：一般公共服务（类）支出81.26万元，占100%。</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2021年度财政拨款支出年初预算数为82.54万元，支出决算数为81.26万元，完成年初预算的98.45%，其中：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1、一般公共服务支出（类）政府办公厅（室）及相关机构事务（款）行政运行（项）。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年初预算为0万元，支出决算为33.34万元，无法计算完成比率，决算数大于年初预算数的主要原因是：年初使用事业运行项目预算了33.34万元，未经过本项目预算。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2、一般公共服务支出（类）政府办公厅（室）及相关机构事务（款）事业运行（项）。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年初预算为82.54万元，支出决算为36.4万元，完成年初预算的44.1%，决算数小于年初预算数的主要原因是：部分开支在实际使用时，用行政运行项目开支。</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3、一般公共服务支出（类）政府办公厅（室）及相关机构事务（款）  其他政府办公厅（室）及相关机构事务支出（项）。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年初预算为0万元，支出决算为7.45万元，无法计算完成比率，决算数大于年初预算数的主要原因是：年初使用事业运行项目预算了7.45万元，未经过本项目预算。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4、一般公共服务支出（类）商贸事务（款）  其他政府办公厅（室）招商引资（项）。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年初预算为0万元，支出决算为4.08万元，无法计算完成比率，决算数大于年初预算数的主要原因是：预算还不够精确，临时增加了一些费用支出。</w:t>
      </w:r>
    </w:p>
    <w:p>
      <w:pPr>
        <w:pStyle w:val="9"/>
        <w:ind w:firstLine="800" w:firstLineChars="250"/>
        <w:rPr>
          <w:rFonts w:hAnsi="黑体"/>
          <w:b/>
          <w:sz w:val="32"/>
          <w:szCs w:val="32"/>
        </w:rPr>
      </w:pPr>
      <w:r>
        <w:rPr>
          <w:rFonts w:hint="eastAsia" w:hAnsi="黑体"/>
          <w:b/>
          <w:sz w:val="32"/>
          <w:szCs w:val="32"/>
        </w:rPr>
        <w:t>六、一般公共预算财政拨款基本支出决算情况说明</w:t>
      </w:r>
    </w:p>
    <w:p>
      <w:pPr>
        <w:rPr>
          <w:rFonts w:asciiTheme="minorEastAsia" w:hAnsiTheme="minorEastAsia"/>
          <w:i/>
          <w:color w:val="FF0000"/>
          <w:sz w:val="32"/>
          <w:szCs w:val="32"/>
        </w:rPr>
      </w:pPr>
      <w:r>
        <w:rPr>
          <w:rFonts w:hint="eastAsia" w:asciiTheme="minorEastAsia" w:hAnsiTheme="minorEastAsia"/>
          <w:sz w:val="32"/>
          <w:szCs w:val="32"/>
        </w:rPr>
        <w:t>2021年度财政拨款基本支出81.26万元，其中：人员经费63.02万元，占基本支出的77.55%,主要包括基本工资、绩效工资、奖金、伙食补助费、机关事业单位基本养老保险缴费、</w:t>
      </w:r>
      <w:r>
        <w:rPr>
          <w:rFonts w:hint="eastAsia" w:cs="黑体" w:asciiTheme="minorEastAsia" w:hAnsiTheme="minorEastAsia"/>
          <w:color w:val="000000"/>
          <w:kern w:val="0"/>
          <w:sz w:val="32"/>
          <w:szCs w:val="32"/>
        </w:rPr>
        <w:t>职工基本医疗保险缴费</w:t>
      </w:r>
      <w:r>
        <w:rPr>
          <w:rFonts w:hint="eastAsia" w:asciiTheme="minorEastAsia" w:hAnsiTheme="minorEastAsia"/>
          <w:sz w:val="32"/>
          <w:szCs w:val="32"/>
        </w:rPr>
        <w:t>；公用经费18.24万元，占基本支出的22.45%，主要包括办公费、印刷费、咨询费、手续费、差旅费、公务接待费、工会经费、其他交通费等。</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2021年度“三公”经费财政拨款支出预算为2万元，支出决算为3.4万元，完成预算的170%，其中：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公务接待费支出预算为2万元，支出决算为3.4万元，完成预算的170%，决算数大于预算数的主要原因是招商引资接待客商人数增多，</w:t>
      </w:r>
      <w:bookmarkStart w:id="3" w:name="_GoBack"/>
      <w:bookmarkEnd w:id="3"/>
      <w:r>
        <w:rPr>
          <w:rFonts w:hint="eastAsia" w:asciiTheme="minorEastAsia" w:hAnsiTheme="minorEastAsia" w:eastAsiaTheme="minorEastAsia"/>
          <w:sz w:val="32"/>
          <w:szCs w:val="32"/>
        </w:rPr>
        <w:t>与上年相比减增加1.4万元，增长70%,增长的主要原因是招商引资接待客商人数增多。</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2021年度“三公”经费财政拨款支出决算中，公务接待费支出决算3.4万元，占100%,因公出国（境）费支出决算0万元，占0%,公务用车购置费及运行维护费支出决算0万元，占0%。其中：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2、公务接待费支出决算为3.4万元，全年共接待来访团组51个、来宾345人次，主要是招商引资接待客商发生的接待支出。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3、公务用车购置费及运行维护费支出决算为0万元，其中：公务用车购置费0万元，公务用车购置0辆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公务用车运行维护费0万元，我单位开支财政拨款的公务用车保有量为0辆。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w:t>
      </w:r>
      <w:r>
        <w:rPr>
          <w:rFonts w:hint="eastAsia" w:asciiTheme="minorEastAsia" w:hAnsiTheme="minorEastAsia" w:eastAsiaTheme="minorEastAsia" w:cstheme="minorBidi"/>
          <w:color w:val="auto"/>
          <w:kern w:val="2"/>
          <w:sz w:val="32"/>
          <w:szCs w:val="32"/>
        </w:rPr>
        <w:t>本单位无政府性基金收支</w:t>
      </w:r>
      <w:r>
        <w:rPr>
          <w:rFonts w:hint="eastAsia" w:asciiTheme="minorEastAsia" w:hAnsiTheme="minorEastAsia"/>
          <w:sz w:val="32"/>
          <w:szCs w:val="32"/>
        </w:rPr>
        <w:t>。</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本部门2021年度机关运行经费支出0万元，比年初预算数持平。</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2021年本部门开支会议费0万元；开支培训费0.23万元，用于开展干部职工培训，人数1人，内容为参加县委组织部中青班培训。</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年度一般公共预算项目支出全面开展绩效自评，其中，一级项目0个，二级项目0个，共涉及资金0万元，占一般公共预算项目支出总额的100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。因</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年度无政府性基金预算项目支出，所以无此类绩效自评。因</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年度无国有资本经营预算项目支出，所以无此类绩效自评。</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组织对道县高新材料产业园管理委员会本级等1个单位开展整体支出绩效评价，涉及一般公共预算支出78.36万元，政府性基金预算支出0万元。从评价情况来看，单位基本完成了预算绩效中的各项指标。</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2021年无项目支出，所以无此类绩效自评。</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2021年无项目支出，所以无此类绩效评价结果。</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ind w:left="210" w:leftChars="100" w:firstLine="320" w:firstLineChars="1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一、</w:t>
      </w:r>
      <w:r>
        <w:rPr>
          <w:rFonts w:ascii="仿宋" w:hAnsi="仿宋" w:eastAsia="宋体" w:cs="宋体"/>
          <w:color w:val="000000"/>
          <w:kern w:val="0"/>
          <w:sz w:val="32"/>
          <w:szCs w:val="32"/>
        </w:rPr>
        <w:t xml:space="preserve">财政拨款收入：指单位本年度从同级财政部门取得的各类财政 拨款。 </w:t>
      </w:r>
      <w:r>
        <w:rPr>
          <w:rFonts w:hint="eastAsia" w:ascii="仿宋" w:hAnsi="仿宋" w:eastAsia="宋体" w:cs="宋体"/>
          <w:color w:val="000000"/>
          <w:kern w:val="0"/>
          <w:sz w:val="32"/>
          <w:szCs w:val="32"/>
        </w:rPr>
        <w:t xml:space="preserve">  </w:t>
      </w:r>
    </w:p>
    <w:p>
      <w:pPr>
        <w:widowControl/>
        <w:ind w:left="210" w:leftChars="100" w:firstLine="320" w:firstLineChars="1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二、</w:t>
      </w:r>
      <w:r>
        <w:rPr>
          <w:rFonts w:ascii="仿宋" w:hAnsi="仿宋" w:eastAsia="宋体" w:cs="宋体"/>
          <w:color w:val="000000"/>
          <w:kern w:val="0"/>
          <w:sz w:val="32"/>
          <w:szCs w:val="32"/>
        </w:rPr>
        <w:t xml:space="preserve">上级补助收入：指事业单位从主管部门和上级单位取得的非财 政补助收入。 </w:t>
      </w:r>
    </w:p>
    <w:p>
      <w:pPr>
        <w:widowControl/>
        <w:ind w:firstLine="480" w:firstLineChars="15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三、</w:t>
      </w:r>
      <w:r>
        <w:rPr>
          <w:rFonts w:ascii="仿宋" w:hAnsi="仿宋" w:eastAsia="宋体" w:cs="宋体"/>
          <w:color w:val="000000"/>
          <w:kern w:val="0"/>
          <w:sz w:val="32"/>
          <w:szCs w:val="32"/>
        </w:rPr>
        <w:t xml:space="preserve">机关运行经费：指行政单位（含参照公务员法管理的事业单位） 使用一般公共预算安排的基本支出中的公用经费支出，包括办公及印刷 费、邮电费、差旅费、会议费、福利费、日常维修费、专用材料及一般 设备购置费、办公用房水电费、办公用房取暖费、办公用房物业管理费、 公务用车运行维护费及其他费用。 </w:t>
      </w:r>
    </w:p>
    <w:p>
      <w:pPr>
        <w:widowControl/>
        <w:ind w:firstLine="480" w:firstLineChars="15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四、</w:t>
      </w:r>
      <w:r>
        <w:rPr>
          <w:rFonts w:ascii="仿宋" w:hAnsi="仿宋" w:eastAsia="宋体" w:cs="宋体"/>
          <w:color w:val="000000"/>
          <w:kern w:val="0"/>
          <w:sz w:val="32"/>
          <w:szCs w:val="32"/>
        </w:rPr>
        <w:t xml:space="preserve">“三公”经费：指单位用一般公共预算财政拨款安排的因公出 国（境）费、公务用车购置及运行维护费和公务接待费。其中，因公出 国（境）费反映单位公务出国（境）的国际旅费、国外城市间交通费、 住宿费、伙食费、培训费、公杂费等支出；公务用车购置及运行维护费 反映单位公务用车购置支出（含车辆购置税、牌照费）以及按规定保留 的公务用车燃料费、维修费、过路过桥费、保险费、安全奖励费用等支 出；公务接待费反映单位按规定开支的各类公务接待（含外宾接待）费 用。 </w:t>
      </w:r>
    </w:p>
    <w:p>
      <w:pPr>
        <w:widowControl/>
        <w:ind w:firstLine="480" w:firstLineChars="15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五、</w:t>
      </w:r>
      <w:r>
        <w:rPr>
          <w:rFonts w:ascii="仿宋" w:hAnsi="仿宋" w:eastAsia="宋体" w:cs="宋体"/>
          <w:color w:val="000000"/>
          <w:kern w:val="0"/>
          <w:sz w:val="32"/>
          <w:szCs w:val="32"/>
        </w:rPr>
        <w:t xml:space="preserve">对附属单位补助支出：指事业单位用财政拨款收入之外的收入 对附属单位补助发生的支出。 </w:t>
      </w:r>
    </w:p>
    <w:p>
      <w:pPr>
        <w:widowControl/>
        <w:ind w:firstLine="480" w:firstLineChars="15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六、</w:t>
      </w:r>
      <w:r>
        <w:rPr>
          <w:rFonts w:ascii="仿宋" w:hAnsi="仿宋" w:eastAsia="宋体" w:cs="宋体"/>
          <w:color w:val="000000"/>
          <w:kern w:val="0"/>
          <w:sz w:val="32"/>
          <w:szCs w:val="32"/>
        </w:rPr>
        <w:t xml:space="preserve">经营支出：指事业单位在专业业务活动及其辅助活动之外开展 非独立核算经营活动发生的支出。 </w:t>
      </w:r>
    </w:p>
    <w:p>
      <w:pPr>
        <w:widowControl/>
        <w:ind w:firstLine="480" w:firstLineChars="150"/>
        <w:jc w:val="left"/>
        <w:rPr>
          <w:rFonts w:ascii="宋体" w:hAnsi="宋体" w:eastAsia="宋体" w:cs="宋体"/>
          <w:kern w:val="0"/>
          <w:sz w:val="24"/>
          <w:szCs w:val="24"/>
        </w:rPr>
      </w:pPr>
      <w:r>
        <w:rPr>
          <w:rFonts w:hint="eastAsia" w:ascii="仿宋" w:hAnsi="仿宋" w:eastAsia="宋体" w:cs="宋体"/>
          <w:color w:val="000000"/>
          <w:kern w:val="0"/>
          <w:sz w:val="32"/>
          <w:szCs w:val="32"/>
        </w:rPr>
        <w:t>七、</w:t>
      </w:r>
      <w:r>
        <w:rPr>
          <w:rFonts w:ascii="仿宋" w:hAnsi="仿宋" w:eastAsia="宋体" w:cs="宋体"/>
          <w:color w:val="000000"/>
          <w:kern w:val="0"/>
          <w:sz w:val="32"/>
          <w:szCs w:val="32"/>
        </w:rPr>
        <w:t>上缴上级支出：指事业单位按照财政部门和主管部门的规定上</w:t>
      </w:r>
    </w:p>
    <w:p>
      <w:pPr>
        <w:widowControl/>
        <w:jc w:val="left"/>
        <w:rPr>
          <w:rFonts w:hint="eastAsia" w:ascii="仿宋" w:hAnsi="仿宋" w:eastAsia="宋体" w:cs="宋体"/>
          <w:color w:val="000000"/>
          <w:kern w:val="0"/>
          <w:sz w:val="32"/>
          <w:szCs w:val="32"/>
        </w:rPr>
      </w:pPr>
      <w:r>
        <w:rPr>
          <w:rFonts w:ascii="仿宋" w:hAnsi="仿宋" w:eastAsia="宋体" w:cs="宋体"/>
          <w:color w:val="000000"/>
          <w:kern w:val="0"/>
          <w:sz w:val="32"/>
          <w:szCs w:val="32"/>
        </w:rPr>
        <w:t xml:space="preserve">缴上级单位的支出。 </w:t>
      </w:r>
    </w:p>
    <w:p>
      <w:pPr>
        <w:widowControl/>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八、</w:t>
      </w:r>
      <w:r>
        <w:rPr>
          <w:rFonts w:ascii="仿宋" w:hAnsi="仿宋" w:eastAsia="宋体" w:cs="宋体"/>
          <w:color w:val="000000"/>
          <w:kern w:val="0"/>
          <w:sz w:val="32"/>
          <w:szCs w:val="32"/>
        </w:rPr>
        <w:t>事业收入：指事业单位开展专业业务活动及其辅助活动取得的 收入，事业单位收到的财政专户实际核拨的教育收费等资金在此反映。</w:t>
      </w:r>
    </w:p>
    <w:p>
      <w:pPr>
        <w:widowControl/>
        <w:ind w:firstLine="640" w:firstLineChars="2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九、</w:t>
      </w:r>
      <w:r>
        <w:rPr>
          <w:rFonts w:ascii="仿宋" w:hAnsi="仿宋" w:eastAsia="宋体" w:cs="宋体"/>
          <w:color w:val="000000"/>
          <w:kern w:val="0"/>
          <w:sz w:val="32"/>
          <w:szCs w:val="32"/>
        </w:rPr>
        <w:t xml:space="preserve">经营收入：指事业单位在专业业务活动及其辅助活动之外开展 非独立核算经营活动取得的收入。 </w:t>
      </w:r>
    </w:p>
    <w:p>
      <w:pPr>
        <w:widowControl/>
        <w:ind w:firstLine="640" w:firstLineChars="2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十、</w:t>
      </w:r>
      <w:r>
        <w:rPr>
          <w:rFonts w:ascii="仿宋" w:hAnsi="仿宋" w:eastAsia="宋体" w:cs="宋体"/>
          <w:color w:val="000000"/>
          <w:kern w:val="0"/>
          <w:sz w:val="32"/>
          <w:szCs w:val="32"/>
        </w:rPr>
        <w:t xml:space="preserve">附属单位上缴收入：指事业单位附属独立核算单位按照有关规 定上缴的收入。 </w:t>
      </w:r>
    </w:p>
    <w:p>
      <w:pPr>
        <w:widowControl/>
        <w:ind w:firstLine="640" w:firstLineChars="2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十一、</w:t>
      </w:r>
      <w:r>
        <w:rPr>
          <w:rFonts w:ascii="仿宋" w:hAnsi="仿宋" w:eastAsia="宋体" w:cs="宋体"/>
          <w:color w:val="000000"/>
          <w:kern w:val="0"/>
          <w:sz w:val="32"/>
          <w:szCs w:val="32"/>
        </w:rPr>
        <w:t xml:space="preserve">其他收入：指单位取得的除上述“财政拨款收入”、“事业收 入”、“经营收入”等以外的各项收入。 </w:t>
      </w:r>
    </w:p>
    <w:p>
      <w:pPr>
        <w:widowControl/>
        <w:ind w:firstLine="640" w:firstLineChars="2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十二、</w:t>
      </w:r>
      <w:r>
        <w:rPr>
          <w:rFonts w:ascii="仿宋" w:hAnsi="仿宋" w:eastAsia="宋体" w:cs="宋体"/>
          <w:color w:val="000000"/>
          <w:kern w:val="0"/>
          <w:sz w:val="32"/>
          <w:szCs w:val="32"/>
        </w:rPr>
        <w:t xml:space="preserve">使用非财政拨款结余：指事业单位使用非财政拨款结余（原事 业基金）弥补当年收支差额的数额。 </w:t>
      </w:r>
    </w:p>
    <w:p>
      <w:pPr>
        <w:widowControl/>
        <w:ind w:firstLine="640" w:firstLineChars="2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十三、</w:t>
      </w:r>
      <w:r>
        <w:rPr>
          <w:rFonts w:ascii="仿宋" w:hAnsi="仿宋" w:eastAsia="宋体" w:cs="宋体"/>
          <w:color w:val="000000"/>
          <w:kern w:val="0"/>
          <w:sz w:val="32"/>
          <w:szCs w:val="32"/>
        </w:rPr>
        <w:t xml:space="preserve">年初结转和结余：指单位上年结转本年使用的基本支出结转、 项目支出结转和结余和经营结余。 </w:t>
      </w:r>
    </w:p>
    <w:p>
      <w:pPr>
        <w:widowControl/>
        <w:ind w:firstLine="640" w:firstLineChars="2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十四、</w:t>
      </w:r>
      <w:r>
        <w:rPr>
          <w:rFonts w:ascii="仿宋" w:hAnsi="仿宋" w:eastAsia="宋体" w:cs="宋体"/>
          <w:color w:val="000000"/>
          <w:kern w:val="0"/>
          <w:sz w:val="32"/>
          <w:szCs w:val="32"/>
        </w:rPr>
        <w:t xml:space="preserve">结余分配：指事业单位按规定对非财政拨款结余资金提取的专 用基金、缴纳的所得税和转入非财政拨款结余等。 </w:t>
      </w:r>
    </w:p>
    <w:p>
      <w:pPr>
        <w:widowControl/>
        <w:ind w:firstLine="640" w:firstLineChars="2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十五、</w:t>
      </w:r>
      <w:r>
        <w:rPr>
          <w:rFonts w:ascii="仿宋" w:hAnsi="仿宋" w:eastAsia="宋体" w:cs="宋体"/>
          <w:color w:val="000000"/>
          <w:kern w:val="0"/>
          <w:sz w:val="32"/>
          <w:szCs w:val="32"/>
        </w:rPr>
        <w:t xml:space="preserve">年末结转和结余资金：指本年度或以前年度预算安排、因客观 条件发生变化无法按原计划实施，需要延迟到以后年度按有关规定继续 使用的资金。 </w:t>
      </w:r>
    </w:p>
    <w:p>
      <w:pPr>
        <w:widowControl/>
        <w:ind w:firstLine="640" w:firstLineChars="2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十六、</w:t>
      </w:r>
      <w:r>
        <w:rPr>
          <w:rFonts w:ascii="仿宋" w:hAnsi="仿宋" w:eastAsia="宋体" w:cs="宋体"/>
          <w:color w:val="000000"/>
          <w:kern w:val="0"/>
          <w:sz w:val="32"/>
          <w:szCs w:val="32"/>
        </w:rPr>
        <w:t xml:space="preserve">基本支出：指为保障机构正常运转、完成日常工作任务而发生 的支出，包括人员经费和公用经费。 </w:t>
      </w:r>
    </w:p>
    <w:p>
      <w:pPr>
        <w:widowControl/>
        <w:ind w:firstLine="640" w:firstLineChars="200"/>
        <w:jc w:val="left"/>
        <w:rPr>
          <w:rFonts w:ascii="宋体" w:hAnsi="宋体" w:eastAsia="宋体" w:cs="宋体"/>
          <w:kern w:val="0"/>
          <w:sz w:val="24"/>
          <w:szCs w:val="24"/>
        </w:rPr>
      </w:pPr>
      <w:r>
        <w:rPr>
          <w:rFonts w:hint="eastAsia" w:ascii="仿宋" w:hAnsi="仿宋" w:eastAsia="宋体" w:cs="宋体"/>
          <w:color w:val="000000"/>
          <w:kern w:val="0"/>
          <w:sz w:val="32"/>
          <w:szCs w:val="32"/>
        </w:rPr>
        <w:t>十七、</w:t>
      </w:r>
      <w:r>
        <w:rPr>
          <w:rFonts w:ascii="仿宋" w:hAnsi="仿宋" w:eastAsia="宋体" w:cs="宋体"/>
          <w:color w:val="000000"/>
          <w:kern w:val="0"/>
          <w:sz w:val="32"/>
          <w:szCs w:val="32"/>
        </w:rPr>
        <w:t>项目支出：指在为完成特定的工作任务和事业发展目标所发生 的支出。</w:t>
      </w:r>
    </w:p>
    <w:p>
      <w:pPr>
        <w:widowControl/>
        <w:ind w:firstLine="640" w:firstLineChars="2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十八、</w:t>
      </w:r>
      <w:r>
        <w:rPr>
          <w:rFonts w:ascii="仿宋" w:hAnsi="仿宋" w:eastAsia="宋体" w:cs="宋体"/>
          <w:color w:val="000000"/>
          <w:kern w:val="0"/>
          <w:sz w:val="32"/>
          <w:szCs w:val="32"/>
        </w:rPr>
        <w:t xml:space="preserve">一般公共服务支出（类）政府办公厅（室）及相关机构事务（款） 行政运行（项）：反映行政单位（包括实行公务员管理的事业单位）的 基本 支出。 </w:t>
      </w:r>
    </w:p>
    <w:p>
      <w:pPr>
        <w:widowControl/>
        <w:ind w:firstLine="640" w:firstLineChars="2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十九、</w:t>
      </w:r>
      <w:r>
        <w:rPr>
          <w:rFonts w:ascii="仿宋" w:hAnsi="仿宋" w:eastAsia="宋体" w:cs="宋体"/>
          <w:color w:val="000000"/>
          <w:kern w:val="0"/>
          <w:sz w:val="32"/>
          <w:szCs w:val="32"/>
        </w:rPr>
        <w:t xml:space="preserve">一般公共服务支出（类）政府办公厅（室）及相关机构事务（款） 事业运行（项）：反映事业单位的基本支出，不包括行政单位（包括实 行公务 员管理的事业单位）后勤服务中心、医务室等附属事业单位。 </w:t>
      </w:r>
    </w:p>
    <w:p>
      <w:pPr>
        <w:widowControl/>
        <w:ind w:firstLine="640" w:firstLineChars="2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二十、</w:t>
      </w:r>
      <w:r>
        <w:rPr>
          <w:rFonts w:ascii="仿宋" w:hAnsi="仿宋" w:eastAsia="宋体" w:cs="宋体"/>
          <w:color w:val="000000"/>
          <w:kern w:val="0"/>
          <w:sz w:val="32"/>
          <w:szCs w:val="32"/>
        </w:rPr>
        <w:t xml:space="preserve">一般公共服务支出（类）政府办公厅（室）及相关机构事务（款） 其他政府办公厅（室）及相关机构事务支出（项）：反映除上述项目以 外的其他政府办公厅（室）及相关机构事 务支出。 </w:t>
      </w:r>
    </w:p>
    <w:p>
      <w:pPr>
        <w:widowControl/>
        <w:ind w:firstLine="640" w:firstLineChars="2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二十一、</w:t>
      </w:r>
      <w:r>
        <w:rPr>
          <w:rFonts w:ascii="仿宋" w:hAnsi="仿宋" w:eastAsia="宋体" w:cs="宋体"/>
          <w:color w:val="000000"/>
          <w:kern w:val="0"/>
          <w:sz w:val="32"/>
          <w:szCs w:val="32"/>
        </w:rPr>
        <w:t xml:space="preserve">社会保障和就业支出（类）行政事业单位养老支出（款）机关 事业单位基本养老保险缴费支出（项）：反映机关事业单位实施养老保 险制度由单位缴纳的基本养老保险费支出。 </w:t>
      </w:r>
    </w:p>
    <w:p>
      <w:pPr>
        <w:widowControl/>
        <w:ind w:firstLine="640" w:firstLineChars="200"/>
        <w:jc w:val="left"/>
        <w:rPr>
          <w:rFonts w:hint="eastAsia" w:ascii="仿宋" w:hAnsi="仿宋" w:eastAsia="宋体" w:cs="宋体"/>
          <w:color w:val="000000"/>
          <w:kern w:val="0"/>
          <w:sz w:val="32"/>
          <w:szCs w:val="32"/>
        </w:rPr>
      </w:pPr>
      <w:r>
        <w:rPr>
          <w:rFonts w:hint="eastAsia" w:ascii="仿宋" w:hAnsi="仿宋" w:eastAsia="宋体" w:cs="宋体"/>
          <w:color w:val="000000"/>
          <w:kern w:val="0"/>
          <w:sz w:val="32"/>
          <w:szCs w:val="32"/>
        </w:rPr>
        <w:t>二十二、</w:t>
      </w:r>
      <w:r>
        <w:rPr>
          <w:rFonts w:ascii="仿宋" w:hAnsi="仿宋" w:eastAsia="宋体" w:cs="宋体"/>
          <w:color w:val="000000"/>
          <w:kern w:val="0"/>
          <w:sz w:val="32"/>
          <w:szCs w:val="32"/>
        </w:rPr>
        <w:t xml:space="preserve">卫生健康支出（类）行政事业单位医疗（款）事业单位医疗（项）： 反映财政部门安排的事业单位基本医疗保险缴费经费，未参 加医疗保 险的事业单位的公费医疗经费，按国家规定享受离休 人员待遇的医疗 经费。 </w:t>
      </w:r>
    </w:p>
    <w:p>
      <w:pPr>
        <w:widowControl/>
        <w:ind w:firstLine="640" w:firstLineChars="200"/>
        <w:jc w:val="left"/>
        <w:rPr>
          <w:rFonts w:eastAsia="黑体" w:cs="黑体" w:asciiTheme="minorEastAsia" w:hAnsiTheme="minorEastAsia"/>
          <w:color w:val="000000"/>
          <w:kern w:val="0"/>
          <w:sz w:val="28"/>
          <w:szCs w:val="32"/>
        </w:rPr>
      </w:pPr>
      <w:r>
        <w:rPr>
          <w:rFonts w:hint="eastAsia" w:ascii="仿宋" w:hAnsi="仿宋" w:eastAsia="宋体" w:cs="宋体"/>
          <w:color w:val="000000"/>
          <w:kern w:val="0"/>
          <w:sz w:val="32"/>
          <w:szCs w:val="32"/>
        </w:rPr>
        <w:t>二十三、</w:t>
      </w:r>
      <w:r>
        <w:rPr>
          <w:rFonts w:ascii="仿宋" w:hAnsi="仿宋" w:eastAsia="宋体" w:cs="宋体"/>
          <w:color w:val="000000"/>
          <w:kern w:val="0"/>
          <w:sz w:val="32"/>
          <w:szCs w:val="32"/>
        </w:rPr>
        <w:t>资源勘探工业信息等支出（类）制造业（款）其他制造业支出 （项）：反映除上述项目以外其他用于制造业方面的支出。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jc w:val="center"/>
        <w:rPr>
          <w:rFonts w:ascii="仿宋" w:hAnsi="仿宋" w:eastAsia="仿宋" w:cs="仿宋"/>
          <w:b/>
          <w:bCs/>
          <w:sz w:val="36"/>
          <w:szCs w:val="36"/>
        </w:rPr>
      </w:pPr>
      <w:r>
        <w:rPr>
          <w:rFonts w:hint="eastAsia" w:ascii="仿宋" w:hAnsi="仿宋" w:eastAsia="仿宋" w:cs="仿宋"/>
          <w:b/>
          <w:bCs/>
          <w:sz w:val="36"/>
          <w:szCs w:val="36"/>
        </w:rPr>
        <w:t>2021年度道县高新材料产业园管理委员会</w:t>
      </w:r>
    </w:p>
    <w:p>
      <w:pPr>
        <w:jc w:val="center"/>
        <w:rPr>
          <w:rFonts w:ascii="仿宋" w:hAnsi="仿宋" w:eastAsia="仿宋" w:cs="仿宋"/>
          <w:b/>
          <w:bCs/>
          <w:sz w:val="36"/>
          <w:szCs w:val="36"/>
        </w:rPr>
      </w:pPr>
      <w:r>
        <w:rPr>
          <w:rFonts w:hint="eastAsia" w:ascii="仿宋" w:hAnsi="仿宋" w:eastAsia="仿宋" w:cs="仿宋"/>
          <w:b/>
          <w:bCs/>
          <w:sz w:val="36"/>
          <w:szCs w:val="36"/>
        </w:rPr>
        <w:t>绩效评价报告</w:t>
      </w:r>
    </w:p>
    <w:p>
      <w:pPr>
        <w:jc w:val="center"/>
        <w:rPr>
          <w:rFonts w:ascii="仿宋" w:hAnsi="仿宋" w:eastAsia="仿宋" w:cs="仿宋"/>
          <w:b/>
          <w:bCs/>
          <w:sz w:val="36"/>
          <w:szCs w:val="36"/>
        </w:rPr>
      </w:pPr>
    </w:p>
    <w:p>
      <w:pPr>
        <w:numPr>
          <w:ilvl w:val="0"/>
          <w:numId w:val="2"/>
        </w:numPr>
        <w:jc w:val="left"/>
        <w:rPr>
          <w:rFonts w:ascii="仿宋" w:hAnsi="仿宋" w:eastAsia="仿宋" w:cs="仿宋"/>
          <w:b/>
          <w:bCs/>
          <w:sz w:val="32"/>
          <w:szCs w:val="32"/>
        </w:rPr>
      </w:pPr>
      <w:r>
        <w:rPr>
          <w:rFonts w:hint="eastAsia" w:ascii="仿宋" w:hAnsi="仿宋" w:eastAsia="仿宋" w:cs="仿宋"/>
          <w:b/>
          <w:bCs/>
          <w:sz w:val="32"/>
          <w:szCs w:val="32"/>
        </w:rPr>
        <w:t>基本情况</w:t>
      </w:r>
    </w:p>
    <w:p>
      <w:pPr>
        <w:jc w:val="left"/>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（一）部门（单位）基本情况　　　　</w:t>
      </w:r>
    </w:p>
    <w:p>
      <w:pPr>
        <w:widowControl/>
        <w:spacing w:line="600" w:lineRule="exact"/>
        <w:ind w:firstLine="627" w:firstLineChars="196"/>
        <w:rPr>
          <w:rFonts w:ascii="仿宋" w:hAnsi="仿宋" w:eastAsia="仿宋" w:cs="仿宋"/>
          <w:sz w:val="32"/>
          <w:szCs w:val="32"/>
        </w:rPr>
      </w:pPr>
      <w:r>
        <w:rPr>
          <w:rFonts w:hint="eastAsia" w:ascii="仿宋" w:hAnsi="仿宋" w:eastAsia="仿宋" w:cs="仿宋"/>
          <w:sz w:val="32"/>
          <w:szCs w:val="32"/>
        </w:rPr>
        <w:t xml:space="preserve">   道县高新材料产业园单位性质为全额拨款事业单位，经费实行预算管理，经费来源为县财政全额拨款。我单位核定编制7名，实有人员8人。现有内设机构3个，分别为综合办公室、招商股、基建股。</w:t>
      </w:r>
    </w:p>
    <w:p>
      <w:pPr>
        <w:widowControl/>
        <w:spacing w:line="600" w:lineRule="exact"/>
        <w:ind w:firstLine="627" w:firstLineChars="196"/>
        <w:rPr>
          <w:rFonts w:ascii="仿宋" w:hAnsi="仿宋" w:eastAsia="仿宋" w:cs="仿宋"/>
          <w:sz w:val="32"/>
          <w:szCs w:val="32"/>
        </w:rPr>
      </w:pPr>
      <w:r>
        <w:rPr>
          <w:rFonts w:hint="eastAsia" w:ascii="仿宋" w:hAnsi="仿宋" w:eastAsia="仿宋" w:cs="仿宋"/>
          <w:sz w:val="32"/>
          <w:szCs w:val="32"/>
        </w:rPr>
        <w:t>本单位主要工作职责是：</w:t>
      </w:r>
    </w:p>
    <w:p>
      <w:pPr>
        <w:widowControl/>
        <w:spacing w:line="600" w:lineRule="exact"/>
        <w:ind w:firstLine="627" w:firstLineChars="196"/>
        <w:rPr>
          <w:rFonts w:ascii="仿宋" w:hAnsi="仿宋" w:eastAsia="仿宋" w:cs="Times New Roman"/>
          <w:sz w:val="32"/>
          <w:szCs w:val="32"/>
        </w:rPr>
      </w:pPr>
      <w:r>
        <w:rPr>
          <w:rFonts w:hint="eastAsia" w:ascii="仿宋" w:hAnsi="仿宋" w:eastAsia="仿宋" w:cs="Times New Roman"/>
          <w:sz w:val="32"/>
          <w:szCs w:val="32"/>
        </w:rPr>
        <w:t>1.依据国家法律、法规和有关规定，组织编制园区发展规划、建设规划等，经批准后组织实施；</w:t>
      </w:r>
    </w:p>
    <w:p>
      <w:pPr>
        <w:widowControl/>
        <w:spacing w:line="600" w:lineRule="exact"/>
        <w:ind w:firstLine="627" w:firstLineChars="196"/>
        <w:rPr>
          <w:rFonts w:ascii="仿宋" w:hAnsi="仿宋" w:eastAsia="仿宋" w:cs="Times New Roman"/>
          <w:sz w:val="32"/>
          <w:szCs w:val="32"/>
        </w:rPr>
      </w:pPr>
      <w:r>
        <w:rPr>
          <w:rFonts w:hint="eastAsia" w:ascii="仿宋" w:hAnsi="仿宋" w:eastAsia="仿宋" w:cs="Times New Roman"/>
          <w:sz w:val="32"/>
          <w:szCs w:val="32"/>
        </w:rPr>
        <w:t>2.负责园区的财政、国有资产、招商引资、环境保护、劳动人事、统计等管理工作和日常事务；</w:t>
      </w:r>
    </w:p>
    <w:p>
      <w:pPr>
        <w:widowControl/>
        <w:spacing w:line="600" w:lineRule="exact"/>
        <w:ind w:firstLine="627" w:firstLineChars="196"/>
        <w:rPr>
          <w:rFonts w:ascii="仿宋" w:hAnsi="仿宋" w:eastAsia="仿宋" w:cs="Times New Roman"/>
          <w:sz w:val="32"/>
          <w:szCs w:val="32"/>
        </w:rPr>
      </w:pPr>
      <w:r>
        <w:rPr>
          <w:rFonts w:hint="eastAsia" w:ascii="仿宋" w:hAnsi="仿宋" w:eastAsia="仿宋" w:cs="Times New Roman"/>
          <w:sz w:val="32"/>
          <w:szCs w:val="32"/>
        </w:rPr>
        <w:t>3.负责园区的建设、房产管理工作和基础设施、公用设施项目的建设和维护；</w:t>
      </w:r>
    </w:p>
    <w:p>
      <w:pPr>
        <w:widowControl/>
        <w:spacing w:line="600" w:lineRule="exact"/>
        <w:ind w:firstLine="627" w:firstLineChars="196"/>
        <w:rPr>
          <w:rFonts w:ascii="仿宋" w:hAnsi="仿宋" w:eastAsia="仿宋" w:cs="Times New Roman"/>
          <w:sz w:val="32"/>
          <w:szCs w:val="32"/>
        </w:rPr>
      </w:pPr>
      <w:r>
        <w:rPr>
          <w:rFonts w:hint="eastAsia" w:ascii="仿宋" w:hAnsi="仿宋" w:eastAsia="仿宋" w:cs="Times New Roman"/>
          <w:sz w:val="32"/>
          <w:szCs w:val="32"/>
        </w:rPr>
        <w:t>4.按照规定权限审批、审核或申报园区内投资项目；</w:t>
      </w:r>
    </w:p>
    <w:p>
      <w:pPr>
        <w:widowControl/>
        <w:spacing w:line="600" w:lineRule="exact"/>
        <w:ind w:firstLine="627" w:firstLineChars="196"/>
        <w:rPr>
          <w:rFonts w:ascii="仿宋" w:hAnsi="仿宋" w:eastAsia="仿宋" w:cs="Times New Roman"/>
          <w:sz w:val="32"/>
          <w:szCs w:val="32"/>
        </w:rPr>
      </w:pPr>
      <w:r>
        <w:rPr>
          <w:rFonts w:hint="eastAsia" w:ascii="仿宋" w:hAnsi="仿宋" w:eastAsia="仿宋" w:cs="Times New Roman"/>
          <w:sz w:val="32"/>
          <w:szCs w:val="32"/>
        </w:rPr>
        <w:t>5.制定园区的各项管理规章和工作制度；</w:t>
      </w:r>
    </w:p>
    <w:p>
      <w:pPr>
        <w:widowControl/>
        <w:spacing w:line="600" w:lineRule="exact"/>
        <w:ind w:firstLine="627" w:firstLineChars="196"/>
        <w:rPr>
          <w:rFonts w:ascii="仿宋" w:hAnsi="仿宋" w:eastAsia="仿宋" w:cs="Times New Roman"/>
          <w:sz w:val="32"/>
          <w:szCs w:val="32"/>
        </w:rPr>
      </w:pPr>
      <w:r>
        <w:rPr>
          <w:rFonts w:hint="eastAsia" w:ascii="仿宋" w:hAnsi="仿宋" w:eastAsia="仿宋" w:cs="Times New Roman"/>
          <w:sz w:val="32"/>
          <w:szCs w:val="32"/>
        </w:rPr>
        <w:t>6.</w:t>
      </w:r>
      <w:r>
        <w:rPr>
          <w:rFonts w:ascii="仿宋" w:hAnsi="仿宋" w:eastAsia="仿宋" w:cs="Times New Roman"/>
          <w:sz w:val="32"/>
          <w:szCs w:val="32"/>
        </w:rPr>
        <w:t>设立具备独立法人资格的经济开发实体进行招商开发和从事其他经济活动</w:t>
      </w:r>
      <w:r>
        <w:rPr>
          <w:rFonts w:hint="eastAsia" w:ascii="仿宋" w:hAnsi="仿宋" w:eastAsia="仿宋" w:cs="Times New Roman"/>
          <w:sz w:val="32"/>
          <w:szCs w:val="32"/>
        </w:rPr>
        <w:t>。</w:t>
      </w:r>
    </w:p>
    <w:p>
      <w:pPr>
        <w:widowControl/>
        <w:spacing w:line="600" w:lineRule="exact"/>
        <w:ind w:firstLine="627" w:firstLineChars="196"/>
        <w:rPr>
          <w:rFonts w:ascii="仿宋" w:hAnsi="仿宋" w:eastAsia="仿宋" w:cs="Times New Roman"/>
          <w:sz w:val="32"/>
          <w:szCs w:val="32"/>
        </w:rPr>
      </w:pPr>
      <w:r>
        <w:rPr>
          <w:rFonts w:hint="eastAsia" w:ascii="仿宋" w:hAnsi="仿宋" w:eastAsia="仿宋" w:cs="Times New Roman"/>
          <w:sz w:val="32"/>
          <w:szCs w:val="32"/>
        </w:rPr>
        <w:t>7.</w:t>
      </w:r>
      <w:r>
        <w:rPr>
          <w:rFonts w:ascii="仿宋" w:hAnsi="仿宋" w:eastAsia="仿宋" w:cs="Times New Roman"/>
          <w:sz w:val="32"/>
          <w:szCs w:val="32"/>
        </w:rPr>
        <w:t xml:space="preserve"> </w:t>
      </w:r>
      <w:r>
        <w:rPr>
          <w:rFonts w:hint="eastAsia" w:ascii="仿宋" w:hAnsi="仿宋" w:eastAsia="仿宋" w:cs="Times New Roman"/>
          <w:sz w:val="32"/>
          <w:szCs w:val="32"/>
        </w:rPr>
        <w:t>县委、县政府的领导下，统一领导和管理开发区区域范围内的经济和社会事务，协调处理开发区建设过程中所遇的各类矛盾和问题。</w:t>
      </w:r>
    </w:p>
    <w:p>
      <w:pPr>
        <w:widowControl/>
        <w:spacing w:line="600" w:lineRule="exact"/>
        <w:ind w:firstLine="627" w:firstLineChars="196"/>
        <w:rPr>
          <w:rFonts w:ascii="仿宋" w:hAnsi="仿宋" w:eastAsia="仿宋" w:cs="Times New Roman"/>
          <w:sz w:val="32"/>
          <w:szCs w:val="32"/>
        </w:rPr>
      </w:pPr>
      <w:r>
        <w:rPr>
          <w:rFonts w:hint="eastAsia" w:ascii="仿宋" w:hAnsi="仿宋" w:eastAsia="仿宋" w:cs="Times New Roman"/>
          <w:sz w:val="32"/>
          <w:szCs w:val="32"/>
        </w:rPr>
        <w:t>8.负责做好开发区内的招商引资及入驻企业的服务工作。</w:t>
      </w:r>
    </w:p>
    <w:p>
      <w:pPr>
        <w:ind w:firstLine="640" w:firstLineChars="200"/>
        <w:jc w:val="left"/>
        <w:rPr>
          <w:rFonts w:ascii="仿宋" w:hAnsi="仿宋" w:eastAsia="仿宋" w:cs="仿宋"/>
          <w:sz w:val="32"/>
          <w:szCs w:val="32"/>
        </w:rPr>
      </w:pPr>
      <w:r>
        <w:rPr>
          <w:rFonts w:hint="eastAsia" w:ascii="仿宋" w:hAnsi="仿宋" w:eastAsia="仿宋" w:cs="Times New Roman"/>
          <w:sz w:val="32"/>
          <w:szCs w:val="32"/>
        </w:rPr>
        <w:t>9.行使县委、县政府授予的其他职权。</w:t>
      </w:r>
      <w:r>
        <w:rPr>
          <w:rFonts w:hint="eastAsia" w:ascii="仿宋" w:hAnsi="仿宋" w:eastAsia="仿宋" w:cs="仿宋"/>
          <w:sz w:val="32"/>
          <w:szCs w:val="32"/>
        </w:rPr>
        <w:t xml:space="preserve"> </w:t>
      </w:r>
    </w:p>
    <w:p>
      <w:pPr>
        <w:jc w:val="left"/>
        <w:rPr>
          <w:rFonts w:ascii="仿宋" w:hAnsi="仿宋" w:eastAsia="仿宋" w:cs="仿宋"/>
          <w:sz w:val="32"/>
          <w:szCs w:val="32"/>
        </w:rPr>
      </w:pPr>
      <w:r>
        <w:rPr>
          <w:rFonts w:hint="eastAsia" w:ascii="仿宋" w:hAnsi="仿宋" w:eastAsia="仿宋" w:cs="仿宋"/>
          <w:sz w:val="32"/>
          <w:szCs w:val="32"/>
        </w:rPr>
        <w:t xml:space="preserve">   （二）部门（单位）年度整体支出绩效目标，省级专项资金绩效目标、其他项目支出（除省级专项资金以外）绩效目标。</w:t>
      </w:r>
    </w:p>
    <w:p>
      <w:pPr>
        <w:jc w:val="left"/>
        <w:rPr>
          <w:rFonts w:ascii="仿宋" w:hAnsi="仿宋" w:eastAsia="仿宋" w:cs="仿宋"/>
          <w:sz w:val="32"/>
          <w:szCs w:val="32"/>
        </w:rPr>
      </w:pPr>
      <w:r>
        <w:rPr>
          <w:rFonts w:hint="eastAsia" w:ascii="仿宋" w:hAnsi="仿宋" w:eastAsia="仿宋" w:cs="仿宋"/>
          <w:sz w:val="32"/>
          <w:szCs w:val="32"/>
        </w:rPr>
        <w:t xml:space="preserve">  1.整体支出绩效目标。</w:t>
      </w:r>
    </w:p>
    <w:p>
      <w:pPr>
        <w:jc w:val="left"/>
        <w:rPr>
          <w:rFonts w:ascii="仿宋" w:hAnsi="仿宋" w:eastAsia="仿宋" w:cs="仿宋"/>
          <w:sz w:val="32"/>
          <w:szCs w:val="32"/>
        </w:rPr>
      </w:pPr>
      <w:r>
        <w:rPr>
          <w:rFonts w:hint="eastAsia" w:ascii="仿宋" w:hAnsi="仿宋" w:eastAsia="仿宋" w:cs="仿宋"/>
          <w:sz w:val="32"/>
          <w:szCs w:val="32"/>
        </w:rPr>
        <w:t xml:space="preserve">    目标1：新增固定资产投资2000万元以上；园区内企业完成税收600万以上，安排就业人数350人。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目标2：100%处理好园区内企业与当地政府和农民的各种矛盾纠纷。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目标3：园区规模企业增加值占规模工业增加值比重90%以上。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目标4：完成县委政府交办或下达的工作任务</w:t>
      </w:r>
    </w:p>
    <w:p>
      <w:pPr>
        <w:jc w:val="left"/>
        <w:rPr>
          <w:rFonts w:ascii="仿宋" w:hAnsi="仿宋" w:eastAsia="仿宋" w:cs="仿宋"/>
          <w:sz w:val="32"/>
          <w:szCs w:val="32"/>
        </w:rPr>
      </w:pPr>
      <w:r>
        <w:rPr>
          <w:rFonts w:hint="eastAsia" w:ascii="仿宋" w:hAnsi="仿宋" w:eastAsia="仿宋" w:cs="仿宋"/>
          <w:sz w:val="32"/>
          <w:szCs w:val="32"/>
        </w:rPr>
        <w:t xml:space="preserve">   2.其他项目支出（除省级专项资金以外）绩效目标</w:t>
      </w:r>
    </w:p>
    <w:p>
      <w:pPr>
        <w:jc w:val="left"/>
        <w:rPr>
          <w:rFonts w:ascii="仿宋" w:hAnsi="仿宋" w:eastAsia="仿宋" w:cs="仿宋"/>
          <w:sz w:val="32"/>
          <w:szCs w:val="32"/>
        </w:rPr>
      </w:pPr>
      <w:r>
        <w:rPr>
          <w:rFonts w:hint="eastAsia" w:ascii="仿宋" w:hAnsi="仿宋" w:eastAsia="仿宋" w:cs="仿宋"/>
          <w:sz w:val="32"/>
          <w:szCs w:val="32"/>
        </w:rPr>
        <w:t xml:space="preserve">    本单位2021年无其他项目支出。</w:t>
      </w:r>
    </w:p>
    <w:p>
      <w:pPr>
        <w:jc w:val="left"/>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二、一般公共预算支出情况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（一）基本支出情况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　2021年度财政拨款基本支出81.26万元，其中：人员经费63.02万元，占基本支出的77.55%,主要包括基本工资28.88万元、绩效工资18.12万元、奖金4.8万元、机关事业单位基本养老保险缴费7.25万元、职工医疗保险3.97万元；公用经费18.24万元，占基本支出的22.45%，主要包括办公费1.55万元、电费0.70万元、邮电费0.2万元、差旅费2.07万元、维护费0.17万元、培训费0.23万元、公务接待费3.4万元、劳务费0.09万元、工会经费2万元、其他交通费用4.59万元、其他商品和服务支出1.94万元。</w:t>
      </w:r>
    </w:p>
    <w:p>
      <w:pPr>
        <w:numPr>
          <w:ilvl w:val="0"/>
          <w:numId w:val="3"/>
        </w:numPr>
        <w:ind w:firstLine="640" w:firstLineChars="200"/>
        <w:jc w:val="left"/>
        <w:rPr>
          <w:rFonts w:ascii="仿宋" w:hAnsi="仿宋" w:eastAsia="仿宋" w:cs="仿宋"/>
          <w:sz w:val="32"/>
          <w:szCs w:val="32"/>
        </w:rPr>
      </w:pPr>
      <w:r>
        <w:rPr>
          <w:rFonts w:hint="eastAsia" w:ascii="仿宋" w:hAnsi="仿宋" w:eastAsia="仿宋" w:cs="仿宋"/>
          <w:sz w:val="32"/>
          <w:szCs w:val="32"/>
        </w:rPr>
        <w:t>项目支出情况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本单位2021年无项目支出。</w:t>
      </w:r>
    </w:p>
    <w:p>
      <w:pPr>
        <w:numPr>
          <w:ilvl w:val="0"/>
          <w:numId w:val="4"/>
        </w:numPr>
        <w:ind w:firstLine="640" w:firstLineChars="200"/>
        <w:jc w:val="left"/>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本单位2021年无政府性基金预算支出。</w:t>
      </w:r>
    </w:p>
    <w:p>
      <w:pPr>
        <w:numPr>
          <w:ilvl w:val="0"/>
          <w:numId w:val="5"/>
        </w:numPr>
        <w:ind w:firstLine="640" w:firstLineChars="200"/>
        <w:jc w:val="left"/>
        <w:rPr>
          <w:rFonts w:ascii="仿宋" w:hAnsi="仿宋" w:eastAsia="仿宋" w:cs="仿宋"/>
          <w:b/>
          <w:bCs/>
          <w:sz w:val="32"/>
          <w:szCs w:val="32"/>
        </w:rPr>
      </w:pPr>
      <w:r>
        <w:rPr>
          <w:rFonts w:hint="eastAsia" w:ascii="仿宋" w:hAnsi="仿宋" w:eastAsia="仿宋" w:cs="仿宋"/>
          <w:b/>
          <w:bCs/>
          <w:sz w:val="32"/>
          <w:szCs w:val="32"/>
        </w:rPr>
        <w:t>国有资本经营预算支出情况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本单位2021年度无涉及国有资本经营的预算支出。</w:t>
      </w:r>
    </w:p>
    <w:p>
      <w:pPr>
        <w:numPr>
          <w:ilvl w:val="0"/>
          <w:numId w:val="6"/>
        </w:numPr>
        <w:ind w:firstLine="640" w:firstLineChars="200"/>
        <w:jc w:val="left"/>
        <w:rPr>
          <w:rFonts w:ascii="仿宋" w:hAnsi="仿宋" w:eastAsia="仿宋" w:cs="仿宋"/>
          <w:b/>
          <w:bCs/>
          <w:sz w:val="32"/>
          <w:szCs w:val="32"/>
        </w:rPr>
      </w:pPr>
      <w:r>
        <w:rPr>
          <w:rFonts w:hint="eastAsia" w:ascii="仿宋" w:hAnsi="仿宋" w:eastAsia="仿宋" w:cs="仿宋"/>
          <w:b/>
          <w:bCs/>
          <w:sz w:val="32"/>
          <w:szCs w:val="32"/>
        </w:rPr>
        <w:t>社会保险基金预算支出情况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本单位2021年度无涉及社会保险基金预算支出。</w:t>
      </w:r>
    </w:p>
    <w:p>
      <w:pPr>
        <w:numPr>
          <w:ilvl w:val="0"/>
          <w:numId w:val="7"/>
        </w:numPr>
        <w:ind w:firstLine="640" w:firstLineChars="200"/>
        <w:jc w:val="left"/>
        <w:rPr>
          <w:rFonts w:ascii="仿宋" w:hAnsi="仿宋" w:eastAsia="仿宋" w:cs="仿宋"/>
          <w:b/>
          <w:bCs/>
          <w:sz w:val="32"/>
          <w:szCs w:val="32"/>
        </w:rPr>
      </w:pPr>
      <w:r>
        <w:rPr>
          <w:rFonts w:hint="eastAsia" w:ascii="仿宋" w:hAnsi="仿宋" w:eastAsia="仿宋" w:cs="仿宋"/>
          <w:b/>
          <w:bCs/>
          <w:sz w:val="32"/>
          <w:szCs w:val="32"/>
        </w:rPr>
        <w:t>部门整体支出绩效情况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是招商引资工作扎实推进，全年联系投资意向的企业6户，达成协议2户。二是园区建设稳步推进，实现项目技术改造3个，完成投资6千万元；在建项目纳米氧化镁恢复建设，主要设备基本到位；园区空间规划、产业规划、建设规划通过省级评审，为园区建设奠定了基础。三是园区环保工作，全年完成环境整改项目近340多个，投资近600万元，全面完成”夏季攻势”整改目标、完成中央环保督查交办的案件整改任务及涉铊企业专项整治目标，并通过省级验收。四是企业安全生产全面升级，逐个企业通过补缺口、办实事、炼内功，完成整改项目200余个，企业“三同时”安全验收、现场安全评价获验收通过，全年末出现安全事故，全年安全事故率为零，全面超额完成安全生产目标。五是园区经济效益快速提升，全年园区企业实现税收突破3500万元，较上年增长300%以上，其中华鑫冶炼实现税收超2000万元，实现历史性实破，进入县域纳税大户前列。六是党史学习教育、疫情防控、社会治安综合治理、新农村建设驻点、文明县城等创建活动等各项工作都完成了任务。</w:t>
      </w:r>
    </w:p>
    <w:p>
      <w:pPr>
        <w:ind w:firstLine="640" w:firstLineChars="200"/>
        <w:jc w:val="left"/>
        <w:rPr>
          <w:rFonts w:ascii="仿宋" w:hAnsi="仿宋" w:eastAsia="仿宋" w:cs="仿宋"/>
          <w:b/>
          <w:bCs/>
          <w:sz w:val="32"/>
          <w:szCs w:val="32"/>
        </w:rPr>
      </w:pPr>
      <w:r>
        <w:rPr>
          <w:rFonts w:hint="eastAsia" w:ascii="仿宋" w:hAnsi="仿宋" w:eastAsia="仿宋" w:cs="仿宋"/>
          <w:b/>
          <w:bCs/>
          <w:sz w:val="32"/>
          <w:szCs w:val="32"/>
        </w:rPr>
        <w:t>七、存在的问题及原因分析</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1.2021年公务接待支出大于年初预算数，主要原因是本年度来道县考察项目的企业增加。</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2.新增固定资产少于预期，只要是受疫情影响，新增固定资产投资的企业减少。</w:t>
      </w:r>
    </w:p>
    <w:p>
      <w:pPr>
        <w:numPr>
          <w:ilvl w:val="0"/>
          <w:numId w:val="8"/>
        </w:numPr>
        <w:ind w:firstLine="640" w:firstLineChars="200"/>
        <w:jc w:val="left"/>
        <w:rPr>
          <w:rFonts w:ascii="仿宋" w:hAnsi="仿宋" w:eastAsia="仿宋" w:cs="仿宋"/>
          <w:b/>
          <w:bCs/>
          <w:sz w:val="32"/>
          <w:szCs w:val="32"/>
        </w:rPr>
      </w:pPr>
      <w:r>
        <w:rPr>
          <w:rFonts w:hint="eastAsia" w:ascii="仿宋" w:hAnsi="仿宋" w:eastAsia="仿宋" w:cs="仿宋"/>
          <w:b/>
          <w:bCs/>
          <w:sz w:val="32"/>
          <w:szCs w:val="32"/>
        </w:rPr>
        <w:t>下一步改进措施</w:t>
      </w:r>
    </w:p>
    <w:p>
      <w:pPr>
        <w:ind w:firstLine="640" w:firstLineChars="200"/>
        <w:jc w:val="left"/>
        <w:rPr>
          <w:rFonts w:ascii="仿宋" w:hAnsi="仿宋" w:eastAsia="仿宋" w:cs="仿宋"/>
          <w:sz w:val="32"/>
          <w:szCs w:val="32"/>
        </w:rPr>
      </w:pPr>
      <w:r>
        <w:rPr>
          <w:rFonts w:ascii="仿宋" w:hAnsi="仿宋" w:eastAsia="仿宋" w:cs="仿宋"/>
          <w:sz w:val="32"/>
          <w:szCs w:val="32"/>
        </w:rPr>
        <w:t>（一）加强财务人员业务知识学习及培训。定期参与财政局组织</w:t>
      </w:r>
      <w:r>
        <w:rPr>
          <w:rFonts w:hint="eastAsia" w:ascii="仿宋" w:hAnsi="仿宋" w:eastAsia="仿宋" w:cs="仿宋"/>
          <w:sz w:val="32"/>
          <w:szCs w:val="32"/>
        </w:rPr>
        <w:t>的</w:t>
      </w:r>
      <w:r>
        <w:rPr>
          <w:rFonts w:ascii="仿宋" w:hAnsi="仿宋" w:eastAsia="仿宋" w:cs="仿宋"/>
          <w:sz w:val="32"/>
          <w:szCs w:val="32"/>
        </w:rPr>
        <w:t>培训会，提高业务水平，确保财务日常工作的正常运行。</w:t>
      </w:r>
    </w:p>
    <w:p>
      <w:pPr>
        <w:ind w:firstLine="640" w:firstLineChars="200"/>
        <w:jc w:val="left"/>
        <w:rPr>
          <w:rFonts w:ascii="仿宋" w:hAnsi="仿宋" w:eastAsia="仿宋" w:cs="仿宋"/>
          <w:sz w:val="32"/>
          <w:szCs w:val="32"/>
        </w:rPr>
      </w:pPr>
      <w:r>
        <w:rPr>
          <w:rFonts w:ascii="仿宋" w:hAnsi="仿宋" w:eastAsia="仿宋" w:cs="仿宋"/>
          <w:sz w:val="32"/>
          <w:szCs w:val="32"/>
        </w:rPr>
        <w:t>（二）明确责任主体。按照谁支出、谁负责，谁审批、谁负责的原则，明确资金使用</w:t>
      </w:r>
      <w:r>
        <w:rPr>
          <w:rFonts w:hint="eastAsia" w:ascii="仿宋" w:hAnsi="仿宋" w:eastAsia="仿宋" w:cs="仿宋"/>
          <w:sz w:val="32"/>
          <w:szCs w:val="32"/>
        </w:rPr>
        <w:t>股室</w:t>
      </w:r>
      <w:r>
        <w:rPr>
          <w:rFonts w:ascii="仿宋" w:hAnsi="仿宋" w:eastAsia="仿宋" w:cs="仿宋"/>
          <w:sz w:val="32"/>
          <w:szCs w:val="32"/>
        </w:rPr>
        <w:t>是本单位绩效管理的第一责任人；</w:t>
      </w:r>
      <w:r>
        <w:rPr>
          <w:rFonts w:hint="eastAsia" w:ascii="仿宋" w:hAnsi="仿宋" w:eastAsia="仿宋" w:cs="仿宋"/>
          <w:sz w:val="32"/>
          <w:szCs w:val="32"/>
        </w:rPr>
        <w:t>各股室</w:t>
      </w:r>
      <w:r>
        <w:rPr>
          <w:rFonts w:ascii="仿宋" w:hAnsi="仿宋" w:eastAsia="仿宋" w:cs="仿宋"/>
          <w:sz w:val="32"/>
          <w:szCs w:val="32"/>
        </w:rPr>
        <w:t>负责加强本部门绩效目标和绩效自评结果的审核；</w:t>
      </w:r>
      <w:r>
        <w:rPr>
          <w:rFonts w:hint="eastAsia" w:ascii="仿宋" w:hAnsi="仿宋" w:eastAsia="仿宋" w:cs="仿宋"/>
          <w:sz w:val="32"/>
          <w:szCs w:val="32"/>
        </w:rPr>
        <w:t>财务人员</w:t>
      </w:r>
      <w:r>
        <w:rPr>
          <w:rFonts w:ascii="仿宋" w:hAnsi="仿宋" w:eastAsia="仿宋" w:cs="仿宋"/>
          <w:sz w:val="32"/>
          <w:szCs w:val="32"/>
        </w:rPr>
        <w:t>负责组织和指导绩效管理，并对重点项目开展财政绩效监控和财政绩效评价。要大力倡导预算绩效管理理念，切实加强舆论宣传引导，切实营造出“花钱必问效，无效必问责”的良好氛围。</w:t>
      </w:r>
    </w:p>
    <w:p>
      <w:pPr>
        <w:ind w:firstLine="640" w:firstLineChars="200"/>
        <w:jc w:val="left"/>
        <w:rPr>
          <w:rFonts w:ascii="仿宋" w:hAnsi="仿宋" w:eastAsia="仿宋" w:cs="仿宋"/>
          <w:b/>
          <w:bCs/>
          <w:sz w:val="32"/>
          <w:szCs w:val="32"/>
        </w:rPr>
      </w:pPr>
      <w:r>
        <w:rPr>
          <w:rFonts w:hint="eastAsia" w:ascii="仿宋" w:hAnsi="仿宋" w:eastAsia="仿宋" w:cs="仿宋"/>
          <w:b/>
          <w:bCs/>
          <w:sz w:val="32"/>
          <w:szCs w:val="32"/>
        </w:rPr>
        <w:t>九、绩效自评结果拟应用和公开情况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本年度绩效自评结果为89分。按财政局有关规定在政府网站公开。</w:t>
      </w:r>
    </w:p>
    <w:p>
      <w:pPr>
        <w:adjustRightInd w:val="0"/>
        <w:snapToGrid w:val="0"/>
        <w:spacing w:line="600" w:lineRule="exact"/>
        <w:ind w:firstLine="640" w:firstLineChars="200"/>
        <w:rPr>
          <w:rFonts w:ascii="仿宋" w:hAnsi="仿宋" w:eastAsia="仿宋"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微软雅黑"/>
    <w:panose1 w:val="00000000000000000000"/>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CC40FA"/>
    <w:multiLevelType w:val="singleLevel"/>
    <w:tmpl w:val="60CC40FA"/>
    <w:lvl w:ilvl="0" w:tentative="0">
      <w:start w:val="1"/>
      <w:numFmt w:val="chineseCounting"/>
      <w:suff w:val="nothing"/>
      <w:lvlText w:val="%1、"/>
      <w:lvlJc w:val="left"/>
    </w:lvl>
  </w:abstractNum>
  <w:abstractNum w:abstractNumId="2">
    <w:nsid w:val="60CC4482"/>
    <w:multiLevelType w:val="singleLevel"/>
    <w:tmpl w:val="60CC4482"/>
    <w:lvl w:ilvl="0" w:tentative="0">
      <w:start w:val="2"/>
      <w:numFmt w:val="chineseCounting"/>
      <w:suff w:val="nothing"/>
      <w:lvlText w:val="（%1）"/>
      <w:lvlJc w:val="left"/>
    </w:lvl>
  </w:abstractNum>
  <w:abstractNum w:abstractNumId="3">
    <w:nsid w:val="60CC44F7"/>
    <w:multiLevelType w:val="singleLevel"/>
    <w:tmpl w:val="60CC44F7"/>
    <w:lvl w:ilvl="0" w:tentative="0">
      <w:start w:val="3"/>
      <w:numFmt w:val="chineseCounting"/>
      <w:suff w:val="nothing"/>
      <w:lvlText w:val="%1、"/>
      <w:lvlJc w:val="left"/>
    </w:lvl>
  </w:abstractNum>
  <w:abstractNum w:abstractNumId="4">
    <w:nsid w:val="60CC4513"/>
    <w:multiLevelType w:val="singleLevel"/>
    <w:tmpl w:val="60CC4513"/>
    <w:lvl w:ilvl="0" w:tentative="0">
      <w:start w:val="4"/>
      <w:numFmt w:val="chineseCounting"/>
      <w:suff w:val="nothing"/>
      <w:lvlText w:val="%1、"/>
      <w:lvlJc w:val="left"/>
    </w:lvl>
  </w:abstractNum>
  <w:abstractNum w:abstractNumId="5">
    <w:nsid w:val="60CC4538"/>
    <w:multiLevelType w:val="singleLevel"/>
    <w:tmpl w:val="60CC4538"/>
    <w:lvl w:ilvl="0" w:tentative="0">
      <w:start w:val="5"/>
      <w:numFmt w:val="chineseCounting"/>
      <w:suff w:val="nothing"/>
      <w:lvlText w:val="%1、"/>
      <w:lvlJc w:val="left"/>
    </w:lvl>
  </w:abstractNum>
  <w:abstractNum w:abstractNumId="6">
    <w:nsid w:val="60CC455D"/>
    <w:multiLevelType w:val="singleLevel"/>
    <w:tmpl w:val="60CC455D"/>
    <w:lvl w:ilvl="0" w:tentative="0">
      <w:start w:val="6"/>
      <w:numFmt w:val="chineseCounting"/>
      <w:suff w:val="nothing"/>
      <w:lvlText w:val="%1、"/>
      <w:lvlJc w:val="left"/>
    </w:lvl>
  </w:abstractNum>
  <w:abstractNum w:abstractNumId="7">
    <w:nsid w:val="60CC4722"/>
    <w:multiLevelType w:val="singleLevel"/>
    <w:tmpl w:val="60CC4722"/>
    <w:lvl w:ilvl="0" w:tentative="0">
      <w:start w:val="8"/>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3YTE2NWIwYjFhMDQ0MmViZDRlYjYwZmFmMjQ1ZmYifQ=="/>
  </w:docVars>
  <w:rsids>
    <w:rsidRoot w:val="004506F9"/>
    <w:rsid w:val="00003E6A"/>
    <w:rsid w:val="00006F40"/>
    <w:rsid w:val="0002229B"/>
    <w:rsid w:val="000273BD"/>
    <w:rsid w:val="000413BE"/>
    <w:rsid w:val="000415B7"/>
    <w:rsid w:val="00041E3F"/>
    <w:rsid w:val="00055DAA"/>
    <w:rsid w:val="00061F7B"/>
    <w:rsid w:val="00065285"/>
    <w:rsid w:val="000658A3"/>
    <w:rsid w:val="00074155"/>
    <w:rsid w:val="000873EF"/>
    <w:rsid w:val="000A3F69"/>
    <w:rsid w:val="000C0366"/>
    <w:rsid w:val="000D39E7"/>
    <w:rsid w:val="000D3F2A"/>
    <w:rsid w:val="00103957"/>
    <w:rsid w:val="00124A1F"/>
    <w:rsid w:val="00125BBC"/>
    <w:rsid w:val="00152C6D"/>
    <w:rsid w:val="00162D39"/>
    <w:rsid w:val="001678BD"/>
    <w:rsid w:val="00173572"/>
    <w:rsid w:val="00182373"/>
    <w:rsid w:val="0019642F"/>
    <w:rsid w:val="001A67DB"/>
    <w:rsid w:val="001C3C29"/>
    <w:rsid w:val="001D51E5"/>
    <w:rsid w:val="001E080D"/>
    <w:rsid w:val="001E53D0"/>
    <w:rsid w:val="001F0C3B"/>
    <w:rsid w:val="00202C14"/>
    <w:rsid w:val="00202C82"/>
    <w:rsid w:val="00204579"/>
    <w:rsid w:val="00207214"/>
    <w:rsid w:val="00214427"/>
    <w:rsid w:val="00226CB7"/>
    <w:rsid w:val="002271F4"/>
    <w:rsid w:val="00264552"/>
    <w:rsid w:val="00264EF9"/>
    <w:rsid w:val="00265724"/>
    <w:rsid w:val="0027426B"/>
    <w:rsid w:val="002844E5"/>
    <w:rsid w:val="002E0A30"/>
    <w:rsid w:val="00305966"/>
    <w:rsid w:val="003130C4"/>
    <w:rsid w:val="00316C4B"/>
    <w:rsid w:val="0032192B"/>
    <w:rsid w:val="003479BD"/>
    <w:rsid w:val="00353EFE"/>
    <w:rsid w:val="00355060"/>
    <w:rsid w:val="00364A9E"/>
    <w:rsid w:val="0037197D"/>
    <w:rsid w:val="003768D5"/>
    <w:rsid w:val="003812EB"/>
    <w:rsid w:val="003C0407"/>
    <w:rsid w:val="003C4197"/>
    <w:rsid w:val="003C47E6"/>
    <w:rsid w:val="003C4FC2"/>
    <w:rsid w:val="003E2331"/>
    <w:rsid w:val="0041564E"/>
    <w:rsid w:val="00416E61"/>
    <w:rsid w:val="00425141"/>
    <w:rsid w:val="0042790C"/>
    <w:rsid w:val="004506F9"/>
    <w:rsid w:val="004717A2"/>
    <w:rsid w:val="00473DF3"/>
    <w:rsid w:val="00487911"/>
    <w:rsid w:val="00491741"/>
    <w:rsid w:val="004B0CEE"/>
    <w:rsid w:val="004C11B8"/>
    <w:rsid w:val="004F732C"/>
    <w:rsid w:val="00500E5F"/>
    <w:rsid w:val="005122EF"/>
    <w:rsid w:val="0051441A"/>
    <w:rsid w:val="00517C33"/>
    <w:rsid w:val="00517D5F"/>
    <w:rsid w:val="00521AF2"/>
    <w:rsid w:val="00523644"/>
    <w:rsid w:val="005254B1"/>
    <w:rsid w:val="0054069E"/>
    <w:rsid w:val="00544866"/>
    <w:rsid w:val="00557662"/>
    <w:rsid w:val="00567739"/>
    <w:rsid w:val="005767CC"/>
    <w:rsid w:val="00590D9F"/>
    <w:rsid w:val="00595D26"/>
    <w:rsid w:val="005A74E6"/>
    <w:rsid w:val="005B404E"/>
    <w:rsid w:val="005C6412"/>
    <w:rsid w:val="005D4D55"/>
    <w:rsid w:val="005E2CFB"/>
    <w:rsid w:val="005E6213"/>
    <w:rsid w:val="005F2103"/>
    <w:rsid w:val="005F3D1C"/>
    <w:rsid w:val="0062378F"/>
    <w:rsid w:val="00641842"/>
    <w:rsid w:val="00651EEC"/>
    <w:rsid w:val="00653D1E"/>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30A0"/>
    <w:rsid w:val="00787B42"/>
    <w:rsid w:val="007C4539"/>
    <w:rsid w:val="007F35FB"/>
    <w:rsid w:val="007F3657"/>
    <w:rsid w:val="00812ED5"/>
    <w:rsid w:val="0082343F"/>
    <w:rsid w:val="008277D9"/>
    <w:rsid w:val="0084478C"/>
    <w:rsid w:val="0086638C"/>
    <w:rsid w:val="00872EC3"/>
    <w:rsid w:val="008A3E8D"/>
    <w:rsid w:val="009237C4"/>
    <w:rsid w:val="00944C48"/>
    <w:rsid w:val="00950252"/>
    <w:rsid w:val="00967F5D"/>
    <w:rsid w:val="009A0F95"/>
    <w:rsid w:val="009A4879"/>
    <w:rsid w:val="009B3ADF"/>
    <w:rsid w:val="009C3B52"/>
    <w:rsid w:val="009E2EA0"/>
    <w:rsid w:val="009E6817"/>
    <w:rsid w:val="009E6E9A"/>
    <w:rsid w:val="00A01D2B"/>
    <w:rsid w:val="00A04407"/>
    <w:rsid w:val="00A3417C"/>
    <w:rsid w:val="00A42218"/>
    <w:rsid w:val="00A70249"/>
    <w:rsid w:val="00A70B02"/>
    <w:rsid w:val="00A71D9F"/>
    <w:rsid w:val="00A92E9F"/>
    <w:rsid w:val="00AF5529"/>
    <w:rsid w:val="00B17C72"/>
    <w:rsid w:val="00B33BEA"/>
    <w:rsid w:val="00B57C9F"/>
    <w:rsid w:val="00B63572"/>
    <w:rsid w:val="00B845B3"/>
    <w:rsid w:val="00B85D8B"/>
    <w:rsid w:val="00BA163B"/>
    <w:rsid w:val="00BB4A40"/>
    <w:rsid w:val="00BC6C08"/>
    <w:rsid w:val="00BD6C3E"/>
    <w:rsid w:val="00BE3674"/>
    <w:rsid w:val="00C10681"/>
    <w:rsid w:val="00C1524F"/>
    <w:rsid w:val="00C3049A"/>
    <w:rsid w:val="00C31B1E"/>
    <w:rsid w:val="00C77645"/>
    <w:rsid w:val="00CE04C3"/>
    <w:rsid w:val="00CE76A0"/>
    <w:rsid w:val="00D148C6"/>
    <w:rsid w:val="00D17A8A"/>
    <w:rsid w:val="00D415BA"/>
    <w:rsid w:val="00D63780"/>
    <w:rsid w:val="00D644EE"/>
    <w:rsid w:val="00D75489"/>
    <w:rsid w:val="00D850EB"/>
    <w:rsid w:val="00DD06FF"/>
    <w:rsid w:val="00DD5FE9"/>
    <w:rsid w:val="00E00C7A"/>
    <w:rsid w:val="00E15879"/>
    <w:rsid w:val="00E209CF"/>
    <w:rsid w:val="00E37D6C"/>
    <w:rsid w:val="00E55B68"/>
    <w:rsid w:val="00E67BE6"/>
    <w:rsid w:val="00E8683C"/>
    <w:rsid w:val="00EA2B72"/>
    <w:rsid w:val="00F02AC7"/>
    <w:rsid w:val="00F15420"/>
    <w:rsid w:val="00F554D5"/>
    <w:rsid w:val="00F633B2"/>
    <w:rsid w:val="00F74360"/>
    <w:rsid w:val="00F92F3F"/>
    <w:rsid w:val="00FB462F"/>
    <w:rsid w:val="00FE16FA"/>
    <w:rsid w:val="00FE328A"/>
    <w:rsid w:val="00FE6269"/>
    <w:rsid w:val="00FF5CD6"/>
    <w:rsid w:val="1BF92D97"/>
    <w:rsid w:val="1C063A19"/>
    <w:rsid w:val="240D10DB"/>
    <w:rsid w:val="2455194A"/>
    <w:rsid w:val="2E23031F"/>
    <w:rsid w:val="407F7DD9"/>
    <w:rsid w:val="4FEB44EE"/>
    <w:rsid w:val="69AC1575"/>
    <w:rsid w:val="7A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E42DA-1822-4FEC-93AB-A4FEE03E21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2110</Words>
  <Characters>12033</Characters>
  <Lines>100</Lines>
  <Paragraphs>28</Paragraphs>
  <TotalTime>0</TotalTime>
  <ScaleCrop>false</ScaleCrop>
  <LinksUpToDate>false</LinksUpToDate>
  <CharactersWithSpaces>14115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2023-09-28T05:00:53Z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FAAA2BD8B41444A0BD3C9754D85328BF</vt:lpwstr>
  </property>
</Properties>
</file>