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何宝珍故里管理所部门决算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第一部分XX单位概况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何宝珍故里管理所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一）何宝珍故里管理所是为加强何宝珍故里文物和纪念馆的管理而建，为湖南省爱国主义教育基地、湖南省党性教育基地、湖南省华侨文化交流基地；何宝珍故居为湖南省第十一批省级文物保护单位。充分利用何宝珍烈士红色文化资源，打造成红色教育基地和红色文化景区，更多游人到景区接受红色教育。 </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（二）2020年1月设立何宝珍故里管理所为副科级公益一类事业单位，2021年度决算为首次编制，主要职责是：加强对何宝珍故居、纪念馆、铜像广场和文物的管理。</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三</w:t>
      </w:r>
      <w:r>
        <w:rPr>
          <w:rFonts w:hint="eastAsia" w:asciiTheme="minorEastAsia" w:hAnsiTheme="minorEastAsia"/>
          <w:bCs/>
          <w:kern w:val="0"/>
          <w:sz w:val="32"/>
          <w:szCs w:val="32"/>
        </w:rPr>
        <w:t>）人员编制为5人，实有在职人员5人。</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何宝珍故里管理所</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办公室、政工科、宣教科。</w:t>
      </w:r>
    </w:p>
    <w:p>
      <w:pPr>
        <w:widowControl/>
        <w:spacing w:line="600" w:lineRule="exact"/>
        <w:rPr>
          <w:rFonts w:hint="default"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何宝珍故里管理所</w:t>
      </w:r>
      <w:r>
        <w:rPr>
          <w:rFonts w:asciiTheme="minorEastAsia" w:hAnsiTheme="minorEastAsia"/>
          <w:bCs/>
          <w:kern w:val="0"/>
          <w:sz w:val="32"/>
          <w:szCs w:val="32"/>
        </w:rPr>
        <w:t>20</w:t>
      </w:r>
      <w:r>
        <w:rPr>
          <w:rFonts w:hint="eastAsia" w:asciiTheme="minorEastAsia" w:hAnsiTheme="minorEastAsia"/>
          <w:bCs/>
          <w:kern w:val="0"/>
          <w:sz w:val="32"/>
          <w:szCs w:val="32"/>
        </w:rPr>
        <w:t>21年部门决算</w:t>
      </w:r>
      <w:r>
        <w:rPr>
          <w:rFonts w:hint="eastAsia" w:asciiTheme="minorEastAsia" w:hAnsiTheme="minorEastAsia"/>
          <w:bCs/>
          <w:kern w:val="0"/>
          <w:sz w:val="32"/>
          <w:szCs w:val="32"/>
          <w:lang w:eastAsia="zh-CN"/>
        </w:rPr>
        <w:t>只有本级，没有其他二级预算单位，因此，纳入</w:t>
      </w:r>
      <w:r>
        <w:rPr>
          <w:rFonts w:hint="eastAsia" w:asciiTheme="minorEastAsia" w:hAnsiTheme="minorEastAsia"/>
          <w:bCs/>
          <w:kern w:val="0"/>
          <w:sz w:val="32"/>
          <w:szCs w:val="32"/>
          <w:lang w:val="en-US" w:eastAsia="zh-CN"/>
        </w:rPr>
        <w:t>2021年部门决算编制范围的只有何宝珍故里管理所部门本级。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何宝珍故里管理所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55.84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55.84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986"/>
        <w:gridCol w:w="44"/>
        <w:gridCol w:w="74"/>
        <w:gridCol w:w="704"/>
        <w:gridCol w:w="222"/>
        <w:gridCol w:w="953"/>
        <w:gridCol w:w="458"/>
        <w:gridCol w:w="1213"/>
        <w:gridCol w:w="433"/>
        <w:gridCol w:w="1238"/>
        <w:gridCol w:w="441"/>
        <w:gridCol w:w="1230"/>
        <w:gridCol w:w="449"/>
        <w:gridCol w:w="1222"/>
        <w:gridCol w:w="457"/>
        <w:gridCol w:w="1214"/>
        <w:gridCol w:w="465"/>
        <w:gridCol w:w="1206"/>
        <w:gridCol w:w="1102"/>
        <w:gridCol w:w="1275"/>
      </w:tblGrid>
      <w:tr>
        <w:tblPrEx>
          <w:tblCellMar>
            <w:top w:w="0" w:type="dxa"/>
            <w:left w:w="0" w:type="dxa"/>
            <w:bottom w:w="0" w:type="dxa"/>
            <w:right w:w="0" w:type="dxa"/>
          </w:tblCellMar>
        </w:tblPrEx>
        <w:trPr>
          <w:trHeight w:val="435" w:hRule="atLeast"/>
        </w:trPr>
        <w:tc>
          <w:tcPr>
            <w:tcW w:w="15386" w:type="dxa"/>
            <w:gridSpan w:val="2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87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0"/>
                <w:szCs w:val="20"/>
                <w:lang w:eastAsia="zh-CN"/>
              </w:rPr>
              <w:t>何宝珍故里管理所</w:t>
            </w: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55.84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55.84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50.20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50.20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50.20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50.20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2070101</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32.30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32.30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17.90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17.90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3.76</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3.76</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3.76</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3.76</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3.76</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3.76</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5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2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1"/>
          <w:wAfter w:w="1275" w:type="dxa"/>
          <w:trHeight w:val="435" w:hRule="atLeast"/>
        </w:trPr>
        <w:tc>
          <w:tcPr>
            <w:tcW w:w="1411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1275" w:type="dxa"/>
          <w:trHeight w:val="285" w:hRule="atLeast"/>
        </w:trPr>
        <w:tc>
          <w:tcPr>
            <w:tcW w:w="180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1275" w:type="dxa"/>
          <w:trHeight w:val="285" w:hRule="atLeast"/>
        </w:trPr>
        <w:tc>
          <w:tcPr>
            <w:tcW w:w="1808"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何宝珍故里管理所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275" w:type="dxa"/>
          <w:trHeight w:val="450" w:hRule="atLeast"/>
        </w:trPr>
        <w:tc>
          <w:tcPr>
            <w:tcW w:w="3441"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275" w:type="dxa"/>
          <w:trHeight w:val="450" w:hRule="atLeast"/>
        </w:trPr>
        <w:tc>
          <w:tcPr>
            <w:tcW w:w="2030"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203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3441"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1275" w:type="dxa"/>
          <w:trHeight w:val="450" w:hRule="atLeast"/>
        </w:trPr>
        <w:tc>
          <w:tcPr>
            <w:tcW w:w="3441"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55.84</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55.84</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50.20</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50.20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50.20</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50.20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32.30</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32.30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17.90</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630" w:hRule="atLeast"/>
        </w:trPr>
        <w:tc>
          <w:tcPr>
            <w:tcW w:w="1411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何宝珍故里管理所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50.20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2"/>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何宝珍故里管理所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9"/>
        <w:gridCol w:w="3295"/>
        <w:gridCol w:w="2833"/>
        <w:gridCol w:w="3288"/>
        <w:gridCol w:w="2808"/>
      </w:tblGrid>
      <w:tr>
        <w:tblPrEx>
          <w:tblCellMar>
            <w:top w:w="0" w:type="dxa"/>
            <w:left w:w="108" w:type="dxa"/>
            <w:bottom w:w="0" w:type="dxa"/>
            <w:right w:w="108" w:type="dxa"/>
          </w:tblCellMar>
        </w:tblPrEx>
        <w:trPr>
          <w:trHeight w:val="405" w:hRule="atLeast"/>
          <w:jc w:val="center"/>
        </w:trPr>
        <w:tc>
          <w:tcPr>
            <w:tcW w:w="529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55.84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55.84</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50.20</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50.20</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50.20</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50.20</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32.30</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32.30</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17.90</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17.90</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13"/>
        <w:gridCol w:w="3273"/>
        <w:gridCol w:w="760"/>
        <w:gridCol w:w="1201"/>
        <w:gridCol w:w="2258"/>
        <w:gridCol w:w="760"/>
        <w:gridCol w:w="1202"/>
        <w:gridCol w:w="4084"/>
        <w:gridCol w:w="763"/>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何宝珍故里管理所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37.94</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17.90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何宝珍故里管理所</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何宝珍故里管理所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何宝珍故里管理所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eastAsia="zh-CN"/>
              </w:rPr>
              <w:t>何宝珍故里管理所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何宝珍故里管理所</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eastAsia="zh-CN"/>
              </w:rPr>
              <w:t>国有资本经营</w:t>
            </w:r>
            <w:r>
              <w:rPr>
                <w:rFonts w:hint="eastAsia" w:ascii="Times New Roman" w:hAnsi="Times New Roman" w:eastAsia="仿宋_GB2312" w:cs="Times New Roman"/>
                <w:kern w:val="0"/>
                <w:szCs w:val="21"/>
              </w:rPr>
              <w:t>收入，也没有</w:t>
            </w:r>
            <w:r>
              <w:rPr>
                <w:rFonts w:hint="eastAsia" w:ascii="Times New Roman" w:hAnsi="Times New Roman" w:eastAsia="仿宋_GB2312" w:cs="Times New Roman"/>
                <w:kern w:val="0"/>
                <w:szCs w:val="21"/>
                <w:lang w:eastAsia="zh-CN"/>
              </w:rPr>
              <w:t>国有资本经营</w:t>
            </w:r>
            <w:r>
              <w:rPr>
                <w:rFonts w:hint="eastAsia" w:ascii="Times New Roman" w:hAnsi="Times New Roman" w:eastAsia="仿宋_GB2312" w:cs="Times New Roman"/>
                <w:kern w:val="0"/>
                <w:szCs w:val="21"/>
              </w:rPr>
              <w:t>安排的支出，故本表无数据</w:t>
            </w:r>
            <w:r>
              <w:rPr>
                <w:rFonts w:ascii="Times New Roman" w:hAnsi="Times New Roman" w:eastAsia="仿宋_GB2312" w:cs="Times New Roman"/>
                <w:kern w:val="0"/>
                <w:szCs w:val="21"/>
              </w:rPr>
              <w:t>)。</w:t>
            </w:r>
          </w:p>
          <w:p>
            <w:pPr>
              <w:pStyle w:val="2"/>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万元。本单位为今年第一次做决算，无上年数据。</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万元，本单位为今年第一次做决算，无上年数据。</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本单位为今年第一次做决算，无上年数据。</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800" w:firstLineChars="250"/>
        <w:rPr>
          <w:rFonts w:hint="eastAsia" w:eastAsia="仿宋_GB2312" w:asciiTheme="minorEastAsia" w:hAnsiTheme="minorEastAsia"/>
          <w:sz w:val="32"/>
          <w:szCs w:val="32"/>
          <w:lang w:eastAsia="zh-CN"/>
        </w:rPr>
      </w:pPr>
      <w:r>
        <w:rPr>
          <w:rFonts w:hint="eastAsia" w:asciiTheme="minorEastAsia" w:hAnsiTheme="minorEastAsia" w:eastAsiaTheme="minorEastAsia"/>
          <w:sz w:val="32"/>
          <w:szCs w:val="32"/>
          <w:lang w:val="en-US" w:eastAsia="zh-CN"/>
        </w:rPr>
        <w:t>2021年度财政拨款支出55.84万元，主要用于以下方面：人员经费29.48万元，占比53%；商品和服务支出17.9万元，占比32%；机关事业单位基本养老保险缴费支出3.76万元，占比6%；事业单位医疗1.88万元，占比4%；住房公积金2.82万元，占比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59.34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w:t>
      </w:r>
      <w:r>
        <w:rPr>
          <w:rFonts w:hint="eastAsia" w:asciiTheme="minorEastAsia" w:hAnsiTheme="minorEastAsia" w:eastAsiaTheme="minorEastAsia"/>
          <w:sz w:val="32"/>
          <w:szCs w:val="32"/>
          <w:highlight w:val="none"/>
          <w:lang w:eastAsia="zh-CN"/>
        </w:rPr>
        <w:t>行政运行</w:t>
      </w:r>
      <w:r>
        <w:rPr>
          <w:rFonts w:hint="eastAsia" w:asciiTheme="minorEastAsia" w:hAnsiTheme="minorEastAsia" w:eastAsiaTheme="minorEastAsia"/>
          <w:sz w:val="32"/>
          <w:szCs w:val="32"/>
          <w:highlight w:val="none"/>
        </w:rPr>
        <w:t>。</w:t>
      </w:r>
    </w:p>
    <w:p>
      <w:pPr>
        <w:pStyle w:val="10"/>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35.8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32.3</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90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w:t>
      </w:r>
      <w:r>
        <w:rPr>
          <w:rFonts w:hint="eastAsia" w:asciiTheme="minorEastAsia" w:hAnsiTheme="minorEastAsia" w:eastAsiaTheme="minorEastAsia"/>
          <w:sz w:val="32"/>
          <w:szCs w:val="32"/>
          <w:highlight w:val="none"/>
        </w:rPr>
        <w:t>决算数小于年初预算数的主要原因是：旅游项目和工作经费等因素减少所致</w:t>
      </w:r>
      <w:r>
        <w:rPr>
          <w:rFonts w:hint="eastAsia" w:asciiTheme="minorEastAsia" w:hAnsiTheme="minorEastAsia" w:eastAsiaTheme="minorEastAsia"/>
          <w:sz w:val="32"/>
          <w:szCs w:val="32"/>
          <w:highlight w:val="none"/>
          <w:lang w:eastAsia="zh-CN"/>
        </w:rPr>
        <w:t>。</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w:t>
      </w:r>
      <w:r>
        <w:rPr>
          <w:rFonts w:hint="eastAsia" w:asciiTheme="minorEastAsia" w:hAnsiTheme="minorEastAsia" w:eastAsiaTheme="minorEastAsia"/>
          <w:sz w:val="32"/>
          <w:szCs w:val="32"/>
          <w:highlight w:val="none"/>
          <w:lang w:eastAsia="zh-CN"/>
        </w:rPr>
        <w:t>一般行政管理事务</w:t>
      </w:r>
      <w:r>
        <w:rPr>
          <w:rFonts w:hint="eastAsia" w:asciiTheme="minorEastAsia" w:hAnsiTheme="minorEastAsia" w:eastAsiaTheme="minorEastAsia"/>
          <w:sz w:val="32"/>
          <w:szCs w:val="32"/>
          <w:highlight w:val="none"/>
        </w:rPr>
        <w:t>。</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17.9</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lang w:eastAsia="zh-CN"/>
        </w:rPr>
        <w:t>无法计算完成比率</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专项经费未列入预算，都是年中进行专批。</w:t>
      </w:r>
    </w:p>
    <w:p>
      <w:pPr>
        <w:pStyle w:val="10"/>
        <w:numPr>
          <w:ilvl w:val="0"/>
          <w:numId w:val="2"/>
        </w:numPr>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eastAsia="zh-CN"/>
        </w:rPr>
        <w:t>机关事业单位基本养老保险支出</w:t>
      </w:r>
      <w:r>
        <w:rPr>
          <w:rFonts w:hint="eastAsia" w:asciiTheme="minorEastAsia" w:hAnsiTheme="minorEastAsia" w:eastAsiaTheme="minorEastAsia"/>
          <w:sz w:val="32"/>
          <w:szCs w:val="32"/>
          <w:highlight w:val="none"/>
        </w:rPr>
        <w:t>。</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3.76</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lang w:eastAsia="zh-CN"/>
        </w:rPr>
        <w:t>无法计算完成比率</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专项经费未列入预算，都是年中进行专批。</w:t>
      </w:r>
    </w:p>
    <w:p>
      <w:pPr>
        <w:pStyle w:val="10"/>
        <w:numPr>
          <w:ilvl w:val="0"/>
          <w:numId w:val="2"/>
        </w:numPr>
        <w:ind w:left="0" w:leftChars="0"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机关事业单位医疗。</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1.88</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lang w:eastAsia="zh-CN"/>
        </w:rPr>
        <w:t>无法计算完成比率</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专项经费未列入预算，都是年中进行专批。</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55.84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37.94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、社保费支出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、邮电费、劳务费、工会经费、培训费、会议费、工会经费、其他交通费</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年度公务接待减少，</w:t>
      </w:r>
      <w:r>
        <w:rPr>
          <w:rFonts w:hint="eastAsia" w:asciiTheme="minorEastAsia" w:hAnsiTheme="minorEastAsia" w:eastAsiaTheme="minorEastAsia"/>
          <w:sz w:val="32"/>
          <w:szCs w:val="32"/>
        </w:rPr>
        <w:t>本单位为今年第一次做决算，无上年数据。</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，本年无公务用车维护费。</w:t>
      </w:r>
    </w:p>
    <w:p>
      <w:pPr>
        <w:pStyle w:val="10"/>
        <w:rPr>
          <w:rFonts w:asciiTheme="minorEastAsia" w:hAnsiTheme="minorEastAsia" w:eastAsiaTheme="minorEastAsia"/>
          <w:b/>
          <w:sz w:val="32"/>
          <w:szCs w:val="32"/>
        </w:rPr>
      </w:pPr>
      <w:bookmarkStart w:id="4" w:name="_GoBack"/>
      <w:bookmarkEnd w:id="4"/>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1、因公出国（境）费支出决算为0万元，</w:t>
      </w:r>
      <w:r>
        <w:rPr>
          <w:rFonts w:hint="eastAsia" w:asciiTheme="minorEastAsia" w:hAnsiTheme="minorEastAsia" w:eastAsiaTheme="minorEastAsia"/>
          <w:sz w:val="32"/>
          <w:szCs w:val="32"/>
          <w:lang w:eastAsia="zh-CN"/>
        </w:rPr>
        <w:t>受疫情影响，</w:t>
      </w:r>
      <w:r>
        <w:rPr>
          <w:rFonts w:hint="eastAsia" w:asciiTheme="minorEastAsia" w:hAnsiTheme="minorEastAsia" w:eastAsiaTheme="minorEastAsia"/>
          <w:sz w:val="32"/>
          <w:szCs w:val="32"/>
          <w:lang w:val="en-US" w:eastAsia="zh-CN"/>
        </w:rPr>
        <w:t>2020年度我单位未开展因公出国（出境）活动。</w:t>
      </w:r>
    </w:p>
    <w:p>
      <w:pPr>
        <w:pStyle w:val="10"/>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考察参观、指导工作</w:t>
      </w:r>
      <w:r>
        <w:rPr>
          <w:rFonts w:hint="eastAsia" w:asciiTheme="minorEastAsia" w:hAnsiTheme="minorEastAsia" w:eastAsiaTheme="minorEastAsia"/>
          <w:sz w:val="32"/>
          <w:szCs w:val="32"/>
        </w:rPr>
        <w:t>发生的接待支出。</w:t>
      </w:r>
    </w:p>
    <w:p>
      <w:pPr>
        <w:pStyle w:val="10"/>
        <w:ind w:firstLine="800" w:firstLineChars="250"/>
        <w:rPr>
          <w:rFonts w:hint="default" w:eastAsia="宋体" w:asciiTheme="minorEastAsia" w:hAnsiTheme="minorEastAsia"/>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3、公务用车购置费及运行维护费支出决算为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万元，其中：公务用车购置费0万元，公务用车运行维护费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，截止</w:t>
      </w:r>
      <w:r>
        <w:rPr>
          <w:rFonts w:hint="eastAsia" w:ascii="宋体" w:hAnsi="宋体" w:eastAsia="宋体" w:cs="宋体"/>
          <w:sz w:val="32"/>
          <w:szCs w:val="32"/>
          <w:lang w:val="en-US" w:eastAsia="zh-CN"/>
        </w:rPr>
        <w:t>2021年12月31日，我单位开支财政拨款的公务用车保有量为0辆。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万元。本单位无政府性基金收支</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17.9</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%。主要原因是：旅游项目和工作经费等因素减少所致。</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宣传红色文化</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宣传红色文化党课</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讲解员</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讲解员培训、小小讲解员培训</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 xml:space="preserve"> 万元</w:t>
      </w:r>
      <w:r>
        <w:rPr>
          <w:rFonts w:hint="eastAsia" w:asciiTheme="minorEastAsia" w:hAnsiTheme="minorEastAsia" w:eastAsiaTheme="minorEastAsia"/>
          <w:sz w:val="32"/>
          <w:szCs w:val="32"/>
          <w:lang w:eastAsia="zh-CN"/>
        </w:rPr>
        <w:t>、政府采购工程支出</w:t>
      </w:r>
      <w:r>
        <w:rPr>
          <w:rFonts w:hint="eastAsia" w:asciiTheme="minorEastAsia" w:hAnsiTheme="minorEastAsia" w:eastAsiaTheme="minorEastAsia"/>
          <w:sz w:val="32"/>
          <w:szCs w:val="32"/>
          <w:lang w:val="en-US" w:eastAsia="zh-CN"/>
        </w:rPr>
        <w:t>0万元、政府采购服务支出0万元。授予中小企业合同金额0万元。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。单位价值</w:t>
      </w:r>
      <w:r>
        <w:rPr>
          <w:rFonts w:hint="eastAsia" w:asciiTheme="minorEastAsia" w:hAnsiTheme="minorEastAsia" w:eastAsiaTheme="minorEastAsia"/>
          <w:sz w:val="32"/>
          <w:szCs w:val="32"/>
          <w:lang w:val="en-US" w:eastAsia="zh-CN"/>
        </w:rPr>
        <w:t>50万元以上通用设备0套；单位价值100万元以上专用设备0套。</w:t>
      </w:r>
    </w:p>
    <w:p>
      <w:pPr>
        <w:pStyle w:val="10"/>
        <w:rPr>
          <w:rFonts w:hAnsi="黑体"/>
          <w:b/>
          <w:sz w:val="32"/>
          <w:szCs w:val="32"/>
        </w:rPr>
      </w:pPr>
      <w:r>
        <w:rPr>
          <w:rFonts w:hint="eastAsia" w:hAnsi="黑体"/>
          <w:b/>
          <w:sz w:val="32"/>
          <w:szCs w:val="32"/>
        </w:rPr>
        <w:t>十三、2021年度预算绩效情况说明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本部门预算绩效管理开展情况、绩效目标和绩效评价报告等见附件。</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bidi w:val="0"/>
        <w:jc w:val="left"/>
        <w:rPr>
          <w:rFonts w:hint="default" w:ascii="sans-serif" w:hAnsi="sans-serif" w:eastAsia="sans-serif" w:cs="sans-serif"/>
          <w:sz w:val="32"/>
          <w:szCs w:val="32"/>
        </w:rPr>
      </w:pPr>
      <w:r>
        <w:rPr>
          <w:rFonts w:hint="eastAsia" w:ascii="sans-serif" w:hAnsi="sans-serif" w:eastAsia="sans-serif" w:cs="sans-serif"/>
          <w:kern w:val="0"/>
          <w:sz w:val="32"/>
          <w:szCs w:val="32"/>
          <w:lang w:val="en-US" w:eastAsia="zh-CN" w:bidi="ar"/>
        </w:rPr>
        <w:t>1</w:t>
      </w:r>
      <w:r>
        <w:rPr>
          <w:rFonts w:hint="eastAsia" w:ascii="sans-serif" w:hAnsi="sans-serif" w:eastAsia="宋体" w:cs="sans-serif"/>
          <w:kern w:val="0"/>
          <w:sz w:val="32"/>
          <w:szCs w:val="32"/>
          <w:lang w:val="en-US" w:eastAsia="zh-CN" w:bidi="ar"/>
        </w:rPr>
        <w:t>、</w:t>
      </w:r>
      <w:r>
        <w:rPr>
          <w:rFonts w:hint="default" w:ascii="sans-serif" w:hAnsi="sans-serif" w:eastAsia="sans-serif" w:cs="sans-serif"/>
          <w:kern w:val="0"/>
          <w:sz w:val="32"/>
          <w:szCs w:val="32"/>
          <w:lang w:val="en-US" w:eastAsia="zh-CN" w:bidi="ar"/>
        </w:rPr>
        <w:t>财政拨款收入：指单位本年度从同级财政部门取得的各类财政</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拨款。</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政补助收入。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公务用车运行维护费及其他费用。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对附属单位补助发生的支出。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7</w:t>
      </w:r>
      <w:r>
        <w:rPr>
          <w:rFonts w:hint="eastAsia" w:ascii="sans-serif" w:hAnsi="sans-serif" w:eastAsia="sans-serif" w:cs="sans-serif"/>
          <w:kern w:val="0"/>
          <w:sz w:val="32"/>
          <w:szCs w:val="32"/>
          <w:lang w:val="en-US" w:eastAsia="zh-CN" w:bidi="ar"/>
        </w:rPr>
        <w:t>.</w:t>
      </w:r>
      <w:r>
        <w:rPr>
          <w:rFonts w:hint="default" w:ascii="sans-serif" w:hAnsi="sans-serif" w:eastAsia="sans-serif" w:cs="sans-serif"/>
          <w:kern w:val="0"/>
          <w:sz w:val="32"/>
          <w:szCs w:val="32"/>
          <w:lang w:val="en-US" w:eastAsia="zh-CN" w:bidi="ar"/>
        </w:rPr>
        <w:t>事业收入：指事业单位开展专业业务活动及其辅助活动取得的</w:t>
      </w:r>
    </w:p>
    <w:p>
      <w:pPr>
        <w:keepNext w:val="0"/>
        <w:keepLines w:val="0"/>
        <w:widowControl/>
        <w:suppressLineNumbers w:val="0"/>
        <w:bidi w:val="0"/>
        <w:jc w:val="left"/>
        <w:rPr>
          <w:rFonts w:ascii="monospace" w:hAnsi="monospace" w:eastAsia="monospace" w:cs="monospace"/>
          <w:sz w:val="18"/>
          <w:szCs w:val="18"/>
        </w:rPr>
      </w:pPr>
      <w:bookmarkStart w:id="3" w:name="28"/>
      <w:bookmarkEnd w:id="3"/>
      <w:r>
        <w:rPr>
          <w:rFonts w:hint="default" w:ascii="monospace" w:hAnsi="monospace" w:eastAsia="monospace" w:cs="monospace"/>
          <w:kern w:val="0"/>
          <w:sz w:val="18"/>
          <w:szCs w:val="18"/>
          <w:lang w:val="en-US" w:eastAsia="zh-CN" w:bidi="ar"/>
        </w:rPr>
        <w:t>- 16 -</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非独立核算经营活动取得的收入。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定上缴的收入。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入”、“经营收入”等以外的各项收入。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业基金）弥补当年收支差额的数额。</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项目支出结转和结余和经营结余。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用基金、缴纳的所得税和转入非财政拨款结余等。</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使用的资金。</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的支出，包括人员经费和公用经费。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缴上级单位的支出。</w:t>
      </w: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widowControl/>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BCB8D2"/>
    <w:multiLevelType w:val="singleLevel"/>
    <w:tmpl w:val="64BCB8D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3C1DAC"/>
    <w:rsid w:val="078D1181"/>
    <w:rsid w:val="0A4259B6"/>
    <w:rsid w:val="12EC20DA"/>
    <w:rsid w:val="1D93669A"/>
    <w:rsid w:val="1DD75F2A"/>
    <w:rsid w:val="244514B2"/>
    <w:rsid w:val="2B2E3200"/>
    <w:rsid w:val="2E366F45"/>
    <w:rsid w:val="31A027E7"/>
    <w:rsid w:val="34C423F8"/>
    <w:rsid w:val="36631109"/>
    <w:rsid w:val="54E57FC4"/>
    <w:rsid w:val="59987F3E"/>
    <w:rsid w:val="5A5C7BDA"/>
    <w:rsid w:val="6107757B"/>
    <w:rsid w:val="623577BB"/>
    <w:rsid w:val="6441438C"/>
    <w:rsid w:val="71244D70"/>
    <w:rsid w:val="7C60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6764</Words>
  <Characters>7970</Characters>
  <Lines>69</Lines>
  <Paragraphs>19</Paragraphs>
  <TotalTime>0</TotalTime>
  <ScaleCrop>false</ScaleCrop>
  <LinksUpToDate>false</LinksUpToDate>
  <CharactersWithSpaces>8957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2023-09-28T04:53:16Z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EC3C3C5ED84E4D7CA356635EFE9900CF_13</vt:lpwstr>
  </property>
</Properties>
</file>