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道县湘源管理区管理委员会部门决算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ind w:firstLine="562" w:firstLineChars="200"/>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lang w:eastAsia="zh-CN"/>
        </w:rPr>
        <w:t>道县湘源管理区管理委员会</w:t>
      </w:r>
      <w:r>
        <w:rPr>
          <w:rFonts w:hint="eastAsia"/>
          <w:b/>
          <w:sz w:val="28"/>
          <w:szCs w:val="28"/>
        </w:rPr>
        <w:t>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ind w:firstLine="562" w:firstLineChars="200"/>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ind w:firstLine="562" w:firstLineChars="200"/>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ind w:firstLine="562" w:firstLineChars="200"/>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autoSpaceDE w:val="0"/>
        <w:autoSpaceDN w:val="0"/>
        <w:adjustRightInd w:val="0"/>
        <w:spacing w:line="500" w:lineRule="exact"/>
        <w:ind w:firstLine="562" w:firstLineChars="200"/>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道县湘源管理区管理委员会</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0"/>
        </w:numPr>
        <w:ind w:leftChars="0" w:firstLine="640" w:firstLineChars="200"/>
        <w:jc w:val="left"/>
        <w:rPr>
          <w:rFonts w:ascii="黑体" w:hAnsi="黑体" w:eastAsia="黑体"/>
          <w:sz w:val="32"/>
          <w:szCs w:val="32"/>
        </w:rPr>
      </w:pPr>
      <w:r>
        <w:rPr>
          <w:rFonts w:hint="eastAsia" w:ascii="黑体" w:hAnsi="黑体" w:eastAsia="黑体"/>
          <w:sz w:val="32"/>
          <w:szCs w:val="32"/>
          <w:lang w:eastAsia="zh-CN"/>
        </w:rPr>
        <w:t>一、</w:t>
      </w:r>
      <w:r>
        <w:rPr>
          <w:rFonts w:ascii="黑体" w:hAnsi="黑体" w:eastAsia="黑体"/>
          <w:sz w:val="32"/>
          <w:szCs w:val="32"/>
        </w:rPr>
        <w:t>部门职责</w:t>
      </w:r>
    </w:p>
    <w:p>
      <w:pPr>
        <w:ind w:firstLine="640" w:firstLineChars="200"/>
        <w:jc w:val="left"/>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（一）负责辖区内的生态、矿产、旅游等资源进行有效保护和管理</w:t>
      </w:r>
      <w:r>
        <w:rPr>
          <w:rFonts w:hint="eastAsia" w:asciiTheme="minorEastAsia" w:hAnsiTheme="minorEastAsia" w:cstheme="minorEastAsia"/>
          <w:sz w:val="32"/>
          <w:szCs w:val="32"/>
          <w:lang w:eastAsia="zh-CN"/>
        </w:rPr>
        <w:t>。</w:t>
      </w:r>
    </w:p>
    <w:p>
      <w:pPr>
        <w:ind w:firstLine="640" w:firstLineChars="200"/>
        <w:jc w:val="left"/>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（二）对辖区内安全生产、森林防火、社会治安等工作实施监管，对现有旅游基础设施及资产的管理工作</w:t>
      </w:r>
      <w:r>
        <w:rPr>
          <w:rFonts w:hint="eastAsia" w:asciiTheme="minorEastAsia" w:hAnsiTheme="minorEastAsia" w:cstheme="minorEastAsia"/>
          <w:sz w:val="32"/>
          <w:szCs w:val="32"/>
          <w:lang w:eastAsia="zh-CN"/>
        </w:rPr>
        <w:t>。</w:t>
      </w:r>
    </w:p>
    <w:p>
      <w:pPr>
        <w:ind w:firstLine="640" w:firstLineChars="200"/>
        <w:jc w:val="left"/>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（三）</w:t>
      </w:r>
      <w:r>
        <w:rPr>
          <w:rFonts w:hint="eastAsia" w:asciiTheme="minorEastAsia" w:hAnsiTheme="minorEastAsia" w:eastAsiaTheme="minorEastAsia" w:cstheme="minorEastAsia"/>
          <w:sz w:val="32"/>
          <w:szCs w:val="32"/>
        </w:rPr>
        <w:t>负责做好原湘源锡矿改制后买断人员的稳定工作</w:t>
      </w:r>
      <w:r>
        <w:rPr>
          <w:rFonts w:hint="eastAsia" w:asciiTheme="minorEastAsia" w:hAnsiTheme="minorEastAsia" w:cstheme="minorEastAsia"/>
          <w:sz w:val="32"/>
          <w:szCs w:val="32"/>
          <w:lang w:eastAsia="zh-CN"/>
        </w:rPr>
        <w:t>。</w:t>
      </w:r>
    </w:p>
    <w:p>
      <w:pPr>
        <w:ind w:firstLine="640" w:firstLineChars="200"/>
        <w:jc w:val="left"/>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完成县委、县政府交办的其他工作。</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道县湘源管理区管理委员会</w:t>
      </w:r>
      <w:r>
        <w:rPr>
          <w:rFonts w:hint="eastAsia" w:asciiTheme="minorEastAsia" w:hAnsiTheme="minorEastAsia"/>
          <w:bCs/>
          <w:kern w:val="0"/>
          <w:sz w:val="32"/>
          <w:szCs w:val="32"/>
        </w:rPr>
        <w:t>内设</w:t>
      </w:r>
      <w:r>
        <w:rPr>
          <w:rFonts w:hint="eastAsia" w:asciiTheme="minorEastAsia" w:hAnsiTheme="minorEastAsia"/>
          <w:bCs/>
          <w:kern w:val="0"/>
          <w:sz w:val="32"/>
          <w:szCs w:val="32"/>
          <w:lang w:eastAsia="zh-CN"/>
        </w:rPr>
        <w:t>办公室、政工室、财务室。</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道县湘源管理区管理委员会</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eastAsia="zh-CN"/>
        </w:rPr>
        <w:t>道县湘源管理区管理委员会本级。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道县湘源管理区管理委员会</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236.95</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46.08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3.05</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190.87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3.05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240.00</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240.00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240.00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240.00</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386" w:type="dxa"/>
        <w:tblInd w:w="0" w:type="dxa"/>
        <w:tblLayout w:type="autofit"/>
        <w:tblCellMar>
          <w:top w:w="0" w:type="dxa"/>
          <w:left w:w="0" w:type="dxa"/>
          <w:bottom w:w="0" w:type="dxa"/>
          <w:right w:w="0" w:type="dxa"/>
        </w:tblCellMar>
      </w:tblPr>
      <w:tblGrid>
        <w:gridCol w:w="1015"/>
        <w:gridCol w:w="36"/>
        <w:gridCol w:w="2158"/>
        <w:gridCol w:w="1646"/>
        <w:gridCol w:w="1646"/>
        <w:gridCol w:w="1646"/>
        <w:gridCol w:w="1646"/>
        <w:gridCol w:w="1646"/>
        <w:gridCol w:w="1646"/>
        <w:gridCol w:w="2343"/>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sz w:val="18"/>
                <w:szCs w:val="18"/>
                <w:lang w:eastAsia="zh-CN"/>
              </w:rPr>
              <w:t>道县湘源管理区管理委员会</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240.00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240.00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46.08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46.08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46.08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46.08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2010350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25.88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25.88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20.20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20.20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节能环保支出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190.87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190.87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环境保护管理事务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190.87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190.87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35.87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35.87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其他环境保护管理事务支出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3.05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3.05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3.05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道县湘源管理区管理委员会</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240.00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81.95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158.05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46.08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46.08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46.08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46.08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2010350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25.88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25.88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20.20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节能环保支出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190.87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35.87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环境保护管理事务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190.87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35.87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35.87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35.87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其他环境保护管理事务支出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道县湘源管理区管理委员会</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236.95</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46.08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46.08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3.05</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190.87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190.87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240.00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236.95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240.00</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240.00</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236.95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3.05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道县湘源管理区管理委员会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1012"/>
        <w:gridCol w:w="3298"/>
        <w:gridCol w:w="2827"/>
        <w:gridCol w:w="3269"/>
        <w:gridCol w:w="2827"/>
      </w:tblGrid>
      <w:tr>
        <w:tblPrEx>
          <w:tblCellMar>
            <w:top w:w="0" w:type="dxa"/>
            <w:left w:w="108" w:type="dxa"/>
            <w:bottom w:w="0" w:type="dxa"/>
            <w:right w:w="108" w:type="dxa"/>
          </w:tblCellMar>
        </w:tblPrEx>
        <w:trPr>
          <w:trHeight w:val="405" w:hRule="atLeast"/>
          <w:jc w:val="center"/>
        </w:trPr>
        <w:tc>
          <w:tcPr>
            <w:tcW w:w="5296"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23"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8"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6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7"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8"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6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7"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8"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6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7"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9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27"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9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236.95</w:t>
            </w:r>
          </w:p>
        </w:tc>
        <w:tc>
          <w:tcPr>
            <w:tcW w:w="32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81.95</w:t>
            </w:r>
          </w:p>
        </w:tc>
        <w:tc>
          <w:tcPr>
            <w:tcW w:w="2827"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155.00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46.08</w:t>
            </w:r>
          </w:p>
        </w:tc>
        <w:tc>
          <w:tcPr>
            <w:tcW w:w="32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46.08</w:t>
            </w:r>
          </w:p>
        </w:tc>
        <w:tc>
          <w:tcPr>
            <w:tcW w:w="282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46.08</w:t>
            </w:r>
          </w:p>
        </w:tc>
        <w:tc>
          <w:tcPr>
            <w:tcW w:w="32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46.08</w:t>
            </w:r>
          </w:p>
        </w:tc>
        <w:tc>
          <w:tcPr>
            <w:tcW w:w="282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2010350</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25.88</w:t>
            </w:r>
          </w:p>
        </w:tc>
        <w:tc>
          <w:tcPr>
            <w:tcW w:w="32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25.88</w:t>
            </w:r>
          </w:p>
        </w:tc>
        <w:tc>
          <w:tcPr>
            <w:tcW w:w="282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20.20</w:t>
            </w:r>
          </w:p>
        </w:tc>
        <w:tc>
          <w:tcPr>
            <w:tcW w:w="32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20.20</w:t>
            </w:r>
          </w:p>
        </w:tc>
        <w:tc>
          <w:tcPr>
            <w:tcW w:w="282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节能环保支出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190.87</w:t>
            </w:r>
          </w:p>
        </w:tc>
        <w:tc>
          <w:tcPr>
            <w:tcW w:w="32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35.87</w:t>
            </w:r>
          </w:p>
        </w:tc>
        <w:tc>
          <w:tcPr>
            <w:tcW w:w="2827"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21101</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环境保护管理事务</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190.87</w:t>
            </w:r>
          </w:p>
        </w:tc>
        <w:tc>
          <w:tcPr>
            <w:tcW w:w="32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35.87</w:t>
            </w:r>
          </w:p>
        </w:tc>
        <w:tc>
          <w:tcPr>
            <w:tcW w:w="2827"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2110101</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35.87</w:t>
            </w:r>
          </w:p>
        </w:tc>
        <w:tc>
          <w:tcPr>
            <w:tcW w:w="32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35.87</w:t>
            </w:r>
          </w:p>
        </w:tc>
        <w:tc>
          <w:tcPr>
            <w:tcW w:w="282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2110199</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其他环境保护管理事务支出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155.00</w:t>
            </w:r>
          </w:p>
        </w:tc>
        <w:tc>
          <w:tcPr>
            <w:tcW w:w="326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7"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155.00</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316"/>
        <w:gridCol w:w="3263"/>
        <w:gridCol w:w="767"/>
        <w:gridCol w:w="1204"/>
        <w:gridCol w:w="2255"/>
        <w:gridCol w:w="767"/>
        <w:gridCol w:w="1206"/>
        <w:gridCol w:w="4069"/>
        <w:gridCol w:w="767"/>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道县湘源管理区管理委员会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61.69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18.87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37.94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9.68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0.77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3.35</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63.07</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18.87</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道县湘源管理区管理委员会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2.86</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2.86</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1.95</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1.95</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道县湘源管理区管理委员会</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72"/>
        <w:gridCol w:w="1243"/>
        <w:gridCol w:w="1863"/>
        <w:gridCol w:w="1883"/>
        <w:gridCol w:w="1883"/>
        <w:gridCol w:w="1863"/>
        <w:gridCol w:w="1883"/>
        <w:gridCol w:w="18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201"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86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88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629"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86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58"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24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63" w:type="dxa"/>
            <w:vMerge w:val="continue"/>
            <w:vAlign w:val="center"/>
          </w:tcPr>
          <w:p>
            <w:pPr>
              <w:widowControl/>
              <w:jc w:val="left"/>
              <w:rPr>
                <w:rFonts w:ascii="Times New Roman" w:hAnsi="Times New Roman" w:eastAsia="仿宋_GB2312" w:cs="Times New Roman"/>
                <w:b/>
                <w:kern w:val="0"/>
                <w:szCs w:val="21"/>
              </w:rPr>
            </w:pPr>
          </w:p>
        </w:tc>
        <w:tc>
          <w:tcPr>
            <w:tcW w:w="1883" w:type="dxa"/>
            <w:vMerge w:val="continue"/>
            <w:vAlign w:val="center"/>
          </w:tcPr>
          <w:p>
            <w:pPr>
              <w:widowControl/>
              <w:jc w:val="left"/>
              <w:rPr>
                <w:rFonts w:ascii="Times New Roman" w:hAnsi="Times New Roman" w:eastAsia="仿宋_GB2312" w:cs="Times New Roman"/>
                <w:b/>
                <w:kern w:val="0"/>
                <w:szCs w:val="21"/>
              </w:rPr>
            </w:pPr>
          </w:p>
        </w:tc>
        <w:tc>
          <w:tcPr>
            <w:tcW w:w="188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86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88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864"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58" w:type="dxa"/>
            <w:gridSpan w:val="2"/>
            <w:vMerge w:val="continue"/>
            <w:vAlign w:val="center"/>
          </w:tcPr>
          <w:p>
            <w:pPr>
              <w:widowControl/>
              <w:jc w:val="left"/>
              <w:rPr>
                <w:rFonts w:ascii="Times New Roman" w:hAnsi="Times New Roman" w:eastAsia="仿宋_GB2312" w:cs="Times New Roman"/>
                <w:kern w:val="0"/>
                <w:szCs w:val="21"/>
              </w:rPr>
            </w:pPr>
          </w:p>
        </w:tc>
        <w:tc>
          <w:tcPr>
            <w:tcW w:w="1243" w:type="dxa"/>
            <w:vMerge w:val="continue"/>
            <w:vAlign w:val="center"/>
          </w:tcPr>
          <w:p>
            <w:pPr>
              <w:widowControl/>
              <w:jc w:val="left"/>
              <w:rPr>
                <w:rFonts w:ascii="Times New Roman" w:hAnsi="Times New Roman" w:eastAsia="仿宋_GB2312" w:cs="Times New Roman"/>
                <w:kern w:val="0"/>
                <w:szCs w:val="21"/>
              </w:rPr>
            </w:pPr>
          </w:p>
        </w:tc>
        <w:tc>
          <w:tcPr>
            <w:tcW w:w="1863" w:type="dxa"/>
            <w:vMerge w:val="continue"/>
            <w:vAlign w:val="center"/>
          </w:tcPr>
          <w:p>
            <w:pPr>
              <w:widowControl/>
              <w:jc w:val="left"/>
              <w:rPr>
                <w:rFonts w:ascii="Times New Roman" w:hAnsi="Times New Roman" w:eastAsia="仿宋_GB2312" w:cs="Times New Roman"/>
                <w:kern w:val="0"/>
                <w:szCs w:val="21"/>
              </w:rPr>
            </w:pPr>
          </w:p>
        </w:tc>
        <w:tc>
          <w:tcPr>
            <w:tcW w:w="1883" w:type="dxa"/>
            <w:vMerge w:val="continue"/>
            <w:vAlign w:val="center"/>
          </w:tcPr>
          <w:p>
            <w:pPr>
              <w:widowControl/>
              <w:jc w:val="left"/>
              <w:rPr>
                <w:rFonts w:ascii="Times New Roman" w:hAnsi="Times New Roman" w:eastAsia="仿宋_GB2312" w:cs="Times New Roman"/>
                <w:kern w:val="0"/>
                <w:szCs w:val="21"/>
              </w:rPr>
            </w:pPr>
          </w:p>
        </w:tc>
        <w:tc>
          <w:tcPr>
            <w:tcW w:w="1883" w:type="dxa"/>
            <w:vMerge w:val="continue"/>
            <w:vAlign w:val="center"/>
          </w:tcPr>
          <w:p>
            <w:pPr>
              <w:widowControl/>
              <w:jc w:val="left"/>
              <w:rPr>
                <w:rFonts w:ascii="Times New Roman" w:hAnsi="Times New Roman" w:eastAsia="仿宋_GB2312" w:cs="Times New Roman"/>
                <w:kern w:val="0"/>
                <w:szCs w:val="21"/>
              </w:rPr>
            </w:pPr>
          </w:p>
        </w:tc>
        <w:tc>
          <w:tcPr>
            <w:tcW w:w="1863" w:type="dxa"/>
            <w:vMerge w:val="continue"/>
            <w:vAlign w:val="center"/>
          </w:tcPr>
          <w:p>
            <w:pPr>
              <w:widowControl/>
              <w:jc w:val="left"/>
              <w:rPr>
                <w:rFonts w:ascii="Times New Roman" w:hAnsi="Times New Roman" w:eastAsia="仿宋_GB2312" w:cs="Times New Roman"/>
                <w:kern w:val="0"/>
                <w:szCs w:val="21"/>
              </w:rPr>
            </w:pPr>
          </w:p>
        </w:tc>
        <w:tc>
          <w:tcPr>
            <w:tcW w:w="1883" w:type="dxa"/>
            <w:vMerge w:val="continue"/>
            <w:vAlign w:val="center"/>
          </w:tcPr>
          <w:p>
            <w:pPr>
              <w:widowControl/>
              <w:jc w:val="left"/>
              <w:rPr>
                <w:rFonts w:ascii="Times New Roman" w:hAnsi="Times New Roman" w:eastAsia="仿宋_GB2312" w:cs="Times New Roman"/>
                <w:kern w:val="0"/>
                <w:szCs w:val="21"/>
              </w:rPr>
            </w:pPr>
          </w:p>
        </w:tc>
        <w:tc>
          <w:tcPr>
            <w:tcW w:w="1864"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58" w:type="dxa"/>
            <w:gridSpan w:val="2"/>
            <w:vMerge w:val="continue"/>
            <w:vAlign w:val="center"/>
          </w:tcPr>
          <w:p>
            <w:pPr>
              <w:widowControl/>
              <w:jc w:val="left"/>
              <w:rPr>
                <w:rFonts w:ascii="Times New Roman" w:hAnsi="Times New Roman" w:eastAsia="仿宋_GB2312" w:cs="Times New Roman"/>
                <w:kern w:val="0"/>
                <w:szCs w:val="21"/>
              </w:rPr>
            </w:pPr>
          </w:p>
        </w:tc>
        <w:tc>
          <w:tcPr>
            <w:tcW w:w="1243" w:type="dxa"/>
            <w:vMerge w:val="continue"/>
            <w:vAlign w:val="center"/>
          </w:tcPr>
          <w:p>
            <w:pPr>
              <w:widowControl/>
              <w:jc w:val="left"/>
              <w:rPr>
                <w:rFonts w:ascii="Times New Roman" w:hAnsi="Times New Roman" w:eastAsia="仿宋_GB2312" w:cs="Times New Roman"/>
                <w:kern w:val="0"/>
                <w:szCs w:val="21"/>
              </w:rPr>
            </w:pPr>
          </w:p>
        </w:tc>
        <w:tc>
          <w:tcPr>
            <w:tcW w:w="1863" w:type="dxa"/>
            <w:vMerge w:val="continue"/>
            <w:vAlign w:val="center"/>
          </w:tcPr>
          <w:p>
            <w:pPr>
              <w:widowControl/>
              <w:jc w:val="left"/>
              <w:rPr>
                <w:rFonts w:ascii="Times New Roman" w:hAnsi="Times New Roman" w:eastAsia="仿宋_GB2312" w:cs="Times New Roman"/>
                <w:kern w:val="0"/>
                <w:szCs w:val="21"/>
              </w:rPr>
            </w:pPr>
          </w:p>
        </w:tc>
        <w:tc>
          <w:tcPr>
            <w:tcW w:w="1883" w:type="dxa"/>
            <w:vMerge w:val="continue"/>
            <w:vAlign w:val="center"/>
          </w:tcPr>
          <w:p>
            <w:pPr>
              <w:widowControl/>
              <w:jc w:val="left"/>
              <w:rPr>
                <w:rFonts w:ascii="Times New Roman" w:hAnsi="Times New Roman" w:eastAsia="仿宋_GB2312" w:cs="Times New Roman"/>
                <w:kern w:val="0"/>
                <w:szCs w:val="21"/>
              </w:rPr>
            </w:pPr>
          </w:p>
        </w:tc>
        <w:tc>
          <w:tcPr>
            <w:tcW w:w="1883" w:type="dxa"/>
            <w:vMerge w:val="continue"/>
            <w:vAlign w:val="center"/>
          </w:tcPr>
          <w:p>
            <w:pPr>
              <w:widowControl/>
              <w:jc w:val="left"/>
              <w:rPr>
                <w:rFonts w:ascii="Times New Roman" w:hAnsi="Times New Roman" w:eastAsia="仿宋_GB2312" w:cs="Times New Roman"/>
                <w:kern w:val="0"/>
                <w:szCs w:val="21"/>
              </w:rPr>
            </w:pPr>
          </w:p>
        </w:tc>
        <w:tc>
          <w:tcPr>
            <w:tcW w:w="1863" w:type="dxa"/>
            <w:vMerge w:val="continue"/>
            <w:vAlign w:val="center"/>
          </w:tcPr>
          <w:p>
            <w:pPr>
              <w:widowControl/>
              <w:jc w:val="left"/>
              <w:rPr>
                <w:rFonts w:ascii="Times New Roman" w:hAnsi="Times New Roman" w:eastAsia="仿宋_GB2312" w:cs="Times New Roman"/>
                <w:kern w:val="0"/>
                <w:szCs w:val="21"/>
              </w:rPr>
            </w:pPr>
          </w:p>
        </w:tc>
        <w:tc>
          <w:tcPr>
            <w:tcW w:w="1883" w:type="dxa"/>
            <w:vMerge w:val="continue"/>
            <w:vAlign w:val="center"/>
          </w:tcPr>
          <w:p>
            <w:pPr>
              <w:widowControl/>
              <w:jc w:val="left"/>
              <w:rPr>
                <w:rFonts w:ascii="Times New Roman" w:hAnsi="Times New Roman" w:eastAsia="仿宋_GB2312" w:cs="Times New Roman"/>
                <w:kern w:val="0"/>
                <w:szCs w:val="21"/>
              </w:rPr>
            </w:pPr>
          </w:p>
        </w:tc>
        <w:tc>
          <w:tcPr>
            <w:tcW w:w="1864"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201"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1863"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1883"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1883"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c>
          <w:tcPr>
            <w:tcW w:w="1863"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w:t>
            </w:r>
          </w:p>
        </w:tc>
        <w:tc>
          <w:tcPr>
            <w:tcW w:w="1883"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w:t>
            </w:r>
          </w:p>
        </w:tc>
        <w:tc>
          <w:tcPr>
            <w:tcW w:w="186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201"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1863" w:type="dxa"/>
            <w:shd w:val="clear" w:color="auto" w:fill="auto"/>
            <w:vAlign w:val="center"/>
          </w:tcPr>
          <w:p>
            <w:pPr>
              <w:jc w:val="right"/>
              <w:rPr>
                <w:rFonts w:ascii="Times New Roman" w:hAnsi="Times New Roman" w:eastAsia="仿宋_GB2312" w:cs="Times New Roman"/>
                <w:kern w:val="0"/>
                <w:szCs w:val="21"/>
              </w:rPr>
            </w:pPr>
          </w:p>
        </w:tc>
        <w:tc>
          <w:tcPr>
            <w:tcW w:w="188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3.05</w:t>
            </w:r>
          </w:p>
        </w:tc>
        <w:tc>
          <w:tcPr>
            <w:tcW w:w="188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3.05</w:t>
            </w:r>
          </w:p>
        </w:tc>
        <w:tc>
          <w:tcPr>
            <w:tcW w:w="1863" w:type="dxa"/>
            <w:shd w:val="clear" w:color="auto" w:fill="auto"/>
            <w:vAlign w:val="center"/>
          </w:tcPr>
          <w:p>
            <w:pPr>
              <w:jc w:val="right"/>
              <w:rPr>
                <w:rFonts w:ascii="Times New Roman" w:hAnsi="Times New Roman" w:eastAsia="仿宋_GB2312" w:cs="Times New Roman"/>
                <w:kern w:val="0"/>
                <w:szCs w:val="21"/>
              </w:rPr>
            </w:pPr>
          </w:p>
        </w:tc>
        <w:tc>
          <w:tcPr>
            <w:tcW w:w="188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3.05</w:t>
            </w:r>
          </w:p>
        </w:tc>
        <w:tc>
          <w:tcPr>
            <w:tcW w:w="1864"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2215"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1863" w:type="dxa"/>
            <w:shd w:val="clear" w:color="auto" w:fill="auto"/>
            <w:vAlign w:val="center"/>
          </w:tcPr>
          <w:p>
            <w:pPr>
              <w:jc w:val="right"/>
              <w:rPr>
                <w:rFonts w:ascii="Times New Roman" w:hAnsi="Times New Roman" w:eastAsia="仿宋_GB2312" w:cs="Times New Roman"/>
                <w:kern w:val="0"/>
                <w:szCs w:val="21"/>
              </w:rPr>
            </w:pPr>
          </w:p>
        </w:tc>
        <w:tc>
          <w:tcPr>
            <w:tcW w:w="188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w:t>
            </w:r>
          </w:p>
        </w:tc>
        <w:tc>
          <w:tcPr>
            <w:tcW w:w="188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w:t>
            </w:r>
          </w:p>
        </w:tc>
        <w:tc>
          <w:tcPr>
            <w:tcW w:w="1863" w:type="dxa"/>
            <w:shd w:val="clear" w:color="auto" w:fill="auto"/>
            <w:vAlign w:val="center"/>
          </w:tcPr>
          <w:p>
            <w:pPr>
              <w:jc w:val="right"/>
              <w:rPr>
                <w:rFonts w:ascii="Times New Roman" w:hAnsi="Times New Roman" w:eastAsia="仿宋_GB2312" w:cs="Times New Roman"/>
                <w:kern w:val="0"/>
                <w:szCs w:val="21"/>
              </w:rPr>
            </w:pPr>
          </w:p>
        </w:tc>
        <w:tc>
          <w:tcPr>
            <w:tcW w:w="188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w:t>
            </w:r>
          </w:p>
        </w:tc>
        <w:tc>
          <w:tcPr>
            <w:tcW w:w="1864"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w:t>
            </w:r>
          </w:p>
        </w:tc>
        <w:tc>
          <w:tcPr>
            <w:tcW w:w="2215"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863" w:type="dxa"/>
            <w:shd w:val="clear" w:color="auto" w:fill="auto"/>
            <w:vAlign w:val="center"/>
          </w:tcPr>
          <w:p>
            <w:pPr>
              <w:jc w:val="right"/>
              <w:rPr>
                <w:rFonts w:ascii="Times New Roman" w:hAnsi="Times New Roman" w:eastAsia="仿宋_GB2312" w:cs="Times New Roman"/>
                <w:kern w:val="0"/>
                <w:szCs w:val="21"/>
              </w:rPr>
            </w:pPr>
          </w:p>
        </w:tc>
        <w:tc>
          <w:tcPr>
            <w:tcW w:w="188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w:t>
            </w:r>
          </w:p>
        </w:tc>
        <w:tc>
          <w:tcPr>
            <w:tcW w:w="188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w:t>
            </w:r>
          </w:p>
        </w:tc>
        <w:tc>
          <w:tcPr>
            <w:tcW w:w="1863" w:type="dxa"/>
            <w:shd w:val="clear" w:color="auto" w:fill="auto"/>
            <w:vAlign w:val="center"/>
          </w:tcPr>
          <w:p>
            <w:pPr>
              <w:jc w:val="right"/>
              <w:rPr>
                <w:rFonts w:ascii="Times New Roman" w:hAnsi="Times New Roman" w:eastAsia="仿宋_GB2312" w:cs="Times New Roman"/>
                <w:kern w:val="0"/>
                <w:szCs w:val="21"/>
              </w:rPr>
            </w:pPr>
          </w:p>
        </w:tc>
        <w:tc>
          <w:tcPr>
            <w:tcW w:w="188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w:t>
            </w:r>
          </w:p>
        </w:tc>
        <w:tc>
          <w:tcPr>
            <w:tcW w:w="1864"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2120899</w:t>
            </w:r>
          </w:p>
        </w:tc>
        <w:tc>
          <w:tcPr>
            <w:tcW w:w="2215"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863" w:type="dxa"/>
            <w:shd w:val="clear" w:color="auto" w:fill="auto"/>
            <w:vAlign w:val="center"/>
          </w:tcPr>
          <w:p>
            <w:pPr>
              <w:jc w:val="right"/>
              <w:rPr>
                <w:rFonts w:ascii="Times New Roman" w:hAnsi="Times New Roman" w:eastAsia="仿宋_GB2312" w:cs="Times New Roman"/>
                <w:kern w:val="0"/>
                <w:szCs w:val="21"/>
              </w:rPr>
            </w:pPr>
          </w:p>
        </w:tc>
        <w:tc>
          <w:tcPr>
            <w:tcW w:w="188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w:t>
            </w:r>
          </w:p>
        </w:tc>
        <w:tc>
          <w:tcPr>
            <w:tcW w:w="188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w:t>
            </w:r>
          </w:p>
        </w:tc>
        <w:tc>
          <w:tcPr>
            <w:tcW w:w="1863" w:type="dxa"/>
            <w:shd w:val="clear" w:color="auto" w:fill="auto"/>
            <w:vAlign w:val="center"/>
          </w:tcPr>
          <w:p>
            <w:pPr>
              <w:jc w:val="right"/>
              <w:rPr>
                <w:rFonts w:ascii="Times New Roman" w:hAnsi="Times New Roman" w:eastAsia="仿宋_GB2312" w:cs="Times New Roman"/>
                <w:kern w:val="0"/>
                <w:szCs w:val="21"/>
              </w:rPr>
            </w:pPr>
          </w:p>
        </w:tc>
        <w:tc>
          <w:tcPr>
            <w:tcW w:w="188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w:t>
            </w:r>
          </w:p>
        </w:tc>
        <w:tc>
          <w:tcPr>
            <w:tcW w:w="1864"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p>
        </w:tc>
        <w:tc>
          <w:tcPr>
            <w:tcW w:w="56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13"/>
                <w:szCs w:val="13"/>
              </w:rPr>
              <w:t>部门：</w:t>
            </w: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lang w:eastAsia="zh-CN"/>
              </w:rPr>
              <w:t>道县湘源管理区管理委员会</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道县湘源管理区管理委员会</w:t>
            </w:r>
            <w:r>
              <w:rPr>
                <w:rFonts w:hint="eastAsia" w:ascii="宋体" w:hAnsi="宋体" w:eastAsia="宋体" w:cs="宋体"/>
                <w:kern w:val="0"/>
                <w:sz w:val="24"/>
                <w:szCs w:val="24"/>
              </w:rPr>
              <w:t>没有</w:t>
            </w:r>
            <w:r>
              <w:rPr>
                <w:rFonts w:hint="eastAsia" w:ascii="宋体" w:hAnsi="宋体" w:eastAsia="宋体" w:cs="宋体"/>
                <w:kern w:val="0"/>
                <w:sz w:val="24"/>
                <w:szCs w:val="24"/>
                <w:lang w:eastAsia="zh-CN"/>
              </w:rPr>
              <w:t>国有资本经营</w:t>
            </w:r>
            <w:r>
              <w:rPr>
                <w:rFonts w:hint="eastAsia" w:ascii="宋体" w:hAnsi="宋体" w:eastAsia="宋体" w:cs="宋体"/>
                <w:kern w:val="0"/>
                <w:sz w:val="24"/>
                <w:szCs w:val="24"/>
              </w:rPr>
              <w:t>收入，也没有使用</w:t>
            </w:r>
            <w:r>
              <w:rPr>
                <w:rFonts w:hint="eastAsia" w:ascii="宋体" w:hAnsi="宋体" w:eastAsia="宋体" w:cs="宋体"/>
                <w:kern w:val="0"/>
                <w:sz w:val="24"/>
                <w:szCs w:val="24"/>
                <w:lang w:eastAsia="zh-CN"/>
              </w:rPr>
              <w:t>国有资本经营</w:t>
            </w:r>
            <w:r>
              <w:rPr>
                <w:rFonts w:hint="eastAsia" w:ascii="宋体" w:hAnsi="宋体" w:eastAsia="宋体" w:cs="宋体"/>
                <w:kern w:val="0"/>
                <w:sz w:val="24"/>
                <w:szCs w:val="24"/>
              </w:rPr>
              <w:t>安排的支出，故本表无数据。</w:t>
            </w:r>
          </w:p>
          <w:p>
            <w:pPr>
              <w:widowControl/>
              <w:jc w:val="left"/>
              <w:rPr>
                <w:rFonts w:hint="eastAsia" w:ascii="宋体" w:hAnsi="宋体" w:eastAsia="宋体" w:cs="宋体"/>
                <w:kern w:val="0"/>
                <w:sz w:val="24"/>
                <w:szCs w:val="24"/>
              </w:rPr>
            </w:pP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ind w:firstLine="640" w:firstLineChars="200"/>
        <w:rPr>
          <w:rFonts w:hAnsi="黑体"/>
          <w:b/>
          <w:sz w:val="32"/>
          <w:szCs w:val="32"/>
        </w:rPr>
      </w:pPr>
      <w:r>
        <w:rPr>
          <w:rFonts w:hint="eastAsia" w:hAnsi="黑体"/>
          <w:b/>
          <w:sz w:val="32"/>
          <w:szCs w:val="32"/>
        </w:rPr>
        <w:t>一、收入支出决算总体情况说明</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480.00</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45.94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10.58</w:t>
      </w:r>
      <w:r>
        <w:rPr>
          <w:rFonts w:hint="eastAsia" w:asciiTheme="minorEastAsia" w:hAnsiTheme="minorEastAsia" w:eastAsiaTheme="minorEastAsia"/>
          <w:sz w:val="32"/>
          <w:szCs w:val="32"/>
        </w:rPr>
        <w:t>%，主要是因为湘源锡矿生态修复项目支出增加</w:t>
      </w:r>
      <w:r>
        <w:rPr>
          <w:rFonts w:hint="eastAsia" w:asciiTheme="minorEastAsia" w:hAnsiTheme="minorEastAsia" w:eastAsiaTheme="minorEastAsia"/>
          <w:sz w:val="32"/>
          <w:szCs w:val="32"/>
          <w:lang w:eastAsia="zh-CN"/>
        </w:rPr>
        <w:t>。</w:t>
      </w:r>
    </w:p>
    <w:p>
      <w:pPr>
        <w:pStyle w:val="10"/>
        <w:ind w:firstLine="640" w:firstLineChars="20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240.00</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240.00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ind w:firstLine="640" w:firstLineChars="20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240.00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81.95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34.15</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158.05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65.85</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ind w:firstLine="640" w:firstLineChars="200"/>
        <w:rPr>
          <w:rFonts w:hAnsi="黑体"/>
          <w:b/>
          <w:sz w:val="32"/>
          <w:szCs w:val="32"/>
        </w:rPr>
      </w:pPr>
      <w:r>
        <w:rPr>
          <w:rFonts w:hint="eastAsia" w:hAnsi="黑体"/>
          <w:b/>
          <w:sz w:val="32"/>
          <w:szCs w:val="32"/>
        </w:rPr>
        <w:t>四、财政拨款收入支出决算总体情况说明</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480.00</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45.94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10.58</w:t>
      </w:r>
      <w:r>
        <w:rPr>
          <w:rFonts w:hint="eastAsia" w:asciiTheme="minorEastAsia" w:hAnsiTheme="minorEastAsia" w:eastAsiaTheme="minorEastAsia"/>
          <w:sz w:val="32"/>
          <w:szCs w:val="32"/>
        </w:rPr>
        <w:t>%，主要是因为湘源锡矿生态修复项目支出增加</w:t>
      </w:r>
      <w:r>
        <w:rPr>
          <w:rFonts w:hint="eastAsia" w:asciiTheme="minorEastAsia" w:hAnsiTheme="minorEastAsia" w:eastAsiaTheme="minorEastAsia"/>
          <w:sz w:val="32"/>
          <w:szCs w:val="32"/>
          <w:lang w:eastAsia="zh-CN"/>
        </w:rPr>
        <w:t>。</w:t>
      </w:r>
    </w:p>
    <w:p>
      <w:pPr>
        <w:pStyle w:val="10"/>
        <w:ind w:firstLine="640" w:firstLineChars="20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236.95</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98.73</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19.92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9.18</w:t>
      </w:r>
      <w:r>
        <w:rPr>
          <w:rFonts w:hint="eastAsia" w:asciiTheme="minorEastAsia" w:hAnsiTheme="minorEastAsia" w:eastAsiaTheme="minorEastAsia"/>
          <w:sz w:val="32"/>
          <w:szCs w:val="32"/>
        </w:rPr>
        <w:t>%，主要是因为湘源锡矿生态修复项目支出增加</w:t>
      </w:r>
      <w:r>
        <w:rPr>
          <w:rFonts w:hint="eastAsia" w:asciiTheme="minorEastAsia" w:hAnsiTheme="minorEastAsia" w:eastAsiaTheme="minorEastAsia"/>
          <w:sz w:val="32"/>
          <w:szCs w:val="32"/>
          <w:lang w:eastAsia="zh-CN"/>
        </w:rPr>
        <w:t>。</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236.95</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46.08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19.45</w:t>
      </w:r>
      <w:r>
        <w:rPr>
          <w:rFonts w:hint="eastAsia" w:asciiTheme="minorEastAsia" w:hAnsiTheme="minorEastAsia" w:eastAsiaTheme="minorEastAsia"/>
          <w:sz w:val="32"/>
          <w:szCs w:val="32"/>
        </w:rPr>
        <w:t>%；节能环保（类）支出</w:t>
      </w:r>
      <w:r>
        <w:rPr>
          <w:rFonts w:hint="eastAsia" w:asciiTheme="minorEastAsia" w:hAnsiTheme="minorEastAsia" w:eastAsiaTheme="minorEastAsia"/>
          <w:sz w:val="32"/>
          <w:szCs w:val="32"/>
          <w:lang w:val="en-US" w:eastAsia="zh-CN"/>
        </w:rPr>
        <w:t>190.87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80.55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99.44</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236.95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238.28</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1、一般公共服务支出（类）政府办公厅（室）及相关机构事务（款）  事业运行（项）。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25.88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25.88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2、一般公共服务支出（类）政府办公厅（室）及相关机构事务（款）  其他政府办公厅（室）及相关机构事务支出（项）。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20.20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20.20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节能环保支出（类）环境保护管理事务（款）行政运行（项）。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35.87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35.87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节能环保支出（类）环境保护管理事务（款）其他环境保护管理事务支出（项）。</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17.49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155.00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886.22</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增拨湘源锡矿生态修复项目工程款。</w:t>
      </w:r>
    </w:p>
    <w:p>
      <w:pPr>
        <w:pStyle w:val="10"/>
        <w:ind w:firstLine="640" w:firstLineChars="20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hint="eastAsia" w:asciiTheme="minorEastAsia" w:hAnsiTheme="minorEastAsia" w:eastAsiaTheme="minorEastAsia" w:cstheme="minorEastAsia"/>
          <w:b w:val="0"/>
          <w:bCs w:val="0"/>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81.95</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63.08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76.97</w:t>
      </w:r>
      <w:r>
        <w:rPr>
          <w:rFonts w:hint="eastAsia" w:asciiTheme="minorEastAsia" w:hAnsiTheme="minorEastAsia" w:eastAsiaTheme="minorEastAsia"/>
          <w:sz w:val="32"/>
          <w:szCs w:val="32"/>
        </w:rPr>
        <w:t>%,主要包括基本工资、津贴补贴、奖金、</w:t>
      </w:r>
      <w:r>
        <w:rPr>
          <w:rFonts w:hint="eastAsia" w:asciiTheme="minorEastAsia" w:hAnsiTheme="minorEastAsia" w:eastAsiaTheme="minorEastAsia"/>
          <w:sz w:val="32"/>
          <w:szCs w:val="32"/>
          <w:lang w:eastAsia="zh-CN"/>
        </w:rPr>
        <w:t>绩效工资、</w:t>
      </w:r>
      <w:r>
        <w:rPr>
          <w:rFonts w:hint="eastAsia" w:asciiTheme="minorEastAsia" w:hAnsiTheme="minorEastAsia" w:eastAsiaTheme="minorEastAsia" w:cstheme="minorEastAsia"/>
          <w:b w:val="0"/>
          <w:bCs w:val="0"/>
          <w:color w:val="000000"/>
          <w:kern w:val="0"/>
          <w:sz w:val="32"/>
          <w:szCs w:val="32"/>
          <w:lang w:val="en-US" w:eastAsia="zh-CN" w:bidi="ar"/>
        </w:rPr>
        <w:t>绩效工资、机关事业单位基本养老保险缴费、职工基本医疗保险缴费、其他工资福利支出、医疗费补助</w:t>
      </w:r>
      <w:r>
        <w:rPr>
          <w:rFonts w:hint="eastAsia" w:asciiTheme="minorEastAsia" w:hAnsiTheme="minorEastAsia" w:eastAsiaTheme="minorEastAsia" w:cstheme="minorEastAsia"/>
          <w:b w:val="0"/>
          <w:bCs w:val="0"/>
          <w:sz w:val="32"/>
          <w:szCs w:val="32"/>
        </w:rPr>
        <w:t>；公用经费</w:t>
      </w:r>
      <w:r>
        <w:rPr>
          <w:rFonts w:hint="eastAsia" w:asciiTheme="minorEastAsia" w:hAnsiTheme="minorEastAsia" w:eastAsiaTheme="minorEastAsia" w:cstheme="minorEastAsia"/>
          <w:b w:val="0"/>
          <w:bCs w:val="0"/>
          <w:sz w:val="32"/>
          <w:szCs w:val="32"/>
          <w:lang w:val="en-US" w:eastAsia="zh-CN"/>
        </w:rPr>
        <w:t>18.87</w:t>
      </w:r>
      <w:r>
        <w:rPr>
          <w:rFonts w:hint="eastAsia" w:asciiTheme="minorEastAsia" w:hAnsiTheme="minorEastAsia" w:eastAsiaTheme="minorEastAsia" w:cstheme="minorEastAsia"/>
          <w:b w:val="0"/>
          <w:bCs w:val="0"/>
          <w:sz w:val="32"/>
          <w:szCs w:val="32"/>
        </w:rPr>
        <w:t>万元，占基本支出的</w:t>
      </w:r>
      <w:r>
        <w:rPr>
          <w:rFonts w:hint="eastAsia" w:asciiTheme="minorEastAsia" w:hAnsiTheme="minorEastAsia" w:eastAsiaTheme="minorEastAsia" w:cstheme="minorEastAsia"/>
          <w:b w:val="0"/>
          <w:bCs w:val="0"/>
          <w:sz w:val="32"/>
          <w:szCs w:val="32"/>
          <w:lang w:val="en-US" w:eastAsia="zh-CN"/>
        </w:rPr>
        <w:t>23.03</w:t>
      </w:r>
      <w:r>
        <w:rPr>
          <w:rFonts w:hint="eastAsia" w:asciiTheme="minorEastAsia" w:hAnsiTheme="minorEastAsia" w:eastAsiaTheme="minorEastAsia" w:cstheme="minorEastAsia"/>
          <w:b w:val="0"/>
          <w:bCs w:val="0"/>
          <w:sz w:val="32"/>
          <w:szCs w:val="32"/>
        </w:rPr>
        <w:t>%，主要包括</w:t>
      </w:r>
      <w:r>
        <w:rPr>
          <w:rFonts w:hint="eastAsia" w:asciiTheme="minorEastAsia" w:hAnsiTheme="minorEastAsia" w:eastAsiaTheme="minorEastAsia" w:cstheme="minorEastAsia"/>
          <w:b w:val="0"/>
          <w:bCs w:val="0"/>
          <w:color w:val="000000"/>
          <w:kern w:val="0"/>
          <w:sz w:val="32"/>
          <w:szCs w:val="32"/>
          <w:lang w:val="en-US" w:eastAsia="zh-CN" w:bidi="ar"/>
        </w:rPr>
        <w:t>办公费、印刷费、水费、电费、邮电费、差旅费、维修（护）费、公务接待费、专用材料费、劳务费、工会经费、福利费、其他交通费用。</w:t>
      </w:r>
    </w:p>
    <w:p>
      <w:pPr>
        <w:pStyle w:val="10"/>
        <w:ind w:firstLine="640" w:firstLineChars="200"/>
        <w:rPr>
          <w:rFonts w:hAnsi="黑体"/>
          <w:b/>
          <w:sz w:val="32"/>
          <w:szCs w:val="32"/>
        </w:rPr>
      </w:pPr>
      <w:r>
        <w:rPr>
          <w:rFonts w:hint="eastAsia" w:hAnsi="黑体"/>
          <w:b/>
          <w:sz w:val="32"/>
          <w:szCs w:val="32"/>
        </w:rPr>
        <w:t>七、一般公共预算财政拨款“三公”经费支出决算情况说明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2.86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68.18</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2.86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68.18</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0.03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1.70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2021年度公务接待减少。</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公务用车运行维护费支出</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，本年本单位无公务用车需要维护。</w:t>
      </w:r>
    </w:p>
    <w:p>
      <w:pPr>
        <w:pStyle w:val="10"/>
        <w:ind w:firstLine="640" w:firstLineChars="200"/>
        <w:rPr>
          <w:rFonts w:asciiTheme="minorEastAsia" w:hAnsiTheme="minorEastAsia" w:eastAsiaTheme="minorEastAsia"/>
          <w:b/>
          <w:sz w:val="32"/>
          <w:szCs w:val="32"/>
        </w:rPr>
      </w:pPr>
      <w:bookmarkStart w:id="3" w:name="_GoBack"/>
      <w:bookmarkEnd w:id="3"/>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1.95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cstheme="minorEastAsia"/>
          <w:color w:val="000000"/>
          <w:kern w:val="0"/>
          <w:sz w:val="32"/>
          <w:szCs w:val="32"/>
          <w:lang w:val="en-US" w:eastAsia="zh-CN" w:bidi="ar"/>
        </w:rPr>
        <w:t>2021年度我单位未开展</w:t>
      </w:r>
      <w:r>
        <w:rPr>
          <w:rFonts w:hint="eastAsia" w:asciiTheme="minorEastAsia" w:hAnsiTheme="minorEastAsia" w:eastAsiaTheme="minorEastAsia"/>
          <w:sz w:val="32"/>
          <w:szCs w:val="32"/>
        </w:rPr>
        <w:t>因公出国（境）</w:t>
      </w:r>
      <w:r>
        <w:rPr>
          <w:rFonts w:hint="eastAsia" w:asciiTheme="minorEastAsia" w:hAnsiTheme="minorEastAsia" w:eastAsiaTheme="minorEastAsia"/>
          <w:sz w:val="32"/>
          <w:szCs w:val="32"/>
          <w:lang w:eastAsia="zh-CN"/>
        </w:rPr>
        <w:t>活动。</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1.95</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209</w:t>
      </w:r>
      <w:r>
        <w:rPr>
          <w:rFonts w:hint="eastAsia" w:asciiTheme="minorEastAsia" w:hAnsiTheme="minorEastAsia" w:eastAsiaTheme="minorEastAsia"/>
          <w:sz w:val="32"/>
          <w:szCs w:val="32"/>
        </w:rPr>
        <w:t>人次，主要是主要是</w:t>
      </w:r>
      <w:r>
        <w:rPr>
          <w:rFonts w:hint="eastAsia" w:asciiTheme="minorEastAsia" w:hAnsiTheme="minorEastAsia" w:eastAsiaTheme="minorEastAsia" w:cstheme="minorEastAsia"/>
          <w:color w:val="000000"/>
          <w:kern w:val="0"/>
          <w:sz w:val="32"/>
          <w:szCs w:val="32"/>
          <w:lang w:val="en-US" w:eastAsia="zh-CN" w:bidi="ar"/>
        </w:rPr>
        <w:t>学习交流、上级检查考察、建设项目工作开展等</w:t>
      </w:r>
      <w:r>
        <w:rPr>
          <w:rFonts w:hint="eastAsia" w:asciiTheme="minorEastAsia" w:hAnsiTheme="minorEastAsia" w:eastAsiaTheme="minorEastAsia"/>
          <w:sz w:val="32"/>
          <w:szCs w:val="32"/>
        </w:rPr>
        <w:t>发生的接待支出。</w:t>
      </w:r>
    </w:p>
    <w:p>
      <w:pPr>
        <w:ind w:firstLine="640" w:firstLineChars="200"/>
        <w:rPr>
          <w:rFonts w:hint="eastAsia" w:cs="黑体" w:asciiTheme="minorEastAsia" w:hAnsiTheme="minorEastAsia" w:eastAsiaTheme="minorEastAsia"/>
          <w:color w:val="000000"/>
          <w:kern w:val="0"/>
          <w:sz w:val="32"/>
          <w:szCs w:val="32"/>
          <w:lang w:val="en-US" w:eastAsia="zh-CN"/>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万元，公务用车</w:t>
      </w:r>
      <w:r>
        <w:rPr>
          <w:rFonts w:hint="eastAsia" w:asciiTheme="minorEastAsia" w:hAnsiTheme="minorEastAsia"/>
          <w:sz w:val="32"/>
          <w:szCs w:val="32"/>
          <w:lang w:eastAsia="zh-CN"/>
        </w:rPr>
        <w:t>购置</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0"/>
        <w:ind w:firstLine="640" w:firstLineChars="200"/>
        <w:rPr>
          <w:rFonts w:hAnsi="黑体"/>
          <w:b/>
          <w:sz w:val="32"/>
          <w:szCs w:val="32"/>
        </w:rPr>
      </w:pPr>
      <w:r>
        <w:rPr>
          <w:rFonts w:hint="eastAsia" w:hAnsi="黑体"/>
          <w:b/>
          <w:sz w:val="32"/>
          <w:szCs w:val="32"/>
        </w:rPr>
        <w:t>八、政府性基金预算收入支出决算情况</w:t>
      </w:r>
    </w:p>
    <w:p>
      <w:pPr>
        <w:pStyle w:val="10"/>
        <w:rPr>
          <w:rFonts w:hint="eastAsia" w:asciiTheme="minorEastAsia" w:hAnsiTheme="minorEastAsia" w:eastAsiaTheme="minorEastAsia"/>
          <w:i/>
          <w:color w:val="FF0000"/>
          <w:sz w:val="32"/>
          <w:szCs w:val="32"/>
          <w:lang w:val="en-US" w:eastAsia="zh-CN"/>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3.05</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3.05</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3.05</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r>
        <w:rPr>
          <w:rFonts w:hint="eastAsia" w:asciiTheme="minorEastAsia" w:hAnsiTheme="minorEastAsia" w:eastAsiaTheme="minorEastAsia"/>
          <w:sz w:val="32"/>
          <w:szCs w:val="32"/>
          <w:lang w:eastAsia="zh-CN"/>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城乡社区支出（类）国有土地使用权出让收入安排的支出（款）其他国有土地使用权出让收入安排的支出（项）。</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3.05</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拨付</w:t>
      </w:r>
      <w:r>
        <w:rPr>
          <w:rFonts w:hint="eastAsia" w:asciiTheme="minorEastAsia" w:hAnsiTheme="minorEastAsia" w:eastAsiaTheme="minorEastAsia"/>
          <w:sz w:val="32"/>
          <w:szCs w:val="32"/>
        </w:rPr>
        <w:t>欧阳姣花办理规划许可、房屋不动产证费用</w:t>
      </w:r>
      <w:r>
        <w:rPr>
          <w:rFonts w:hint="eastAsia" w:asciiTheme="minorEastAsia" w:hAnsiTheme="minorEastAsia" w:eastAsiaTheme="minorEastAsia"/>
          <w:sz w:val="32"/>
          <w:szCs w:val="32"/>
          <w:lang w:eastAsia="zh-CN"/>
        </w:rPr>
        <w:t>。</w:t>
      </w:r>
    </w:p>
    <w:p>
      <w:pPr>
        <w:pStyle w:val="10"/>
        <w:ind w:firstLine="640" w:firstLineChars="200"/>
        <w:rPr>
          <w:rFonts w:hAnsi="黑体"/>
          <w:b/>
          <w:sz w:val="32"/>
          <w:szCs w:val="32"/>
        </w:rPr>
      </w:pPr>
      <w:r>
        <w:rPr>
          <w:rFonts w:hint="eastAsia" w:hAnsi="黑体"/>
          <w:b/>
          <w:sz w:val="32"/>
          <w:szCs w:val="32"/>
        </w:rPr>
        <w:t>九、机关运行经费支出说明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ind w:firstLine="640" w:firstLineChars="200"/>
        <w:rPr>
          <w:rFonts w:hAnsi="黑体"/>
          <w:b/>
          <w:sz w:val="32"/>
          <w:szCs w:val="32"/>
        </w:rPr>
      </w:pPr>
      <w:r>
        <w:rPr>
          <w:rFonts w:hint="eastAsia" w:hAnsi="黑体"/>
          <w:b/>
          <w:sz w:val="32"/>
          <w:szCs w:val="32"/>
        </w:rPr>
        <w:t>十、一般性支出情况说明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0"/>
        <w:ind w:firstLine="640" w:firstLineChars="20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0万元。</w:t>
      </w:r>
    </w:p>
    <w:p>
      <w:pPr>
        <w:pStyle w:val="10"/>
        <w:ind w:firstLine="640" w:firstLineChars="20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ind w:firstLine="640" w:firstLineChars="20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155.00</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组织对湘源锡矿生态修复项目工程项目开展了部门评价，涉及一般公共预算支出</w:t>
      </w:r>
      <w:r>
        <w:rPr>
          <w:rFonts w:hint="eastAsia" w:cs="黑体" w:asciiTheme="minorEastAsia" w:hAnsiTheme="minorEastAsia"/>
          <w:color w:val="000000"/>
          <w:kern w:val="0"/>
          <w:sz w:val="32"/>
          <w:szCs w:val="32"/>
          <w:lang w:val="en-US" w:eastAsia="zh-CN"/>
        </w:rPr>
        <w:t>155.00</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能较好地完成年初设定的绩效目标</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本</w:t>
      </w:r>
      <w:r>
        <w:rPr>
          <w:rFonts w:hint="eastAsia" w:cs="黑体" w:asciiTheme="minorEastAsia" w:hAnsiTheme="minorEastAsia"/>
          <w:color w:val="000000"/>
          <w:kern w:val="0"/>
          <w:sz w:val="32"/>
          <w:szCs w:val="32"/>
        </w:rPr>
        <w:t>单位开展整体支出绩效评价，涉及一般公共预算支出</w:t>
      </w:r>
      <w:r>
        <w:rPr>
          <w:rFonts w:hint="eastAsia" w:cs="黑体" w:asciiTheme="minorEastAsia" w:hAnsiTheme="minorEastAsia"/>
          <w:color w:val="000000"/>
          <w:kern w:val="0"/>
          <w:sz w:val="32"/>
          <w:szCs w:val="32"/>
          <w:lang w:val="en-US" w:eastAsia="zh-CN"/>
        </w:rPr>
        <w:t>236.95</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3.05</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能较好地完成年初设定的绩效目标</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hint="eastAsia" w:asciiTheme="minorEastAsia" w:hAnsiTheme="minorEastAsia" w:eastAsiaTheme="minorEastAsia" w:cstheme="minorEastAsia"/>
          <w:color w:val="000000"/>
          <w:kern w:val="0"/>
          <w:sz w:val="32"/>
          <w:szCs w:val="32"/>
        </w:rPr>
      </w:pPr>
      <w:r>
        <w:rPr>
          <w:rFonts w:hint="eastAsia" w:cs="黑体" w:asciiTheme="minorEastAsia" w:hAnsiTheme="minorEastAsia"/>
          <w:color w:val="000000"/>
          <w:kern w:val="0"/>
          <w:sz w:val="32"/>
          <w:szCs w:val="32"/>
        </w:rPr>
        <w:t>湘源锡矿生态修复</w:t>
      </w:r>
      <w:r>
        <w:rPr>
          <w:rFonts w:hint="eastAsia" w:asciiTheme="minorEastAsia" w:hAnsiTheme="minorEastAsia" w:eastAsiaTheme="minorEastAsia" w:cstheme="minorEastAsia"/>
          <w:color w:val="000000"/>
          <w:kern w:val="0"/>
          <w:sz w:val="32"/>
          <w:szCs w:val="32"/>
        </w:rPr>
        <w:t>项目绩效自评综述：根据年初设定的绩效目标，项目绩效自评得分为</w:t>
      </w:r>
      <w:r>
        <w:rPr>
          <w:rFonts w:hint="eastAsia" w:asciiTheme="minorEastAsia" w:hAnsiTheme="minorEastAsia" w:eastAsiaTheme="minorEastAsia" w:cstheme="minorEastAsia"/>
          <w:color w:val="000000"/>
          <w:kern w:val="0"/>
          <w:sz w:val="32"/>
          <w:szCs w:val="32"/>
          <w:lang w:val="en-US" w:eastAsia="zh-CN"/>
        </w:rPr>
        <w:t>9</w:t>
      </w:r>
      <w:r>
        <w:rPr>
          <w:rFonts w:hint="eastAsia" w:asciiTheme="minorEastAsia" w:hAnsiTheme="minorEastAsia" w:cstheme="minorEastAsia"/>
          <w:color w:val="000000"/>
          <w:kern w:val="0"/>
          <w:sz w:val="32"/>
          <w:szCs w:val="32"/>
          <w:lang w:val="en-US" w:eastAsia="zh-CN"/>
        </w:rPr>
        <w:t>3</w:t>
      </w:r>
      <w:r>
        <w:rPr>
          <w:rFonts w:hint="eastAsia" w:asciiTheme="minorEastAsia" w:hAnsiTheme="minorEastAsia" w:eastAsiaTheme="minorEastAsia" w:cstheme="minorEastAsia"/>
          <w:color w:val="000000"/>
          <w:kern w:val="0"/>
          <w:sz w:val="32"/>
          <w:szCs w:val="32"/>
          <w:lang w:val="en-US" w:eastAsia="zh-CN"/>
        </w:rPr>
        <w:t>.5</w:t>
      </w:r>
      <w:r>
        <w:rPr>
          <w:rFonts w:hint="eastAsia" w:asciiTheme="minorEastAsia" w:hAnsiTheme="minorEastAsia" w:eastAsiaTheme="minorEastAsia" w:cstheme="minorEastAsia"/>
          <w:color w:val="000000"/>
          <w:kern w:val="0"/>
          <w:sz w:val="32"/>
          <w:szCs w:val="32"/>
        </w:rPr>
        <w:t>分。项目全年预算数为</w:t>
      </w:r>
      <w:r>
        <w:rPr>
          <w:rFonts w:hint="eastAsia" w:asciiTheme="minorEastAsia" w:hAnsiTheme="minorEastAsia" w:cstheme="minorEastAsia"/>
          <w:color w:val="000000"/>
          <w:kern w:val="0"/>
          <w:sz w:val="32"/>
          <w:szCs w:val="32"/>
          <w:lang w:val="en-US" w:eastAsia="zh-CN"/>
        </w:rPr>
        <w:t>155.00</w:t>
      </w:r>
      <w:r>
        <w:rPr>
          <w:rFonts w:hint="eastAsia" w:asciiTheme="minorEastAsia" w:hAnsiTheme="minorEastAsia" w:eastAsiaTheme="minorEastAsia" w:cstheme="minorEastAsia"/>
          <w:color w:val="000000"/>
          <w:kern w:val="0"/>
          <w:sz w:val="32"/>
          <w:szCs w:val="32"/>
        </w:rPr>
        <w:t>万元，执行数为</w:t>
      </w:r>
      <w:r>
        <w:rPr>
          <w:rFonts w:hint="eastAsia" w:asciiTheme="minorEastAsia" w:hAnsiTheme="minorEastAsia" w:cstheme="minorEastAsia"/>
          <w:color w:val="000000"/>
          <w:kern w:val="0"/>
          <w:sz w:val="32"/>
          <w:szCs w:val="32"/>
          <w:lang w:val="en-US" w:eastAsia="zh-CN"/>
        </w:rPr>
        <w:t>155.00</w:t>
      </w:r>
      <w:r>
        <w:rPr>
          <w:rFonts w:hint="eastAsia" w:asciiTheme="minorEastAsia" w:hAnsiTheme="minorEastAsia" w:eastAsiaTheme="minorEastAsia" w:cstheme="minorEastAsia"/>
          <w:color w:val="000000"/>
          <w:kern w:val="0"/>
          <w:sz w:val="32"/>
          <w:szCs w:val="32"/>
        </w:rPr>
        <w:t>万元，完成预算的</w:t>
      </w:r>
      <w:r>
        <w:rPr>
          <w:rFonts w:hint="eastAsia" w:asciiTheme="minorEastAsia" w:hAnsiTheme="minorEastAsia" w:eastAsiaTheme="minorEastAsia" w:cstheme="minorEastAsia"/>
          <w:color w:val="000000"/>
          <w:kern w:val="0"/>
          <w:sz w:val="32"/>
          <w:szCs w:val="32"/>
          <w:lang w:val="en-US" w:eastAsia="zh-CN"/>
        </w:rPr>
        <w:t>100</w:t>
      </w:r>
      <w:r>
        <w:rPr>
          <w:rFonts w:hint="eastAsia" w:asciiTheme="minorEastAsia" w:hAnsiTheme="minorEastAsia" w:eastAsiaTheme="minorEastAsia" w:cstheme="minorEastAsia"/>
          <w:color w:val="000000"/>
          <w:kern w:val="0"/>
          <w:sz w:val="32"/>
          <w:szCs w:val="32"/>
        </w:rPr>
        <w:t>%。项目绩效目标完成情况：</w:t>
      </w:r>
      <w:r>
        <w:rPr>
          <w:rFonts w:hint="eastAsia" w:asciiTheme="minorEastAsia" w:hAnsiTheme="minorEastAsia" w:eastAsiaTheme="minorEastAsia" w:cstheme="minorEastAsia"/>
          <w:b w:val="0"/>
          <w:bCs w:val="0"/>
          <w:color w:val="000000"/>
          <w:kern w:val="0"/>
          <w:sz w:val="32"/>
          <w:szCs w:val="32"/>
        </w:rPr>
        <w:t>一是</w:t>
      </w:r>
      <w:r>
        <w:rPr>
          <w:rFonts w:hint="eastAsia" w:asciiTheme="minorEastAsia" w:hAnsiTheme="minorEastAsia" w:cstheme="minorEastAsia"/>
          <w:b w:val="0"/>
          <w:bCs w:val="0"/>
          <w:sz w:val="32"/>
          <w:szCs w:val="32"/>
          <w:lang w:eastAsia="zh-CN"/>
        </w:rPr>
        <w:t>林长制规范管理</w:t>
      </w:r>
      <w:r>
        <w:rPr>
          <w:rFonts w:hint="eastAsia" w:asciiTheme="minorEastAsia" w:hAnsiTheme="minorEastAsia" w:eastAsiaTheme="minorEastAsia" w:cstheme="minorEastAsia"/>
          <w:b w:val="0"/>
          <w:bCs w:val="0"/>
          <w:color w:val="000000"/>
          <w:kern w:val="0"/>
          <w:sz w:val="32"/>
          <w:szCs w:val="32"/>
        </w:rPr>
        <w:t>；二是</w:t>
      </w:r>
      <w:r>
        <w:rPr>
          <w:rFonts w:hint="eastAsia" w:asciiTheme="minorEastAsia" w:hAnsiTheme="minorEastAsia" w:cstheme="minorEastAsia"/>
          <w:b w:val="0"/>
          <w:bCs w:val="0"/>
          <w:sz w:val="32"/>
          <w:szCs w:val="32"/>
          <w:lang w:eastAsia="zh-CN"/>
        </w:rPr>
        <w:t>扎实做好森林防火工作</w:t>
      </w:r>
      <w:r>
        <w:rPr>
          <w:rFonts w:hint="eastAsia" w:asciiTheme="minorEastAsia" w:hAnsiTheme="minorEastAsia" w:eastAsiaTheme="minorEastAsia" w:cstheme="minorEastAsia"/>
          <w:b w:val="0"/>
          <w:bCs w:val="0"/>
          <w:color w:val="000000"/>
          <w:kern w:val="0"/>
          <w:sz w:val="32"/>
          <w:szCs w:val="32"/>
        </w:rPr>
        <w:t>。</w:t>
      </w:r>
      <w:r>
        <w:rPr>
          <w:rFonts w:hint="eastAsia" w:asciiTheme="minorEastAsia" w:hAnsiTheme="minorEastAsia" w:eastAsiaTheme="minorEastAsia" w:cstheme="minorEastAsia"/>
          <w:color w:val="000000"/>
          <w:kern w:val="0"/>
          <w:sz w:val="32"/>
          <w:szCs w:val="32"/>
        </w:rPr>
        <w:t>发现的主要问题及原因：一是</w:t>
      </w:r>
      <w:r>
        <w:rPr>
          <w:rFonts w:hint="eastAsia" w:asciiTheme="minorEastAsia" w:hAnsiTheme="minorEastAsia" w:eastAsiaTheme="minorEastAsia" w:cstheme="minorEastAsia"/>
          <w:sz w:val="32"/>
          <w:szCs w:val="32"/>
        </w:rPr>
        <w:t>预算绩效管理机制有待进一步完善，需进一步结合工作实际完善资金管理文件办法等。</w:t>
      </w:r>
      <w:r>
        <w:rPr>
          <w:rFonts w:hint="eastAsia" w:asciiTheme="minorEastAsia" w:hAnsiTheme="minorEastAsia" w:eastAsiaTheme="minorEastAsia" w:cstheme="minorEastAsia"/>
          <w:color w:val="000000"/>
          <w:kern w:val="0"/>
          <w:sz w:val="32"/>
          <w:szCs w:val="32"/>
        </w:rPr>
        <w:t>；二是</w:t>
      </w:r>
      <w:r>
        <w:rPr>
          <w:rFonts w:hint="eastAsia" w:asciiTheme="minorEastAsia" w:hAnsiTheme="minorEastAsia" w:eastAsiaTheme="minorEastAsia" w:cstheme="minorEastAsia"/>
          <w:sz w:val="32"/>
          <w:szCs w:val="32"/>
        </w:rPr>
        <w:t>绩效目标设定不够细化，绩效目标的科学性、合理性以及量化可考核性有待进一步加强。</w:t>
      </w:r>
      <w:r>
        <w:rPr>
          <w:rFonts w:hint="eastAsia" w:asciiTheme="minorEastAsia" w:hAnsiTheme="minorEastAsia" w:eastAsiaTheme="minorEastAsia" w:cstheme="minorEastAsia"/>
          <w:color w:val="000000"/>
          <w:kern w:val="0"/>
          <w:sz w:val="32"/>
          <w:szCs w:val="32"/>
        </w:rPr>
        <w:t>。下一步改进措施：一是</w:t>
      </w:r>
      <w:r>
        <w:rPr>
          <w:rFonts w:hint="eastAsia" w:asciiTheme="minorEastAsia" w:hAnsiTheme="minorEastAsia" w:eastAsiaTheme="minorEastAsia" w:cstheme="minorEastAsia"/>
          <w:bCs/>
          <w:color w:val="010101"/>
          <w:sz w:val="32"/>
          <w:szCs w:val="32"/>
        </w:rPr>
        <w:t>明确职责，加强项目管理。应针对每一个项目制定工作目标，科学编制和</w:t>
      </w:r>
      <w:r>
        <w:rPr>
          <w:rFonts w:hint="eastAsia" w:asciiTheme="minorEastAsia" w:hAnsiTheme="minorEastAsia" w:eastAsiaTheme="minorEastAsia" w:cstheme="minorEastAsia"/>
          <w:color w:val="010101"/>
          <w:sz w:val="32"/>
          <w:szCs w:val="32"/>
        </w:rPr>
        <w:t>细化预算，做到预算有目标，执行有细则，控制专项支出，提高资金的使用效益。</w:t>
      </w:r>
      <w:r>
        <w:rPr>
          <w:rFonts w:hint="eastAsia" w:asciiTheme="minorEastAsia" w:hAnsiTheme="minorEastAsia" w:eastAsiaTheme="minorEastAsia" w:cstheme="minorEastAsia"/>
          <w:color w:val="000000"/>
          <w:kern w:val="0"/>
          <w:sz w:val="32"/>
          <w:szCs w:val="32"/>
        </w:rPr>
        <w:t>；二是</w:t>
      </w:r>
      <w:r>
        <w:rPr>
          <w:rFonts w:hint="eastAsia" w:asciiTheme="minorEastAsia" w:hAnsiTheme="minorEastAsia" w:eastAsiaTheme="minorEastAsia" w:cstheme="minorEastAsia"/>
          <w:sz w:val="32"/>
          <w:szCs w:val="32"/>
        </w:rPr>
        <w:t>通过对预算绩效管理工作的制度、流程和职责的梳理，制定适应单位特点的预算绩效管理制度及相关实施细则，以提升预算绩效管理工作的整体规划性</w:t>
      </w:r>
      <w:r>
        <w:rPr>
          <w:rFonts w:hint="eastAsia" w:asciiTheme="minorEastAsia" w:hAnsiTheme="minorEastAsia" w:eastAsiaTheme="minorEastAsia" w:cs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湘源锡矿生态修复</w:t>
      </w:r>
      <w:r>
        <w:rPr>
          <w:rFonts w:hint="eastAsia" w:asciiTheme="minorEastAsia" w:hAnsiTheme="minorEastAsia" w:eastAsiaTheme="minorEastAsia" w:cstheme="minorEastAsia"/>
          <w:color w:val="000000"/>
          <w:kern w:val="0"/>
          <w:sz w:val="32"/>
          <w:szCs w:val="32"/>
        </w:rPr>
        <w:t>项目</w:t>
      </w:r>
      <w:r>
        <w:rPr>
          <w:rFonts w:hint="eastAsia" w:cs="黑体" w:asciiTheme="minorEastAsia" w:hAnsiTheme="minorEastAsia"/>
          <w:color w:val="000000"/>
          <w:kern w:val="0"/>
          <w:sz w:val="32"/>
          <w:szCs w:val="32"/>
        </w:rPr>
        <w:t>绩效自评综述：</w:t>
      </w:r>
      <w:r>
        <w:rPr>
          <w:rFonts w:hint="eastAsia" w:cs="黑体" w:asciiTheme="minorEastAsia" w:hAnsiTheme="minorEastAsia"/>
          <w:color w:val="000000"/>
          <w:kern w:val="0"/>
          <w:sz w:val="32"/>
          <w:szCs w:val="32"/>
          <w:lang w:eastAsia="zh-CN"/>
        </w:rPr>
        <w:t>能较好地完成年初设定的绩效目标</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rPr>
        <w:t>一、</w:t>
      </w:r>
      <w:r>
        <w:rPr>
          <w:rFonts w:hint="eastAsia" w:asciiTheme="minorEastAsia" w:hAnsiTheme="minorEastAsia" w:eastAsiaTheme="minorEastAsia" w:cstheme="minorEastAsia"/>
          <w:color w:val="000000"/>
          <w:kern w:val="0"/>
          <w:sz w:val="32"/>
          <w:szCs w:val="32"/>
          <w:lang w:val="en-US" w:eastAsia="zh-CN" w:bidi="ar"/>
        </w:rPr>
        <w:t xml:space="preserve">财政拨款收入：指单位本年度从同级财政部门取得的各类财政 </w:t>
      </w:r>
    </w:p>
    <w:p>
      <w:pPr>
        <w:keepNext w:val="0"/>
        <w:keepLines w:val="0"/>
        <w:widowControl/>
        <w:suppressLineNumbers w:val="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lang w:val="en-US" w:eastAsia="zh-CN" w:bidi="ar"/>
        </w:rPr>
        <w:t>拨款。</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rPr>
        <w:t>二、</w:t>
      </w:r>
      <w:r>
        <w:rPr>
          <w:rFonts w:hint="eastAsia" w:asciiTheme="minorEastAsia" w:hAnsiTheme="minorEastAsia" w:eastAsiaTheme="minorEastAsia" w:cstheme="minorEastAsia"/>
          <w:color w:val="000000"/>
          <w:kern w:val="0"/>
          <w:sz w:val="32"/>
          <w:szCs w:val="32"/>
          <w:lang w:val="en-US" w:eastAsia="zh-CN" w:bidi="ar"/>
        </w:rPr>
        <w:t xml:space="preserve">机关运行经费：指行政单位（含参照公务员法管理的事业单位）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使用一般公共预算安排的基本支出中的公用经费支出，包括办公及印刷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费、邮电费、差旅费、会议费、福利费、日常维修费、专用材料及一般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设备购置费、办公用房水电费、办公用房取暖费、办公用房物业管理费、 </w:t>
      </w:r>
    </w:p>
    <w:p>
      <w:pPr>
        <w:keepNext w:val="0"/>
        <w:keepLines w:val="0"/>
        <w:widowControl/>
        <w:suppressLineNumbers w:val="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公务用车运行维护费及其他费用。 </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rPr>
        <w:t>三、</w:t>
      </w:r>
      <w:r>
        <w:rPr>
          <w:rFonts w:hint="eastAsia" w:asciiTheme="minorEastAsia" w:hAnsiTheme="minorEastAsia" w:eastAsiaTheme="minorEastAsia" w:cstheme="minorEastAsia"/>
          <w:color w:val="000000"/>
          <w:kern w:val="0"/>
          <w:sz w:val="32"/>
          <w:szCs w:val="32"/>
          <w:lang w:val="en-US" w:eastAsia="zh-CN" w:bidi="ar"/>
        </w:rPr>
        <w:t xml:space="preserve">“三公”经费：指单位用一般公共预算财政拨款安排的因公出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国（境）费、公务用车购置及运行维护费和公务接待费。其中，因公出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国（境）费反映单位公务出国（境）的国际旅费、国外城市间交通费、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住宿费、伙食费、培训费、公杂费等支出；公务用车购置及运行维护费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反映单位公务用车购置支出（含车辆购置税、牌照费）以及按规定保留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的公务用车燃料费、维修费、过路过桥费、保险费、安全奖励费用等支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出；公务接待费反映单位按规定开支的各类公务接待（含外宾接待）费 </w:t>
      </w:r>
    </w:p>
    <w:p>
      <w:pPr>
        <w:keepNext w:val="0"/>
        <w:keepLines w:val="0"/>
        <w:widowControl/>
        <w:suppressLineNumbers w:val="0"/>
        <w:jc w:val="left"/>
        <w:rPr>
          <w:rFonts w:hint="eastAsia" w:asciiTheme="minorEastAsia" w:hAnsiTheme="minorEastAsia" w:eastAsiaTheme="minorEastAsia" w:cstheme="minorEastAsia"/>
          <w:color w:val="000000"/>
          <w:kern w:val="0"/>
          <w:sz w:val="32"/>
          <w:szCs w:val="32"/>
          <w:lang w:val="en-US" w:eastAsia="zh-CN" w:bidi="ar"/>
        </w:rPr>
      </w:pPr>
      <w:r>
        <w:rPr>
          <w:rFonts w:hint="eastAsia" w:asciiTheme="minorEastAsia" w:hAnsiTheme="minorEastAsia" w:eastAsiaTheme="minorEastAsia" w:cstheme="minorEastAsia"/>
          <w:color w:val="000000"/>
          <w:kern w:val="0"/>
          <w:sz w:val="32"/>
          <w:szCs w:val="32"/>
          <w:lang w:val="en-US" w:eastAsia="zh-CN" w:bidi="ar"/>
        </w:rPr>
        <w:t>用。</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四、基本支出：指为保障机构正常运转、完成日常工作任务而发生 </w:t>
      </w:r>
    </w:p>
    <w:p>
      <w:pPr>
        <w:keepNext w:val="0"/>
        <w:keepLines w:val="0"/>
        <w:widowControl/>
        <w:suppressLineNumbers w:val="0"/>
        <w:jc w:val="left"/>
        <w:rPr>
          <w:rFonts w:hint="eastAsia" w:asciiTheme="minorEastAsia" w:hAnsiTheme="minorEastAsia" w:eastAsiaTheme="minorEastAsia" w:cstheme="minorEastAsia"/>
          <w:color w:val="000000"/>
          <w:kern w:val="0"/>
          <w:sz w:val="32"/>
          <w:szCs w:val="32"/>
          <w:lang w:val="en-US" w:eastAsia="zh-CN" w:bidi="ar"/>
        </w:rPr>
      </w:pPr>
      <w:r>
        <w:rPr>
          <w:rFonts w:hint="eastAsia" w:asciiTheme="minorEastAsia" w:hAnsiTheme="minorEastAsia" w:eastAsiaTheme="minorEastAsia" w:cstheme="minorEastAsia"/>
          <w:color w:val="000000"/>
          <w:kern w:val="0"/>
          <w:sz w:val="32"/>
          <w:szCs w:val="32"/>
          <w:lang w:val="en-US" w:eastAsia="zh-CN" w:bidi="ar"/>
        </w:rPr>
        <w:t xml:space="preserve">的支出，包括人员经费和公用经费。 </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五、项目支出：指在为完成特定的工作任务和事业发展目标所发生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的支出。</w:t>
      </w: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pStyle w:val="5"/>
        <w:widowControl/>
        <w:spacing w:beforeAutospacing="0" w:afterAutospacing="0" w:line="520" w:lineRule="exact"/>
        <w:ind w:firstLine="640" w:firstLineChars="200"/>
        <w:jc w:val="both"/>
        <w:rPr>
          <w:rFonts w:hint="eastAsia" w:asciiTheme="minorEastAsia" w:hAnsiTheme="minorEastAsia" w:eastAsiaTheme="minorEastAsia" w:cstheme="minorEastAsia"/>
          <w:color w:val="000000"/>
          <w:sz w:val="32"/>
          <w:szCs w:val="32"/>
        </w:rPr>
      </w:pPr>
      <w:r>
        <w:rPr>
          <w:rFonts w:hint="eastAsia" w:asciiTheme="minorEastAsia" w:hAnsiTheme="minorEastAsia" w:cstheme="minorEastAsia"/>
          <w:b/>
          <w:bCs/>
          <w:color w:val="000000"/>
          <w:sz w:val="32"/>
          <w:szCs w:val="32"/>
          <w:lang w:eastAsia="zh-CN"/>
        </w:rPr>
        <w:t>一</w:t>
      </w:r>
      <w:r>
        <w:rPr>
          <w:rFonts w:hint="eastAsia" w:asciiTheme="minorEastAsia" w:hAnsiTheme="minorEastAsia" w:eastAsiaTheme="minorEastAsia" w:cstheme="minorEastAsia"/>
          <w:b/>
          <w:bCs/>
          <w:color w:val="000000"/>
          <w:sz w:val="32"/>
          <w:szCs w:val="32"/>
        </w:rPr>
        <w:t>、按照“林长制”规范管理</w:t>
      </w:r>
      <w:r>
        <w:rPr>
          <w:rFonts w:hint="eastAsia" w:asciiTheme="minorEastAsia" w:hAnsiTheme="minorEastAsia" w:eastAsiaTheme="minorEastAsia" w:cstheme="minorEastAsia"/>
          <w:color w:val="000000"/>
          <w:sz w:val="32"/>
          <w:szCs w:val="32"/>
        </w:rPr>
        <w:t>。一是划分林区网格，实现“分片包干、责任到人”管理机制，切实做好森林植被各项保护工作。二是加大公益林植被破损的打击力度。三是有效做好上坦公路插花坪至坦水坪路段植被的修复工作。</w:t>
      </w:r>
    </w:p>
    <w:p>
      <w:pPr>
        <w:pStyle w:val="5"/>
        <w:widowControl/>
        <w:spacing w:beforeAutospacing="0" w:afterAutospacing="0" w:line="520" w:lineRule="exact"/>
        <w:ind w:firstLine="640" w:firstLineChars="200"/>
        <w:jc w:val="both"/>
        <w:rPr>
          <w:rFonts w:hint="eastAsia" w:asciiTheme="minorEastAsia" w:hAnsiTheme="minorEastAsia" w:eastAsiaTheme="minorEastAsia" w:cstheme="minorEastAsia"/>
          <w:color w:val="000000"/>
          <w:sz w:val="32"/>
          <w:szCs w:val="32"/>
        </w:rPr>
      </w:pPr>
      <w:r>
        <w:rPr>
          <w:rFonts w:hint="eastAsia" w:asciiTheme="minorEastAsia" w:hAnsiTheme="minorEastAsia" w:cstheme="minorEastAsia"/>
          <w:b/>
          <w:bCs/>
          <w:color w:val="000000"/>
          <w:sz w:val="32"/>
          <w:szCs w:val="32"/>
          <w:lang w:eastAsia="zh-CN"/>
        </w:rPr>
        <w:t>二、</w:t>
      </w:r>
      <w:r>
        <w:rPr>
          <w:rFonts w:hint="eastAsia" w:asciiTheme="minorEastAsia" w:hAnsiTheme="minorEastAsia" w:eastAsiaTheme="minorEastAsia" w:cstheme="minorEastAsia"/>
          <w:b/>
          <w:bCs/>
          <w:color w:val="000000"/>
          <w:sz w:val="32"/>
          <w:szCs w:val="32"/>
        </w:rPr>
        <w:t>加大野生动物保护力度。</w:t>
      </w:r>
      <w:r>
        <w:rPr>
          <w:rFonts w:hint="eastAsia" w:asciiTheme="minorEastAsia" w:hAnsiTheme="minorEastAsia" w:eastAsiaTheme="minorEastAsia" w:cstheme="minorEastAsia"/>
          <w:color w:val="000000"/>
          <w:sz w:val="32"/>
          <w:szCs w:val="32"/>
        </w:rPr>
        <w:t>全年出动护林人员600余人次，检查巡护重点区域100处，开展法规宣传30次，放生鸟、蛙、蛇、竹鼠等动物300余只，收缴捕鸟网20张、捕蛇铁笼32个、捕物套子48个和捕物电瓶10个，有效打击和震慑了破坏野生鸟类资源违法犯罪活动。</w:t>
      </w:r>
    </w:p>
    <w:p>
      <w:pPr>
        <w:pStyle w:val="5"/>
        <w:widowControl/>
        <w:spacing w:line="520" w:lineRule="exact"/>
        <w:ind w:firstLine="640" w:firstLineChars="200"/>
        <w:jc w:val="both"/>
        <w:rPr>
          <w:rFonts w:hint="eastAsia" w:asciiTheme="minorEastAsia" w:hAnsiTheme="minorEastAsia" w:eastAsiaTheme="minorEastAsia" w:cstheme="minorEastAsia"/>
          <w:color w:val="000000"/>
          <w:sz w:val="32"/>
          <w:szCs w:val="32"/>
        </w:rPr>
      </w:pPr>
      <w:r>
        <w:rPr>
          <w:rFonts w:hint="eastAsia" w:asciiTheme="minorEastAsia" w:hAnsiTheme="minorEastAsia" w:cstheme="minorEastAsia"/>
          <w:b/>
          <w:bCs/>
          <w:color w:val="000000"/>
          <w:sz w:val="32"/>
          <w:szCs w:val="32"/>
          <w:lang w:eastAsia="zh-CN"/>
        </w:rPr>
        <w:t>三</w:t>
      </w:r>
      <w:r>
        <w:rPr>
          <w:rFonts w:hint="eastAsia" w:asciiTheme="minorEastAsia" w:hAnsiTheme="minorEastAsia" w:eastAsiaTheme="minorEastAsia" w:cstheme="minorEastAsia"/>
          <w:b/>
          <w:bCs/>
          <w:color w:val="000000"/>
          <w:sz w:val="32"/>
          <w:szCs w:val="32"/>
        </w:rPr>
        <w:t>、扎实做好森林防火工作。</w:t>
      </w:r>
      <w:r>
        <w:rPr>
          <w:rFonts w:hint="eastAsia" w:asciiTheme="minorEastAsia" w:hAnsiTheme="minorEastAsia" w:eastAsiaTheme="minorEastAsia" w:cstheme="minorEastAsia"/>
          <w:color w:val="000000"/>
          <w:sz w:val="32"/>
          <w:szCs w:val="32"/>
        </w:rPr>
        <w:t>全年我们有效做好森林防火特护期及清明节重点时段的森林火灾预防工作。取得了年内无火灾事故发生的佳绩。</w:t>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50224C4"/>
    <w:rsid w:val="0C9233F7"/>
    <w:rsid w:val="0DD759F4"/>
    <w:rsid w:val="1A9A160E"/>
    <w:rsid w:val="1AC4079F"/>
    <w:rsid w:val="2DF47AA5"/>
    <w:rsid w:val="33114930"/>
    <w:rsid w:val="34DE53A6"/>
    <w:rsid w:val="3545007D"/>
    <w:rsid w:val="37FC0E18"/>
    <w:rsid w:val="3B213C78"/>
    <w:rsid w:val="3D6B1270"/>
    <w:rsid w:val="3FE33F3D"/>
    <w:rsid w:val="4A4D08C8"/>
    <w:rsid w:val="4FE53935"/>
    <w:rsid w:val="51DA705D"/>
    <w:rsid w:val="53B12C61"/>
    <w:rsid w:val="557E5D22"/>
    <w:rsid w:val="59987F3E"/>
    <w:rsid w:val="5CE67680"/>
    <w:rsid w:val="5DDD3DAA"/>
    <w:rsid w:val="712832BA"/>
    <w:rsid w:val="78EC7988"/>
    <w:rsid w:val="7F6E5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ascii="Calibri" w:hAnsi="Calibri"/>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7492</Words>
  <Characters>9009</Characters>
  <Lines>69</Lines>
  <Paragraphs>19</Paragraphs>
  <TotalTime>0</TotalTime>
  <ScaleCrop>false</ScaleCrop>
  <LinksUpToDate>false</LinksUpToDate>
  <CharactersWithSpaces>9952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2023-09-28T05:14:55Z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31A0DB8E63FE40EB854E887D4FCDC616</vt:lpwstr>
  </property>
</Properties>
</file>