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sz w:val="84"/>
          <w:szCs w:val="84"/>
        </w:rPr>
      </w:pPr>
      <w:r>
        <w:rPr>
          <w:rFonts w:hint="eastAsia"/>
          <w:sz w:val="84"/>
          <w:szCs w:val="84"/>
        </w:rPr>
        <w:t>2021年度</w:t>
      </w:r>
    </w:p>
    <w:p>
      <w:pPr>
        <w:pStyle w:val="12"/>
        <w:jc w:val="center"/>
        <w:rPr>
          <w:sz w:val="84"/>
          <w:szCs w:val="84"/>
        </w:rPr>
      </w:pPr>
      <w:r>
        <w:rPr>
          <w:rFonts w:hint="eastAsia"/>
          <w:sz w:val="84"/>
          <w:szCs w:val="84"/>
          <w:lang w:eastAsia="zh-CN"/>
        </w:rPr>
        <w:t>道县工商业联合会</w:t>
      </w:r>
      <w:r>
        <w:rPr>
          <w:rFonts w:hint="eastAsia"/>
          <w:sz w:val="84"/>
          <w:szCs w:val="84"/>
        </w:rPr>
        <w:t>部门决算</w:t>
      </w: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center"/>
        <w:rPr>
          <w:b/>
          <w:sz w:val="36"/>
          <w:szCs w:val="28"/>
        </w:rPr>
      </w:pPr>
    </w:p>
    <w:p>
      <w:pPr>
        <w:pStyle w:val="12"/>
        <w:spacing w:line="500" w:lineRule="exact"/>
        <w:jc w:val="center"/>
        <w:rPr>
          <w:b/>
          <w:sz w:val="36"/>
          <w:szCs w:val="28"/>
        </w:rPr>
      </w:pPr>
    </w:p>
    <w:p>
      <w:pPr>
        <w:pStyle w:val="12"/>
        <w:spacing w:line="500" w:lineRule="exact"/>
        <w:jc w:val="center"/>
        <w:rPr>
          <w:b/>
          <w:sz w:val="36"/>
          <w:szCs w:val="28"/>
        </w:rPr>
      </w:pPr>
      <w:r>
        <w:rPr>
          <w:rFonts w:hint="eastAsia"/>
          <w:b/>
          <w:sz w:val="36"/>
          <w:szCs w:val="28"/>
        </w:rPr>
        <w:t>目录</w:t>
      </w:r>
    </w:p>
    <w:p>
      <w:pPr>
        <w:pStyle w:val="12"/>
        <w:spacing w:line="500" w:lineRule="exact"/>
        <w:ind w:firstLine="562" w:firstLineChars="200"/>
        <w:rPr>
          <w:rFonts w:ascii="仿宋_GB2312" w:hAnsi="仿宋_GB2312" w:cs="仿宋_GB2312"/>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lang w:eastAsia="zh-CN"/>
        </w:rPr>
        <w:t>道县工商业联合会</w:t>
      </w:r>
      <w:r>
        <w:rPr>
          <w:rFonts w:hint="eastAsia"/>
          <w:b/>
          <w:sz w:val="28"/>
          <w:szCs w:val="28"/>
        </w:rPr>
        <w:t>单位概况</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2"/>
        <w:spacing w:line="500" w:lineRule="exact"/>
        <w:ind w:firstLine="562" w:firstLineChars="200"/>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2"/>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2"/>
        <w:spacing w:line="500" w:lineRule="exact"/>
        <w:ind w:firstLine="562" w:firstLineChars="200"/>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21年度部门决算情况说明</w:t>
      </w:r>
    </w:p>
    <w:p>
      <w:pPr>
        <w:pStyle w:val="12"/>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2"/>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ind w:firstLine="562" w:firstLineChars="200"/>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ind w:firstLine="562" w:firstLineChars="200"/>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2"/>
        <w:jc w:val="center"/>
        <w:rPr>
          <w:sz w:val="84"/>
          <w:szCs w:val="84"/>
        </w:rPr>
      </w:pPr>
      <w:r>
        <w:rPr>
          <w:rFonts w:hint="eastAsia"/>
          <w:sz w:val="84"/>
          <w:szCs w:val="84"/>
        </w:rPr>
        <w:t>第一部分</w:t>
      </w:r>
      <w:r>
        <w:rPr>
          <w:sz w:val="84"/>
          <w:szCs w:val="84"/>
        </w:rPr>
        <w:t xml:space="preserve"> </w:t>
      </w:r>
    </w:p>
    <w:p>
      <w:pPr>
        <w:pStyle w:val="12"/>
        <w:jc w:val="center"/>
        <w:rPr>
          <w:sz w:val="84"/>
          <w:szCs w:val="84"/>
        </w:rPr>
      </w:pPr>
    </w:p>
    <w:p>
      <w:pPr>
        <w:pStyle w:val="12"/>
        <w:jc w:val="center"/>
        <w:rPr>
          <w:rFonts w:hint="eastAsia"/>
          <w:sz w:val="84"/>
          <w:szCs w:val="84"/>
          <w:lang w:eastAsia="zh-CN"/>
        </w:rPr>
      </w:pPr>
      <w:r>
        <w:rPr>
          <w:rFonts w:hint="eastAsia"/>
          <w:sz w:val="84"/>
          <w:szCs w:val="84"/>
          <w:lang w:eastAsia="zh-CN"/>
        </w:rPr>
        <w:t>道县工商业联合会</w:t>
      </w:r>
    </w:p>
    <w:p>
      <w:pPr>
        <w:pStyle w:val="12"/>
        <w:jc w:val="center"/>
        <w:rPr>
          <w:sz w:val="84"/>
          <w:szCs w:val="84"/>
        </w:rPr>
      </w:pP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ind w:left="720" w:firstLine="0" w:firstLineChars="0"/>
        <w:jc w:val="left"/>
        <w:rPr>
          <w:rFonts w:ascii="黑体" w:hAnsi="黑体" w:eastAsia="黑体"/>
          <w:sz w:val="32"/>
          <w:szCs w:val="32"/>
        </w:rPr>
      </w:pPr>
    </w:p>
    <w:p>
      <w:pPr>
        <w:pStyle w:val="13"/>
        <w:numPr>
          <w:ilvl w:val="0"/>
          <w:numId w:val="1"/>
        </w:numPr>
        <w:ind w:leftChars="0" w:firstLine="640" w:firstLineChars="200"/>
        <w:jc w:val="left"/>
        <w:rPr>
          <w:rFonts w:ascii="黑体" w:hAnsi="黑体" w:eastAsia="黑体"/>
          <w:sz w:val="32"/>
          <w:szCs w:val="32"/>
        </w:rPr>
      </w:pPr>
      <w:r>
        <w:rPr>
          <w:rFonts w:ascii="黑体" w:hAnsi="黑体" w:eastAsia="黑体"/>
          <w:sz w:val="32"/>
          <w:szCs w:val="32"/>
        </w:rPr>
        <w:t>部门职责</w:t>
      </w:r>
    </w:p>
    <w:p>
      <w:pPr>
        <w:ind w:firstLine="640" w:firstLineChars="200"/>
        <w:rPr>
          <w:rFonts w:ascii="黑体" w:hAnsi="黑体" w:eastAsia="黑体"/>
          <w:sz w:val="32"/>
          <w:szCs w:val="32"/>
        </w:rPr>
      </w:pPr>
      <w:r>
        <w:rPr>
          <w:rFonts w:hint="eastAsia" w:asciiTheme="minorEastAsia" w:hAnsiTheme="minorEastAsia" w:eastAsiaTheme="minorEastAsia" w:cstheme="minorEastAsia"/>
          <w:sz w:val="32"/>
          <w:szCs w:val="32"/>
        </w:rPr>
        <w:t>加强和改进非公有制经济人士思想政治工作；参与政治协商，发挥民主监督作用，积极参政议政；协助政府管理和服务非公有制经济；促进行业协会商会改革发展；参与协调劳动关系，协同社会管理，促进社会和谐稳定；反映非公有制企业和非公有制经济人士利益诉求，维护其合法权益，参与经济纠纷的调解、仲裁；依法加强会产管理和保护。</w:t>
      </w:r>
    </w:p>
    <w:p>
      <w:pPr>
        <w:widowControl/>
        <w:spacing w:line="600" w:lineRule="exact"/>
        <w:ind w:firstLine="640" w:firstLineChars="200"/>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eastAsiaTheme="minorEastAsia" w:cstheme="minorEastAsia"/>
          <w:sz w:val="32"/>
          <w:szCs w:val="32"/>
        </w:rPr>
        <w:t>道县工商业联合会是全额财政拨款的正科级单位，民主党派机构，内设</w:t>
      </w:r>
      <w:r>
        <w:rPr>
          <w:rFonts w:hint="eastAsia" w:asciiTheme="minorEastAsia" w:hAnsiTheme="minorEastAsia" w:eastAsiaTheme="minorEastAsia" w:cstheme="minorEastAsia"/>
          <w:sz w:val="32"/>
          <w:szCs w:val="32"/>
          <w:lang w:eastAsia="zh-CN"/>
        </w:rPr>
        <w:t>办公室</w:t>
      </w:r>
      <w:r>
        <w:rPr>
          <w:rFonts w:hint="eastAsia" w:asciiTheme="minorEastAsia" w:hAnsiTheme="minorEastAsia" w:eastAsiaTheme="minorEastAsia" w:cstheme="minorEastAsia"/>
          <w:sz w:val="32"/>
          <w:szCs w:val="32"/>
          <w:lang w:val="en-US" w:eastAsia="zh-CN"/>
        </w:rPr>
        <w:t>1个</w:t>
      </w:r>
      <w:r>
        <w:rPr>
          <w:rFonts w:hint="eastAsia" w:asciiTheme="minorEastAsia" w:hAnsiTheme="minorEastAsia" w:eastAsiaTheme="minorEastAsia" w:cstheme="minorEastAsia"/>
          <w:sz w:val="32"/>
          <w:szCs w:val="32"/>
        </w:rPr>
        <w:t>股室。</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道县工商业联合会</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道县工商业联合会</w:t>
      </w:r>
      <w:r>
        <w:rPr>
          <w:rFonts w:hint="eastAsia" w:asciiTheme="minorEastAsia" w:hAnsiTheme="minorEastAsia"/>
          <w:bCs/>
          <w:kern w:val="0"/>
          <w:sz w:val="32"/>
          <w:szCs w:val="32"/>
        </w:rPr>
        <w:t>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8"/>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道县工商业联合会</w:t>
            </w:r>
            <w:r>
              <w:rPr>
                <w:rFonts w:ascii="宋体" w:hAnsi="宋体" w:eastAsia="宋体" w:cs="宋体"/>
                <w:color w:val="000000"/>
                <w:kern w:val="0"/>
                <w:sz w:val="20"/>
                <w:szCs w:val="20"/>
              </w:rPr>
              <w:t xml:space="preserve">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124.12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125.79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0.84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hint="eastAsia"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124.12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129.77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5.65</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129.77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129.77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8"/>
        <w:tblW w:w="15372" w:type="dxa"/>
        <w:tblInd w:w="0" w:type="dxa"/>
        <w:tblLayout w:type="autofit"/>
        <w:tblCellMar>
          <w:top w:w="0" w:type="dxa"/>
          <w:left w:w="0" w:type="dxa"/>
          <w:bottom w:w="0" w:type="dxa"/>
          <w:right w:w="0" w:type="dxa"/>
        </w:tblCellMar>
      </w:tblPr>
      <w:tblGrid>
        <w:gridCol w:w="1030"/>
        <w:gridCol w:w="73"/>
        <w:gridCol w:w="1866"/>
        <w:gridCol w:w="1671"/>
        <w:gridCol w:w="1671"/>
        <w:gridCol w:w="1671"/>
        <w:gridCol w:w="1671"/>
        <w:gridCol w:w="1671"/>
        <w:gridCol w:w="1671"/>
        <w:gridCol w:w="2377"/>
      </w:tblGrid>
      <w:tr>
        <w:tblPrEx>
          <w:tblCellMar>
            <w:top w:w="0" w:type="dxa"/>
            <w:left w:w="0" w:type="dxa"/>
            <w:bottom w:w="0" w:type="dxa"/>
            <w:right w:w="0" w:type="dxa"/>
          </w:tblCellMar>
        </w:tblPrEx>
        <w:trPr>
          <w:trHeight w:val="435" w:hRule="atLeast"/>
        </w:trPr>
        <w:tc>
          <w:tcPr>
            <w:tcW w:w="1537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color w:val="000000"/>
                <w:sz w:val="20"/>
                <w:szCs w:val="20"/>
              </w:rPr>
            </w:pPr>
            <w:r>
              <w:rPr>
                <w:rFonts w:hint="eastAsia"/>
                <w:color w:val="000000"/>
                <w:sz w:val="20"/>
                <w:szCs w:val="20"/>
              </w:rPr>
              <w:t>部门：</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lang w:eastAsia="zh-CN"/>
              </w:rPr>
              <w:t>道县工商业联合会</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66"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6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124.12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124.12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120.76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120.76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2010104</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人大会议</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20113</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商贸事务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2011308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组织事务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2013201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103.26</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2.52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2101101</w:t>
            </w:r>
          </w:p>
        </w:tc>
        <w:tc>
          <w:tcPr>
            <w:tcW w:w="193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0.84</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7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8"/>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093"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道县工商业联合会</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129.77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84.11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45.66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125.79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80.75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45.04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人大事务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2010104</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人大会议</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商贸事务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2011308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5.03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2012801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2012802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2012899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0.29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103.26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103.26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76.36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26.90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2101101</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0.84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2130599</w:t>
            </w:r>
          </w:p>
        </w:tc>
        <w:tc>
          <w:tcPr>
            <w:tcW w:w="2437"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093"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8"/>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道县工商业联合会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124.12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125.79</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125.79</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0.84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0.84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0.62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124.12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129.77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5.65</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5.65</w:t>
            </w: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129.77</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129.77</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129.77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道县工商业联合会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8"/>
        <w:tblW w:w="14219" w:type="dxa"/>
        <w:jc w:val="center"/>
        <w:tblLayout w:type="autofit"/>
        <w:tblCellMar>
          <w:top w:w="0" w:type="dxa"/>
          <w:left w:w="108" w:type="dxa"/>
          <w:bottom w:w="0" w:type="dxa"/>
          <w:right w:w="108" w:type="dxa"/>
        </w:tblCellMar>
      </w:tblPr>
      <w:tblGrid>
        <w:gridCol w:w="986"/>
        <w:gridCol w:w="976"/>
        <w:gridCol w:w="3295"/>
        <w:gridCol w:w="2841"/>
        <w:gridCol w:w="3288"/>
        <w:gridCol w:w="2833"/>
      </w:tblGrid>
      <w:tr>
        <w:tblPrEx>
          <w:tblCellMar>
            <w:top w:w="0" w:type="dxa"/>
            <w:left w:w="108" w:type="dxa"/>
            <w:bottom w:w="0" w:type="dxa"/>
            <w:right w:w="108" w:type="dxa"/>
          </w:tblCellMar>
        </w:tblPrEx>
        <w:trPr>
          <w:trHeight w:val="405" w:hRule="atLeast"/>
          <w:jc w:val="center"/>
        </w:trPr>
        <w:tc>
          <w:tcPr>
            <w:tcW w:w="525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6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6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33"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6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6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1"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33"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5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129.77</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84.11</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45.66</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125.79</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80.75</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45.04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人大事务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2010104</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人大会议</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商贸事务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2011308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招商引资</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民主党派及工商联事务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5.03</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4.39</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4.10</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2012802</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0.64</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2012899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其他民主党派及工商联事务支出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0.29</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0.29</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103.26</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76.36</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103.26</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76.36</w:t>
            </w: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2.52</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2101101</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328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0.84</w:t>
            </w:r>
          </w:p>
        </w:tc>
        <w:tc>
          <w:tcPr>
            <w:tcW w:w="2833"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0.62</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0.62</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2130599</w:t>
            </w:r>
          </w:p>
        </w:tc>
        <w:tc>
          <w:tcPr>
            <w:tcW w:w="4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其他扶贫支出</w:t>
            </w:r>
          </w:p>
        </w:tc>
        <w:tc>
          <w:tcPr>
            <w:tcW w:w="284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0.62</w:t>
            </w:r>
          </w:p>
        </w:tc>
        <w:tc>
          <w:tcPr>
            <w:tcW w:w="328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33"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0.62</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8"/>
        <w:tblW w:w="15757" w:type="dxa"/>
        <w:tblInd w:w="0" w:type="dxa"/>
        <w:tblLayout w:type="fixed"/>
        <w:tblCellMar>
          <w:top w:w="0" w:type="dxa"/>
          <w:left w:w="108" w:type="dxa"/>
          <w:bottom w:w="0" w:type="dxa"/>
          <w:right w:w="108" w:type="dxa"/>
        </w:tblCellMar>
      </w:tblPr>
      <w:tblGrid>
        <w:gridCol w:w="1309"/>
        <w:gridCol w:w="3168"/>
        <w:gridCol w:w="870"/>
        <w:gridCol w:w="1197"/>
        <w:gridCol w:w="2263"/>
        <w:gridCol w:w="845"/>
        <w:gridCol w:w="1117"/>
        <w:gridCol w:w="4105"/>
        <w:gridCol w:w="883"/>
      </w:tblGrid>
      <w:tr>
        <w:tblPrEx>
          <w:tblCellMar>
            <w:top w:w="0" w:type="dxa"/>
            <w:left w:w="108" w:type="dxa"/>
            <w:bottom w:w="0" w:type="dxa"/>
            <w:right w:w="108" w:type="dxa"/>
          </w:tblCellMar>
        </w:tblPrEx>
        <w:trPr>
          <w:trHeight w:val="113" w:hRule="atLeast"/>
        </w:trPr>
        <w:tc>
          <w:tcPr>
            <w:tcW w:w="15757"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道县工商业联合会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16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9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0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62.63</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16.62</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24.38</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1.46</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12.21</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0.98</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6.18</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0.07</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6.16</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0.39</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0.15</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3.08</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1.09</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7.61</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4.86</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4.34</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0.03</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3.26</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4.86</w:t>
            </w: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1.90</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1.37</w:t>
            </w: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10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0.29</w:t>
            </w:r>
          </w:p>
        </w:tc>
        <w:tc>
          <w:tcPr>
            <w:tcW w:w="111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10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16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84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1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10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09"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168"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87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19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6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w:t>
            </w:r>
          </w:p>
        </w:tc>
        <w:tc>
          <w:tcPr>
            <w:tcW w:w="1117"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10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88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4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67.49</w:t>
            </w:r>
          </w:p>
        </w:tc>
        <w:tc>
          <w:tcPr>
            <w:tcW w:w="9527"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88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16.62</w:t>
            </w:r>
          </w:p>
        </w:tc>
      </w:tr>
      <w:tr>
        <w:tblPrEx>
          <w:tblCellMar>
            <w:top w:w="0" w:type="dxa"/>
            <w:left w:w="108" w:type="dxa"/>
            <w:bottom w:w="0" w:type="dxa"/>
            <w:right w:w="108" w:type="dxa"/>
          </w:tblCellMar>
        </w:tblPrEx>
        <w:trPr>
          <w:trHeight w:val="284" w:hRule="exact"/>
        </w:trPr>
        <w:tc>
          <w:tcPr>
            <w:tcW w:w="15757"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道县工商业联合会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0.30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道县工商业联合会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8"/>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lang w:eastAsia="zh-CN"/>
        </w:rPr>
        <w:t>道县工商业联合会</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8"/>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p>
        </w:tc>
        <w:tc>
          <w:tcPr>
            <w:tcW w:w="560"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13"/>
                <w:szCs w:val="13"/>
              </w:rPr>
              <w:t>部门：</w:t>
            </w: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eastAsia="zh-CN"/>
              </w:rPr>
              <w:t>道县工商业联合会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eastAsia="zh-CN"/>
              </w:rPr>
              <w:t>道县工商业联合会</w:t>
            </w:r>
            <w:r>
              <w:rPr>
                <w:rFonts w:hint="eastAsia" w:ascii="宋体" w:hAnsi="宋体" w:eastAsia="宋体" w:cs="宋体"/>
                <w:kern w:val="0"/>
                <w:sz w:val="24"/>
                <w:szCs w:val="24"/>
              </w:rPr>
              <w:t>没有</w:t>
            </w:r>
            <w:r>
              <w:rPr>
                <w:rFonts w:hint="eastAsia" w:ascii="宋体" w:hAnsi="宋体" w:eastAsia="宋体" w:cs="宋体"/>
                <w:kern w:val="0"/>
                <w:sz w:val="24"/>
                <w:szCs w:val="24"/>
                <w:lang w:eastAsia="zh-CN"/>
              </w:rPr>
              <w:t>国有资本经营</w:t>
            </w:r>
            <w:r>
              <w:rPr>
                <w:rFonts w:hint="eastAsia" w:ascii="宋体" w:hAnsi="宋体" w:eastAsia="宋体" w:cs="宋体"/>
                <w:kern w:val="0"/>
                <w:sz w:val="24"/>
                <w:szCs w:val="24"/>
              </w:rPr>
              <w:t>收入，也没有使用</w:t>
            </w:r>
            <w:r>
              <w:rPr>
                <w:rFonts w:hint="eastAsia" w:ascii="宋体" w:hAnsi="宋体" w:eastAsia="宋体" w:cs="宋体"/>
                <w:kern w:val="0"/>
                <w:sz w:val="24"/>
                <w:szCs w:val="24"/>
                <w:lang w:eastAsia="zh-CN"/>
              </w:rPr>
              <w:t>国有资本经营</w:t>
            </w:r>
            <w:r>
              <w:rPr>
                <w:rFonts w:hint="eastAsia" w:ascii="宋体" w:hAnsi="宋体" w:eastAsia="宋体" w:cs="宋体"/>
                <w:kern w:val="0"/>
                <w:sz w:val="24"/>
                <w:szCs w:val="24"/>
              </w:rPr>
              <w:t>安排的支出，故本表无数据。</w:t>
            </w:r>
          </w:p>
        </w:tc>
      </w:tr>
    </w:tbl>
    <w:p>
      <w:pPr>
        <w:pStyle w:val="12"/>
        <w:rPr>
          <w:sz w:val="72"/>
          <w:szCs w:val="72"/>
        </w:rPr>
        <w:sectPr>
          <w:pgSz w:w="16838" w:h="11906" w:orient="landscape"/>
          <w:pgMar w:top="720" w:right="720" w:bottom="720" w:left="720" w:header="851" w:footer="992" w:gutter="0"/>
          <w:cols w:space="425" w:num="1"/>
          <w:docGrid w:type="lines" w:linePitch="312" w:charSpace="0"/>
        </w:sectPr>
      </w:pP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第三部分</w:t>
      </w:r>
    </w:p>
    <w:p>
      <w:pPr>
        <w:pStyle w:val="12"/>
        <w:jc w:val="center"/>
        <w:rPr>
          <w:sz w:val="70"/>
          <w:szCs w:val="70"/>
        </w:rPr>
      </w:pPr>
    </w:p>
    <w:p>
      <w:pPr>
        <w:pStyle w:val="12"/>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2"/>
        <w:rPr>
          <w:rFonts w:asciiTheme="minorEastAsia" w:hAnsiTheme="minorEastAsia" w:eastAsiaTheme="minorEastAsia"/>
          <w:sz w:val="32"/>
          <w:szCs w:val="32"/>
        </w:rPr>
      </w:pPr>
    </w:p>
    <w:p>
      <w:pPr>
        <w:pStyle w:val="12"/>
        <w:ind w:firstLine="640" w:firstLineChars="200"/>
        <w:rPr>
          <w:rFonts w:hAnsi="黑体"/>
          <w:b/>
          <w:sz w:val="32"/>
          <w:szCs w:val="32"/>
        </w:rPr>
      </w:pPr>
      <w:r>
        <w:rPr>
          <w:rFonts w:hint="eastAsia" w:hAnsi="黑体"/>
          <w:b/>
          <w:sz w:val="32"/>
          <w:szCs w:val="32"/>
        </w:rPr>
        <w:t>一、收入支出决算总体情况说明</w:t>
      </w:r>
    </w:p>
    <w:p>
      <w:pPr>
        <w:pStyle w:val="12"/>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253.89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66.42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35.43</w:t>
      </w:r>
      <w:r>
        <w:rPr>
          <w:rFonts w:hint="eastAsia" w:asciiTheme="minorEastAsia" w:hAnsiTheme="minorEastAsia" w:eastAsiaTheme="minorEastAsia"/>
          <w:sz w:val="32"/>
          <w:szCs w:val="32"/>
        </w:rPr>
        <w:t>%，主要是因为项目支出规模、数量增加</w:t>
      </w:r>
      <w:r>
        <w:rPr>
          <w:rFonts w:hint="eastAsia" w:asciiTheme="minorEastAsia" w:hAnsiTheme="minorEastAsia" w:eastAsiaTheme="minorEastAsia"/>
          <w:sz w:val="32"/>
          <w:szCs w:val="32"/>
          <w:lang w:eastAsia="zh-CN"/>
        </w:rPr>
        <w:t>。</w:t>
      </w:r>
    </w:p>
    <w:p>
      <w:pPr>
        <w:pStyle w:val="12"/>
        <w:ind w:firstLine="640" w:firstLineChars="200"/>
        <w:rPr>
          <w:rFonts w:hAnsi="黑体"/>
          <w:b/>
          <w:sz w:val="32"/>
          <w:szCs w:val="32"/>
        </w:rPr>
      </w:pPr>
      <w:r>
        <w:rPr>
          <w:rFonts w:hint="eastAsia" w:hAnsi="黑体"/>
          <w:b/>
          <w:sz w:val="32"/>
          <w:szCs w:val="32"/>
        </w:rPr>
        <w:t>二、收入决算情况说明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124.12</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124.12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三、支出决算情况说明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129.77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84.11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64.81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45.66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35.19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四、财政拨款收入支出决算总体情况说明</w:t>
      </w:r>
    </w:p>
    <w:p>
      <w:pPr>
        <w:pStyle w:val="12"/>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253.89</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66.42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35.43</w:t>
      </w:r>
      <w:r>
        <w:rPr>
          <w:rFonts w:hint="eastAsia" w:asciiTheme="minorEastAsia" w:hAnsiTheme="minorEastAsia" w:eastAsiaTheme="minorEastAsia"/>
          <w:sz w:val="32"/>
          <w:szCs w:val="32"/>
        </w:rPr>
        <w:t>%，主要是因为项目支出规模、数量增加</w:t>
      </w:r>
      <w:r>
        <w:rPr>
          <w:rFonts w:hint="eastAsia" w:asciiTheme="minorEastAsia" w:hAnsiTheme="minorEastAsia" w:eastAsiaTheme="minorEastAsia"/>
          <w:sz w:val="32"/>
          <w:szCs w:val="32"/>
          <w:lang w:eastAsia="zh-CN"/>
        </w:rPr>
        <w:t>。</w:t>
      </w:r>
    </w:p>
    <w:p>
      <w:pPr>
        <w:pStyle w:val="12"/>
        <w:ind w:firstLine="640" w:firstLineChars="200"/>
        <w:rPr>
          <w:rFonts w:hAnsi="黑体"/>
          <w:b/>
          <w:sz w:val="32"/>
          <w:szCs w:val="32"/>
        </w:rPr>
      </w:pPr>
      <w:r>
        <w:rPr>
          <w:rFonts w:hint="eastAsia" w:hAnsi="黑体"/>
          <w:b/>
          <w:sz w:val="32"/>
          <w:szCs w:val="32"/>
        </w:rPr>
        <w:t>五、一般公共预算财政拨款支出决算情况说明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129.77</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36.04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38.44</w:t>
      </w:r>
      <w:r>
        <w:rPr>
          <w:rFonts w:hint="eastAsia" w:asciiTheme="minorEastAsia" w:hAnsiTheme="minorEastAsia" w:eastAsiaTheme="minorEastAsia"/>
          <w:sz w:val="32"/>
          <w:szCs w:val="32"/>
        </w:rPr>
        <w:t>%，主要是因为项目支出规模、数量增加</w:t>
      </w:r>
      <w:r>
        <w:rPr>
          <w:rFonts w:hint="eastAsia" w:asciiTheme="minorEastAsia" w:hAnsiTheme="minorEastAsia" w:eastAsiaTheme="minorEastAsia"/>
          <w:sz w:val="32"/>
          <w:szCs w:val="32"/>
          <w:lang w:eastAsia="zh-CN"/>
        </w:rPr>
        <w:t>。</w:t>
      </w:r>
    </w:p>
    <w:p>
      <w:pPr>
        <w:pStyle w:val="12"/>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129.77</w:t>
      </w:r>
      <w:r>
        <w:rPr>
          <w:rFonts w:hint="eastAsia" w:asciiTheme="minorEastAsia" w:hAnsiTheme="minorEastAsia" w:eastAsiaTheme="minorEastAsia"/>
          <w:sz w:val="32"/>
          <w:szCs w:val="32"/>
        </w:rPr>
        <w:t>万元，主要用于以下方面：一般公共服务（类）支出</w:t>
      </w:r>
      <w:r>
        <w:rPr>
          <w:rFonts w:hint="default" w:asciiTheme="minorEastAsia" w:hAnsiTheme="minorEastAsia" w:eastAsiaTheme="minorEastAsia"/>
          <w:sz w:val="32"/>
          <w:szCs w:val="32"/>
        </w:rPr>
        <w:t>125.79</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96.93</w:t>
      </w:r>
      <w:r>
        <w:rPr>
          <w:rFonts w:hint="eastAsia" w:asciiTheme="minorEastAsia" w:hAnsiTheme="minorEastAsia" w:eastAsiaTheme="minorEastAsia"/>
          <w:sz w:val="32"/>
          <w:szCs w:val="32"/>
        </w:rPr>
        <w:t>%；社会保障和就业（类）支出</w:t>
      </w:r>
      <w:r>
        <w:rPr>
          <w:rFonts w:hint="default" w:asciiTheme="minorEastAsia" w:hAnsiTheme="minorEastAsia" w:eastAsiaTheme="minorEastAsia"/>
          <w:sz w:val="32"/>
          <w:szCs w:val="32"/>
        </w:rPr>
        <w:t>2.52</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1.94</w:t>
      </w:r>
      <w:r>
        <w:rPr>
          <w:rFonts w:hint="eastAsia" w:asciiTheme="minorEastAsia" w:hAnsiTheme="minorEastAsia" w:eastAsiaTheme="minorEastAsia"/>
          <w:sz w:val="32"/>
          <w:szCs w:val="32"/>
        </w:rPr>
        <w:t>%;</w:t>
      </w:r>
      <w:r>
        <w:rPr>
          <w:rFonts w:hint="default" w:asciiTheme="minorEastAsia" w:hAnsiTheme="minorEastAsia" w:eastAsiaTheme="minorEastAsia"/>
          <w:sz w:val="32"/>
          <w:szCs w:val="32"/>
        </w:rPr>
        <w:t>卫生健康</w:t>
      </w:r>
      <w:r>
        <w:rPr>
          <w:rFonts w:hint="eastAsia" w:asciiTheme="minorEastAsia" w:hAnsiTheme="minorEastAsia" w:eastAsiaTheme="minorEastAsia"/>
          <w:sz w:val="32"/>
          <w:szCs w:val="32"/>
        </w:rPr>
        <w:t>（类）支出</w:t>
      </w:r>
      <w:r>
        <w:rPr>
          <w:rFonts w:hint="default" w:asciiTheme="minorEastAsia" w:hAnsiTheme="minorEastAsia" w:eastAsiaTheme="minorEastAsia"/>
          <w:sz w:val="32"/>
          <w:szCs w:val="32"/>
          <w:lang w:eastAsia="zh-CN"/>
        </w:rPr>
        <w:t>0.84</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0.65</w:t>
      </w:r>
      <w:r>
        <w:rPr>
          <w:rFonts w:hint="eastAsia" w:asciiTheme="minorEastAsia" w:hAnsiTheme="minorEastAsia" w:eastAsiaTheme="minorEastAsia"/>
          <w:sz w:val="32"/>
          <w:szCs w:val="32"/>
        </w:rPr>
        <w:t>%</w:t>
      </w:r>
      <w:r>
        <w:rPr>
          <w:rFonts w:hint="default" w:asciiTheme="minorEastAsia" w:hAnsiTheme="minorEastAsia" w:eastAsiaTheme="minorEastAsia"/>
          <w:sz w:val="32"/>
          <w:szCs w:val="32"/>
        </w:rPr>
        <w:t>；农林水</w:t>
      </w:r>
      <w:r>
        <w:rPr>
          <w:rFonts w:hint="eastAsia" w:asciiTheme="minorEastAsia" w:hAnsiTheme="minorEastAsia" w:eastAsiaTheme="minorEastAsia"/>
          <w:sz w:val="32"/>
          <w:szCs w:val="32"/>
        </w:rPr>
        <w:t>（类）支出</w:t>
      </w:r>
      <w:r>
        <w:rPr>
          <w:rFonts w:hint="default" w:asciiTheme="minorEastAsia" w:hAnsiTheme="minorEastAsia" w:eastAsiaTheme="minorEastAsia"/>
          <w:sz w:val="32"/>
          <w:szCs w:val="32"/>
          <w:lang w:eastAsia="zh-CN"/>
        </w:rPr>
        <w:t>0.62</w:t>
      </w:r>
      <w:r>
        <w:rPr>
          <w:rFonts w:hint="eastAsia" w:asciiTheme="minorEastAsia" w:hAnsiTheme="minorEastAsia" w:eastAsiaTheme="minorEastAsia"/>
          <w:sz w:val="32"/>
          <w:szCs w:val="32"/>
        </w:rPr>
        <w:t>万元，占</w:t>
      </w:r>
      <w:r>
        <w:rPr>
          <w:rFonts w:hint="default" w:asciiTheme="minorEastAsia" w:hAnsiTheme="minorEastAsia" w:eastAsiaTheme="minorEastAsia"/>
          <w:sz w:val="32"/>
          <w:szCs w:val="32"/>
        </w:rPr>
        <w:t>0.48</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default" w:asciiTheme="minorEastAsia" w:hAnsiTheme="minorEastAsia" w:eastAsiaTheme="minorEastAsia"/>
          <w:sz w:val="32"/>
          <w:szCs w:val="32"/>
        </w:rPr>
        <w:t>9</w:t>
      </w:r>
      <w:r>
        <w:rPr>
          <w:rFonts w:hint="eastAsia" w:asciiTheme="minorEastAsia" w:hAnsiTheme="minorEastAsia" w:eastAsiaTheme="minorEastAsia"/>
          <w:sz w:val="32"/>
          <w:szCs w:val="32"/>
          <w:lang w:val="en-US" w:eastAsia="zh-CN"/>
        </w:rPr>
        <w:t>0.34</w:t>
      </w:r>
      <w:r>
        <w:rPr>
          <w:rFonts w:hint="eastAsia" w:asciiTheme="minorEastAsia" w:hAnsiTheme="minorEastAsia" w:eastAsiaTheme="minorEastAsia"/>
          <w:sz w:val="32"/>
          <w:szCs w:val="32"/>
        </w:rPr>
        <w:t>万元，支出决算数为</w:t>
      </w:r>
      <w:r>
        <w:rPr>
          <w:rFonts w:hint="default" w:asciiTheme="minorEastAsia" w:hAnsiTheme="minorEastAsia" w:eastAsiaTheme="minorEastAsia"/>
          <w:sz w:val="32"/>
          <w:szCs w:val="32"/>
        </w:rPr>
        <w:t>129.77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143.65</w:t>
      </w:r>
      <w:r>
        <w:rPr>
          <w:rFonts w:hint="eastAsia" w:asciiTheme="minorEastAsia" w:hAnsiTheme="minorEastAsia" w:eastAsiaTheme="minorEastAsia"/>
          <w:sz w:val="32"/>
          <w:szCs w:val="32"/>
        </w:rPr>
        <w:t>%，其中：</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1、一般公共服务支出（类）人大事务（款）人大会议（项）。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2.50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一般公共服务支出（类）商贸事务（款）招商引资（项）。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15.00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3、</w:t>
      </w:r>
      <w:r>
        <w:rPr>
          <w:rFonts w:hint="eastAsia" w:asciiTheme="minorEastAsia" w:hAnsiTheme="minorEastAsia" w:eastAsiaTheme="minorEastAsia"/>
          <w:sz w:val="32"/>
          <w:szCs w:val="32"/>
        </w:rPr>
        <w:t>一般公共服务支出（类）民主党派及工商联事务（款）行政运行（项）。</w:t>
      </w:r>
    </w:p>
    <w:p>
      <w:pPr>
        <w:pStyle w:val="12"/>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4.10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4.10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eastAsia="zh-CN"/>
        </w:rPr>
        <w:t>等于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eastAsia="zh-CN"/>
        </w:rPr>
        <w:t>。</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一般公共服务支出（类）民主党派及工商联事务（款）一般行政管理事务（项）。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5、</w:t>
      </w:r>
      <w:r>
        <w:rPr>
          <w:rFonts w:hint="eastAsia" w:asciiTheme="minorEastAsia" w:hAnsiTheme="minorEastAsia" w:eastAsiaTheme="minorEastAsia"/>
          <w:sz w:val="32"/>
          <w:szCs w:val="32"/>
        </w:rPr>
        <w:t>一般公共服务支出（类）民主党派及工商联事务（款）其他民主党派及工商联事务支出（项）。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0.29</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一般公共服务支出（类）组织事务（款）行政运行（项）。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68.74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103.26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150.22</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执行中进行预算调整。</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社会保障和就业支出（类）行政事业单位养老支出（款）机关事业单位基本养老保险缴费支出（项）。</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2.52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8、</w:t>
      </w:r>
      <w:r>
        <w:rPr>
          <w:rFonts w:hint="eastAsia" w:asciiTheme="minorEastAsia" w:hAnsiTheme="minorEastAsia" w:eastAsiaTheme="minorEastAsia"/>
          <w:sz w:val="32"/>
          <w:szCs w:val="32"/>
        </w:rPr>
        <w:t>卫生健康支出（类）行政事业单位医疗（款）行政单位医疗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项）。</w:t>
      </w:r>
    </w:p>
    <w:p>
      <w:pPr>
        <w:pStyle w:val="12"/>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0.84</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9</w:t>
      </w:r>
      <w:r>
        <w:rPr>
          <w:rFonts w:hint="eastAsia" w:asciiTheme="minorEastAsia" w:hAnsiTheme="minorEastAsia" w:eastAsiaTheme="minorEastAsia"/>
          <w:sz w:val="32"/>
          <w:szCs w:val="32"/>
        </w:rPr>
        <w:t>、农林水支出（类）扶贫（款）其他扶贫支出（项）。</w:t>
      </w:r>
    </w:p>
    <w:p>
      <w:pPr>
        <w:pStyle w:val="12"/>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0.62</w:t>
      </w:r>
      <w:r>
        <w:rPr>
          <w:rFonts w:hint="eastAsia" w:asciiTheme="minorEastAsia" w:hAnsiTheme="minorEastAsia" w:eastAsiaTheme="minorEastAsia"/>
          <w:sz w:val="32"/>
          <w:szCs w:val="32"/>
        </w:rPr>
        <w:t>万元，决算数大于年初预算数的主要原因是：</w:t>
      </w:r>
      <w:r>
        <w:rPr>
          <w:rFonts w:hint="eastAsia" w:asciiTheme="minorEastAsia" w:hAnsiTheme="minorEastAsia" w:eastAsiaTheme="minorEastAsia"/>
          <w:sz w:val="32"/>
          <w:szCs w:val="32"/>
          <w:lang w:eastAsia="zh-CN"/>
        </w:rPr>
        <w:t>执行中进行预算调整。</w:t>
      </w:r>
    </w:p>
    <w:p>
      <w:pPr>
        <w:pStyle w:val="12"/>
        <w:ind w:firstLine="640" w:firstLineChars="200"/>
        <w:rPr>
          <w:rFonts w:hAnsi="黑体"/>
          <w:b/>
          <w:sz w:val="32"/>
          <w:szCs w:val="32"/>
        </w:rPr>
      </w:pPr>
      <w:r>
        <w:rPr>
          <w:rFonts w:hint="eastAsia" w:hAnsi="黑体"/>
          <w:b/>
          <w:sz w:val="32"/>
          <w:szCs w:val="32"/>
        </w:rPr>
        <w:t>六、一般公共预算财政拨款基本支出决算情况说明</w:t>
      </w:r>
    </w:p>
    <w:p>
      <w:pPr>
        <w:pStyle w:val="12"/>
        <w:ind w:firstLine="640" w:firstLineChars="200"/>
        <w:rPr>
          <w:rFonts w:hint="eastAsia" w:asciiTheme="minorEastAsia" w:hAnsiTheme="minorEastAsia" w:eastAsiaTheme="minorEastAsia" w:cstheme="minorEastAsia"/>
          <w:b w:val="0"/>
          <w:bCs w:val="0"/>
          <w:i/>
          <w:color w:val="FF0000"/>
          <w:sz w:val="32"/>
          <w:szCs w:val="32"/>
        </w:rPr>
      </w:pPr>
      <w:r>
        <w:rPr>
          <w:rFonts w:hint="eastAsia" w:asciiTheme="minorEastAsia" w:hAnsiTheme="minorEastAsia" w:eastAsiaTheme="minorEastAsia" w:cstheme="minorEastAsia"/>
          <w:b w:val="0"/>
          <w:bCs w:val="0"/>
          <w:sz w:val="32"/>
          <w:szCs w:val="32"/>
        </w:rPr>
        <w:t>2021年度财政拨款基本支出</w:t>
      </w:r>
      <w:r>
        <w:rPr>
          <w:rFonts w:hint="eastAsia" w:asciiTheme="minorEastAsia" w:hAnsiTheme="minorEastAsia" w:eastAsiaTheme="minorEastAsia" w:cstheme="minorEastAsia"/>
          <w:b w:val="0"/>
          <w:bCs w:val="0"/>
          <w:sz w:val="32"/>
          <w:szCs w:val="32"/>
          <w:lang w:val="en-US" w:eastAsia="zh-CN"/>
        </w:rPr>
        <w:t>84.11</w:t>
      </w:r>
      <w:r>
        <w:rPr>
          <w:rFonts w:hint="eastAsia" w:asciiTheme="minorEastAsia" w:hAnsiTheme="minorEastAsia" w:eastAsiaTheme="minorEastAsia" w:cstheme="minorEastAsia"/>
          <w:b w:val="0"/>
          <w:bCs w:val="0"/>
          <w:sz w:val="32"/>
          <w:szCs w:val="32"/>
        </w:rPr>
        <w:t>万元，其中：人员经费</w:t>
      </w:r>
      <w:r>
        <w:rPr>
          <w:rFonts w:hint="eastAsia" w:asciiTheme="minorEastAsia" w:hAnsiTheme="minorEastAsia" w:eastAsiaTheme="minorEastAsia" w:cstheme="minorEastAsia"/>
          <w:b w:val="0"/>
          <w:bCs w:val="0"/>
          <w:sz w:val="32"/>
          <w:szCs w:val="32"/>
          <w:lang w:val="en-US" w:eastAsia="zh-CN"/>
        </w:rPr>
        <w:t>67.49</w:t>
      </w:r>
      <w:r>
        <w:rPr>
          <w:rFonts w:hint="eastAsia" w:asciiTheme="minorEastAsia" w:hAnsiTheme="minorEastAsia" w:eastAsiaTheme="minorEastAsia" w:cstheme="minorEastAsia"/>
          <w:b w:val="0"/>
          <w:bCs w:val="0"/>
          <w:sz w:val="32"/>
          <w:szCs w:val="32"/>
        </w:rPr>
        <w:t>万元，占基本支出的</w:t>
      </w:r>
      <w:r>
        <w:rPr>
          <w:rFonts w:hint="eastAsia" w:asciiTheme="minorEastAsia" w:hAnsiTheme="minorEastAsia" w:eastAsiaTheme="minorEastAsia" w:cstheme="minorEastAsia"/>
          <w:b w:val="0"/>
          <w:bCs w:val="0"/>
          <w:sz w:val="32"/>
          <w:szCs w:val="32"/>
          <w:lang w:val="en-US" w:eastAsia="zh-CN"/>
        </w:rPr>
        <w:t>80.24</w:t>
      </w:r>
      <w:r>
        <w:rPr>
          <w:rFonts w:hint="eastAsia" w:asciiTheme="minorEastAsia" w:hAnsiTheme="minorEastAsia" w:eastAsiaTheme="minorEastAsia" w:cstheme="minorEastAsia"/>
          <w:b w:val="0"/>
          <w:bCs w:val="0"/>
          <w:sz w:val="32"/>
          <w:szCs w:val="32"/>
        </w:rPr>
        <w:t>%,主要包括</w:t>
      </w:r>
      <w:r>
        <w:rPr>
          <w:rFonts w:hint="eastAsia" w:asciiTheme="minorEastAsia" w:hAnsiTheme="minorEastAsia" w:eastAsiaTheme="minorEastAsia" w:cstheme="minorEastAsia"/>
          <w:b w:val="0"/>
          <w:bCs w:val="0"/>
          <w:color w:val="000000"/>
          <w:kern w:val="0"/>
          <w:sz w:val="32"/>
          <w:szCs w:val="32"/>
          <w:lang w:val="en-US" w:eastAsia="zh-CN" w:bidi="ar"/>
        </w:rPr>
        <w:t>基本工资、津贴补贴、奖金、机关事业单位基本养老保险缴费、职工基本医疗保险缴费、其他社会保障缴费、医疗费、其他工资福利支出、生活补助</w:t>
      </w:r>
      <w:r>
        <w:rPr>
          <w:rFonts w:hint="eastAsia" w:asciiTheme="minorEastAsia" w:hAnsiTheme="minorEastAsia" w:eastAsiaTheme="minorEastAsia" w:cstheme="minorEastAsia"/>
          <w:b w:val="0"/>
          <w:bCs w:val="0"/>
          <w:sz w:val="32"/>
          <w:szCs w:val="32"/>
        </w:rPr>
        <w:t>；公用经费</w:t>
      </w:r>
      <w:r>
        <w:rPr>
          <w:rFonts w:hint="eastAsia" w:asciiTheme="minorEastAsia" w:hAnsiTheme="minorEastAsia" w:eastAsiaTheme="minorEastAsia" w:cstheme="minorEastAsia"/>
          <w:b w:val="0"/>
          <w:bCs w:val="0"/>
          <w:sz w:val="32"/>
          <w:szCs w:val="32"/>
          <w:lang w:val="en-US" w:eastAsia="zh-CN"/>
        </w:rPr>
        <w:t>16.62</w:t>
      </w:r>
      <w:r>
        <w:rPr>
          <w:rFonts w:hint="eastAsia" w:asciiTheme="minorEastAsia" w:hAnsiTheme="minorEastAsia" w:eastAsiaTheme="minorEastAsia" w:cstheme="minorEastAsia"/>
          <w:b w:val="0"/>
          <w:bCs w:val="0"/>
          <w:sz w:val="32"/>
          <w:szCs w:val="32"/>
        </w:rPr>
        <w:t>万元，占基本支出的</w:t>
      </w:r>
      <w:r>
        <w:rPr>
          <w:rFonts w:hint="eastAsia" w:asciiTheme="minorEastAsia" w:hAnsiTheme="minorEastAsia" w:eastAsiaTheme="minorEastAsia" w:cstheme="minorEastAsia"/>
          <w:b w:val="0"/>
          <w:bCs w:val="0"/>
          <w:sz w:val="32"/>
          <w:szCs w:val="32"/>
          <w:lang w:val="en-US" w:eastAsia="zh-CN"/>
        </w:rPr>
        <w:t>19.76</w:t>
      </w:r>
      <w:r>
        <w:rPr>
          <w:rFonts w:hint="eastAsia" w:asciiTheme="minorEastAsia" w:hAnsiTheme="minorEastAsia" w:eastAsiaTheme="minorEastAsia" w:cstheme="minorEastAsia"/>
          <w:b w:val="0"/>
          <w:bCs w:val="0"/>
          <w:sz w:val="32"/>
          <w:szCs w:val="32"/>
        </w:rPr>
        <w:t>%，主要包括</w:t>
      </w:r>
      <w:r>
        <w:rPr>
          <w:rFonts w:hint="eastAsia" w:asciiTheme="minorEastAsia" w:hAnsiTheme="minorEastAsia" w:eastAsiaTheme="minorEastAsia" w:cstheme="minorEastAsia"/>
          <w:b w:val="0"/>
          <w:bCs w:val="0"/>
          <w:color w:val="000000"/>
          <w:kern w:val="0"/>
          <w:sz w:val="32"/>
          <w:szCs w:val="32"/>
          <w:lang w:val="en-US" w:eastAsia="zh-CN" w:bidi="ar"/>
        </w:rPr>
        <w:t>办公费、印刷费、水费、电费、邮电费、差旅费、会议费、培训费、公务接待费、专用材料费、工会经费、福利费、其他交通费用、其他商品和服务支出。</w:t>
      </w:r>
    </w:p>
    <w:p>
      <w:pPr>
        <w:pStyle w:val="12"/>
        <w:ind w:firstLine="640" w:firstLineChars="200"/>
        <w:rPr>
          <w:rFonts w:hAnsi="黑体"/>
          <w:b/>
          <w:sz w:val="32"/>
          <w:szCs w:val="32"/>
        </w:rPr>
      </w:pPr>
      <w:r>
        <w:rPr>
          <w:rFonts w:hint="eastAsia" w:hAnsi="黑体"/>
          <w:b/>
          <w:sz w:val="32"/>
          <w:szCs w:val="32"/>
        </w:rPr>
        <w:t>七、一般公共预算财政拨款“三公”经费支出决算情况说明</w:t>
      </w:r>
    </w:p>
    <w:p>
      <w:pPr>
        <w:pStyle w:val="12"/>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%，其中：</w:t>
      </w:r>
    </w:p>
    <w:p>
      <w:pPr>
        <w:pStyle w:val="12"/>
        <w:ind w:firstLine="800" w:firstLineChars="250"/>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cstheme="minorEastAsia"/>
          <w:color w:val="000000"/>
          <w:kern w:val="0"/>
          <w:sz w:val="32"/>
          <w:szCs w:val="32"/>
          <w:lang w:val="en-US" w:eastAsia="zh-CN" w:bidi="ar"/>
        </w:rPr>
        <w:t>。2021年度我单位未开展</w:t>
      </w:r>
      <w:r>
        <w:rPr>
          <w:rFonts w:hint="eastAsia" w:asciiTheme="minorEastAsia" w:hAnsiTheme="minorEastAsia" w:eastAsiaTheme="minorEastAsia"/>
          <w:sz w:val="32"/>
          <w:szCs w:val="32"/>
        </w:rPr>
        <w:t>因公出国（境）</w:t>
      </w:r>
      <w:r>
        <w:rPr>
          <w:rFonts w:hint="eastAsia" w:asciiTheme="minorEastAsia" w:hAnsiTheme="minorEastAsia" w:eastAsiaTheme="minorEastAsia"/>
          <w:sz w:val="32"/>
          <w:szCs w:val="32"/>
          <w:lang w:eastAsia="zh-CN"/>
        </w:rPr>
        <w:t>活动。</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2.00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0.30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15</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压缩支出规模与数量</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0.01</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3.24</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压缩支出规模与数量</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2"/>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0.30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cstheme="minorEastAsia"/>
          <w:color w:val="000000"/>
          <w:kern w:val="0"/>
          <w:sz w:val="32"/>
          <w:szCs w:val="32"/>
          <w:lang w:val="en-US" w:eastAsia="zh-CN" w:bidi="ar"/>
        </w:rPr>
        <w:t>2021年度我单位未开展</w:t>
      </w:r>
      <w:r>
        <w:rPr>
          <w:rFonts w:hint="eastAsia" w:asciiTheme="minorEastAsia" w:hAnsiTheme="minorEastAsia" w:eastAsiaTheme="minorEastAsia"/>
          <w:sz w:val="32"/>
          <w:szCs w:val="32"/>
        </w:rPr>
        <w:t>因公出国（境）</w:t>
      </w:r>
      <w:r>
        <w:rPr>
          <w:rFonts w:hint="eastAsia" w:asciiTheme="minorEastAsia" w:hAnsiTheme="minorEastAsia" w:eastAsiaTheme="minorEastAsia"/>
          <w:sz w:val="32"/>
          <w:szCs w:val="32"/>
          <w:lang w:eastAsia="zh-CN"/>
        </w:rPr>
        <w:t>活动。</w:t>
      </w:r>
    </w:p>
    <w:p>
      <w:pPr>
        <w:pStyle w:val="12"/>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0.30</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4</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人次，主要是</w:t>
      </w:r>
      <w:r>
        <w:rPr>
          <w:rFonts w:hint="eastAsia" w:asciiTheme="minorEastAsia" w:hAnsiTheme="minorEastAsia" w:eastAsiaTheme="minorEastAsia" w:cstheme="minorEastAsia"/>
          <w:color w:val="000000"/>
          <w:kern w:val="0"/>
          <w:sz w:val="32"/>
          <w:szCs w:val="32"/>
          <w:lang w:val="en-US" w:eastAsia="zh-CN" w:bidi="ar"/>
        </w:rPr>
        <w:t>学习交流、上级检查考察</w:t>
      </w:r>
      <w:r>
        <w:rPr>
          <w:rFonts w:hint="eastAsia" w:asciiTheme="minorEastAsia" w:hAnsiTheme="minorEastAsia" w:eastAsiaTheme="minorEastAsia"/>
          <w:sz w:val="32"/>
          <w:szCs w:val="32"/>
        </w:rPr>
        <w:t>发生的接待支出。</w:t>
      </w:r>
    </w:p>
    <w:p>
      <w:pPr>
        <w:ind w:firstLine="640" w:firstLineChars="20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万元，公务用车</w:t>
      </w:r>
      <w:r>
        <w:rPr>
          <w:rFonts w:hint="eastAsia" w:asciiTheme="minorEastAsia" w:hAnsiTheme="minorEastAsia"/>
          <w:sz w:val="32"/>
          <w:szCs w:val="32"/>
          <w:lang w:eastAsia="zh-CN"/>
        </w:rPr>
        <w:t>购置</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2"/>
        <w:ind w:firstLine="640" w:firstLineChars="200"/>
        <w:rPr>
          <w:rFonts w:hAnsi="黑体"/>
          <w:b/>
          <w:sz w:val="32"/>
          <w:szCs w:val="32"/>
        </w:rPr>
      </w:pPr>
      <w:r>
        <w:rPr>
          <w:rFonts w:hint="eastAsia" w:hAnsi="黑体"/>
          <w:b/>
          <w:sz w:val="32"/>
          <w:szCs w:val="32"/>
        </w:rPr>
        <w:t>八、政府性基金预算收入支出决算情况</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w:t>
      </w:r>
      <w:r>
        <w:rPr>
          <w:rFonts w:hint="eastAsia" w:asciiTheme="minorEastAsia" w:hAnsiTheme="minorEastAsia" w:eastAsiaTheme="minorEastAsia"/>
          <w:sz w:val="32"/>
          <w:szCs w:val="32"/>
          <w:lang w:eastAsia="zh-CN"/>
        </w:rPr>
        <w:t>本单位无</w:t>
      </w:r>
      <w:r>
        <w:rPr>
          <w:rFonts w:hint="eastAsia" w:asciiTheme="minorEastAsia" w:hAnsiTheme="minorEastAsia" w:eastAsiaTheme="minorEastAsia"/>
          <w:sz w:val="32"/>
          <w:szCs w:val="32"/>
        </w:rPr>
        <w:t>政府性基金预算财政拨款</w:t>
      </w:r>
      <w:r>
        <w:rPr>
          <w:rFonts w:hint="eastAsia" w:asciiTheme="minorEastAsia" w:hAnsiTheme="minorEastAsia" w:eastAsiaTheme="minorEastAsia"/>
          <w:sz w:val="32"/>
          <w:szCs w:val="32"/>
          <w:lang w:eastAsia="zh-CN"/>
        </w:rPr>
        <w:t>。</w:t>
      </w:r>
    </w:p>
    <w:p>
      <w:pPr>
        <w:pStyle w:val="12"/>
        <w:ind w:firstLine="640" w:firstLineChars="200"/>
        <w:rPr>
          <w:rFonts w:hAnsi="黑体"/>
          <w:b/>
          <w:sz w:val="32"/>
          <w:szCs w:val="32"/>
        </w:rPr>
      </w:pPr>
      <w:r>
        <w:rPr>
          <w:rFonts w:hint="eastAsia" w:hAnsi="黑体"/>
          <w:b/>
          <w:sz w:val="32"/>
          <w:szCs w:val="32"/>
        </w:rPr>
        <w:t>九、机关运行经费支出说明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16.62</w:t>
      </w:r>
      <w:r>
        <w:rPr>
          <w:rFonts w:hint="eastAsia" w:asciiTheme="minorEastAsia" w:hAnsiTheme="minorEastAsia" w:eastAsiaTheme="minorEastAsia"/>
          <w:sz w:val="32"/>
          <w:szCs w:val="32"/>
        </w:rPr>
        <w:t>万元，比上年决算数减少</w:t>
      </w:r>
      <w:r>
        <w:rPr>
          <w:rFonts w:hint="eastAsia" w:asciiTheme="minorEastAsia" w:hAnsiTheme="minorEastAsia" w:eastAsiaTheme="minorEastAsia"/>
          <w:sz w:val="32"/>
          <w:szCs w:val="32"/>
          <w:lang w:val="en-US" w:eastAsia="zh-CN"/>
        </w:rPr>
        <w:t>0.38</w:t>
      </w:r>
      <w:r>
        <w:rPr>
          <w:rFonts w:hint="eastAsia" w:asciiTheme="minorEastAsia" w:hAnsiTheme="minorEastAsia" w:eastAsiaTheme="minorEastAsia"/>
          <w:sz w:val="32"/>
          <w:szCs w:val="32"/>
        </w:rPr>
        <w:t>万元，降低</w:t>
      </w:r>
      <w:r>
        <w:rPr>
          <w:rFonts w:hint="eastAsia" w:asciiTheme="minorEastAsia" w:hAnsiTheme="minorEastAsia" w:eastAsiaTheme="minorEastAsia"/>
          <w:sz w:val="32"/>
          <w:szCs w:val="32"/>
          <w:lang w:val="en-US" w:eastAsia="zh-CN"/>
        </w:rPr>
        <w:t>2.20</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厉行节约，精简开支</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十、一般性支出情况说明</w:t>
      </w:r>
    </w:p>
    <w:p>
      <w:pPr>
        <w:pStyle w:val="12"/>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4.34</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迎接</w:t>
      </w:r>
      <w:r>
        <w:rPr>
          <w:rFonts w:hint="eastAsia" w:asciiTheme="minorEastAsia" w:hAnsiTheme="minorEastAsia" w:eastAsiaTheme="minorEastAsia"/>
          <w:sz w:val="32"/>
          <w:szCs w:val="32"/>
        </w:rPr>
        <w:t>县工商联十二届代表大会</w:t>
      </w:r>
      <w:r>
        <w:rPr>
          <w:rFonts w:hint="eastAsia" w:asciiTheme="minorEastAsia" w:hAnsiTheme="minorEastAsia" w:eastAsiaTheme="minorEastAsia"/>
          <w:sz w:val="32"/>
          <w:szCs w:val="32"/>
          <w:lang w:eastAsia="zh-CN"/>
        </w:rPr>
        <w:t>的筹备</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130</w:t>
      </w:r>
      <w:r>
        <w:rPr>
          <w:rFonts w:hint="eastAsia" w:asciiTheme="minorEastAsia" w:hAnsiTheme="minorEastAsia" w:eastAsiaTheme="minorEastAsia"/>
          <w:sz w:val="32"/>
          <w:szCs w:val="32"/>
        </w:rPr>
        <w:t>人，内容为县工商联十二届代表大会</w:t>
      </w:r>
      <w:r>
        <w:rPr>
          <w:rFonts w:hint="eastAsia" w:asciiTheme="minorEastAsia" w:hAnsiTheme="minorEastAsia" w:eastAsiaTheme="minorEastAsia"/>
          <w:sz w:val="32"/>
          <w:szCs w:val="32"/>
          <w:lang w:eastAsia="zh-CN"/>
        </w:rPr>
        <w:t>各项筹备工作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0.03</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办公日常管理</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办公室日常工作开展</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未</w:t>
      </w:r>
      <w:r>
        <w:rPr>
          <w:rFonts w:hint="eastAsia" w:asciiTheme="minorEastAsia" w:hAnsiTheme="minorEastAsia" w:eastAsiaTheme="minorEastAsia"/>
          <w:sz w:val="32"/>
          <w:szCs w:val="32"/>
        </w:rPr>
        <w:t>举办节庆、晚会、论坛、赛事活动</w:t>
      </w:r>
      <w:r>
        <w:rPr>
          <w:rFonts w:hint="eastAsia" w:asciiTheme="minorEastAsia" w:hAnsiTheme="minorEastAsia" w:eastAsiaTheme="minorEastAsia"/>
          <w:sz w:val="32"/>
          <w:szCs w:val="32"/>
          <w:lang w:eastAsia="zh-CN"/>
        </w:rPr>
        <w:t>。</w:t>
      </w:r>
    </w:p>
    <w:p>
      <w:pPr>
        <w:pStyle w:val="12"/>
        <w:rPr>
          <w:rFonts w:hAnsi="黑体"/>
          <w:b/>
          <w:sz w:val="32"/>
          <w:szCs w:val="32"/>
        </w:rPr>
      </w:pPr>
      <w:r>
        <w:rPr>
          <w:rFonts w:hint="eastAsia" w:hAnsi="黑体"/>
          <w:b/>
          <w:sz w:val="32"/>
          <w:szCs w:val="32"/>
        </w:rPr>
        <w:t>十一、政府采购支出说明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4.56</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2"/>
        <w:ind w:firstLine="640" w:firstLineChars="200"/>
        <w:rPr>
          <w:rFonts w:hAnsi="黑体"/>
          <w:b/>
          <w:sz w:val="32"/>
          <w:szCs w:val="32"/>
        </w:rPr>
      </w:pPr>
      <w:r>
        <w:rPr>
          <w:rFonts w:hint="eastAsia" w:hAnsi="黑体"/>
          <w:b/>
          <w:sz w:val="32"/>
          <w:szCs w:val="32"/>
        </w:rPr>
        <w:t>十二、国有资产占用情况说明</w:t>
      </w:r>
    </w:p>
    <w:p>
      <w:pPr>
        <w:pStyle w:val="12"/>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2"/>
        <w:ind w:firstLine="640" w:firstLineChars="20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根据预算绩效管理要求，我部门组织对</w:t>
      </w:r>
      <w:r>
        <w:rPr>
          <w:rFonts w:hint="eastAsia" w:cs="黑体" w:asciiTheme="minorEastAsia" w:hAnsiTheme="minorEastAsia"/>
          <w:color w:val="000000"/>
          <w:kern w:val="0"/>
          <w:sz w:val="32"/>
          <w:szCs w:val="32"/>
          <w:lang w:eastAsia="zh-CN"/>
        </w:rPr>
        <w:t>本单位</w:t>
      </w:r>
      <w:r>
        <w:rPr>
          <w:rFonts w:cs="黑体" w:asciiTheme="minorEastAsia" w:hAnsiTheme="minorEastAsia"/>
          <w:color w:val="000000"/>
          <w:kern w:val="0"/>
          <w:sz w:val="32"/>
          <w:szCs w:val="32"/>
        </w:rPr>
        <w:t>2021</w:t>
      </w:r>
      <w:r>
        <w:rPr>
          <w:rFonts w:hint="eastAsia" w:cs="黑体" w:asciiTheme="minorEastAsia" w:hAnsiTheme="minorEastAsia"/>
          <w:color w:val="000000"/>
          <w:kern w:val="0"/>
          <w:sz w:val="32"/>
          <w:szCs w:val="32"/>
        </w:rPr>
        <w:t>年度开展整体支出绩效评价，涉及一般公共预算支出</w:t>
      </w:r>
      <w:r>
        <w:rPr>
          <w:rFonts w:hint="eastAsia" w:cs="黑体" w:asciiTheme="minorEastAsia" w:hAnsiTheme="minorEastAsia"/>
          <w:color w:val="000000"/>
          <w:kern w:val="0"/>
          <w:sz w:val="32"/>
          <w:szCs w:val="32"/>
          <w:lang w:val="en-US" w:eastAsia="zh-CN"/>
        </w:rPr>
        <w:t>129.77</w:t>
      </w:r>
      <w:r>
        <w:rPr>
          <w:rFonts w:hint="eastAsia" w:cs="黑体" w:asciiTheme="minorEastAsia" w:hAnsiTheme="minorEastAsia"/>
          <w:color w:val="000000"/>
          <w:kern w:val="0"/>
          <w:sz w:val="32"/>
          <w:szCs w:val="32"/>
        </w:rPr>
        <w:t>万元，政府性基金预算支出</w:t>
      </w:r>
      <w:r>
        <w:rPr>
          <w:rFonts w:hint="eastAsia" w:cs="黑体" w:asciiTheme="minorEastAsia" w:hAnsiTheme="minorEastAsia"/>
          <w:color w:val="000000"/>
          <w:kern w:val="0"/>
          <w:sz w:val="32"/>
          <w:szCs w:val="32"/>
          <w:lang w:val="en-US" w:eastAsia="zh-CN"/>
        </w:rPr>
        <w:t>0</w:t>
      </w:r>
      <w:r>
        <w:rPr>
          <w:rFonts w:hint="eastAsia" w:cs="黑体" w:asciiTheme="minorEastAsia" w:hAnsiTheme="minorEastAsia"/>
          <w:color w:val="000000"/>
          <w:kern w:val="0"/>
          <w:sz w:val="32"/>
          <w:szCs w:val="32"/>
        </w:rPr>
        <w:t>万元。从评价情况来看，</w:t>
      </w:r>
      <w:r>
        <w:rPr>
          <w:rFonts w:hint="eastAsia" w:cs="黑体" w:asciiTheme="minorEastAsia" w:hAnsiTheme="minorEastAsia"/>
          <w:color w:val="000000"/>
          <w:kern w:val="0"/>
          <w:sz w:val="32"/>
          <w:szCs w:val="32"/>
          <w:lang w:eastAsia="zh-CN"/>
        </w:rPr>
        <w:t>能较好地完成年初设定的绩效目标</w:t>
      </w:r>
      <w:r>
        <w:rPr>
          <w:rFonts w:hint="eastAsia" w:cs="黑体" w:asciiTheme="minorEastAsia" w:hAnsiTheme="minorEastAsia"/>
          <w:color w:val="000000"/>
          <w:kern w:val="0"/>
          <w:sz w:val="32"/>
          <w:szCs w:val="32"/>
        </w:rPr>
        <w:t>。</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hint="eastAsia" w:cs="黑体" w:asciiTheme="minorEastAsia" w:hAnsiTheme="minorEastAsia"/>
          <w:b/>
          <w:color w:val="000000"/>
          <w:kern w:val="0"/>
          <w:sz w:val="32"/>
          <w:szCs w:val="32"/>
          <w:lang w:val="en-US" w:eastAsia="zh-CN"/>
        </w:rPr>
        <w:t>2</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一、</w:t>
      </w:r>
      <w:r>
        <w:rPr>
          <w:rFonts w:hint="eastAsia" w:asciiTheme="minorEastAsia" w:hAnsiTheme="minorEastAsia" w:eastAsiaTheme="minorEastAsia" w:cstheme="minorEastAsia"/>
          <w:color w:val="000000"/>
          <w:kern w:val="0"/>
          <w:sz w:val="32"/>
          <w:szCs w:val="32"/>
          <w:lang w:val="en-US" w:eastAsia="zh-CN" w:bidi="ar"/>
        </w:rPr>
        <w:t xml:space="preserve">财政拨款收入：指单位本年度从同级财政部门取得的各类财政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拨款。</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二、</w:t>
      </w:r>
      <w:r>
        <w:rPr>
          <w:rFonts w:hint="eastAsia" w:asciiTheme="minorEastAsia" w:hAnsiTheme="minorEastAsia" w:eastAsiaTheme="minorEastAsia" w:cstheme="minorEastAsia"/>
          <w:color w:val="000000"/>
          <w:kern w:val="0"/>
          <w:sz w:val="32"/>
          <w:szCs w:val="32"/>
          <w:lang w:val="en-US" w:eastAsia="zh-CN" w:bidi="ar"/>
        </w:rPr>
        <w:t xml:space="preserve">机关运行经费：指行政单位（含参照公务员法管理的事业单位）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使用一般公共预算安排的基本支出中的公用经费支出，包括办公及印刷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费、邮电费、差旅费、会议费、福利费、日常维修费、专用材料及一般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设备购置费、办公用房水电费、办公用房取暖费、办公用房物业管理费、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公务用车运行维护费及其他费用。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rPr>
        <w:t>三、</w:t>
      </w:r>
      <w:r>
        <w:rPr>
          <w:rFonts w:hint="eastAsia" w:asciiTheme="minorEastAsia" w:hAnsiTheme="minorEastAsia" w:eastAsiaTheme="minorEastAsia" w:cstheme="minorEastAsia"/>
          <w:color w:val="000000"/>
          <w:kern w:val="0"/>
          <w:sz w:val="32"/>
          <w:szCs w:val="32"/>
          <w:lang w:val="en-US" w:eastAsia="zh-CN" w:bidi="ar"/>
        </w:rPr>
        <w:t xml:space="preserve">“三公”经费：指单位用一般公共预算财政拨款安排的因公出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国（境）费、公务用车购置及运行维护费和公务接待费。其中，因公出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国（境）费反映单位公务出国（境）的国际旅费、国外城市间交通费、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住宿费、伙食费、培训费、公杂费等支出；公务用车购置及运行维护费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反映单位公务用车购置支出（含车辆购置税、牌照费）以及按规定保留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的公务用车燃料费、维修费、过路过桥费、保险费、安全奖励费用等支 </w:t>
      </w:r>
    </w:p>
    <w:p>
      <w:pPr>
        <w:keepNext w:val="0"/>
        <w:keepLines w:val="0"/>
        <w:widowControl/>
        <w:suppressLineNumbers w:val="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出；公务接待费反映单位按规定开支的各类公务接待（含外宾接待）费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用。</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四、基本支出：指为保障机构正常运转、完成日常工作任务而发生 </w:t>
      </w:r>
    </w:p>
    <w:p>
      <w:pPr>
        <w:keepNext w:val="0"/>
        <w:keepLines w:val="0"/>
        <w:widowControl/>
        <w:suppressLineNumbers w:val="0"/>
        <w:jc w:val="left"/>
        <w:rPr>
          <w:rFonts w:hint="eastAsia" w:asciiTheme="minorEastAsia" w:hAnsiTheme="minorEastAsia" w:eastAsiaTheme="minorEastAsia" w:cstheme="minorEastAsia"/>
          <w:color w:val="000000"/>
          <w:kern w:val="0"/>
          <w:sz w:val="32"/>
          <w:szCs w:val="32"/>
          <w:lang w:val="en-US" w:eastAsia="zh-CN" w:bidi="ar"/>
        </w:rPr>
      </w:pPr>
      <w:r>
        <w:rPr>
          <w:rFonts w:hint="eastAsia" w:asciiTheme="minorEastAsia" w:hAnsiTheme="minorEastAsia" w:eastAsiaTheme="minorEastAsia" w:cstheme="minorEastAsia"/>
          <w:color w:val="000000"/>
          <w:kern w:val="0"/>
          <w:sz w:val="32"/>
          <w:szCs w:val="32"/>
          <w:lang w:val="en-US" w:eastAsia="zh-CN" w:bidi="ar"/>
        </w:rPr>
        <w:t xml:space="preserve">的支出，包括人员经费和公用经费。 </w:t>
      </w:r>
    </w:p>
    <w:p>
      <w:pPr>
        <w:keepNext w:val="0"/>
        <w:keepLines w:val="0"/>
        <w:widowControl/>
        <w:suppressLineNumbers w:val="0"/>
        <w:ind w:firstLine="640" w:firstLineChars="200"/>
        <w:jc w:val="lef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kern w:val="0"/>
          <w:sz w:val="32"/>
          <w:szCs w:val="32"/>
          <w:lang w:val="en-US" w:eastAsia="zh-CN" w:bidi="ar"/>
        </w:rPr>
        <w:t xml:space="preserve">五、项目支出：指在为完成特定的工作任务和事业发展目标所发生 </w:t>
      </w:r>
    </w:p>
    <w:p>
      <w:pPr>
        <w:keepNext w:val="0"/>
        <w:keepLines w:val="0"/>
        <w:widowControl/>
        <w:suppressLineNumbers w:val="0"/>
        <w:jc w:val="left"/>
        <w:rPr>
          <w:sz w:val="72"/>
          <w:szCs w:val="72"/>
        </w:rPr>
      </w:pPr>
      <w:r>
        <w:rPr>
          <w:rFonts w:hint="eastAsia" w:asciiTheme="minorEastAsia" w:hAnsiTheme="minorEastAsia" w:eastAsiaTheme="minorEastAsia" w:cstheme="minorEastAsia"/>
          <w:color w:val="000000"/>
          <w:kern w:val="0"/>
          <w:sz w:val="32"/>
          <w:szCs w:val="32"/>
          <w:lang w:val="en-US" w:eastAsia="zh-CN" w:bidi="ar"/>
        </w:rPr>
        <w:t>的支出。</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both"/>
        <w:rPr>
          <w:sz w:val="72"/>
          <w:szCs w:val="72"/>
        </w:rPr>
      </w:pPr>
    </w:p>
    <w:p>
      <w:pPr>
        <w:pStyle w:val="12"/>
        <w:jc w:val="center"/>
        <w:rPr>
          <w:sz w:val="72"/>
          <w:szCs w:val="72"/>
        </w:rPr>
      </w:pPr>
    </w:p>
    <w:p>
      <w:pPr>
        <w:pStyle w:val="12"/>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362F8"/>
    <w:multiLevelType w:val="singleLevel"/>
    <w:tmpl w:val="C51362F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2B7918"/>
    <w:rsid w:val="088C1FB5"/>
    <w:rsid w:val="0C127485"/>
    <w:rsid w:val="0D4A01CC"/>
    <w:rsid w:val="115813D2"/>
    <w:rsid w:val="13E0559C"/>
    <w:rsid w:val="14C34FC6"/>
    <w:rsid w:val="14DD6EB3"/>
    <w:rsid w:val="14FE1493"/>
    <w:rsid w:val="179579A8"/>
    <w:rsid w:val="1BF92D97"/>
    <w:rsid w:val="1C063A19"/>
    <w:rsid w:val="1DAB29DA"/>
    <w:rsid w:val="21862888"/>
    <w:rsid w:val="240D10DB"/>
    <w:rsid w:val="2455194A"/>
    <w:rsid w:val="2A9A7C8A"/>
    <w:rsid w:val="2CC82C80"/>
    <w:rsid w:val="32F06113"/>
    <w:rsid w:val="35DA1FD3"/>
    <w:rsid w:val="38184CDB"/>
    <w:rsid w:val="3BAB4FE5"/>
    <w:rsid w:val="3D6E66EA"/>
    <w:rsid w:val="40C46D29"/>
    <w:rsid w:val="4BA276E1"/>
    <w:rsid w:val="4DAF18D1"/>
    <w:rsid w:val="57FD7461"/>
    <w:rsid w:val="5A655124"/>
    <w:rsid w:val="69AC1575"/>
    <w:rsid w:val="6C6312D1"/>
    <w:rsid w:val="6D923335"/>
    <w:rsid w:val="77890E08"/>
    <w:rsid w:val="7863704B"/>
    <w:rsid w:val="7AAB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微软雅黑"/>
    </w:r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qFormat/>
    <w:uiPriority w:val="0"/>
    <w:pPr>
      <w:spacing w:before="240" w:after="60" w:line="312" w:lineRule="auto"/>
      <w:jc w:val="center"/>
      <w:outlineLvl w:val="1"/>
    </w:pPr>
    <w:rPr>
      <w:rFonts w:ascii="Calibri Light" w:hAnsi="Calibri Light" w:eastAsia="微软雅黑"/>
      <w:b/>
      <w:bCs/>
      <w:kern w:val="28"/>
      <w:sz w:val="32"/>
      <w:szCs w:val="32"/>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12192</Words>
  <Characters>13969</Characters>
  <Lines>69</Lines>
  <Paragraphs>19</Paragraphs>
  <TotalTime>0</TotalTime>
  <ScaleCrop>false</ScaleCrop>
  <LinksUpToDate>false</LinksUpToDate>
  <CharactersWithSpaces>14977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2023-09-28T05:05:21Z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FAAA2BD8B41444A0BD3C9754D85328BF</vt:lpwstr>
  </property>
</Properties>
</file>